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D320" w14:textId="77777777" w:rsidR="005D066F" w:rsidRPr="001D2830" w:rsidRDefault="005D066F" w:rsidP="005D066F">
      <w:pPr>
        <w:pStyle w:val="MoIBody"/>
        <w:jc w:val="center"/>
        <w:rPr>
          <w:rFonts w:ascii="Garamond" w:hAnsi="Garamond"/>
          <w:b/>
          <w:sz w:val="56"/>
          <w:u w:val="single"/>
        </w:rPr>
      </w:pPr>
    </w:p>
    <w:p w14:paraId="6E8C6B75" w14:textId="77777777" w:rsidR="005D066F" w:rsidRPr="004D71F9" w:rsidRDefault="005D066F" w:rsidP="005D066F">
      <w:pPr>
        <w:pStyle w:val="MoIBody"/>
        <w:jc w:val="center"/>
        <w:rPr>
          <w:rFonts w:ascii="Garamond" w:hAnsi="Garamond"/>
          <w:b/>
        </w:rPr>
      </w:pPr>
      <w:r w:rsidRPr="004D71F9">
        <w:rPr>
          <w:rFonts w:ascii="Garamond" w:hAnsi="Garamond"/>
          <w:b/>
          <w:sz w:val="56"/>
          <w:u w:val="single"/>
        </w:rPr>
        <w:t>ДОКЛАД</w:t>
      </w:r>
    </w:p>
    <w:p w14:paraId="6003F418" w14:textId="35595095" w:rsidR="00F42352" w:rsidRDefault="005D066F" w:rsidP="005D066F">
      <w:pPr>
        <w:pStyle w:val="MoIBody"/>
        <w:jc w:val="center"/>
        <w:rPr>
          <w:rFonts w:ascii="Garamond" w:hAnsi="Garamond"/>
          <w:b/>
          <w:sz w:val="56"/>
          <w:u w:val="single"/>
        </w:rPr>
      </w:pPr>
      <w:r>
        <w:rPr>
          <w:rFonts w:ascii="Garamond" w:hAnsi="Garamond"/>
          <w:b/>
          <w:sz w:val="56"/>
          <w:u w:val="single"/>
        </w:rPr>
        <w:t xml:space="preserve"> </w:t>
      </w:r>
    </w:p>
    <w:p w14:paraId="1C034D8F" w14:textId="002F68A8" w:rsidR="005D066F" w:rsidRPr="004D71F9" w:rsidRDefault="00521A1F" w:rsidP="005D066F">
      <w:pPr>
        <w:pStyle w:val="MoIBody"/>
        <w:jc w:val="center"/>
        <w:rPr>
          <w:rFonts w:ascii="Garamond" w:hAnsi="Garamond"/>
          <w:b/>
          <w:sz w:val="56"/>
          <w:u w:val="single"/>
        </w:rPr>
      </w:pPr>
      <w:r>
        <w:rPr>
          <w:rFonts w:ascii="Garamond" w:hAnsi="Garamond"/>
          <w:b/>
          <w:sz w:val="56"/>
          <w:u w:val="single"/>
        </w:rPr>
        <w:t xml:space="preserve">ФИНАНСОВ </w:t>
      </w:r>
      <w:r w:rsidR="005D066F" w:rsidRPr="004D71F9">
        <w:rPr>
          <w:rFonts w:ascii="Garamond" w:hAnsi="Garamond"/>
          <w:b/>
          <w:sz w:val="56"/>
          <w:u w:val="single"/>
        </w:rPr>
        <w:t xml:space="preserve">АНАЛИЗ </w:t>
      </w:r>
      <w:r w:rsidR="00BB50F8">
        <w:rPr>
          <w:rFonts w:ascii="Garamond" w:hAnsi="Garamond"/>
          <w:b/>
          <w:sz w:val="56"/>
          <w:u w:val="single"/>
        </w:rPr>
        <w:t>ПО ЧЛ.56 б</w:t>
      </w:r>
      <w:r>
        <w:rPr>
          <w:rFonts w:ascii="Garamond" w:hAnsi="Garamond"/>
          <w:b/>
          <w:sz w:val="56"/>
          <w:u w:val="single"/>
        </w:rPr>
        <w:t xml:space="preserve"> от ОРГО ЗА </w:t>
      </w:r>
      <w:r w:rsidR="00BB50F8">
        <w:rPr>
          <w:rFonts w:ascii="Garamond" w:hAnsi="Garamond"/>
          <w:b/>
          <w:sz w:val="56"/>
          <w:u w:val="single"/>
        </w:rPr>
        <w:t>МОРСКИ</w:t>
      </w:r>
      <w:r>
        <w:rPr>
          <w:rFonts w:ascii="Garamond" w:hAnsi="Garamond"/>
          <w:b/>
          <w:sz w:val="56"/>
          <w:u w:val="single"/>
        </w:rPr>
        <w:t xml:space="preserve"> ПРИСТАНИЩА С НАЦИОНАЛНО ЗНАЧЕНИЕ</w:t>
      </w:r>
    </w:p>
    <w:p w14:paraId="45C329B6" w14:textId="77777777" w:rsidR="005D066F" w:rsidRPr="004D71F9" w:rsidRDefault="005D066F" w:rsidP="005D066F">
      <w:pPr>
        <w:pStyle w:val="MoIBody"/>
        <w:jc w:val="center"/>
        <w:rPr>
          <w:rStyle w:val="Strong"/>
          <w:rFonts w:ascii="Garamond" w:hAnsi="Garamond"/>
          <w:sz w:val="36"/>
          <w:szCs w:val="36"/>
        </w:rPr>
      </w:pPr>
    </w:p>
    <w:p w14:paraId="6B23FEE2"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по договор № ДЕП-27/ 26.10.2018 г. с предмет</w:t>
      </w:r>
    </w:p>
    <w:p w14:paraId="5EF62726"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„ОСИГУРЯВАНЕ НА КОНСУЛТАНТСКИ УСЛУГИ</w:t>
      </w:r>
    </w:p>
    <w:p w14:paraId="2448D12C"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НА СТРАТЕГИЧЕСКИ СЪВЕТНИК”</w:t>
      </w:r>
    </w:p>
    <w:p w14:paraId="188D3BD6" w14:textId="77777777" w:rsidR="005D066F" w:rsidRPr="004D71F9" w:rsidRDefault="005D066F" w:rsidP="005D066F">
      <w:pPr>
        <w:pStyle w:val="MoIBody"/>
        <w:jc w:val="center"/>
        <w:rPr>
          <w:rFonts w:ascii="Garamond" w:hAnsi="Garamond"/>
          <w:b/>
          <w:sz w:val="36"/>
          <w:szCs w:val="36"/>
        </w:rPr>
      </w:pPr>
    </w:p>
    <w:p w14:paraId="7D3D32B7"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по проект №BG16M1OP001-4.001-0005 „Техническа помощ за подготовката</w:t>
      </w:r>
    </w:p>
    <w:p w14:paraId="2FCF9C9A"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и реализацията на проект „Доставка, монтаж и въвеждане в експлоатация</w:t>
      </w:r>
    </w:p>
    <w:p w14:paraId="4AB79F2E"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на пристанищни приемни съоръжения (ППС) в българските пристанища</w:t>
      </w:r>
    </w:p>
    <w:p w14:paraId="01627C62"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за обществен транспорт с национално значение“, съфинансиран от</w:t>
      </w:r>
    </w:p>
    <w:p w14:paraId="5B131380" w14:textId="3A4A78D2" w:rsidR="00B46A9B" w:rsidRDefault="005D066F" w:rsidP="005D066F">
      <w:pPr>
        <w:suppressAutoHyphens w:val="0"/>
        <w:spacing w:after="0" w:line="240" w:lineRule="auto"/>
        <w:jc w:val="left"/>
        <w:rPr>
          <w:rFonts w:ascii="Garamond" w:eastAsia="Times New Roman" w:hAnsi="Garamond"/>
          <w:b/>
          <w:szCs w:val="24"/>
          <w:lang w:eastAsia="bg-BG"/>
        </w:rPr>
      </w:pPr>
      <w:r w:rsidRPr="004D71F9">
        <w:rPr>
          <w:rFonts w:ascii="Garamond" w:eastAsia="Times New Roman" w:hAnsi="Garamond"/>
          <w:b/>
          <w:szCs w:val="24"/>
          <w:lang w:eastAsia="bg-BG"/>
        </w:rPr>
        <w:t>Европейския съюз чрез Европейските структурни и инвестиционни фондове</w:t>
      </w:r>
    </w:p>
    <w:p w14:paraId="51F558D4" w14:textId="77777777" w:rsidR="005D066F" w:rsidRDefault="005D066F" w:rsidP="005D066F">
      <w:pPr>
        <w:suppressAutoHyphens w:val="0"/>
        <w:spacing w:after="0" w:line="240" w:lineRule="auto"/>
        <w:jc w:val="left"/>
        <w:rPr>
          <w:rFonts w:ascii="Garamond" w:eastAsia="Times New Roman" w:hAnsi="Garamond"/>
          <w:b/>
          <w:szCs w:val="24"/>
          <w:lang w:eastAsia="bg-BG"/>
        </w:rPr>
      </w:pPr>
    </w:p>
    <w:p w14:paraId="4C5D8D90" w14:textId="4DF96361" w:rsidR="005D066F" w:rsidRDefault="005D066F" w:rsidP="005D066F">
      <w:pPr>
        <w:suppressAutoHyphens w:val="0"/>
        <w:spacing w:after="0" w:line="240" w:lineRule="auto"/>
        <w:jc w:val="left"/>
        <w:rPr>
          <w:rFonts w:ascii="Garamond" w:eastAsia="Times New Roman" w:hAnsi="Garamond"/>
          <w:b/>
          <w:szCs w:val="24"/>
          <w:lang w:eastAsia="bg-BG"/>
        </w:rPr>
      </w:pPr>
      <w:r>
        <w:rPr>
          <w:rFonts w:ascii="Garamond" w:eastAsia="Times New Roman" w:hAnsi="Garamond"/>
          <w:b/>
          <w:szCs w:val="24"/>
          <w:lang w:eastAsia="bg-BG"/>
        </w:rPr>
        <w:br w:type="page"/>
      </w:r>
    </w:p>
    <w:p w14:paraId="786F207D" w14:textId="77777777" w:rsidR="002926D6" w:rsidRPr="005D066F" w:rsidRDefault="000940C9" w:rsidP="00A06240">
      <w:pPr>
        <w:suppressAutoHyphens w:val="0"/>
        <w:spacing w:after="0" w:line="240" w:lineRule="auto"/>
        <w:jc w:val="left"/>
        <w:rPr>
          <w:rFonts w:ascii="Times New Roman" w:hAnsi="Times New Roman"/>
          <w:b/>
          <w:color w:val="2E74B5" w:themeColor="accent1" w:themeShade="BF"/>
          <w:sz w:val="28"/>
        </w:rPr>
      </w:pPr>
      <w:r w:rsidRPr="005D066F">
        <w:rPr>
          <w:rFonts w:ascii="Times New Roman" w:hAnsi="Times New Roman"/>
          <w:b/>
          <w:color w:val="2E74B5" w:themeColor="accent1" w:themeShade="BF"/>
          <w:sz w:val="28"/>
        </w:rPr>
        <w:lastRenderedPageBreak/>
        <w:t>СЪДЪРЖАНИЕ</w:t>
      </w:r>
    </w:p>
    <w:p w14:paraId="3B6642BC" w14:textId="77777777" w:rsidR="005D066F" w:rsidRPr="00F42352" w:rsidRDefault="005D066F" w:rsidP="00F42352">
      <w:pPr>
        <w:suppressAutoHyphens w:val="0"/>
        <w:spacing w:before="120" w:after="120" w:line="240" w:lineRule="auto"/>
        <w:rPr>
          <w:rFonts w:ascii="Times New Roman" w:hAnsi="Times New Roman"/>
          <w:b/>
          <w:szCs w:val="24"/>
        </w:rPr>
      </w:pPr>
    </w:p>
    <w:p w14:paraId="6140FA8C" w14:textId="7F5929C8" w:rsidR="00866433" w:rsidRDefault="00E071DD">
      <w:pPr>
        <w:pStyle w:val="TOC1"/>
        <w:rPr>
          <w:rFonts w:asciiTheme="minorHAnsi" w:eastAsiaTheme="minorEastAsia" w:hAnsiTheme="minorHAnsi" w:cstheme="minorBidi"/>
          <w:bCs w:val="0"/>
          <w:noProof/>
          <w:sz w:val="22"/>
        </w:rPr>
      </w:pPr>
      <w:r w:rsidRPr="00F42352">
        <w:rPr>
          <w:b/>
          <w:bCs w:val="0"/>
          <w:caps/>
          <w:szCs w:val="24"/>
          <w:lang w:val="bg-BG"/>
        </w:rPr>
        <w:fldChar w:fldCharType="begin"/>
      </w:r>
      <w:r w:rsidR="000940C9" w:rsidRPr="00F42352">
        <w:rPr>
          <w:szCs w:val="24"/>
        </w:rPr>
        <w:instrText xml:space="preserve"> TOC \o "1-3" \h </w:instrText>
      </w:r>
      <w:r w:rsidRPr="00F42352">
        <w:rPr>
          <w:b/>
          <w:bCs w:val="0"/>
          <w:caps/>
          <w:szCs w:val="24"/>
          <w:lang w:val="bg-BG"/>
        </w:rPr>
        <w:fldChar w:fldCharType="separate"/>
      </w:r>
      <w:hyperlink w:anchor="_Toc43309109" w:history="1">
        <w:r w:rsidR="00866433" w:rsidRPr="00CD1929">
          <w:rPr>
            <w:rStyle w:val="Hyperlink"/>
            <w:noProof/>
          </w:rPr>
          <w:t>1.</w:t>
        </w:r>
        <w:r w:rsidR="00866433">
          <w:rPr>
            <w:rFonts w:asciiTheme="minorHAnsi" w:eastAsiaTheme="minorEastAsia" w:hAnsiTheme="minorHAnsi" w:cstheme="minorBidi"/>
            <w:bCs w:val="0"/>
            <w:noProof/>
            <w:sz w:val="22"/>
          </w:rPr>
          <w:tab/>
        </w:r>
        <w:r w:rsidR="00866433" w:rsidRPr="00CD1929">
          <w:rPr>
            <w:rStyle w:val="Hyperlink"/>
            <w:noProof/>
          </w:rPr>
          <w:t>ВЪВЕДЕНИЕ</w:t>
        </w:r>
        <w:r w:rsidR="00866433">
          <w:rPr>
            <w:noProof/>
          </w:rPr>
          <w:tab/>
        </w:r>
        <w:r w:rsidR="00866433">
          <w:rPr>
            <w:noProof/>
          </w:rPr>
          <w:fldChar w:fldCharType="begin"/>
        </w:r>
        <w:r w:rsidR="00866433">
          <w:rPr>
            <w:noProof/>
          </w:rPr>
          <w:instrText xml:space="preserve"> PAGEREF _Toc43309109 \h </w:instrText>
        </w:r>
        <w:r w:rsidR="00866433">
          <w:rPr>
            <w:noProof/>
          </w:rPr>
        </w:r>
        <w:r w:rsidR="00866433">
          <w:rPr>
            <w:noProof/>
          </w:rPr>
          <w:fldChar w:fldCharType="separate"/>
        </w:r>
        <w:r w:rsidR="00526AAE">
          <w:rPr>
            <w:noProof/>
          </w:rPr>
          <w:t>5</w:t>
        </w:r>
        <w:r w:rsidR="00866433">
          <w:rPr>
            <w:noProof/>
          </w:rPr>
          <w:fldChar w:fldCharType="end"/>
        </w:r>
      </w:hyperlink>
    </w:p>
    <w:p w14:paraId="14D8C366" w14:textId="3CC3AFC1" w:rsidR="00866433" w:rsidRDefault="0070038B">
      <w:pPr>
        <w:pStyle w:val="TOC2"/>
        <w:rPr>
          <w:rFonts w:asciiTheme="minorHAnsi" w:eastAsiaTheme="minorEastAsia" w:hAnsiTheme="minorHAnsi" w:cstheme="minorBidi"/>
          <w:sz w:val="22"/>
        </w:rPr>
      </w:pPr>
      <w:hyperlink w:anchor="_Toc43309110" w:history="1">
        <w:r w:rsidR="00866433" w:rsidRPr="00CD1929">
          <w:rPr>
            <w:rStyle w:val="Hyperlink"/>
          </w:rPr>
          <w:t>1.1.</w:t>
        </w:r>
        <w:r w:rsidR="00866433">
          <w:rPr>
            <w:rFonts w:asciiTheme="minorHAnsi" w:eastAsiaTheme="minorEastAsia" w:hAnsiTheme="minorHAnsi" w:cstheme="minorBidi"/>
            <w:sz w:val="22"/>
          </w:rPr>
          <w:tab/>
        </w:r>
        <w:r w:rsidR="00866433" w:rsidRPr="00CD1929">
          <w:rPr>
            <w:rStyle w:val="Hyperlink"/>
          </w:rPr>
          <w:t>Цели на финансовия анализ по чл.56б</w:t>
        </w:r>
        <w:r w:rsidR="00866433">
          <w:tab/>
        </w:r>
        <w:r w:rsidR="00866433">
          <w:fldChar w:fldCharType="begin"/>
        </w:r>
        <w:r w:rsidR="00866433">
          <w:instrText xml:space="preserve"> PAGEREF _Toc43309110 \h </w:instrText>
        </w:r>
        <w:r w:rsidR="00866433">
          <w:fldChar w:fldCharType="separate"/>
        </w:r>
        <w:r w:rsidR="00526AAE">
          <w:t>5</w:t>
        </w:r>
        <w:r w:rsidR="00866433">
          <w:fldChar w:fldCharType="end"/>
        </w:r>
      </w:hyperlink>
    </w:p>
    <w:p w14:paraId="5ACCE12B" w14:textId="19F675D5" w:rsidR="00866433" w:rsidRDefault="0070038B">
      <w:pPr>
        <w:pStyle w:val="TOC2"/>
        <w:rPr>
          <w:rFonts w:asciiTheme="minorHAnsi" w:eastAsiaTheme="minorEastAsia" w:hAnsiTheme="minorHAnsi" w:cstheme="minorBidi"/>
          <w:sz w:val="22"/>
        </w:rPr>
      </w:pPr>
      <w:hyperlink w:anchor="_Toc43309111" w:history="1">
        <w:r w:rsidR="00866433" w:rsidRPr="00CD1929">
          <w:rPr>
            <w:rStyle w:val="Hyperlink"/>
          </w:rPr>
          <w:t>1.2.</w:t>
        </w:r>
        <w:r w:rsidR="00866433">
          <w:rPr>
            <w:rFonts w:asciiTheme="minorHAnsi" w:eastAsiaTheme="minorEastAsia" w:hAnsiTheme="minorHAnsi" w:cstheme="minorBidi"/>
            <w:sz w:val="22"/>
          </w:rPr>
          <w:tab/>
        </w:r>
        <w:r w:rsidR="00866433" w:rsidRPr="00CD1929">
          <w:rPr>
            <w:rStyle w:val="Hyperlink"/>
          </w:rPr>
          <w:t>Кратко описание на инвестиционното намерение</w:t>
        </w:r>
        <w:r w:rsidR="00866433">
          <w:tab/>
        </w:r>
        <w:r w:rsidR="00866433">
          <w:fldChar w:fldCharType="begin"/>
        </w:r>
        <w:r w:rsidR="00866433">
          <w:instrText xml:space="preserve"> PAGEREF _Toc43309111 \h </w:instrText>
        </w:r>
        <w:r w:rsidR="00866433">
          <w:fldChar w:fldCharType="separate"/>
        </w:r>
        <w:r w:rsidR="00526AAE">
          <w:t>5</w:t>
        </w:r>
        <w:r w:rsidR="00866433">
          <w:fldChar w:fldCharType="end"/>
        </w:r>
      </w:hyperlink>
    </w:p>
    <w:p w14:paraId="00E7028C" w14:textId="40682E8A" w:rsidR="00866433" w:rsidRDefault="0070038B">
      <w:pPr>
        <w:pStyle w:val="TOC1"/>
        <w:rPr>
          <w:rFonts w:asciiTheme="minorHAnsi" w:eastAsiaTheme="minorEastAsia" w:hAnsiTheme="minorHAnsi" w:cstheme="minorBidi"/>
          <w:bCs w:val="0"/>
          <w:noProof/>
          <w:sz w:val="22"/>
        </w:rPr>
      </w:pPr>
      <w:hyperlink w:anchor="_Toc43309112" w:history="1">
        <w:r w:rsidR="00866433" w:rsidRPr="00CD1929">
          <w:rPr>
            <w:rStyle w:val="Hyperlink"/>
            <w:noProof/>
          </w:rPr>
          <w:t>2.</w:t>
        </w:r>
        <w:r w:rsidR="00866433">
          <w:rPr>
            <w:rFonts w:asciiTheme="minorHAnsi" w:eastAsiaTheme="minorEastAsia" w:hAnsiTheme="minorHAnsi" w:cstheme="minorBidi"/>
            <w:bCs w:val="0"/>
            <w:noProof/>
            <w:sz w:val="22"/>
          </w:rPr>
          <w:tab/>
        </w:r>
        <w:r w:rsidR="00866433" w:rsidRPr="00CD1929">
          <w:rPr>
            <w:rStyle w:val="Hyperlink"/>
            <w:noProof/>
          </w:rPr>
          <w:t>МАКРО ИКОНОМИЧЕСКИ ИНДИКАТОРИ И АНАЛИЗ НА ТЪРСЕНЕТО</w:t>
        </w:r>
        <w:r w:rsidR="00866433">
          <w:rPr>
            <w:noProof/>
          </w:rPr>
          <w:tab/>
        </w:r>
        <w:r w:rsidR="00866433">
          <w:rPr>
            <w:noProof/>
          </w:rPr>
          <w:fldChar w:fldCharType="begin"/>
        </w:r>
        <w:r w:rsidR="00866433">
          <w:rPr>
            <w:noProof/>
          </w:rPr>
          <w:instrText xml:space="preserve"> PAGEREF _Toc43309112 \h </w:instrText>
        </w:r>
        <w:r w:rsidR="00866433">
          <w:rPr>
            <w:noProof/>
          </w:rPr>
        </w:r>
        <w:r w:rsidR="00866433">
          <w:rPr>
            <w:noProof/>
          </w:rPr>
          <w:fldChar w:fldCharType="separate"/>
        </w:r>
        <w:r w:rsidR="00526AAE">
          <w:rPr>
            <w:noProof/>
          </w:rPr>
          <w:t>7</w:t>
        </w:r>
        <w:r w:rsidR="00866433">
          <w:rPr>
            <w:noProof/>
          </w:rPr>
          <w:fldChar w:fldCharType="end"/>
        </w:r>
      </w:hyperlink>
    </w:p>
    <w:p w14:paraId="395952C2" w14:textId="51BA6402" w:rsidR="00866433" w:rsidRDefault="0070038B">
      <w:pPr>
        <w:pStyle w:val="TOC2"/>
        <w:rPr>
          <w:rFonts w:asciiTheme="minorHAnsi" w:eastAsiaTheme="minorEastAsia" w:hAnsiTheme="minorHAnsi" w:cstheme="minorBidi"/>
          <w:sz w:val="22"/>
        </w:rPr>
      </w:pPr>
      <w:hyperlink w:anchor="_Toc43309113" w:history="1">
        <w:r w:rsidR="00866433" w:rsidRPr="00CD1929">
          <w:rPr>
            <w:rStyle w:val="Hyperlink"/>
          </w:rPr>
          <w:t>2.1.</w:t>
        </w:r>
        <w:r w:rsidR="00866433">
          <w:rPr>
            <w:rFonts w:asciiTheme="minorHAnsi" w:eastAsiaTheme="minorEastAsia" w:hAnsiTheme="minorHAnsi" w:cstheme="minorBidi"/>
            <w:sz w:val="22"/>
          </w:rPr>
          <w:tab/>
        </w:r>
        <w:r w:rsidR="00866433" w:rsidRPr="00CD1929">
          <w:rPr>
            <w:rStyle w:val="Hyperlink"/>
          </w:rPr>
          <w:t>Макроикономически индикатори</w:t>
        </w:r>
        <w:r w:rsidR="00866433">
          <w:tab/>
        </w:r>
        <w:r w:rsidR="00866433">
          <w:fldChar w:fldCharType="begin"/>
        </w:r>
        <w:r w:rsidR="00866433">
          <w:instrText xml:space="preserve"> PAGEREF _Toc43309113 \h </w:instrText>
        </w:r>
        <w:r w:rsidR="00866433">
          <w:fldChar w:fldCharType="separate"/>
        </w:r>
        <w:r w:rsidR="00526AAE">
          <w:t>7</w:t>
        </w:r>
        <w:r w:rsidR="00866433">
          <w:fldChar w:fldCharType="end"/>
        </w:r>
      </w:hyperlink>
    </w:p>
    <w:p w14:paraId="32C8A22A" w14:textId="7B0B604E" w:rsidR="00866433" w:rsidRDefault="0070038B">
      <w:pPr>
        <w:pStyle w:val="TOC2"/>
        <w:rPr>
          <w:rFonts w:asciiTheme="minorHAnsi" w:eastAsiaTheme="minorEastAsia" w:hAnsiTheme="minorHAnsi" w:cstheme="minorBidi"/>
          <w:sz w:val="22"/>
        </w:rPr>
      </w:pPr>
      <w:hyperlink w:anchor="_Toc43309114" w:history="1">
        <w:r w:rsidR="00866433" w:rsidRPr="00CD1929">
          <w:rPr>
            <w:rStyle w:val="Hyperlink"/>
          </w:rPr>
          <w:t>2.2.</w:t>
        </w:r>
        <w:r w:rsidR="00866433">
          <w:rPr>
            <w:rFonts w:asciiTheme="minorHAnsi" w:eastAsiaTheme="minorEastAsia" w:hAnsiTheme="minorHAnsi" w:cstheme="minorBidi"/>
            <w:sz w:val="22"/>
          </w:rPr>
          <w:tab/>
        </w:r>
        <w:r w:rsidR="00866433" w:rsidRPr="00CD1929">
          <w:rPr>
            <w:rStyle w:val="Hyperlink"/>
          </w:rPr>
          <w:t>Анализ на търсенето</w:t>
        </w:r>
        <w:bookmarkStart w:id="0" w:name="_GoBack"/>
        <w:bookmarkEnd w:id="0"/>
        <w:r w:rsidR="00866433">
          <w:tab/>
        </w:r>
        <w:r w:rsidR="00866433">
          <w:fldChar w:fldCharType="begin"/>
        </w:r>
        <w:r w:rsidR="00866433">
          <w:instrText xml:space="preserve"> PAGEREF _Toc43309114 \h </w:instrText>
        </w:r>
        <w:r w:rsidR="00866433">
          <w:fldChar w:fldCharType="separate"/>
        </w:r>
        <w:r w:rsidR="00526AAE">
          <w:t>12</w:t>
        </w:r>
        <w:r w:rsidR="00866433">
          <w:fldChar w:fldCharType="end"/>
        </w:r>
      </w:hyperlink>
    </w:p>
    <w:p w14:paraId="5601E159" w14:textId="47DD8264" w:rsidR="00866433" w:rsidRDefault="0070038B">
      <w:pPr>
        <w:pStyle w:val="TOC1"/>
        <w:rPr>
          <w:rFonts w:asciiTheme="minorHAnsi" w:eastAsiaTheme="minorEastAsia" w:hAnsiTheme="minorHAnsi" w:cstheme="minorBidi"/>
          <w:bCs w:val="0"/>
          <w:noProof/>
          <w:sz w:val="22"/>
        </w:rPr>
      </w:pPr>
      <w:hyperlink w:anchor="_Toc43309115" w:history="1">
        <w:r w:rsidR="00866433" w:rsidRPr="00CD1929">
          <w:rPr>
            <w:rStyle w:val="Hyperlink"/>
            <w:noProof/>
          </w:rPr>
          <w:t>3.</w:t>
        </w:r>
        <w:r w:rsidR="00866433">
          <w:rPr>
            <w:rFonts w:asciiTheme="minorHAnsi" w:eastAsiaTheme="minorEastAsia" w:hAnsiTheme="minorHAnsi" w:cstheme="minorBidi"/>
            <w:bCs w:val="0"/>
            <w:noProof/>
            <w:sz w:val="22"/>
          </w:rPr>
          <w:tab/>
        </w:r>
        <w:r w:rsidR="00866433" w:rsidRPr="00CD1929">
          <w:rPr>
            <w:rStyle w:val="Hyperlink"/>
            <w:noProof/>
          </w:rPr>
          <w:t>ФИНАНСОВ АНАЛИЗ</w:t>
        </w:r>
        <w:r w:rsidR="00866433">
          <w:rPr>
            <w:noProof/>
          </w:rPr>
          <w:tab/>
        </w:r>
        <w:r w:rsidR="00866433">
          <w:rPr>
            <w:noProof/>
          </w:rPr>
          <w:fldChar w:fldCharType="begin"/>
        </w:r>
        <w:r w:rsidR="00866433">
          <w:rPr>
            <w:noProof/>
          </w:rPr>
          <w:instrText xml:space="preserve"> PAGEREF _Toc43309115 \h </w:instrText>
        </w:r>
        <w:r w:rsidR="00866433">
          <w:rPr>
            <w:noProof/>
          </w:rPr>
        </w:r>
        <w:r w:rsidR="00866433">
          <w:rPr>
            <w:noProof/>
          </w:rPr>
          <w:fldChar w:fldCharType="separate"/>
        </w:r>
        <w:r w:rsidR="00526AAE">
          <w:rPr>
            <w:noProof/>
          </w:rPr>
          <w:t>18</w:t>
        </w:r>
        <w:r w:rsidR="00866433">
          <w:rPr>
            <w:noProof/>
          </w:rPr>
          <w:fldChar w:fldCharType="end"/>
        </w:r>
      </w:hyperlink>
    </w:p>
    <w:p w14:paraId="212F0719" w14:textId="0D7D653E" w:rsidR="00866433" w:rsidRDefault="0070038B">
      <w:pPr>
        <w:pStyle w:val="TOC2"/>
        <w:rPr>
          <w:rFonts w:asciiTheme="minorHAnsi" w:eastAsiaTheme="minorEastAsia" w:hAnsiTheme="minorHAnsi" w:cstheme="minorBidi"/>
          <w:sz w:val="22"/>
        </w:rPr>
      </w:pPr>
      <w:hyperlink w:anchor="_Toc43309116" w:history="1">
        <w:r w:rsidR="00866433" w:rsidRPr="00CD1929">
          <w:rPr>
            <w:rStyle w:val="Hyperlink"/>
          </w:rPr>
          <w:t>3.1.</w:t>
        </w:r>
        <w:r w:rsidR="00866433">
          <w:rPr>
            <w:rFonts w:asciiTheme="minorHAnsi" w:eastAsiaTheme="minorEastAsia" w:hAnsiTheme="minorHAnsi" w:cstheme="minorBidi"/>
            <w:sz w:val="22"/>
          </w:rPr>
          <w:tab/>
        </w:r>
        <w:r w:rsidR="00866433" w:rsidRPr="00CD1929">
          <w:rPr>
            <w:rStyle w:val="Hyperlink"/>
          </w:rPr>
          <w:t>Основни допускания</w:t>
        </w:r>
        <w:r w:rsidR="00866433">
          <w:tab/>
        </w:r>
        <w:r w:rsidR="00866433">
          <w:fldChar w:fldCharType="begin"/>
        </w:r>
        <w:r w:rsidR="00866433">
          <w:instrText xml:space="preserve"> PAGEREF _Toc43309116 \h </w:instrText>
        </w:r>
        <w:r w:rsidR="00866433">
          <w:fldChar w:fldCharType="separate"/>
        </w:r>
        <w:r w:rsidR="00526AAE">
          <w:t>18</w:t>
        </w:r>
        <w:r w:rsidR="00866433">
          <w:fldChar w:fldCharType="end"/>
        </w:r>
      </w:hyperlink>
    </w:p>
    <w:p w14:paraId="243015E9" w14:textId="7611A0FC" w:rsidR="00866433" w:rsidRDefault="00DB4479">
      <w:pPr>
        <w:pStyle w:val="TOC2"/>
        <w:rPr>
          <w:rFonts w:asciiTheme="minorHAnsi" w:eastAsiaTheme="minorEastAsia" w:hAnsiTheme="minorHAnsi" w:cstheme="minorBidi"/>
          <w:sz w:val="22"/>
        </w:rPr>
      </w:pPr>
      <w:hyperlink w:anchor="_Toc43309117" w:history="1">
        <w:r w:rsidR="00866433" w:rsidRPr="00CD1929">
          <w:rPr>
            <w:rStyle w:val="Hyperlink"/>
          </w:rPr>
          <w:t>3.2.</w:t>
        </w:r>
        <w:r w:rsidR="00866433">
          <w:rPr>
            <w:rFonts w:asciiTheme="minorHAnsi" w:eastAsiaTheme="minorEastAsia" w:hAnsiTheme="minorHAnsi" w:cstheme="minorBidi"/>
            <w:sz w:val="22"/>
          </w:rPr>
          <w:tab/>
        </w:r>
        <w:r w:rsidR="00866433" w:rsidRPr="00CD1929">
          <w:rPr>
            <w:rStyle w:val="Hyperlink"/>
          </w:rPr>
          <w:t>Методология за изготвяне на финансовия анализ</w:t>
        </w:r>
        <w:r w:rsidR="00866433">
          <w:tab/>
        </w:r>
        <w:r w:rsidR="00866433">
          <w:fldChar w:fldCharType="begin"/>
        </w:r>
        <w:r w:rsidR="00866433">
          <w:instrText xml:space="preserve"> PAGEREF _Toc43309117 \h </w:instrText>
        </w:r>
        <w:r w:rsidR="00866433">
          <w:fldChar w:fldCharType="separate"/>
        </w:r>
        <w:r w:rsidR="00526AAE">
          <w:t>20</w:t>
        </w:r>
        <w:r w:rsidR="00866433">
          <w:fldChar w:fldCharType="end"/>
        </w:r>
      </w:hyperlink>
    </w:p>
    <w:p w14:paraId="63C55E97" w14:textId="50CAF2CC" w:rsidR="00866433" w:rsidRDefault="00DB4479">
      <w:pPr>
        <w:pStyle w:val="TOC2"/>
        <w:rPr>
          <w:rFonts w:asciiTheme="minorHAnsi" w:eastAsiaTheme="minorEastAsia" w:hAnsiTheme="minorHAnsi" w:cstheme="minorBidi"/>
          <w:sz w:val="22"/>
        </w:rPr>
      </w:pPr>
      <w:hyperlink w:anchor="_Toc43309118" w:history="1">
        <w:r w:rsidR="00866433" w:rsidRPr="00CD1929">
          <w:rPr>
            <w:rStyle w:val="Hyperlink"/>
          </w:rPr>
          <w:t>3.3.</w:t>
        </w:r>
        <w:r w:rsidR="00866433">
          <w:rPr>
            <w:rFonts w:asciiTheme="minorHAnsi" w:eastAsiaTheme="minorEastAsia" w:hAnsiTheme="minorHAnsi" w:cstheme="minorBidi"/>
            <w:sz w:val="22"/>
          </w:rPr>
          <w:tab/>
        </w:r>
        <w:r w:rsidR="00866433" w:rsidRPr="00CD1929">
          <w:rPr>
            <w:rStyle w:val="Hyperlink"/>
          </w:rPr>
          <w:t>Определяне на  инвестиционни разходи по ОРГО за  морски пристанища</w:t>
        </w:r>
        <w:r w:rsidR="00866433">
          <w:tab/>
        </w:r>
        <w:r w:rsidR="00866433">
          <w:fldChar w:fldCharType="begin"/>
        </w:r>
        <w:r w:rsidR="00866433">
          <w:instrText xml:space="preserve"> PAGEREF _Toc43309118 \h </w:instrText>
        </w:r>
        <w:r w:rsidR="00866433">
          <w:fldChar w:fldCharType="separate"/>
        </w:r>
        <w:r w:rsidR="00526AAE">
          <w:t>22</w:t>
        </w:r>
        <w:r w:rsidR="00866433">
          <w:fldChar w:fldCharType="end"/>
        </w:r>
      </w:hyperlink>
    </w:p>
    <w:p w14:paraId="25CAA39E" w14:textId="14D16B3B" w:rsidR="00866433" w:rsidRDefault="00DB4479">
      <w:pPr>
        <w:pStyle w:val="TOC2"/>
        <w:rPr>
          <w:rFonts w:asciiTheme="minorHAnsi" w:eastAsiaTheme="minorEastAsia" w:hAnsiTheme="minorHAnsi" w:cstheme="minorBidi"/>
          <w:sz w:val="22"/>
        </w:rPr>
      </w:pPr>
      <w:hyperlink w:anchor="_Toc43309119" w:history="1">
        <w:r w:rsidR="00866433" w:rsidRPr="00CD1929">
          <w:rPr>
            <w:rStyle w:val="Hyperlink"/>
          </w:rPr>
          <w:t>3.4.</w:t>
        </w:r>
        <w:r w:rsidR="00866433">
          <w:rPr>
            <w:rFonts w:asciiTheme="minorHAnsi" w:eastAsiaTheme="minorEastAsia" w:hAnsiTheme="minorHAnsi" w:cstheme="minorBidi"/>
            <w:sz w:val="22"/>
          </w:rPr>
          <w:tab/>
        </w:r>
        <w:r w:rsidR="00866433" w:rsidRPr="00CD1929">
          <w:rPr>
            <w:rStyle w:val="Hyperlink"/>
          </w:rPr>
          <w:t>Остатъчна стойност на активите</w:t>
        </w:r>
        <w:r w:rsidR="00866433">
          <w:tab/>
        </w:r>
        <w:r w:rsidR="00866433">
          <w:fldChar w:fldCharType="begin"/>
        </w:r>
        <w:r w:rsidR="00866433">
          <w:instrText xml:space="preserve"> PAGEREF _Toc43309119 \h </w:instrText>
        </w:r>
        <w:r w:rsidR="00866433">
          <w:fldChar w:fldCharType="separate"/>
        </w:r>
        <w:r w:rsidR="00526AAE">
          <w:t>24</w:t>
        </w:r>
        <w:r w:rsidR="00866433">
          <w:fldChar w:fldCharType="end"/>
        </w:r>
      </w:hyperlink>
    </w:p>
    <w:p w14:paraId="69F3B94A" w14:textId="410B7839" w:rsidR="00866433" w:rsidRDefault="00DB4479">
      <w:pPr>
        <w:pStyle w:val="TOC2"/>
        <w:rPr>
          <w:rFonts w:asciiTheme="minorHAnsi" w:eastAsiaTheme="minorEastAsia" w:hAnsiTheme="minorHAnsi" w:cstheme="minorBidi"/>
          <w:sz w:val="22"/>
        </w:rPr>
      </w:pPr>
      <w:hyperlink w:anchor="_Toc43309120" w:history="1">
        <w:r w:rsidR="00866433" w:rsidRPr="00CD1929">
          <w:rPr>
            <w:rStyle w:val="Hyperlink"/>
          </w:rPr>
          <w:t>3.5.</w:t>
        </w:r>
        <w:r w:rsidR="00866433">
          <w:rPr>
            <w:rFonts w:asciiTheme="minorHAnsi" w:eastAsiaTheme="minorEastAsia" w:hAnsiTheme="minorHAnsi" w:cstheme="minorBidi"/>
            <w:sz w:val="22"/>
          </w:rPr>
          <w:tab/>
        </w:r>
        <w:r w:rsidR="00866433" w:rsidRPr="00CD1929">
          <w:rPr>
            <w:rStyle w:val="Hyperlink"/>
          </w:rPr>
          <w:t>Разходи за експлоатация и поддръжка</w:t>
        </w:r>
        <w:r w:rsidR="00866433">
          <w:tab/>
        </w:r>
        <w:r w:rsidR="00866433">
          <w:fldChar w:fldCharType="begin"/>
        </w:r>
        <w:r w:rsidR="00866433">
          <w:instrText xml:space="preserve"> PAGEREF _Toc43309120 \h </w:instrText>
        </w:r>
        <w:r w:rsidR="00866433">
          <w:fldChar w:fldCharType="separate"/>
        </w:r>
        <w:r w:rsidR="00526AAE">
          <w:t>24</w:t>
        </w:r>
        <w:r w:rsidR="00866433">
          <w:fldChar w:fldCharType="end"/>
        </w:r>
      </w:hyperlink>
    </w:p>
    <w:p w14:paraId="4618445E" w14:textId="700FE89D" w:rsidR="00866433" w:rsidRDefault="00DB4479">
      <w:pPr>
        <w:pStyle w:val="TOC2"/>
        <w:rPr>
          <w:rFonts w:asciiTheme="minorHAnsi" w:eastAsiaTheme="minorEastAsia" w:hAnsiTheme="minorHAnsi" w:cstheme="minorBidi"/>
          <w:sz w:val="22"/>
        </w:rPr>
      </w:pPr>
      <w:hyperlink w:anchor="_Toc43309121" w:history="1">
        <w:r w:rsidR="00866433" w:rsidRPr="00CD1929">
          <w:rPr>
            <w:rStyle w:val="Hyperlink"/>
          </w:rPr>
          <w:t>3.6.</w:t>
        </w:r>
        <w:r w:rsidR="00866433">
          <w:rPr>
            <w:rFonts w:asciiTheme="minorHAnsi" w:eastAsiaTheme="minorEastAsia" w:hAnsiTheme="minorHAnsi" w:cstheme="minorBidi"/>
            <w:sz w:val="22"/>
          </w:rPr>
          <w:tab/>
        </w:r>
        <w:r w:rsidR="00866433" w:rsidRPr="00CD1929">
          <w:rPr>
            <w:rStyle w:val="Hyperlink"/>
          </w:rPr>
          <w:t>Приходи от дейността</w:t>
        </w:r>
        <w:r w:rsidR="00866433">
          <w:tab/>
        </w:r>
        <w:r w:rsidR="00866433">
          <w:fldChar w:fldCharType="begin"/>
        </w:r>
        <w:r w:rsidR="00866433">
          <w:instrText xml:space="preserve"> PAGEREF _Toc43309121 \h </w:instrText>
        </w:r>
        <w:r w:rsidR="00866433">
          <w:fldChar w:fldCharType="separate"/>
        </w:r>
        <w:r w:rsidR="00526AAE">
          <w:t>25</w:t>
        </w:r>
        <w:r w:rsidR="00866433">
          <w:fldChar w:fldCharType="end"/>
        </w:r>
      </w:hyperlink>
    </w:p>
    <w:p w14:paraId="2C03A6FC" w14:textId="2D5BBAEF" w:rsidR="00866433" w:rsidRDefault="00DB4479">
      <w:pPr>
        <w:pStyle w:val="TOC2"/>
        <w:rPr>
          <w:rFonts w:asciiTheme="minorHAnsi" w:eastAsiaTheme="minorEastAsia" w:hAnsiTheme="minorHAnsi" w:cstheme="minorBidi"/>
          <w:sz w:val="22"/>
        </w:rPr>
      </w:pPr>
      <w:hyperlink w:anchor="_Toc43309122" w:history="1">
        <w:r w:rsidR="00866433" w:rsidRPr="00CD1929">
          <w:rPr>
            <w:rStyle w:val="Hyperlink"/>
          </w:rPr>
          <w:t>3.7.</w:t>
        </w:r>
        <w:r w:rsidR="00866433">
          <w:rPr>
            <w:rFonts w:asciiTheme="minorHAnsi" w:eastAsiaTheme="minorEastAsia" w:hAnsiTheme="minorHAnsi" w:cstheme="minorBidi"/>
            <w:sz w:val="22"/>
          </w:rPr>
          <w:tab/>
        </w:r>
        <w:r w:rsidR="00866433" w:rsidRPr="00CD1929">
          <w:rPr>
            <w:rStyle w:val="Hyperlink"/>
          </w:rPr>
          <w:t>Резултати от финансовия анализ</w:t>
        </w:r>
        <w:r w:rsidR="00866433">
          <w:tab/>
        </w:r>
        <w:r w:rsidR="00866433">
          <w:fldChar w:fldCharType="begin"/>
        </w:r>
        <w:r w:rsidR="00866433">
          <w:instrText xml:space="preserve"> PAGEREF _Toc43309122 \h </w:instrText>
        </w:r>
        <w:r w:rsidR="00866433">
          <w:fldChar w:fldCharType="separate"/>
        </w:r>
        <w:r w:rsidR="00526AAE">
          <w:t>26</w:t>
        </w:r>
        <w:r w:rsidR="00866433">
          <w:fldChar w:fldCharType="end"/>
        </w:r>
      </w:hyperlink>
    </w:p>
    <w:p w14:paraId="2329ED69" w14:textId="331F2BE1" w:rsidR="00866433" w:rsidRDefault="00DB4479">
      <w:pPr>
        <w:pStyle w:val="TOC1"/>
        <w:rPr>
          <w:rFonts w:asciiTheme="minorHAnsi" w:eastAsiaTheme="minorEastAsia" w:hAnsiTheme="minorHAnsi" w:cstheme="minorBidi"/>
          <w:bCs w:val="0"/>
          <w:noProof/>
          <w:sz w:val="22"/>
        </w:rPr>
      </w:pPr>
      <w:hyperlink w:anchor="_Toc43309123" w:history="1">
        <w:r w:rsidR="00866433" w:rsidRPr="00CD1929">
          <w:rPr>
            <w:rStyle w:val="Hyperlink"/>
            <w:noProof/>
          </w:rPr>
          <w:t>4.</w:t>
        </w:r>
        <w:r w:rsidR="00866433">
          <w:rPr>
            <w:rFonts w:asciiTheme="minorHAnsi" w:eastAsiaTheme="minorEastAsia" w:hAnsiTheme="minorHAnsi" w:cstheme="minorBidi"/>
            <w:bCs w:val="0"/>
            <w:noProof/>
            <w:sz w:val="22"/>
          </w:rPr>
          <w:tab/>
        </w:r>
        <w:r w:rsidR="00866433" w:rsidRPr="00CD1929">
          <w:rPr>
            <w:rStyle w:val="Hyperlink"/>
            <w:noProof/>
          </w:rPr>
          <w:t>ИЗВОДИ И ЗАКЛЮЧЕНИЯ  ОТ ФИНАНСОВИЯ АНАЛИЗ</w:t>
        </w:r>
        <w:r w:rsidR="00866433">
          <w:rPr>
            <w:noProof/>
          </w:rPr>
          <w:tab/>
        </w:r>
        <w:r w:rsidR="00866433">
          <w:rPr>
            <w:noProof/>
          </w:rPr>
          <w:fldChar w:fldCharType="begin"/>
        </w:r>
        <w:r w:rsidR="00866433">
          <w:rPr>
            <w:noProof/>
          </w:rPr>
          <w:instrText xml:space="preserve"> PAGEREF _Toc43309123 \h </w:instrText>
        </w:r>
        <w:r w:rsidR="00866433">
          <w:rPr>
            <w:noProof/>
          </w:rPr>
        </w:r>
        <w:r w:rsidR="00866433">
          <w:rPr>
            <w:noProof/>
          </w:rPr>
          <w:fldChar w:fldCharType="separate"/>
        </w:r>
        <w:r w:rsidR="00526AAE">
          <w:rPr>
            <w:noProof/>
          </w:rPr>
          <w:t>28</w:t>
        </w:r>
        <w:r w:rsidR="00866433">
          <w:rPr>
            <w:noProof/>
          </w:rPr>
          <w:fldChar w:fldCharType="end"/>
        </w:r>
      </w:hyperlink>
    </w:p>
    <w:p w14:paraId="1A85A326" w14:textId="4DE33466" w:rsidR="00866433" w:rsidRDefault="00DB4479">
      <w:pPr>
        <w:pStyle w:val="TOC1"/>
        <w:rPr>
          <w:rFonts w:asciiTheme="minorHAnsi" w:eastAsiaTheme="minorEastAsia" w:hAnsiTheme="minorHAnsi" w:cstheme="minorBidi"/>
          <w:bCs w:val="0"/>
          <w:noProof/>
          <w:sz w:val="22"/>
        </w:rPr>
      </w:pPr>
      <w:hyperlink w:anchor="_Toc43309124" w:history="1">
        <w:r w:rsidR="00866433" w:rsidRPr="00CD1929">
          <w:rPr>
            <w:rStyle w:val="Hyperlink"/>
            <w:noProof/>
          </w:rPr>
          <w:t>5.</w:t>
        </w:r>
        <w:r w:rsidR="00866433">
          <w:rPr>
            <w:rFonts w:asciiTheme="minorHAnsi" w:eastAsiaTheme="minorEastAsia" w:hAnsiTheme="minorHAnsi" w:cstheme="minorBidi"/>
            <w:bCs w:val="0"/>
            <w:noProof/>
            <w:sz w:val="22"/>
          </w:rPr>
          <w:tab/>
        </w:r>
        <w:r w:rsidR="00866433" w:rsidRPr="00CD1929">
          <w:rPr>
            <w:rStyle w:val="Hyperlink"/>
            <w:noProof/>
          </w:rPr>
          <w:t>СПИСЪК НА ПРИЛОЖЕНИЯТА КЪМ ДОКЛАДА</w:t>
        </w:r>
        <w:r w:rsidR="00866433">
          <w:rPr>
            <w:noProof/>
          </w:rPr>
          <w:tab/>
        </w:r>
        <w:r w:rsidR="00866433">
          <w:rPr>
            <w:noProof/>
          </w:rPr>
          <w:fldChar w:fldCharType="begin"/>
        </w:r>
        <w:r w:rsidR="00866433">
          <w:rPr>
            <w:noProof/>
          </w:rPr>
          <w:instrText xml:space="preserve"> PAGEREF _Toc43309124 \h </w:instrText>
        </w:r>
        <w:r w:rsidR="00866433">
          <w:rPr>
            <w:noProof/>
          </w:rPr>
        </w:r>
        <w:r w:rsidR="00866433">
          <w:rPr>
            <w:noProof/>
          </w:rPr>
          <w:fldChar w:fldCharType="separate"/>
        </w:r>
        <w:r w:rsidR="00526AAE">
          <w:rPr>
            <w:noProof/>
          </w:rPr>
          <w:t>29</w:t>
        </w:r>
        <w:r w:rsidR="00866433">
          <w:rPr>
            <w:noProof/>
          </w:rPr>
          <w:fldChar w:fldCharType="end"/>
        </w:r>
      </w:hyperlink>
    </w:p>
    <w:p w14:paraId="13D09FA8" w14:textId="205E08D8" w:rsidR="00866433" w:rsidRDefault="00DB4479">
      <w:pPr>
        <w:pStyle w:val="TOC2"/>
        <w:rPr>
          <w:rFonts w:asciiTheme="minorHAnsi" w:eastAsiaTheme="minorEastAsia" w:hAnsiTheme="minorHAnsi" w:cstheme="minorBidi"/>
          <w:sz w:val="22"/>
        </w:rPr>
      </w:pPr>
      <w:hyperlink w:anchor="_Toc43309125" w:history="1">
        <w:r w:rsidR="00866433" w:rsidRPr="00CD1929">
          <w:rPr>
            <w:rStyle w:val="Hyperlink"/>
          </w:rPr>
          <w:t>5.1.</w:t>
        </w:r>
        <w:r w:rsidR="00866433">
          <w:rPr>
            <w:rFonts w:asciiTheme="minorHAnsi" w:eastAsiaTheme="minorEastAsia" w:hAnsiTheme="minorHAnsi" w:cstheme="minorBidi"/>
            <w:sz w:val="22"/>
          </w:rPr>
          <w:tab/>
        </w:r>
        <w:r w:rsidR="00866433" w:rsidRPr="00CD1929">
          <w:rPr>
            <w:rStyle w:val="Hyperlink"/>
          </w:rPr>
          <w:t>Приложение 1 - Резултати от финансовия анализ</w:t>
        </w:r>
        <w:r w:rsidR="00866433">
          <w:tab/>
        </w:r>
        <w:r w:rsidR="00866433">
          <w:fldChar w:fldCharType="begin"/>
        </w:r>
        <w:r w:rsidR="00866433">
          <w:instrText xml:space="preserve"> PAGEREF _Toc43309125 \h </w:instrText>
        </w:r>
        <w:r w:rsidR="00866433">
          <w:fldChar w:fldCharType="separate"/>
        </w:r>
        <w:r w:rsidR="00526AAE">
          <w:t>29</w:t>
        </w:r>
        <w:r w:rsidR="00866433">
          <w:fldChar w:fldCharType="end"/>
        </w:r>
      </w:hyperlink>
    </w:p>
    <w:p w14:paraId="4589A202" w14:textId="52860D80" w:rsidR="00866433" w:rsidRDefault="00DB4479">
      <w:pPr>
        <w:pStyle w:val="TOC2"/>
        <w:rPr>
          <w:rFonts w:asciiTheme="minorHAnsi" w:eastAsiaTheme="minorEastAsia" w:hAnsiTheme="minorHAnsi" w:cstheme="minorBidi"/>
          <w:sz w:val="22"/>
        </w:rPr>
      </w:pPr>
      <w:hyperlink w:anchor="_Toc43309126" w:history="1">
        <w:r w:rsidR="00866433" w:rsidRPr="00CD1929">
          <w:rPr>
            <w:rStyle w:val="Hyperlink"/>
          </w:rPr>
          <w:t>5.2.</w:t>
        </w:r>
        <w:r w:rsidR="00866433">
          <w:rPr>
            <w:rFonts w:asciiTheme="minorHAnsi" w:eastAsiaTheme="minorEastAsia" w:hAnsiTheme="minorHAnsi" w:cstheme="minorBidi"/>
            <w:sz w:val="22"/>
          </w:rPr>
          <w:tab/>
        </w:r>
        <w:r w:rsidR="00866433" w:rsidRPr="00CD1929">
          <w:rPr>
            <w:rStyle w:val="Hyperlink"/>
          </w:rPr>
          <w:t>Приложение 2 – Електронен  модел за Финансовия Анализ</w:t>
        </w:r>
        <w:r w:rsidR="00866433">
          <w:tab/>
        </w:r>
        <w:r w:rsidR="00866433">
          <w:fldChar w:fldCharType="begin"/>
        </w:r>
        <w:r w:rsidR="00866433">
          <w:instrText xml:space="preserve"> PAGEREF _Toc43309126 \h </w:instrText>
        </w:r>
        <w:r w:rsidR="00866433">
          <w:fldChar w:fldCharType="separate"/>
        </w:r>
        <w:r w:rsidR="00526AAE">
          <w:t>29</w:t>
        </w:r>
        <w:r w:rsidR="00866433">
          <w:fldChar w:fldCharType="end"/>
        </w:r>
      </w:hyperlink>
    </w:p>
    <w:p w14:paraId="244A0A09" w14:textId="32CF9983" w:rsidR="00CC5B84" w:rsidRDefault="00E071DD" w:rsidP="00F42352">
      <w:pPr>
        <w:pStyle w:val="MoIBody"/>
        <w:tabs>
          <w:tab w:val="right" w:leader="dot" w:pos="9498"/>
        </w:tabs>
        <w:spacing w:line="240" w:lineRule="auto"/>
        <w:rPr>
          <w:lang w:val="en-US"/>
        </w:rPr>
        <w:sectPr w:rsidR="00CC5B84" w:rsidSect="005D066F">
          <w:headerReference w:type="default" r:id="rId10"/>
          <w:footerReference w:type="default" r:id="rId11"/>
          <w:headerReference w:type="first" r:id="rId12"/>
          <w:footerReference w:type="first" r:id="rId13"/>
          <w:pgSz w:w="11906" w:h="16838"/>
          <w:pgMar w:top="1843" w:right="1133" w:bottom="2127" w:left="1418" w:header="284" w:footer="517" w:gutter="0"/>
          <w:cols w:space="708"/>
          <w:titlePg/>
          <w:docGrid w:linePitch="326"/>
        </w:sectPr>
      </w:pPr>
      <w:r w:rsidRPr="00F42352">
        <w:rPr>
          <w:szCs w:val="24"/>
          <w:lang w:val="en-US"/>
        </w:rPr>
        <w:fldChar w:fldCharType="end"/>
      </w:r>
    </w:p>
    <w:p w14:paraId="476FC3F3" w14:textId="05CDF0EC" w:rsidR="00CC54C0" w:rsidRPr="005D066F" w:rsidRDefault="005D066F" w:rsidP="00CC54C0">
      <w:pPr>
        <w:pStyle w:val="MoIBody"/>
        <w:rPr>
          <w:b/>
          <w:color w:val="2E74B5" w:themeColor="accent1" w:themeShade="BF"/>
          <w:sz w:val="28"/>
        </w:rPr>
      </w:pPr>
      <w:bookmarkStart w:id="1" w:name="_Toc13831895"/>
      <w:r w:rsidRPr="005D066F">
        <w:rPr>
          <w:b/>
          <w:color w:val="2E74B5" w:themeColor="accent1" w:themeShade="BF"/>
          <w:sz w:val="28"/>
        </w:rPr>
        <w:lastRenderedPageBreak/>
        <w:t>СПИСЪК НА СЪКРАЩЕНИЯТА</w:t>
      </w:r>
      <w:bookmarkEnd w:id="1"/>
    </w:p>
    <w:p w14:paraId="32C66DA9" w14:textId="77777777" w:rsidR="005D066F" w:rsidRPr="00CC54C0" w:rsidRDefault="005D066F" w:rsidP="00CC54C0">
      <w:pPr>
        <w:pStyle w:val="MoIBody"/>
        <w:rPr>
          <w:b/>
        </w:rPr>
      </w:pP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6520"/>
      </w:tblGrid>
      <w:tr w:rsidR="00CC54C0" w:rsidRPr="00CC54C0" w14:paraId="1CAA86B7" w14:textId="77777777" w:rsidTr="00CC54C0">
        <w:tc>
          <w:tcPr>
            <w:tcW w:w="2268" w:type="dxa"/>
          </w:tcPr>
          <w:p w14:paraId="25BD2276" w14:textId="77777777" w:rsidR="00CC54C0" w:rsidRPr="00CC54C0" w:rsidRDefault="00CC54C0" w:rsidP="00A06240">
            <w:pPr>
              <w:pStyle w:val="MoIBody"/>
              <w:spacing w:before="60" w:afterLines="60" w:after="144" w:line="240" w:lineRule="auto"/>
              <w:ind w:left="176" w:right="-108"/>
              <w:rPr>
                <w:b/>
              </w:rPr>
            </w:pPr>
            <w:r w:rsidRPr="00CC54C0">
              <w:rPr>
                <w:b/>
              </w:rPr>
              <w:t>АРП</w:t>
            </w:r>
          </w:p>
        </w:tc>
        <w:tc>
          <w:tcPr>
            <w:tcW w:w="6520" w:type="dxa"/>
          </w:tcPr>
          <w:p w14:paraId="63DFD2E5" w14:textId="77777777" w:rsidR="00CC54C0" w:rsidRPr="00CC54C0" w:rsidRDefault="00CC54C0" w:rsidP="00A06240">
            <w:pPr>
              <w:pStyle w:val="MoIBody"/>
              <w:spacing w:before="60" w:afterLines="60" w:after="144" w:line="240" w:lineRule="auto"/>
            </w:pPr>
            <w:r w:rsidRPr="00CC54C0">
              <w:t>Анализ разходи и ползи</w:t>
            </w:r>
          </w:p>
        </w:tc>
      </w:tr>
      <w:tr w:rsidR="00CC54C0" w:rsidRPr="00CC54C0" w14:paraId="70E1B49B" w14:textId="77777777" w:rsidTr="00CC54C0">
        <w:tc>
          <w:tcPr>
            <w:tcW w:w="2268" w:type="dxa"/>
          </w:tcPr>
          <w:p w14:paraId="54FEE70E" w14:textId="77777777" w:rsidR="00CC54C0" w:rsidRPr="00CC54C0" w:rsidRDefault="00CC54C0" w:rsidP="00A06240">
            <w:pPr>
              <w:pStyle w:val="MoIBody"/>
              <w:spacing w:before="60" w:afterLines="60" w:after="144" w:line="240" w:lineRule="auto"/>
              <w:ind w:left="176" w:right="-108"/>
              <w:rPr>
                <w:b/>
              </w:rPr>
            </w:pPr>
            <w:r w:rsidRPr="00CC54C0">
              <w:rPr>
                <w:b/>
              </w:rPr>
              <w:t>БВП</w:t>
            </w:r>
          </w:p>
        </w:tc>
        <w:tc>
          <w:tcPr>
            <w:tcW w:w="6520" w:type="dxa"/>
          </w:tcPr>
          <w:p w14:paraId="51F2F65A" w14:textId="77777777" w:rsidR="00CC54C0" w:rsidRPr="00CC54C0" w:rsidRDefault="00CC54C0" w:rsidP="00A06240">
            <w:pPr>
              <w:pStyle w:val="MoIBody"/>
              <w:spacing w:before="60" w:afterLines="60" w:after="144" w:line="240" w:lineRule="auto"/>
            </w:pPr>
            <w:r w:rsidRPr="00CC54C0">
              <w:t>Брутен вътрешен продукт</w:t>
            </w:r>
          </w:p>
        </w:tc>
      </w:tr>
      <w:tr w:rsidR="00CC54C0" w:rsidRPr="00CC54C0" w14:paraId="1BDAFA5A" w14:textId="77777777" w:rsidTr="00CC54C0">
        <w:tc>
          <w:tcPr>
            <w:tcW w:w="2268" w:type="dxa"/>
          </w:tcPr>
          <w:p w14:paraId="1DDA9D51" w14:textId="77777777" w:rsidR="00CC54C0" w:rsidRPr="00CC54C0" w:rsidRDefault="00CC54C0" w:rsidP="00A06240">
            <w:pPr>
              <w:pStyle w:val="MoIBody"/>
              <w:spacing w:before="60" w:afterLines="60" w:after="144" w:line="240" w:lineRule="auto"/>
              <w:ind w:left="176" w:right="-108"/>
              <w:rPr>
                <w:b/>
              </w:rPr>
            </w:pPr>
            <w:r w:rsidRPr="00CC54C0">
              <w:rPr>
                <w:b/>
              </w:rPr>
              <w:t>БДС</w:t>
            </w:r>
          </w:p>
        </w:tc>
        <w:tc>
          <w:tcPr>
            <w:tcW w:w="6520" w:type="dxa"/>
          </w:tcPr>
          <w:p w14:paraId="66D1DB67" w14:textId="77777777" w:rsidR="00CC54C0" w:rsidRPr="00CC54C0" w:rsidRDefault="00CC54C0" w:rsidP="00A06240">
            <w:pPr>
              <w:pStyle w:val="MoIBody"/>
              <w:spacing w:before="60" w:afterLines="60" w:after="144" w:line="240" w:lineRule="auto"/>
            </w:pPr>
            <w:r w:rsidRPr="00CC54C0">
              <w:t>Брутна добавена стойност</w:t>
            </w:r>
          </w:p>
        </w:tc>
      </w:tr>
      <w:tr w:rsidR="00CC54C0" w:rsidRPr="00CC54C0" w14:paraId="0D6F9127" w14:textId="77777777" w:rsidTr="00CC54C0">
        <w:tc>
          <w:tcPr>
            <w:tcW w:w="2268" w:type="dxa"/>
          </w:tcPr>
          <w:p w14:paraId="3AC312CE" w14:textId="77777777" w:rsidR="00CC54C0" w:rsidRPr="00CC54C0" w:rsidRDefault="00CC54C0" w:rsidP="00A06240">
            <w:pPr>
              <w:pStyle w:val="MoIBody"/>
              <w:spacing w:before="60" w:afterLines="60" w:after="144" w:line="240" w:lineRule="auto"/>
              <w:ind w:left="176" w:right="-108"/>
              <w:rPr>
                <w:b/>
              </w:rPr>
            </w:pPr>
            <w:r w:rsidRPr="00CC54C0">
              <w:rPr>
                <w:b/>
              </w:rPr>
              <w:t>БНБ</w:t>
            </w:r>
          </w:p>
        </w:tc>
        <w:tc>
          <w:tcPr>
            <w:tcW w:w="6520" w:type="dxa"/>
          </w:tcPr>
          <w:p w14:paraId="68B546F2" w14:textId="77777777" w:rsidR="00CC54C0" w:rsidRPr="00CC54C0" w:rsidRDefault="00CC54C0" w:rsidP="00A06240">
            <w:pPr>
              <w:pStyle w:val="MoIBody"/>
              <w:spacing w:before="60" w:afterLines="60" w:after="144" w:line="240" w:lineRule="auto"/>
            </w:pPr>
            <w:r w:rsidRPr="00CC54C0">
              <w:t>Българска народна банка</w:t>
            </w:r>
          </w:p>
        </w:tc>
      </w:tr>
      <w:tr w:rsidR="00CC54C0" w:rsidRPr="00CC54C0" w14:paraId="225F8937" w14:textId="77777777" w:rsidTr="00CC54C0">
        <w:tc>
          <w:tcPr>
            <w:tcW w:w="2268" w:type="dxa"/>
          </w:tcPr>
          <w:p w14:paraId="477CA0D5" w14:textId="77777777" w:rsidR="00CC54C0" w:rsidRPr="00CC54C0" w:rsidRDefault="00CC54C0" w:rsidP="00A06240">
            <w:pPr>
              <w:pStyle w:val="MoIBody"/>
              <w:spacing w:before="60" w:afterLines="60" w:after="144" w:line="240" w:lineRule="auto"/>
              <w:ind w:left="176" w:right="-108"/>
              <w:rPr>
                <w:b/>
              </w:rPr>
            </w:pPr>
            <w:r w:rsidRPr="00CC54C0">
              <w:rPr>
                <w:b/>
              </w:rPr>
              <w:t>ДПП</w:t>
            </w:r>
          </w:p>
        </w:tc>
        <w:tc>
          <w:tcPr>
            <w:tcW w:w="6520" w:type="dxa"/>
          </w:tcPr>
          <w:p w14:paraId="1332E3F2" w14:textId="77777777" w:rsidR="00CC54C0" w:rsidRPr="00CC54C0" w:rsidRDefault="00CC54C0" w:rsidP="00A06240">
            <w:pPr>
              <w:pStyle w:val="MoIBody"/>
              <w:spacing w:before="60" w:afterLines="60" w:after="144" w:line="240" w:lineRule="auto"/>
            </w:pPr>
            <w:r w:rsidRPr="00CC54C0">
              <w:t>Дисконтиран паричен поток</w:t>
            </w:r>
          </w:p>
        </w:tc>
      </w:tr>
      <w:tr w:rsidR="00CC54C0" w:rsidRPr="00CC54C0" w14:paraId="39CEC74F" w14:textId="77777777" w:rsidTr="00CC54C0">
        <w:tc>
          <w:tcPr>
            <w:tcW w:w="2268" w:type="dxa"/>
          </w:tcPr>
          <w:p w14:paraId="3914D871" w14:textId="77777777" w:rsidR="00CC54C0" w:rsidRPr="00CC54C0" w:rsidRDefault="00CC54C0" w:rsidP="00A06240">
            <w:pPr>
              <w:pStyle w:val="MoIBody"/>
              <w:spacing w:before="60" w:afterLines="60" w:after="144" w:line="240" w:lineRule="auto"/>
              <w:ind w:left="176" w:right="-108"/>
              <w:rPr>
                <w:b/>
              </w:rPr>
            </w:pPr>
            <w:r w:rsidRPr="00CC54C0">
              <w:rPr>
                <w:b/>
              </w:rPr>
              <w:t>ЕиП</w:t>
            </w:r>
          </w:p>
        </w:tc>
        <w:tc>
          <w:tcPr>
            <w:tcW w:w="6520" w:type="dxa"/>
          </w:tcPr>
          <w:p w14:paraId="6FC02816" w14:textId="77777777" w:rsidR="00CC54C0" w:rsidRPr="00CC54C0" w:rsidRDefault="00CC54C0" w:rsidP="00A06240">
            <w:pPr>
              <w:pStyle w:val="MoIBody"/>
              <w:spacing w:before="60" w:afterLines="60" w:after="144" w:line="240" w:lineRule="auto"/>
            </w:pPr>
            <w:r w:rsidRPr="00CC54C0">
              <w:t>Експлоатация и поддръжка</w:t>
            </w:r>
          </w:p>
        </w:tc>
      </w:tr>
      <w:tr w:rsidR="00CC54C0" w:rsidRPr="00CC54C0" w14:paraId="0134F798" w14:textId="77777777" w:rsidTr="00CC54C0">
        <w:tc>
          <w:tcPr>
            <w:tcW w:w="2268" w:type="dxa"/>
          </w:tcPr>
          <w:p w14:paraId="4CC0EA28" w14:textId="77777777" w:rsidR="00CC54C0" w:rsidRPr="00CC54C0" w:rsidRDefault="00CC54C0" w:rsidP="00A06240">
            <w:pPr>
              <w:pStyle w:val="MoIBody"/>
              <w:spacing w:before="60" w:afterLines="60" w:after="144" w:line="240" w:lineRule="auto"/>
              <w:ind w:left="176" w:right="-108"/>
              <w:rPr>
                <w:b/>
              </w:rPr>
            </w:pPr>
            <w:r w:rsidRPr="00CC54C0">
              <w:rPr>
                <w:b/>
              </w:rPr>
              <w:t>ЕК</w:t>
            </w:r>
          </w:p>
        </w:tc>
        <w:tc>
          <w:tcPr>
            <w:tcW w:w="6520" w:type="dxa"/>
          </w:tcPr>
          <w:p w14:paraId="1FE3CCCF" w14:textId="77777777" w:rsidR="00CC54C0" w:rsidRPr="00CC54C0" w:rsidRDefault="00CC54C0" w:rsidP="00A06240">
            <w:pPr>
              <w:pStyle w:val="MoIBody"/>
              <w:spacing w:before="60" w:afterLines="60" w:after="144" w:line="240" w:lineRule="auto"/>
            </w:pPr>
            <w:r w:rsidRPr="00CC54C0">
              <w:t>Европейска комисия</w:t>
            </w:r>
          </w:p>
        </w:tc>
      </w:tr>
      <w:tr w:rsidR="00CC54C0" w:rsidRPr="00CC54C0" w14:paraId="09DD94F0" w14:textId="77777777" w:rsidTr="00CC54C0">
        <w:tc>
          <w:tcPr>
            <w:tcW w:w="2268" w:type="dxa"/>
          </w:tcPr>
          <w:p w14:paraId="680B4640" w14:textId="77777777" w:rsidR="00CC54C0" w:rsidRPr="00CC54C0" w:rsidRDefault="00CC54C0" w:rsidP="00A06240">
            <w:pPr>
              <w:pStyle w:val="MoIBody"/>
              <w:spacing w:before="60" w:afterLines="60" w:after="144" w:line="240" w:lineRule="auto"/>
              <w:ind w:left="176" w:right="-108"/>
              <w:rPr>
                <w:b/>
              </w:rPr>
            </w:pPr>
            <w:r w:rsidRPr="00CC54C0">
              <w:rPr>
                <w:b/>
              </w:rPr>
              <w:t>ЕС</w:t>
            </w:r>
          </w:p>
        </w:tc>
        <w:tc>
          <w:tcPr>
            <w:tcW w:w="6520" w:type="dxa"/>
          </w:tcPr>
          <w:p w14:paraId="139302C2" w14:textId="77777777" w:rsidR="00CC54C0" w:rsidRPr="00CC54C0" w:rsidRDefault="00CC54C0" w:rsidP="00A06240">
            <w:pPr>
              <w:pStyle w:val="MoIBody"/>
              <w:spacing w:before="60" w:afterLines="60" w:after="144" w:line="240" w:lineRule="auto"/>
            </w:pPr>
            <w:r w:rsidRPr="00CC54C0">
              <w:t>Европейски съюз</w:t>
            </w:r>
          </w:p>
        </w:tc>
      </w:tr>
      <w:tr w:rsidR="00CC54C0" w:rsidRPr="00CC54C0" w14:paraId="150B1425" w14:textId="77777777" w:rsidTr="00CC54C0">
        <w:tc>
          <w:tcPr>
            <w:tcW w:w="2268" w:type="dxa"/>
          </w:tcPr>
          <w:p w14:paraId="14A7611B" w14:textId="77777777" w:rsidR="00CC54C0" w:rsidRPr="00CC54C0" w:rsidRDefault="00CC54C0" w:rsidP="00A06240">
            <w:pPr>
              <w:pStyle w:val="MoIBody"/>
              <w:spacing w:before="60" w:afterLines="60" w:after="144" w:line="240" w:lineRule="auto"/>
              <w:ind w:left="176" w:right="-108"/>
              <w:rPr>
                <w:b/>
              </w:rPr>
            </w:pPr>
            <w:r w:rsidRPr="00CC54C0">
              <w:rPr>
                <w:b/>
              </w:rPr>
              <w:t>ЕФРР</w:t>
            </w:r>
          </w:p>
        </w:tc>
        <w:tc>
          <w:tcPr>
            <w:tcW w:w="6520" w:type="dxa"/>
          </w:tcPr>
          <w:p w14:paraId="7444F8D6" w14:textId="77777777" w:rsidR="00CC54C0" w:rsidRPr="00CC54C0" w:rsidRDefault="00CC54C0" w:rsidP="00A06240">
            <w:pPr>
              <w:pStyle w:val="MoIBody"/>
              <w:spacing w:before="60" w:afterLines="60" w:after="144" w:line="240" w:lineRule="auto"/>
            </w:pPr>
            <w:r w:rsidRPr="00CC54C0">
              <w:t>Европейски фонда за регионално развитие</w:t>
            </w:r>
          </w:p>
        </w:tc>
      </w:tr>
      <w:tr w:rsidR="00CC54C0" w:rsidRPr="00CC54C0" w14:paraId="66A9D0B5" w14:textId="77777777" w:rsidTr="00CC54C0">
        <w:tc>
          <w:tcPr>
            <w:tcW w:w="2268" w:type="dxa"/>
          </w:tcPr>
          <w:p w14:paraId="6D5A084E" w14:textId="77777777" w:rsidR="00CC54C0" w:rsidRPr="00CC54C0" w:rsidRDefault="00CC54C0" w:rsidP="00A06240">
            <w:pPr>
              <w:pStyle w:val="MoIBody"/>
              <w:spacing w:before="60" w:afterLines="60" w:after="144" w:line="240" w:lineRule="auto"/>
              <w:ind w:left="176" w:right="-108"/>
              <w:rPr>
                <w:b/>
              </w:rPr>
            </w:pPr>
            <w:r w:rsidRPr="00CC54C0">
              <w:rPr>
                <w:b/>
              </w:rPr>
              <w:t>КФ</w:t>
            </w:r>
          </w:p>
        </w:tc>
        <w:tc>
          <w:tcPr>
            <w:tcW w:w="6520" w:type="dxa"/>
          </w:tcPr>
          <w:p w14:paraId="31FD8A27" w14:textId="77777777" w:rsidR="00CC54C0" w:rsidRPr="00CC54C0" w:rsidRDefault="00CC54C0" w:rsidP="00A06240">
            <w:pPr>
              <w:pStyle w:val="MoIBody"/>
              <w:spacing w:before="60" w:afterLines="60" w:after="144" w:line="240" w:lineRule="auto"/>
            </w:pPr>
            <w:r w:rsidRPr="00CC54C0">
              <w:t>Кохезионен фонд</w:t>
            </w:r>
          </w:p>
        </w:tc>
      </w:tr>
      <w:tr w:rsidR="00CC54C0" w:rsidRPr="00CC54C0" w14:paraId="0ABAE4BD" w14:textId="77777777" w:rsidTr="00CC54C0">
        <w:tc>
          <w:tcPr>
            <w:tcW w:w="2268" w:type="dxa"/>
          </w:tcPr>
          <w:p w14:paraId="1A9976F5" w14:textId="77777777" w:rsidR="00CC54C0" w:rsidRPr="00CC54C0" w:rsidRDefault="00CC54C0" w:rsidP="00A06240">
            <w:pPr>
              <w:pStyle w:val="MoIBody"/>
              <w:spacing w:before="60" w:afterLines="60" w:after="144" w:line="240" w:lineRule="auto"/>
              <w:ind w:left="176" w:right="-108"/>
              <w:rPr>
                <w:b/>
              </w:rPr>
            </w:pPr>
            <w:r w:rsidRPr="00CC54C0">
              <w:rPr>
                <w:b/>
              </w:rPr>
              <w:t>НСИ</w:t>
            </w:r>
          </w:p>
        </w:tc>
        <w:tc>
          <w:tcPr>
            <w:tcW w:w="6520" w:type="dxa"/>
          </w:tcPr>
          <w:p w14:paraId="0C754A95" w14:textId="77777777" w:rsidR="00CC54C0" w:rsidRPr="00CC54C0" w:rsidRDefault="00CC54C0" w:rsidP="00A06240">
            <w:pPr>
              <w:pStyle w:val="MoIBody"/>
              <w:spacing w:before="60" w:afterLines="60" w:after="144" w:line="240" w:lineRule="auto"/>
            </w:pPr>
            <w:r w:rsidRPr="00CC54C0">
              <w:t>Национален статистически институт</w:t>
            </w:r>
          </w:p>
        </w:tc>
      </w:tr>
      <w:tr w:rsidR="00CC54C0" w:rsidRPr="00CC54C0" w14:paraId="0AB58674" w14:textId="77777777" w:rsidTr="00CC54C0">
        <w:tc>
          <w:tcPr>
            <w:tcW w:w="2268" w:type="dxa"/>
          </w:tcPr>
          <w:p w14:paraId="3EE5D963" w14:textId="77777777" w:rsidR="00CC54C0" w:rsidRPr="00CC54C0" w:rsidRDefault="00CC54C0" w:rsidP="00A06240">
            <w:pPr>
              <w:pStyle w:val="MoIBody"/>
              <w:spacing w:before="60" w:afterLines="60" w:after="144" w:line="240" w:lineRule="auto"/>
              <w:ind w:left="176" w:right="-108"/>
              <w:rPr>
                <w:b/>
              </w:rPr>
            </w:pPr>
            <w:r w:rsidRPr="00CC54C0">
              <w:rPr>
                <w:b/>
              </w:rPr>
              <w:t>ПИП</w:t>
            </w:r>
          </w:p>
        </w:tc>
        <w:tc>
          <w:tcPr>
            <w:tcW w:w="6520" w:type="dxa"/>
          </w:tcPr>
          <w:p w14:paraId="12D183AF" w14:textId="77777777" w:rsidR="00CC54C0" w:rsidRPr="00CC54C0" w:rsidRDefault="00CC54C0" w:rsidP="00A06240">
            <w:pPr>
              <w:pStyle w:val="MoIBody"/>
              <w:spacing w:before="60" w:afterLines="60" w:after="144" w:line="240" w:lineRule="auto"/>
            </w:pPr>
            <w:r w:rsidRPr="00CC54C0">
              <w:t>Прединвестиционно проучване</w:t>
            </w:r>
          </w:p>
        </w:tc>
      </w:tr>
      <w:tr w:rsidR="00CC54C0" w:rsidRPr="00CC54C0" w14:paraId="44512698" w14:textId="77777777" w:rsidTr="00CC54C0">
        <w:tc>
          <w:tcPr>
            <w:tcW w:w="2268" w:type="dxa"/>
          </w:tcPr>
          <w:p w14:paraId="42AD5A40" w14:textId="6A91BCAF" w:rsidR="00CC54C0" w:rsidRPr="00CC54C0" w:rsidRDefault="00866433" w:rsidP="00A06240">
            <w:pPr>
              <w:pStyle w:val="MoIBody"/>
              <w:spacing w:before="60" w:afterLines="60" w:after="144" w:line="240" w:lineRule="auto"/>
              <w:ind w:left="176" w:right="-108"/>
              <w:rPr>
                <w:b/>
              </w:rPr>
            </w:pPr>
            <w:r>
              <w:rPr>
                <w:b/>
              </w:rPr>
              <w:t>ФВНВ</w:t>
            </w:r>
          </w:p>
        </w:tc>
        <w:tc>
          <w:tcPr>
            <w:tcW w:w="6520" w:type="dxa"/>
          </w:tcPr>
          <w:p w14:paraId="0F6C2EEE" w14:textId="75A5241A" w:rsidR="00CC54C0" w:rsidRPr="00CC54C0" w:rsidRDefault="00CC54C0" w:rsidP="00866433">
            <w:pPr>
              <w:pStyle w:val="MoIBody"/>
              <w:spacing w:before="60" w:afterLines="60" w:after="144" w:line="240" w:lineRule="auto"/>
            </w:pPr>
            <w:r w:rsidRPr="00CC54C0">
              <w:t xml:space="preserve">Финансова вътрешна норма на възвръщаемост </w:t>
            </w:r>
          </w:p>
        </w:tc>
      </w:tr>
      <w:tr w:rsidR="00CC54C0" w:rsidRPr="00CC54C0" w14:paraId="116881A0" w14:textId="77777777" w:rsidTr="00CC54C0">
        <w:tc>
          <w:tcPr>
            <w:tcW w:w="2268" w:type="dxa"/>
          </w:tcPr>
          <w:p w14:paraId="6E026041" w14:textId="77777777" w:rsidR="00CC54C0" w:rsidRPr="00CC54C0" w:rsidRDefault="00CC54C0" w:rsidP="00A06240">
            <w:pPr>
              <w:pStyle w:val="MoIBody"/>
              <w:spacing w:before="60" w:afterLines="60" w:after="144" w:line="240" w:lineRule="auto"/>
              <w:ind w:left="176" w:right="-108"/>
              <w:rPr>
                <w:b/>
              </w:rPr>
            </w:pPr>
            <w:r w:rsidRPr="00CC54C0">
              <w:rPr>
                <w:b/>
              </w:rPr>
              <w:t>ФМ</w:t>
            </w:r>
          </w:p>
        </w:tc>
        <w:tc>
          <w:tcPr>
            <w:tcW w:w="6520" w:type="dxa"/>
          </w:tcPr>
          <w:p w14:paraId="6C3391AD" w14:textId="77777777" w:rsidR="00CC54C0" w:rsidRPr="00CC54C0" w:rsidRDefault="00CC54C0" w:rsidP="00A06240">
            <w:pPr>
              <w:pStyle w:val="MoIBody"/>
              <w:spacing w:before="60" w:afterLines="60" w:after="144" w:line="240" w:lineRule="auto"/>
            </w:pPr>
            <w:r w:rsidRPr="00CC54C0">
              <w:t>Финансов модел</w:t>
            </w:r>
          </w:p>
        </w:tc>
      </w:tr>
      <w:tr w:rsidR="00CC54C0" w:rsidRPr="00CC54C0" w14:paraId="12A2F2FF" w14:textId="77777777" w:rsidTr="00CC54C0">
        <w:tc>
          <w:tcPr>
            <w:tcW w:w="2268" w:type="dxa"/>
            <w:tcBorders>
              <w:top w:val="single" w:sz="4" w:space="0" w:color="auto"/>
              <w:left w:val="single" w:sz="4" w:space="0" w:color="auto"/>
              <w:bottom w:val="single" w:sz="4" w:space="0" w:color="auto"/>
              <w:right w:val="single" w:sz="4" w:space="0" w:color="auto"/>
            </w:tcBorders>
          </w:tcPr>
          <w:p w14:paraId="4E4BB489" w14:textId="77777777" w:rsidR="00CC54C0" w:rsidRPr="00CC54C0" w:rsidRDefault="00CC54C0" w:rsidP="00A06240">
            <w:pPr>
              <w:pStyle w:val="MoIBody"/>
              <w:spacing w:before="60" w:afterLines="60" w:after="144" w:line="240" w:lineRule="auto"/>
              <w:ind w:left="176" w:right="-108"/>
              <w:rPr>
                <w:b/>
              </w:rPr>
            </w:pPr>
            <w:r w:rsidRPr="00CC54C0">
              <w:rPr>
                <w:b/>
              </w:rPr>
              <w:t>ДППИ</w:t>
            </w:r>
          </w:p>
        </w:tc>
        <w:tc>
          <w:tcPr>
            <w:tcW w:w="6520" w:type="dxa"/>
            <w:tcBorders>
              <w:top w:val="single" w:sz="4" w:space="0" w:color="auto"/>
              <w:left w:val="single" w:sz="4" w:space="0" w:color="auto"/>
              <w:bottom w:val="single" w:sz="4" w:space="0" w:color="auto"/>
              <w:right w:val="single" w:sz="4" w:space="0" w:color="auto"/>
            </w:tcBorders>
          </w:tcPr>
          <w:p w14:paraId="4959BC8B" w14:textId="77777777" w:rsidR="00CC54C0" w:rsidRPr="00CC54C0" w:rsidRDefault="00CC54C0" w:rsidP="00A06240">
            <w:pPr>
              <w:pStyle w:val="MoIBody"/>
              <w:spacing w:before="60" w:afterLines="60" w:after="144" w:line="240" w:lineRule="auto"/>
            </w:pPr>
            <w:r w:rsidRPr="00CC54C0">
              <w:t>Държавно предприятие Пристанищна инфраструктура</w:t>
            </w:r>
          </w:p>
        </w:tc>
      </w:tr>
      <w:tr w:rsidR="00CC54C0" w:rsidRPr="00CC54C0" w14:paraId="209A9B69" w14:textId="77777777" w:rsidTr="00CC54C0">
        <w:tc>
          <w:tcPr>
            <w:tcW w:w="2268" w:type="dxa"/>
            <w:tcBorders>
              <w:top w:val="single" w:sz="4" w:space="0" w:color="auto"/>
              <w:left w:val="single" w:sz="4" w:space="0" w:color="auto"/>
              <w:bottom w:val="single" w:sz="4" w:space="0" w:color="auto"/>
              <w:right w:val="single" w:sz="4" w:space="0" w:color="auto"/>
            </w:tcBorders>
          </w:tcPr>
          <w:p w14:paraId="1050D397" w14:textId="77777777" w:rsidR="00CC54C0" w:rsidRPr="00CC54C0" w:rsidRDefault="00CC54C0" w:rsidP="00A06240">
            <w:pPr>
              <w:pStyle w:val="MoIBody"/>
              <w:spacing w:before="60" w:afterLines="60" w:after="144" w:line="240" w:lineRule="auto"/>
              <w:ind w:left="176" w:right="-108"/>
              <w:rPr>
                <w:b/>
              </w:rPr>
            </w:pPr>
            <w:r w:rsidRPr="00CC54C0">
              <w:rPr>
                <w:b/>
              </w:rPr>
              <w:t xml:space="preserve">ЗМПВВППРБ </w:t>
            </w:r>
          </w:p>
        </w:tc>
        <w:tc>
          <w:tcPr>
            <w:tcW w:w="6520" w:type="dxa"/>
            <w:tcBorders>
              <w:top w:val="single" w:sz="4" w:space="0" w:color="auto"/>
              <w:left w:val="single" w:sz="4" w:space="0" w:color="auto"/>
              <w:bottom w:val="single" w:sz="4" w:space="0" w:color="auto"/>
              <w:right w:val="single" w:sz="4" w:space="0" w:color="auto"/>
            </w:tcBorders>
          </w:tcPr>
          <w:p w14:paraId="07D20F1E" w14:textId="77777777" w:rsidR="00CC54C0" w:rsidRPr="00CC54C0" w:rsidRDefault="00CC54C0" w:rsidP="00A06240">
            <w:pPr>
              <w:pStyle w:val="MoIBody"/>
              <w:spacing w:before="60" w:afterLines="60" w:after="144" w:line="240" w:lineRule="auto"/>
            </w:pPr>
            <w:r w:rsidRPr="00CC54C0">
              <w:t>Закон за морските пространства, вътрешните водни пътища и пристанищата на Република България</w:t>
            </w:r>
          </w:p>
        </w:tc>
      </w:tr>
      <w:tr w:rsidR="00CC54C0" w:rsidRPr="00CC54C0" w14:paraId="61DFCB81" w14:textId="77777777" w:rsidTr="00CC54C0">
        <w:tc>
          <w:tcPr>
            <w:tcW w:w="2268" w:type="dxa"/>
            <w:tcBorders>
              <w:top w:val="single" w:sz="4" w:space="0" w:color="auto"/>
              <w:left w:val="single" w:sz="4" w:space="0" w:color="auto"/>
              <w:bottom w:val="single" w:sz="4" w:space="0" w:color="auto"/>
              <w:right w:val="single" w:sz="4" w:space="0" w:color="auto"/>
            </w:tcBorders>
          </w:tcPr>
          <w:p w14:paraId="6648D6BF" w14:textId="77777777" w:rsidR="00CC54C0" w:rsidRPr="00CC54C0" w:rsidRDefault="00CC54C0" w:rsidP="00A06240">
            <w:pPr>
              <w:pStyle w:val="MoIBody"/>
              <w:spacing w:before="60" w:afterLines="60" w:after="144" w:line="240" w:lineRule="auto"/>
              <w:ind w:left="176" w:right="-108"/>
              <w:rPr>
                <w:b/>
              </w:rPr>
            </w:pPr>
            <w:r w:rsidRPr="00CC54C0">
              <w:rPr>
                <w:b/>
              </w:rPr>
              <w:t xml:space="preserve">ЗВ </w:t>
            </w:r>
          </w:p>
        </w:tc>
        <w:tc>
          <w:tcPr>
            <w:tcW w:w="6520" w:type="dxa"/>
            <w:tcBorders>
              <w:top w:val="single" w:sz="4" w:space="0" w:color="auto"/>
              <w:left w:val="single" w:sz="4" w:space="0" w:color="auto"/>
              <w:bottom w:val="single" w:sz="4" w:space="0" w:color="auto"/>
              <w:right w:val="single" w:sz="4" w:space="0" w:color="auto"/>
            </w:tcBorders>
          </w:tcPr>
          <w:p w14:paraId="136341CB" w14:textId="77777777" w:rsidR="00CC54C0" w:rsidRPr="00CC54C0" w:rsidRDefault="00CC54C0" w:rsidP="00A06240">
            <w:pPr>
              <w:pStyle w:val="MoIBody"/>
              <w:spacing w:before="60" w:afterLines="60" w:after="144" w:line="240" w:lineRule="auto"/>
            </w:pPr>
            <w:r w:rsidRPr="00CC54C0">
              <w:t>Закон за водите</w:t>
            </w:r>
          </w:p>
        </w:tc>
      </w:tr>
      <w:tr w:rsidR="00CC54C0" w:rsidRPr="00CC54C0" w14:paraId="7A635A13" w14:textId="77777777" w:rsidTr="00CC54C0">
        <w:tc>
          <w:tcPr>
            <w:tcW w:w="2268" w:type="dxa"/>
            <w:tcBorders>
              <w:top w:val="single" w:sz="4" w:space="0" w:color="auto"/>
              <w:left w:val="single" w:sz="4" w:space="0" w:color="auto"/>
              <w:bottom w:val="single" w:sz="4" w:space="0" w:color="auto"/>
              <w:right w:val="single" w:sz="4" w:space="0" w:color="auto"/>
            </w:tcBorders>
          </w:tcPr>
          <w:p w14:paraId="618F0DFF" w14:textId="77777777" w:rsidR="00CC54C0" w:rsidRPr="00CC54C0" w:rsidRDefault="00CC54C0" w:rsidP="00A06240">
            <w:pPr>
              <w:pStyle w:val="MoIBody"/>
              <w:spacing w:before="60" w:afterLines="60" w:after="144" w:line="240" w:lineRule="auto"/>
              <w:ind w:left="176" w:right="-108"/>
              <w:rPr>
                <w:b/>
              </w:rPr>
            </w:pPr>
            <w:r w:rsidRPr="00CC54C0">
              <w:rPr>
                <w:b/>
              </w:rPr>
              <w:t>ОКДТ</w:t>
            </w:r>
          </w:p>
        </w:tc>
        <w:tc>
          <w:tcPr>
            <w:tcW w:w="6520" w:type="dxa"/>
            <w:tcBorders>
              <w:top w:val="single" w:sz="4" w:space="0" w:color="auto"/>
              <w:left w:val="single" w:sz="4" w:space="0" w:color="auto"/>
              <w:bottom w:val="single" w:sz="4" w:space="0" w:color="auto"/>
              <w:right w:val="single" w:sz="4" w:space="0" w:color="auto"/>
            </w:tcBorders>
          </w:tcPr>
          <w:p w14:paraId="4818CC53" w14:textId="77777777" w:rsidR="00CC54C0" w:rsidRPr="00CC54C0" w:rsidRDefault="00CC54C0" w:rsidP="00A06240">
            <w:pPr>
              <w:pStyle w:val="MoIBody"/>
              <w:spacing w:before="60" w:afterLines="60" w:after="144" w:line="240" w:lineRule="auto"/>
            </w:pPr>
            <w:r w:rsidRPr="00CC54C0">
              <w:t>Отпадъци</w:t>
            </w:r>
            <w:r w:rsidR="00E361CF">
              <w:rPr>
                <w:lang w:val="en-US"/>
              </w:rPr>
              <w:t xml:space="preserve"> </w:t>
            </w:r>
            <w:r w:rsidRPr="00CC54C0">
              <w:t>-</w:t>
            </w:r>
            <w:r w:rsidR="00E361CF">
              <w:rPr>
                <w:lang w:val="en-US"/>
              </w:rPr>
              <w:t xml:space="preserve"> </w:t>
            </w:r>
            <w:r w:rsidRPr="00CC54C0">
              <w:t>резултат</w:t>
            </w:r>
            <w:r w:rsidRPr="00CC54C0">
              <w:tab/>
              <w:t>от</w:t>
            </w:r>
            <w:r w:rsidR="00E361CF">
              <w:rPr>
                <w:lang w:val="en-US"/>
              </w:rPr>
              <w:t xml:space="preserve"> </w:t>
            </w:r>
            <w:r w:rsidRPr="00CC54C0">
              <w:t>корабоплавателна</w:t>
            </w:r>
            <w:r w:rsidR="00E361CF">
              <w:rPr>
                <w:lang w:val="en-US"/>
              </w:rPr>
              <w:t xml:space="preserve"> </w:t>
            </w:r>
            <w:r w:rsidRPr="00CC54C0">
              <w:t>дейност</w:t>
            </w:r>
            <w:r w:rsidR="00E361CF">
              <w:rPr>
                <w:lang w:val="en-US"/>
              </w:rPr>
              <w:t xml:space="preserve"> </w:t>
            </w:r>
            <w:r w:rsidRPr="00CC54C0">
              <w:t>и остатъци от корабни товари</w:t>
            </w:r>
          </w:p>
        </w:tc>
      </w:tr>
      <w:tr w:rsidR="00CC54C0" w:rsidRPr="00CC54C0" w14:paraId="4DC3B931" w14:textId="77777777" w:rsidTr="00CC54C0">
        <w:tc>
          <w:tcPr>
            <w:tcW w:w="2268" w:type="dxa"/>
            <w:tcBorders>
              <w:top w:val="single" w:sz="4" w:space="0" w:color="auto"/>
              <w:left w:val="single" w:sz="4" w:space="0" w:color="auto"/>
              <w:bottom w:val="single" w:sz="4" w:space="0" w:color="auto"/>
              <w:right w:val="single" w:sz="4" w:space="0" w:color="auto"/>
            </w:tcBorders>
          </w:tcPr>
          <w:p w14:paraId="50838782" w14:textId="77777777" w:rsidR="00CC54C0" w:rsidRPr="00CC54C0" w:rsidRDefault="00CC54C0" w:rsidP="00A06240">
            <w:pPr>
              <w:pStyle w:val="MoIBody"/>
              <w:spacing w:before="60" w:afterLines="60" w:after="144" w:line="240" w:lineRule="auto"/>
              <w:ind w:left="176" w:right="-108"/>
              <w:rPr>
                <w:b/>
              </w:rPr>
            </w:pPr>
            <w:r w:rsidRPr="00CC54C0">
              <w:rPr>
                <w:b/>
              </w:rPr>
              <w:t xml:space="preserve">ППОО </w:t>
            </w:r>
          </w:p>
        </w:tc>
        <w:tc>
          <w:tcPr>
            <w:tcW w:w="6520" w:type="dxa"/>
            <w:tcBorders>
              <w:top w:val="single" w:sz="4" w:space="0" w:color="auto"/>
              <w:left w:val="single" w:sz="4" w:space="0" w:color="auto"/>
              <w:bottom w:val="single" w:sz="4" w:space="0" w:color="auto"/>
              <w:right w:val="single" w:sz="4" w:space="0" w:color="auto"/>
            </w:tcBorders>
          </w:tcPr>
          <w:p w14:paraId="60F262C3" w14:textId="77777777" w:rsidR="00CC54C0" w:rsidRPr="00CC54C0" w:rsidRDefault="00CC54C0" w:rsidP="00A06240">
            <w:pPr>
              <w:pStyle w:val="MoIBody"/>
              <w:spacing w:before="60" w:afterLines="60" w:after="144" w:line="240" w:lineRule="auto"/>
            </w:pPr>
            <w:r w:rsidRPr="00CC54C0">
              <w:t xml:space="preserve">План за приемане е обработка на отпадъците </w:t>
            </w:r>
          </w:p>
        </w:tc>
      </w:tr>
      <w:tr w:rsidR="00CC54C0" w:rsidRPr="00CC54C0" w14:paraId="5C19DCDC" w14:textId="77777777" w:rsidTr="00CC54C0">
        <w:tc>
          <w:tcPr>
            <w:tcW w:w="2268" w:type="dxa"/>
            <w:tcBorders>
              <w:top w:val="single" w:sz="4" w:space="0" w:color="auto"/>
              <w:left w:val="single" w:sz="4" w:space="0" w:color="auto"/>
              <w:bottom w:val="single" w:sz="4" w:space="0" w:color="auto"/>
              <w:right w:val="single" w:sz="4" w:space="0" w:color="auto"/>
            </w:tcBorders>
          </w:tcPr>
          <w:p w14:paraId="68A46B48" w14:textId="77777777" w:rsidR="00CC54C0" w:rsidRPr="00CC54C0" w:rsidRDefault="00CC54C0" w:rsidP="00A06240">
            <w:pPr>
              <w:pStyle w:val="MoIBody"/>
              <w:spacing w:before="60" w:afterLines="60" w:after="144" w:line="240" w:lineRule="auto"/>
              <w:ind w:left="176" w:right="-108"/>
              <w:rPr>
                <w:b/>
              </w:rPr>
            </w:pPr>
            <w:r w:rsidRPr="00CC54C0">
              <w:rPr>
                <w:b/>
              </w:rPr>
              <w:t>ППС</w:t>
            </w:r>
          </w:p>
        </w:tc>
        <w:tc>
          <w:tcPr>
            <w:tcW w:w="6520" w:type="dxa"/>
            <w:tcBorders>
              <w:top w:val="single" w:sz="4" w:space="0" w:color="auto"/>
              <w:left w:val="single" w:sz="4" w:space="0" w:color="auto"/>
              <w:bottom w:val="single" w:sz="4" w:space="0" w:color="auto"/>
              <w:right w:val="single" w:sz="4" w:space="0" w:color="auto"/>
            </w:tcBorders>
          </w:tcPr>
          <w:p w14:paraId="06B4AB3C" w14:textId="77777777" w:rsidR="00CC54C0" w:rsidRPr="00CC54C0" w:rsidRDefault="00CC54C0" w:rsidP="00A06240">
            <w:pPr>
              <w:pStyle w:val="MoIBody"/>
              <w:spacing w:before="60" w:afterLines="60" w:after="144" w:line="240" w:lineRule="auto"/>
            </w:pPr>
            <w:r w:rsidRPr="00CC54C0">
              <w:t>Пристанищни приемни съоръжения</w:t>
            </w:r>
          </w:p>
        </w:tc>
      </w:tr>
      <w:tr w:rsidR="00CC54C0" w:rsidRPr="00CC54C0" w14:paraId="692B9F08" w14:textId="77777777" w:rsidTr="00CC54C0">
        <w:tc>
          <w:tcPr>
            <w:tcW w:w="2268" w:type="dxa"/>
            <w:tcBorders>
              <w:top w:val="single" w:sz="4" w:space="0" w:color="auto"/>
              <w:left w:val="single" w:sz="4" w:space="0" w:color="auto"/>
              <w:bottom w:val="single" w:sz="4" w:space="0" w:color="auto"/>
              <w:right w:val="single" w:sz="4" w:space="0" w:color="auto"/>
            </w:tcBorders>
          </w:tcPr>
          <w:p w14:paraId="673AC95F" w14:textId="77777777" w:rsidR="00CC54C0" w:rsidRPr="00CC54C0" w:rsidRDefault="00CC54C0" w:rsidP="00A06240">
            <w:pPr>
              <w:pStyle w:val="MoIBody"/>
              <w:spacing w:before="60" w:afterLines="60" w:after="144" w:line="240" w:lineRule="auto"/>
              <w:ind w:left="176" w:right="-108"/>
              <w:rPr>
                <w:b/>
              </w:rPr>
            </w:pPr>
            <w:r w:rsidRPr="00CC54C0">
              <w:rPr>
                <w:b/>
              </w:rPr>
              <w:t xml:space="preserve">ЗООС </w:t>
            </w:r>
          </w:p>
        </w:tc>
        <w:tc>
          <w:tcPr>
            <w:tcW w:w="6520" w:type="dxa"/>
            <w:tcBorders>
              <w:top w:val="single" w:sz="4" w:space="0" w:color="auto"/>
              <w:left w:val="single" w:sz="4" w:space="0" w:color="auto"/>
              <w:bottom w:val="single" w:sz="4" w:space="0" w:color="auto"/>
              <w:right w:val="single" w:sz="4" w:space="0" w:color="auto"/>
            </w:tcBorders>
          </w:tcPr>
          <w:p w14:paraId="554C3F77" w14:textId="77777777" w:rsidR="00CC54C0" w:rsidRPr="00CC54C0" w:rsidRDefault="00CC54C0" w:rsidP="00A06240">
            <w:pPr>
              <w:pStyle w:val="MoIBody"/>
              <w:spacing w:before="60" w:afterLines="60" w:after="144" w:line="240" w:lineRule="auto"/>
            </w:pPr>
            <w:r w:rsidRPr="00CC54C0">
              <w:t>Закон за опазване на околната среда</w:t>
            </w:r>
          </w:p>
        </w:tc>
      </w:tr>
      <w:tr w:rsidR="00CC54C0" w:rsidRPr="00CC54C0" w14:paraId="658D5907" w14:textId="77777777" w:rsidTr="00CC54C0">
        <w:tc>
          <w:tcPr>
            <w:tcW w:w="2268" w:type="dxa"/>
            <w:tcBorders>
              <w:top w:val="single" w:sz="4" w:space="0" w:color="auto"/>
              <w:left w:val="single" w:sz="4" w:space="0" w:color="auto"/>
              <w:bottom w:val="single" w:sz="4" w:space="0" w:color="auto"/>
              <w:right w:val="single" w:sz="4" w:space="0" w:color="auto"/>
            </w:tcBorders>
          </w:tcPr>
          <w:p w14:paraId="4980D7D6" w14:textId="77777777" w:rsidR="00CC54C0" w:rsidRPr="00CC54C0" w:rsidRDefault="00CC54C0" w:rsidP="00A06240">
            <w:pPr>
              <w:pStyle w:val="MoIBody"/>
              <w:spacing w:before="60" w:afterLines="60" w:after="144" w:line="240" w:lineRule="auto"/>
              <w:ind w:left="176" w:right="-108"/>
              <w:rPr>
                <w:b/>
              </w:rPr>
            </w:pPr>
            <w:r w:rsidRPr="00CC54C0">
              <w:rPr>
                <w:b/>
              </w:rPr>
              <w:t>ИА МА</w:t>
            </w:r>
          </w:p>
        </w:tc>
        <w:tc>
          <w:tcPr>
            <w:tcW w:w="6520" w:type="dxa"/>
            <w:tcBorders>
              <w:top w:val="single" w:sz="4" w:space="0" w:color="auto"/>
              <w:left w:val="single" w:sz="4" w:space="0" w:color="auto"/>
              <w:bottom w:val="single" w:sz="4" w:space="0" w:color="auto"/>
              <w:right w:val="single" w:sz="4" w:space="0" w:color="auto"/>
            </w:tcBorders>
          </w:tcPr>
          <w:p w14:paraId="6EE51617" w14:textId="77777777" w:rsidR="00CC54C0" w:rsidRPr="00CC54C0" w:rsidRDefault="00CC54C0" w:rsidP="00A06240">
            <w:pPr>
              <w:pStyle w:val="MoIBody"/>
              <w:spacing w:before="60" w:afterLines="60" w:after="144" w:line="240" w:lineRule="auto"/>
            </w:pPr>
            <w:r w:rsidRPr="00CC54C0">
              <w:t>Изпълнителна агенция „Морска администрация”</w:t>
            </w:r>
          </w:p>
        </w:tc>
      </w:tr>
      <w:tr w:rsidR="00CC54C0" w:rsidRPr="00CC54C0" w14:paraId="2E69309E" w14:textId="77777777" w:rsidTr="00CC54C0">
        <w:tc>
          <w:tcPr>
            <w:tcW w:w="2268" w:type="dxa"/>
            <w:tcBorders>
              <w:top w:val="single" w:sz="4" w:space="0" w:color="auto"/>
              <w:left w:val="single" w:sz="4" w:space="0" w:color="auto"/>
              <w:bottom w:val="single" w:sz="4" w:space="0" w:color="auto"/>
              <w:right w:val="single" w:sz="4" w:space="0" w:color="auto"/>
            </w:tcBorders>
          </w:tcPr>
          <w:p w14:paraId="7A9D584D" w14:textId="77777777" w:rsidR="00CC54C0" w:rsidRPr="00CC54C0" w:rsidRDefault="00CC54C0" w:rsidP="00A06240">
            <w:pPr>
              <w:pStyle w:val="MoIBody"/>
              <w:spacing w:before="60" w:afterLines="60" w:after="144" w:line="240" w:lineRule="auto"/>
              <w:ind w:left="176" w:right="-108"/>
              <w:rPr>
                <w:b/>
              </w:rPr>
            </w:pPr>
            <w:r w:rsidRPr="00CC54C0">
              <w:rPr>
                <w:b/>
              </w:rPr>
              <w:t>MARPOL 73/78</w:t>
            </w:r>
            <w:r w:rsidRPr="00CC54C0">
              <w:rPr>
                <w:b/>
                <w:lang w:val="en-US"/>
              </w:rPr>
              <w:t>(</w:t>
            </w:r>
            <w:r w:rsidRPr="00CC54C0">
              <w:rPr>
                <w:b/>
              </w:rPr>
              <w:t>МАРПОЛ</w:t>
            </w:r>
            <w:r w:rsidRPr="00CC54C0">
              <w:rPr>
                <w:b/>
                <w:lang w:val="en-US"/>
              </w:rPr>
              <w:t>)</w:t>
            </w:r>
            <w:r w:rsidRPr="00CC54C0">
              <w:rPr>
                <w:b/>
              </w:rPr>
              <w:t xml:space="preserve"> </w:t>
            </w:r>
          </w:p>
        </w:tc>
        <w:tc>
          <w:tcPr>
            <w:tcW w:w="6520" w:type="dxa"/>
            <w:tcBorders>
              <w:top w:val="single" w:sz="4" w:space="0" w:color="auto"/>
              <w:left w:val="single" w:sz="4" w:space="0" w:color="auto"/>
              <w:bottom w:val="single" w:sz="4" w:space="0" w:color="auto"/>
              <w:right w:val="single" w:sz="4" w:space="0" w:color="auto"/>
            </w:tcBorders>
          </w:tcPr>
          <w:p w14:paraId="01517E5C" w14:textId="77777777" w:rsidR="00CC54C0" w:rsidRPr="00CC54C0" w:rsidRDefault="00CC54C0" w:rsidP="00A06240">
            <w:pPr>
              <w:pStyle w:val="MoIBody"/>
              <w:spacing w:before="60" w:afterLines="60" w:after="144" w:line="240" w:lineRule="auto"/>
            </w:pPr>
            <w:r w:rsidRPr="00CC54C0">
              <w:t>Международна</w:t>
            </w:r>
            <w:r w:rsidRPr="00CC54C0">
              <w:tab/>
              <w:t>конвенция</w:t>
            </w:r>
            <w:r w:rsidRPr="00CC54C0">
              <w:tab/>
              <w:t>за</w:t>
            </w:r>
            <w:r w:rsidRPr="00CC54C0">
              <w:tab/>
              <w:t>предотвратяване</w:t>
            </w:r>
            <w:r>
              <w:rPr>
                <w:lang w:val="en-US"/>
              </w:rPr>
              <w:t xml:space="preserve"> </w:t>
            </w:r>
            <w:r w:rsidRPr="00CC54C0">
              <w:t>на</w:t>
            </w:r>
            <w:r>
              <w:rPr>
                <w:lang w:val="en-US"/>
              </w:rPr>
              <w:t xml:space="preserve"> </w:t>
            </w:r>
            <w:r w:rsidRPr="00CC54C0">
              <w:t xml:space="preserve">замърсяването от кораби от 1973 г., заедно с Протокола към </w:t>
            </w:r>
            <w:r w:rsidRPr="00CC54C0">
              <w:lastRenderedPageBreak/>
              <w:t>нея, подписан през 1978 г., с всички нейни последващи изменения и допълнения, влезли в сила за Република България.</w:t>
            </w:r>
          </w:p>
        </w:tc>
      </w:tr>
      <w:tr w:rsidR="00CC54C0" w:rsidRPr="00CC54C0" w14:paraId="430E04C4" w14:textId="77777777" w:rsidTr="00CC54C0">
        <w:tc>
          <w:tcPr>
            <w:tcW w:w="2268" w:type="dxa"/>
            <w:tcBorders>
              <w:top w:val="single" w:sz="4" w:space="0" w:color="auto"/>
              <w:left w:val="single" w:sz="4" w:space="0" w:color="auto"/>
              <w:bottom w:val="single" w:sz="4" w:space="0" w:color="auto"/>
              <w:right w:val="single" w:sz="4" w:space="0" w:color="auto"/>
            </w:tcBorders>
          </w:tcPr>
          <w:p w14:paraId="147AE2C9" w14:textId="77777777" w:rsidR="00CC54C0" w:rsidRPr="00CC54C0" w:rsidRDefault="00CC54C0" w:rsidP="00A06240">
            <w:pPr>
              <w:pStyle w:val="MoIBody"/>
              <w:spacing w:before="60" w:afterLines="60" w:after="144" w:line="240" w:lineRule="auto"/>
              <w:ind w:left="176" w:right="-108"/>
              <w:rPr>
                <w:b/>
              </w:rPr>
            </w:pPr>
            <w:r w:rsidRPr="00CC54C0">
              <w:rPr>
                <w:b/>
              </w:rPr>
              <w:lastRenderedPageBreak/>
              <w:t xml:space="preserve">ИАМА </w:t>
            </w:r>
          </w:p>
        </w:tc>
        <w:tc>
          <w:tcPr>
            <w:tcW w:w="6520" w:type="dxa"/>
            <w:tcBorders>
              <w:top w:val="single" w:sz="4" w:space="0" w:color="auto"/>
              <w:left w:val="single" w:sz="4" w:space="0" w:color="auto"/>
              <w:bottom w:val="single" w:sz="4" w:space="0" w:color="auto"/>
              <w:right w:val="single" w:sz="4" w:space="0" w:color="auto"/>
            </w:tcBorders>
          </w:tcPr>
          <w:p w14:paraId="495AFFA4" w14:textId="77777777" w:rsidR="00CC54C0" w:rsidRPr="00CC54C0" w:rsidRDefault="00CC54C0" w:rsidP="00A06240">
            <w:pPr>
              <w:pStyle w:val="MoIBody"/>
              <w:spacing w:before="60" w:afterLines="60" w:after="144" w:line="240" w:lineRule="auto"/>
            </w:pPr>
            <w:r w:rsidRPr="00CC54C0">
              <w:t>Изпълнителна агенция „Морска администрация“</w:t>
            </w:r>
          </w:p>
        </w:tc>
      </w:tr>
      <w:tr w:rsidR="00CC54C0" w:rsidRPr="00CC54C0" w14:paraId="367A3937" w14:textId="77777777" w:rsidTr="00CC54C0">
        <w:tc>
          <w:tcPr>
            <w:tcW w:w="2268" w:type="dxa"/>
            <w:tcBorders>
              <w:top w:val="single" w:sz="4" w:space="0" w:color="auto"/>
              <w:left w:val="single" w:sz="4" w:space="0" w:color="auto"/>
              <w:bottom w:val="single" w:sz="4" w:space="0" w:color="auto"/>
              <w:right w:val="single" w:sz="4" w:space="0" w:color="auto"/>
            </w:tcBorders>
          </w:tcPr>
          <w:p w14:paraId="0BD9AE9F" w14:textId="77777777" w:rsidR="00CC54C0" w:rsidRPr="00CC54C0" w:rsidRDefault="00CC54C0" w:rsidP="00A06240">
            <w:pPr>
              <w:pStyle w:val="MoIBody"/>
              <w:spacing w:before="60" w:afterLines="60" w:after="144" w:line="240" w:lineRule="auto"/>
              <w:ind w:left="176" w:right="-108"/>
              <w:rPr>
                <w:b/>
              </w:rPr>
            </w:pPr>
            <w:r w:rsidRPr="00CC54C0">
              <w:rPr>
                <w:b/>
              </w:rPr>
              <w:t xml:space="preserve">ЗУО </w:t>
            </w:r>
          </w:p>
        </w:tc>
        <w:tc>
          <w:tcPr>
            <w:tcW w:w="6520" w:type="dxa"/>
            <w:tcBorders>
              <w:top w:val="single" w:sz="4" w:space="0" w:color="auto"/>
              <w:left w:val="single" w:sz="4" w:space="0" w:color="auto"/>
              <w:bottom w:val="single" w:sz="4" w:space="0" w:color="auto"/>
              <w:right w:val="single" w:sz="4" w:space="0" w:color="auto"/>
            </w:tcBorders>
          </w:tcPr>
          <w:p w14:paraId="390CADF4" w14:textId="77777777" w:rsidR="00CC54C0" w:rsidRPr="00CC54C0" w:rsidRDefault="00CC54C0" w:rsidP="00A06240">
            <w:pPr>
              <w:pStyle w:val="MoIBody"/>
              <w:spacing w:before="60" w:afterLines="60" w:after="144" w:line="240" w:lineRule="auto"/>
            </w:pPr>
            <w:r w:rsidRPr="00CC54C0">
              <w:t>Закон за управление на отпадъците</w:t>
            </w:r>
          </w:p>
        </w:tc>
      </w:tr>
      <w:tr w:rsidR="00CC54C0" w:rsidRPr="00CC54C0" w14:paraId="09D2B93A" w14:textId="77777777" w:rsidTr="00CC54C0">
        <w:tc>
          <w:tcPr>
            <w:tcW w:w="2268" w:type="dxa"/>
            <w:tcBorders>
              <w:top w:val="single" w:sz="4" w:space="0" w:color="auto"/>
              <w:left w:val="single" w:sz="4" w:space="0" w:color="auto"/>
              <w:bottom w:val="single" w:sz="4" w:space="0" w:color="auto"/>
              <w:right w:val="single" w:sz="4" w:space="0" w:color="auto"/>
            </w:tcBorders>
          </w:tcPr>
          <w:p w14:paraId="09F1C914" w14:textId="77777777" w:rsidR="00CC54C0" w:rsidRPr="00CC54C0" w:rsidRDefault="00CC54C0" w:rsidP="00A06240">
            <w:pPr>
              <w:pStyle w:val="MoIBody"/>
              <w:spacing w:before="60" w:afterLines="60" w:after="144" w:line="240" w:lineRule="auto"/>
              <w:ind w:left="176" w:right="-108"/>
              <w:rPr>
                <w:b/>
              </w:rPr>
            </w:pPr>
            <w:r w:rsidRPr="00CC54C0">
              <w:rPr>
                <w:b/>
              </w:rPr>
              <w:t>СПРЕАЗ</w:t>
            </w:r>
          </w:p>
        </w:tc>
        <w:tc>
          <w:tcPr>
            <w:tcW w:w="6520" w:type="dxa"/>
            <w:tcBorders>
              <w:top w:val="single" w:sz="4" w:space="0" w:color="auto"/>
              <w:left w:val="single" w:sz="4" w:space="0" w:color="auto"/>
              <w:bottom w:val="single" w:sz="4" w:space="0" w:color="auto"/>
              <w:right w:val="single" w:sz="4" w:space="0" w:color="auto"/>
            </w:tcBorders>
          </w:tcPr>
          <w:p w14:paraId="1BBBAC6E" w14:textId="77777777" w:rsidR="00CC54C0" w:rsidRPr="00CC54C0" w:rsidRDefault="00CC54C0" w:rsidP="00A06240">
            <w:pPr>
              <w:pStyle w:val="MoIBody"/>
              <w:spacing w:before="60" w:afterLines="60" w:after="144" w:line="240" w:lineRule="auto"/>
            </w:pPr>
            <w:r w:rsidRPr="00CC54C0">
              <w:t>Съоръженията за превенция и реагиране при                                                                       експлоатационни или аварийни замърсявани</w:t>
            </w:r>
          </w:p>
        </w:tc>
      </w:tr>
      <w:tr w:rsidR="00CC54C0" w:rsidRPr="00CC54C0" w14:paraId="0963BA2D" w14:textId="77777777" w:rsidTr="00CC54C0">
        <w:tc>
          <w:tcPr>
            <w:tcW w:w="2268" w:type="dxa"/>
            <w:tcBorders>
              <w:top w:val="single" w:sz="4" w:space="0" w:color="auto"/>
              <w:left w:val="single" w:sz="4" w:space="0" w:color="auto"/>
              <w:bottom w:val="single" w:sz="4" w:space="0" w:color="auto"/>
              <w:right w:val="single" w:sz="4" w:space="0" w:color="auto"/>
            </w:tcBorders>
          </w:tcPr>
          <w:p w14:paraId="7418A18F" w14:textId="77777777" w:rsidR="00CC54C0" w:rsidRPr="00CC54C0" w:rsidRDefault="00CC54C0" w:rsidP="00A06240">
            <w:pPr>
              <w:pStyle w:val="MoIBody"/>
              <w:spacing w:before="60" w:afterLines="60" w:after="144" w:line="240" w:lineRule="auto"/>
              <w:ind w:left="176" w:right="-108"/>
              <w:rPr>
                <w:b/>
              </w:rPr>
            </w:pPr>
            <w:r w:rsidRPr="00CC54C0">
              <w:rPr>
                <w:b/>
              </w:rPr>
              <w:t>ИИП</w:t>
            </w:r>
          </w:p>
        </w:tc>
        <w:tc>
          <w:tcPr>
            <w:tcW w:w="6520" w:type="dxa"/>
            <w:tcBorders>
              <w:top w:val="single" w:sz="4" w:space="0" w:color="auto"/>
              <w:left w:val="single" w:sz="4" w:space="0" w:color="auto"/>
              <w:bottom w:val="single" w:sz="4" w:space="0" w:color="auto"/>
              <w:right w:val="single" w:sz="4" w:space="0" w:color="auto"/>
            </w:tcBorders>
          </w:tcPr>
          <w:p w14:paraId="6FFAF3B1" w14:textId="77777777" w:rsidR="00CC54C0" w:rsidRPr="00CC54C0" w:rsidRDefault="00CC54C0" w:rsidP="00A06240">
            <w:pPr>
              <w:pStyle w:val="MoIBody"/>
              <w:spacing w:before="60" w:afterLines="60" w:after="144" w:line="240" w:lineRule="auto"/>
            </w:pPr>
            <w:r w:rsidRPr="00CC54C0">
              <w:rPr>
                <w:rFonts w:eastAsia="Cambria"/>
              </w:rPr>
              <w:t>Интегрирана информационна платформа</w:t>
            </w:r>
          </w:p>
        </w:tc>
      </w:tr>
    </w:tbl>
    <w:p w14:paraId="51EA00FA" w14:textId="77777777" w:rsidR="00CC54C0" w:rsidRDefault="00CC54C0">
      <w:pPr>
        <w:suppressAutoHyphens w:val="0"/>
        <w:spacing w:after="0" w:line="240" w:lineRule="auto"/>
        <w:jc w:val="left"/>
        <w:rPr>
          <w:rFonts w:ascii="Times New Roman" w:hAnsi="Times New Roman"/>
          <w:color w:val="000000"/>
        </w:rPr>
      </w:pPr>
      <w:r>
        <w:br w:type="page"/>
      </w:r>
    </w:p>
    <w:p w14:paraId="065D9CB3" w14:textId="77777777" w:rsidR="00C64335" w:rsidRDefault="00C64335" w:rsidP="00C64335">
      <w:pPr>
        <w:pStyle w:val="Heading1"/>
        <w:rPr>
          <w:lang w:val="en-US"/>
        </w:rPr>
      </w:pPr>
      <w:bookmarkStart w:id="2" w:name="_Toc43309109"/>
      <w:r w:rsidRPr="00C64335">
        <w:lastRenderedPageBreak/>
        <w:t>ВЪВЕДЕНИЕ</w:t>
      </w:r>
      <w:bookmarkEnd w:id="2"/>
    </w:p>
    <w:p w14:paraId="7D6B6160" w14:textId="5CF2ADCA" w:rsidR="007B754B" w:rsidRDefault="007B754B" w:rsidP="007B754B">
      <w:pPr>
        <w:pStyle w:val="Heading2"/>
      </w:pPr>
      <w:bookmarkStart w:id="3" w:name="_Toc43309110"/>
      <w:r>
        <w:t>Цели на финансовия анализ по чл.56</w:t>
      </w:r>
      <w:r w:rsidR="00BB50F8">
        <w:t>б</w:t>
      </w:r>
      <w:bookmarkEnd w:id="3"/>
    </w:p>
    <w:p w14:paraId="50513F04" w14:textId="77777777" w:rsidR="00C64335" w:rsidRPr="005D066F" w:rsidRDefault="00C64335" w:rsidP="005D066F">
      <w:pPr>
        <w:pStyle w:val="MoIBody"/>
        <w:rPr>
          <w:bCs/>
        </w:rPr>
      </w:pPr>
    </w:p>
    <w:p w14:paraId="034CF79F" w14:textId="6DD3E7F7" w:rsidR="00521A1F" w:rsidRDefault="001E1A53" w:rsidP="00134FC5">
      <w:pPr>
        <w:pStyle w:val="MoIBody"/>
        <w:rPr>
          <w:bCs/>
        </w:rPr>
      </w:pPr>
      <w:r>
        <w:rPr>
          <w:bCs/>
        </w:rPr>
        <w:t>Целта на настоящия</w:t>
      </w:r>
      <w:r w:rsidR="00C64335" w:rsidRPr="00644149">
        <w:rPr>
          <w:bCs/>
        </w:rPr>
        <w:t xml:space="preserve"> доклад е да бъде извършен </w:t>
      </w:r>
      <w:r w:rsidR="00521A1F">
        <w:rPr>
          <w:bCs/>
        </w:rPr>
        <w:t xml:space="preserve">финансов анализ за определяме на допустимите разходи, в съответствие си изискванията за определяне </w:t>
      </w:r>
      <w:r w:rsidR="00BB50F8">
        <w:rPr>
          <w:bCs/>
        </w:rPr>
        <w:t>интензитета на помощта по чл.56б</w:t>
      </w:r>
      <w:r w:rsidR="00521A1F">
        <w:rPr>
          <w:bCs/>
        </w:rPr>
        <w:t>, Помощи за вътрешни пристанищ</w:t>
      </w:r>
      <w:r w:rsidR="007B754B">
        <w:rPr>
          <w:bCs/>
        </w:rPr>
        <w:t>а</w:t>
      </w:r>
      <w:r w:rsidR="00521A1F">
        <w:rPr>
          <w:bCs/>
        </w:rPr>
        <w:t>, т.4, където имплицитно е казано, че р</w:t>
      </w:r>
      <w:r w:rsidR="00521A1F" w:rsidRPr="00521A1F">
        <w:rPr>
          <w:bCs/>
        </w:rPr>
        <w:t xml:space="preserve">азмерът на помощта не </w:t>
      </w:r>
      <w:r w:rsidR="00BB50F8">
        <w:rPr>
          <w:bCs/>
        </w:rPr>
        <w:t xml:space="preserve">трябва да </w:t>
      </w:r>
      <w:r w:rsidR="00521A1F" w:rsidRPr="00521A1F">
        <w:rPr>
          <w:bCs/>
        </w:rPr>
        <w:t>н</w:t>
      </w:r>
      <w:r w:rsidR="00BB50F8">
        <w:rPr>
          <w:bCs/>
        </w:rPr>
        <w:t>адхвърля разликата между допус</w:t>
      </w:r>
      <w:r w:rsidR="00521A1F" w:rsidRPr="00521A1F">
        <w:rPr>
          <w:bCs/>
        </w:rPr>
        <w:t>тимите разходи и оперативната печалба от инвестицията или драгиране.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rsidR="00521A1F">
        <w:rPr>
          <w:bCs/>
        </w:rPr>
        <w:t>та.</w:t>
      </w:r>
    </w:p>
    <w:p w14:paraId="711E7B8F" w14:textId="0E13D5EB" w:rsidR="007B754B" w:rsidRDefault="007B754B" w:rsidP="007B754B">
      <w:pPr>
        <w:pStyle w:val="MoIBody"/>
        <w:rPr>
          <w:bCs/>
        </w:rPr>
      </w:pPr>
      <w:r>
        <w:rPr>
          <w:bCs/>
        </w:rPr>
        <w:t xml:space="preserve">В резултат на изготвения Доклад за анализ на прилагането на държавни помощи е направено  заключение </w:t>
      </w:r>
      <w:r w:rsidRPr="007B754B">
        <w:rPr>
          <w:bCs/>
        </w:rPr>
        <w:t>от предварителната оценка за наличие на държавна помощ е, че публичните средства предостав</w:t>
      </w:r>
      <w:r>
        <w:rPr>
          <w:bCs/>
        </w:rPr>
        <w:t xml:space="preserve">ени на ДППИ по настоящия проект </w:t>
      </w:r>
      <w:r w:rsidRPr="007B754B">
        <w:rPr>
          <w:bCs/>
        </w:rPr>
        <w:tab/>
        <w:t>включват държавна помощ в полза на ДППИ по смисъла на чл. 107, параграф 1 от ДФЕС за доставката, монтажа и въвеждането в експлоатация ППС и СПРЕАЗ, която е съвместима с вътрешния пазар по смисъла на чл. 5</w:t>
      </w:r>
      <w:r w:rsidR="00BB50F8" w:rsidRPr="00BB50F8">
        <w:rPr>
          <w:bCs/>
        </w:rPr>
        <w:t>6б</w:t>
      </w:r>
      <w:r w:rsidRPr="007B754B">
        <w:rPr>
          <w:bCs/>
        </w:rPr>
        <w:t xml:space="preserve"> на ОРГО</w:t>
      </w:r>
      <w:r>
        <w:rPr>
          <w:bCs/>
        </w:rPr>
        <w:t xml:space="preserve">. </w:t>
      </w:r>
    </w:p>
    <w:p w14:paraId="15AB58EC" w14:textId="7D8911CA" w:rsidR="00521A1F" w:rsidRDefault="00521A1F" w:rsidP="00134FC5">
      <w:pPr>
        <w:pStyle w:val="MoIBody"/>
        <w:rPr>
          <w:bCs/>
        </w:rPr>
      </w:pPr>
      <w:r>
        <w:rPr>
          <w:bCs/>
        </w:rPr>
        <w:t>На база на анализи и обо</w:t>
      </w:r>
      <w:r w:rsidR="007B754B">
        <w:rPr>
          <w:bCs/>
        </w:rPr>
        <w:t>б</w:t>
      </w:r>
      <w:r>
        <w:rPr>
          <w:bCs/>
        </w:rPr>
        <w:t>щения от първично предоставена информация и други достоверни и надеждни източници в доклада са определени:</w:t>
      </w:r>
    </w:p>
    <w:p w14:paraId="5672B0E3" w14:textId="534CC293"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общите  инвестиционни разходи</w:t>
      </w:r>
    </w:p>
    <w:p w14:paraId="47AD038A" w14:textId="5EDC0A46"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очакваните приходи</w:t>
      </w:r>
    </w:p>
    <w:p w14:paraId="220B5A44" w14:textId="2B283EEF"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очакваните разходи</w:t>
      </w:r>
    </w:p>
    <w:p w14:paraId="408A7AE3" w14:textId="4F112D9C" w:rsidR="00521A1F" w:rsidRDefault="00521A1F" w:rsidP="00521A1F">
      <w:pPr>
        <w:pStyle w:val="MoIBody"/>
        <w:numPr>
          <w:ilvl w:val="0"/>
          <w:numId w:val="31"/>
        </w:numPr>
        <w:rPr>
          <w:bCs/>
        </w:rPr>
      </w:pPr>
      <w:r>
        <w:rPr>
          <w:bCs/>
        </w:rPr>
        <w:t>Размерът на оперативната печалба</w:t>
      </w:r>
    </w:p>
    <w:p w14:paraId="610F9B4D" w14:textId="11C36D56" w:rsidR="00521A1F" w:rsidRDefault="00521A1F" w:rsidP="00521A1F">
      <w:pPr>
        <w:pStyle w:val="MoIBody"/>
        <w:numPr>
          <w:ilvl w:val="0"/>
          <w:numId w:val="31"/>
        </w:numPr>
        <w:rPr>
          <w:bCs/>
        </w:rPr>
      </w:pPr>
      <w:r>
        <w:rPr>
          <w:bCs/>
        </w:rPr>
        <w:t xml:space="preserve">Размерът на интензитета </w:t>
      </w:r>
      <w:r w:rsidR="00A8705B">
        <w:rPr>
          <w:bCs/>
        </w:rPr>
        <w:t>и допустимите разходи по ОРГО</w:t>
      </w:r>
    </w:p>
    <w:p w14:paraId="7B0C84E5" w14:textId="77777777" w:rsidR="00A64260" w:rsidRPr="00134FC5" w:rsidRDefault="00A64260" w:rsidP="00134FC5">
      <w:pPr>
        <w:pStyle w:val="MoIBody"/>
      </w:pPr>
    </w:p>
    <w:p w14:paraId="2A5351FC" w14:textId="6D65ED86" w:rsidR="00134FC5" w:rsidRDefault="00E31709" w:rsidP="00C64335">
      <w:pPr>
        <w:pStyle w:val="Heading2"/>
      </w:pPr>
      <w:bookmarkStart w:id="4" w:name="_Toc43309111"/>
      <w:r>
        <w:t>Кратко описание на инвестиционното намерение</w:t>
      </w:r>
      <w:bookmarkEnd w:id="4"/>
    </w:p>
    <w:p w14:paraId="003999FB" w14:textId="4164EBEA" w:rsidR="00E31709" w:rsidRPr="00025D82" w:rsidRDefault="00E31709" w:rsidP="007B754B">
      <w:pPr>
        <w:pStyle w:val="MoIBody"/>
        <w:spacing w:line="276" w:lineRule="auto"/>
        <w:ind w:firstLine="708"/>
      </w:pPr>
      <w:r>
        <w:t xml:space="preserve">С проекта, </w:t>
      </w:r>
      <w:r w:rsidRPr="00025D82">
        <w:rPr>
          <w:iCs/>
        </w:rPr>
        <w:t xml:space="preserve">Държавно предприятие „Пристанищна инфраструктура“(ДППИ) </w:t>
      </w:r>
      <w:r>
        <w:rPr>
          <w:iCs/>
        </w:rPr>
        <w:t>възнамерява</w:t>
      </w:r>
      <w:r w:rsidRPr="00025D82">
        <w:t xml:space="preserve"> осигури подходящи и екологосъобразни пристанищни приемни съоръжения (ППС</w:t>
      </w:r>
      <w:r>
        <w:t>),</w:t>
      </w:r>
      <w:r w:rsidRPr="00025D82">
        <w:t xml:space="preserve"> съоръжения за превенция и реагиране при експлоатационни и аварийни замърсявания (СПРЕАЗ) и интегрирана информационна платформа (ИИП)</w:t>
      </w:r>
      <w:r>
        <w:t xml:space="preserve"> </w:t>
      </w:r>
      <w:r w:rsidRPr="00025D82">
        <w:t xml:space="preserve">за българските </w:t>
      </w:r>
      <w:r w:rsidR="00BB50F8">
        <w:t>морски</w:t>
      </w:r>
      <w:r>
        <w:t xml:space="preserve"> </w:t>
      </w:r>
      <w:r w:rsidRPr="00025D82">
        <w:t>пристанища за обществен транспорт с национално значение в съответствие с изискванията на Директива 2000/59/ЕО</w:t>
      </w:r>
      <w:r w:rsidRPr="00025D82">
        <w:rPr>
          <w:vertAlign w:val="superscript"/>
        </w:rPr>
        <w:footnoteReference w:id="1"/>
      </w:r>
      <w:r w:rsidRPr="00025D82">
        <w:t xml:space="preserve">, отменена с </w:t>
      </w:r>
      <w:r w:rsidRPr="00025D82">
        <w:rPr>
          <w:lang w:val="en-GB"/>
        </w:rPr>
        <w:t>Директива (ЕС) 2019/883</w:t>
      </w:r>
      <w:r w:rsidRPr="00025D82">
        <w:rPr>
          <w:vertAlign w:val="superscript"/>
        </w:rPr>
        <w:footnoteReference w:id="2"/>
      </w:r>
      <w:r w:rsidRPr="00025D82">
        <w:t xml:space="preserve">, </w:t>
      </w:r>
      <w:r w:rsidRPr="00025D82">
        <w:lastRenderedPageBreak/>
        <w:t xml:space="preserve">конвенцията </w:t>
      </w:r>
      <w:r w:rsidRPr="00025D82">
        <w:rPr>
          <w:b/>
        </w:rPr>
        <w:t>MARPOL 73/78</w:t>
      </w:r>
      <w:r w:rsidRPr="00025D82">
        <w:rPr>
          <w:b/>
          <w:vertAlign w:val="superscript"/>
        </w:rPr>
        <w:footnoteReference w:id="3"/>
      </w:r>
      <w:r w:rsidRPr="00025D82">
        <w:t xml:space="preserve"> и „Препоръките по организация на събирането на отпадъци от корабите, плаващи по Дунава“</w:t>
      </w:r>
      <w:r w:rsidRPr="00025D82">
        <w:rPr>
          <w:vertAlign w:val="superscript"/>
        </w:rPr>
        <w:footnoteReference w:id="4"/>
      </w:r>
      <w:r w:rsidRPr="00025D82">
        <w:t>.</w:t>
      </w:r>
    </w:p>
    <w:p w14:paraId="76983768" w14:textId="3C7B1A4E" w:rsidR="00E31709" w:rsidRDefault="00E31709" w:rsidP="007B754B">
      <w:pPr>
        <w:suppressAutoHyphens w:val="0"/>
        <w:spacing w:line="276" w:lineRule="auto"/>
        <w:rPr>
          <w:rFonts w:ascii="Times New Roman" w:hAnsi="Times New Roman"/>
        </w:rPr>
      </w:pPr>
      <w:r>
        <w:rPr>
          <w:rFonts w:ascii="Times New Roman" w:hAnsi="Times New Roman"/>
        </w:rPr>
        <w:t xml:space="preserve">Чрез </w:t>
      </w:r>
      <w:r w:rsidR="00D27DCE">
        <w:rPr>
          <w:rFonts w:ascii="Times New Roman" w:hAnsi="Times New Roman"/>
        </w:rPr>
        <w:t>изграждането</w:t>
      </w:r>
      <w:r w:rsidRPr="00E31709">
        <w:rPr>
          <w:rFonts w:ascii="Times New Roman" w:hAnsi="Times New Roman"/>
        </w:rPr>
        <w:t xml:space="preserve"> на ППС</w:t>
      </w:r>
      <w:r>
        <w:rPr>
          <w:rFonts w:ascii="Times New Roman" w:hAnsi="Times New Roman"/>
        </w:rPr>
        <w:t xml:space="preserve"> в </w:t>
      </w:r>
      <w:r w:rsidR="00BB50F8">
        <w:rPr>
          <w:rFonts w:ascii="Times New Roman" w:hAnsi="Times New Roman"/>
        </w:rPr>
        <w:t>морски</w:t>
      </w:r>
      <w:r>
        <w:rPr>
          <w:rFonts w:ascii="Times New Roman" w:hAnsi="Times New Roman"/>
        </w:rPr>
        <w:t xml:space="preserve">те пристанища </w:t>
      </w:r>
      <w:r w:rsidRPr="00E31709">
        <w:rPr>
          <w:rFonts w:ascii="Times New Roman" w:hAnsi="Times New Roman"/>
        </w:rPr>
        <w:t xml:space="preserve"> ДППИ ще изпълни ангажиментите на държавата-членка (ДЧ) по параграф 1, чл. 4 от Директива (ЕС) 2019/8832  (чл. 4 от отменената Директива 2000/59/ЕО1 ) да гарантират, че са налични подходящи ППС, които да отговорят на нуждите на корабите, използващи обикновено пристанището, без да причиняват неоправдани закъснения за тези кораби.</w:t>
      </w:r>
    </w:p>
    <w:p w14:paraId="04A97A4A" w14:textId="106506DD" w:rsidR="00E31709" w:rsidRPr="00E31709" w:rsidRDefault="007B754B" w:rsidP="007B754B">
      <w:pPr>
        <w:suppressAutoHyphens w:val="0"/>
        <w:spacing w:line="276" w:lineRule="auto"/>
        <w:rPr>
          <w:rFonts w:ascii="Times New Roman" w:hAnsi="Times New Roman"/>
        </w:rPr>
      </w:pPr>
      <w:r>
        <w:rPr>
          <w:rFonts w:ascii="Times New Roman" w:hAnsi="Times New Roman"/>
        </w:rPr>
        <w:t>С</w:t>
      </w:r>
      <w:r w:rsidR="00E31709" w:rsidRPr="00E31709">
        <w:rPr>
          <w:rFonts w:ascii="Times New Roman" w:hAnsi="Times New Roman"/>
        </w:rPr>
        <w:t>ъгласно чл.115м, ал (1), т.19 от ЗМПВВППРБ, в предмета на дейност на ДППИ влиза и „поддържане на сили и средства за участие в спасителни и неотложни аварийно-възстановителни работи, извършвани в акваториите на пристанищата и на пристанищните райони в съответствие с Националния план за защита при бедствия“. В изпълнение на тази разпоредба чрез проекта ДППИ ще осигури СПРЕАЗ</w:t>
      </w:r>
      <w:r w:rsidR="00E31709">
        <w:rPr>
          <w:rFonts w:ascii="Times New Roman" w:hAnsi="Times New Roman"/>
        </w:rPr>
        <w:t xml:space="preserve"> в </w:t>
      </w:r>
      <w:r w:rsidR="00BB50F8">
        <w:rPr>
          <w:rFonts w:ascii="Times New Roman" w:hAnsi="Times New Roman"/>
        </w:rPr>
        <w:t>морски</w:t>
      </w:r>
      <w:r w:rsidR="00E31709">
        <w:rPr>
          <w:rFonts w:ascii="Times New Roman" w:hAnsi="Times New Roman"/>
        </w:rPr>
        <w:t>те пристанища</w:t>
      </w:r>
      <w:r w:rsidR="00E31709" w:rsidRPr="00E31709">
        <w:rPr>
          <w:rFonts w:ascii="Times New Roman" w:hAnsi="Times New Roman"/>
        </w:rPr>
        <w:t xml:space="preserve"> на база  оценка на необходимостта и </w:t>
      </w:r>
      <w:r w:rsidR="00E31709">
        <w:rPr>
          <w:rFonts w:ascii="Times New Roman" w:hAnsi="Times New Roman"/>
        </w:rPr>
        <w:t xml:space="preserve">начини за внедряване на СПРЕАЗ </w:t>
      </w:r>
      <w:r w:rsidR="00E31709" w:rsidRPr="00E31709">
        <w:rPr>
          <w:rFonts w:ascii="Times New Roman" w:hAnsi="Times New Roman"/>
        </w:rPr>
        <w:t xml:space="preserve">, направен в т.4.4 от </w:t>
      </w:r>
      <w:r w:rsidR="00D27DCE" w:rsidRPr="00E31709">
        <w:rPr>
          <w:rFonts w:ascii="Times New Roman" w:hAnsi="Times New Roman"/>
        </w:rPr>
        <w:t>Пред инвестиционните</w:t>
      </w:r>
      <w:r w:rsidR="00E31709" w:rsidRPr="00E31709">
        <w:rPr>
          <w:rFonts w:ascii="Times New Roman" w:hAnsi="Times New Roman"/>
        </w:rPr>
        <w:t xml:space="preserve"> проучвания по проекта за всяко едно от пристанищата за обществен транспорт с национално значение.   </w:t>
      </w:r>
    </w:p>
    <w:p w14:paraId="0D0C44E2" w14:textId="77777777" w:rsidR="00E31709" w:rsidRDefault="00E31709" w:rsidP="007B754B">
      <w:pPr>
        <w:suppressAutoHyphens w:val="0"/>
        <w:spacing w:line="276" w:lineRule="auto"/>
        <w:rPr>
          <w:rFonts w:ascii="Times New Roman" w:hAnsi="Times New Roman"/>
        </w:rPr>
      </w:pPr>
      <w:r w:rsidRPr="00E31709">
        <w:rPr>
          <w:rFonts w:ascii="Times New Roman" w:hAnsi="Times New Roman"/>
        </w:rPr>
        <w:t>Доставените мобилни ППС и СПЕАРЗ ще бъдат инсталирани и монтирани на земя, която съгласно чл. 106, ал. е публична държавна собственост, с изключение на зоните за съхраняване на товари, които могат да бъдат собственост и на физически и юридически лица</w:t>
      </w:r>
      <w:r>
        <w:rPr>
          <w:rFonts w:ascii="Times New Roman" w:hAnsi="Times New Roman"/>
        </w:rPr>
        <w:t>.</w:t>
      </w:r>
    </w:p>
    <w:p w14:paraId="38A8E999" w14:textId="031A5F56" w:rsidR="0055494D" w:rsidRDefault="00E31709" w:rsidP="007B754B">
      <w:pPr>
        <w:suppressAutoHyphens w:val="0"/>
        <w:spacing w:line="276" w:lineRule="auto"/>
        <w:rPr>
          <w:rFonts w:ascii="Times New Roman" w:hAnsi="Times New Roman"/>
        </w:rPr>
      </w:pPr>
      <w:r w:rsidRPr="00E31709">
        <w:rPr>
          <w:rFonts w:ascii="Times New Roman" w:hAnsi="Times New Roman"/>
        </w:rPr>
        <w:t>Експлоатацията на ППС и СПРЕАЗ, които ще бъдат доставени и инсталирани по проекта</w:t>
      </w:r>
      <w:r>
        <w:rPr>
          <w:rFonts w:ascii="Times New Roman" w:hAnsi="Times New Roman"/>
        </w:rPr>
        <w:t xml:space="preserve"> в </w:t>
      </w:r>
      <w:r w:rsidR="00BB50F8">
        <w:rPr>
          <w:rFonts w:ascii="Times New Roman" w:hAnsi="Times New Roman"/>
        </w:rPr>
        <w:t>морски</w:t>
      </w:r>
      <w:r>
        <w:rPr>
          <w:rFonts w:ascii="Times New Roman" w:hAnsi="Times New Roman"/>
        </w:rPr>
        <w:t>те пристанища</w:t>
      </w:r>
      <w:r w:rsidRPr="00E31709">
        <w:rPr>
          <w:rFonts w:ascii="Times New Roman" w:hAnsi="Times New Roman"/>
        </w:rPr>
        <w:t>, ще бъде възложена на оператори, които ще бъдат избрани в резултат на провеждането на открита и недискриминационна  процедура за възлагане на обществена поръчка по реда на ЗОП</w:t>
      </w:r>
      <w:r>
        <w:rPr>
          <w:rFonts w:ascii="Times New Roman" w:hAnsi="Times New Roman"/>
        </w:rPr>
        <w:t>.</w:t>
      </w:r>
    </w:p>
    <w:p w14:paraId="57D81B14" w14:textId="09335226" w:rsidR="0055494D" w:rsidRPr="0055494D" w:rsidRDefault="0055494D" w:rsidP="007B754B">
      <w:pPr>
        <w:suppressAutoHyphens w:val="0"/>
        <w:spacing w:line="276" w:lineRule="auto"/>
        <w:rPr>
          <w:rFonts w:ascii="Times New Roman" w:hAnsi="Times New Roman"/>
        </w:rPr>
      </w:pPr>
      <w:r w:rsidRPr="0055494D">
        <w:rPr>
          <w:rFonts w:ascii="Times New Roman" w:hAnsi="Times New Roman"/>
        </w:rPr>
        <w:t>Крайните потреб</w:t>
      </w:r>
      <w:r>
        <w:rPr>
          <w:rFonts w:ascii="Times New Roman" w:hAnsi="Times New Roman"/>
        </w:rPr>
        <w:t xml:space="preserve">ители на ППС в </w:t>
      </w:r>
      <w:r w:rsidR="00BB50F8">
        <w:rPr>
          <w:rFonts w:ascii="Times New Roman" w:hAnsi="Times New Roman"/>
        </w:rPr>
        <w:t>морски</w:t>
      </w:r>
      <w:r>
        <w:rPr>
          <w:rFonts w:ascii="Times New Roman" w:hAnsi="Times New Roman"/>
        </w:rPr>
        <w:t>те пристанища</w:t>
      </w:r>
      <w:r w:rsidRPr="0055494D">
        <w:rPr>
          <w:rFonts w:ascii="Times New Roman" w:hAnsi="Times New Roman"/>
        </w:rPr>
        <w:t xml:space="preserve"> ще са операторите на корабите, посещаващи българските пристанища с национално значение. Достъпът до тези пристанища е на недискриминационна база, като за предоставените услуги потребителите </w:t>
      </w:r>
      <w:r>
        <w:rPr>
          <w:rFonts w:ascii="Times New Roman" w:hAnsi="Times New Roman"/>
        </w:rPr>
        <w:t xml:space="preserve">ще </w:t>
      </w:r>
      <w:r w:rsidRPr="0055494D">
        <w:rPr>
          <w:rFonts w:ascii="Times New Roman" w:hAnsi="Times New Roman"/>
        </w:rPr>
        <w:t xml:space="preserve">заплащат такси, утвърдени с ТАРИФА за пристанищните такси, събирани от ДППИ . </w:t>
      </w:r>
    </w:p>
    <w:p w14:paraId="1893AE67" w14:textId="4B890A41" w:rsidR="0055494D" w:rsidRPr="0055494D" w:rsidRDefault="0055494D" w:rsidP="007B754B">
      <w:pPr>
        <w:suppressAutoHyphens w:val="0"/>
        <w:spacing w:line="276" w:lineRule="auto"/>
        <w:rPr>
          <w:rFonts w:ascii="Times New Roman" w:hAnsi="Times New Roman"/>
        </w:rPr>
      </w:pPr>
      <w:r w:rsidRPr="0055494D">
        <w:rPr>
          <w:rFonts w:ascii="Times New Roman" w:hAnsi="Times New Roman"/>
        </w:rPr>
        <w:t>Съгласно чл. 103 от ЗМПВВППРБ пристанищата за обществен транспорт са достъпна без ограничение за всички кораби и товари.</w:t>
      </w:r>
    </w:p>
    <w:p w14:paraId="5AADB179" w14:textId="10D7F858" w:rsidR="006C1740" w:rsidRPr="00E31709" w:rsidRDefault="0055494D" w:rsidP="007B754B">
      <w:pPr>
        <w:suppressAutoHyphens w:val="0"/>
        <w:spacing w:after="0" w:line="276" w:lineRule="auto"/>
        <w:rPr>
          <w:rFonts w:ascii="Times New Roman" w:hAnsi="Times New Roman"/>
          <w:color w:val="000000"/>
        </w:rPr>
      </w:pPr>
      <w:r w:rsidRPr="0055494D">
        <w:rPr>
          <w:rFonts w:ascii="Times New Roman" w:hAnsi="Times New Roman"/>
        </w:rPr>
        <w:t xml:space="preserve">Основните потребител на СПРЕАЗ </w:t>
      </w:r>
      <w:r>
        <w:rPr>
          <w:rFonts w:ascii="Times New Roman" w:hAnsi="Times New Roman"/>
        </w:rPr>
        <w:t xml:space="preserve">в </w:t>
      </w:r>
      <w:r w:rsidR="00BB50F8">
        <w:rPr>
          <w:rFonts w:ascii="Times New Roman" w:hAnsi="Times New Roman"/>
        </w:rPr>
        <w:t>морски</w:t>
      </w:r>
      <w:r>
        <w:rPr>
          <w:rFonts w:ascii="Times New Roman" w:hAnsi="Times New Roman"/>
        </w:rPr>
        <w:t xml:space="preserve">те пристанища </w:t>
      </w:r>
      <w:r w:rsidRPr="0055494D">
        <w:rPr>
          <w:rFonts w:ascii="Times New Roman" w:hAnsi="Times New Roman"/>
        </w:rPr>
        <w:t xml:space="preserve">ще бъдат ДППИ, ИАМА  и ИАППД , като възложители на всяка конкретна задача за почистване/ограничаване на </w:t>
      </w:r>
      <w:r w:rsidRPr="0055494D">
        <w:rPr>
          <w:rFonts w:ascii="Times New Roman" w:hAnsi="Times New Roman"/>
        </w:rPr>
        <w:lastRenderedPageBreak/>
        <w:t xml:space="preserve">замърсяването от аварийни и експлоатационни разливи и замърсявания в акваторията на </w:t>
      </w:r>
      <w:r w:rsidR="00BB50F8">
        <w:rPr>
          <w:rFonts w:ascii="Times New Roman" w:hAnsi="Times New Roman"/>
        </w:rPr>
        <w:t>морски</w:t>
      </w:r>
      <w:r>
        <w:rPr>
          <w:rFonts w:ascii="Times New Roman" w:hAnsi="Times New Roman"/>
        </w:rPr>
        <w:t>те пристанища</w:t>
      </w:r>
      <w:r w:rsidRPr="0055494D">
        <w:rPr>
          <w:rFonts w:ascii="Times New Roman" w:hAnsi="Times New Roman"/>
        </w:rPr>
        <w:t xml:space="preserve"> за обществен транспорт с национално значение.</w:t>
      </w:r>
      <w:r w:rsidR="006C1740" w:rsidRPr="00E31709">
        <w:rPr>
          <w:rFonts w:ascii="Times New Roman" w:hAnsi="Times New Roman"/>
        </w:rPr>
        <w:br w:type="page"/>
      </w:r>
    </w:p>
    <w:p w14:paraId="09DCA003" w14:textId="77777777" w:rsidR="00134FC5" w:rsidRDefault="00134FC5" w:rsidP="00561396">
      <w:pPr>
        <w:pStyle w:val="MoIBody"/>
      </w:pPr>
    </w:p>
    <w:p w14:paraId="547E4CD7" w14:textId="7812CFC2" w:rsidR="00C64335" w:rsidRPr="00F84C77" w:rsidRDefault="00802160" w:rsidP="00C64335">
      <w:pPr>
        <w:pStyle w:val="Heading1"/>
      </w:pPr>
      <w:bookmarkStart w:id="5" w:name="_Toc43309112"/>
      <w:r>
        <w:t>МАКРО ИКОНОМИЧЕСКИ ИНДИКАТОРИ И АНАЛИЗ НА ТЪРСЕНЕТО</w:t>
      </w:r>
      <w:bookmarkEnd w:id="5"/>
    </w:p>
    <w:p w14:paraId="0C56C4CD" w14:textId="77777777" w:rsidR="00C64335" w:rsidRDefault="00C64335" w:rsidP="00C64335"/>
    <w:p w14:paraId="7FB9E173" w14:textId="77777777" w:rsidR="00CC5B84" w:rsidRPr="003A6A26" w:rsidRDefault="00CC5B84" w:rsidP="00CC5B84">
      <w:pPr>
        <w:pStyle w:val="Heading2"/>
      </w:pPr>
      <w:bookmarkStart w:id="6" w:name="_Toc13831900"/>
      <w:bookmarkStart w:id="7" w:name="_Toc43309113"/>
      <w:r>
        <w:t>Макроикономически индикатори</w:t>
      </w:r>
      <w:bookmarkEnd w:id="6"/>
      <w:bookmarkEnd w:id="7"/>
      <w:r>
        <w:t xml:space="preserve"> </w:t>
      </w:r>
      <w:r w:rsidRPr="003A6A26">
        <w:t xml:space="preserve">   </w:t>
      </w:r>
    </w:p>
    <w:p w14:paraId="59C4C5A0" w14:textId="77777777" w:rsidR="005D066F" w:rsidRDefault="005D066F" w:rsidP="00CC5B84">
      <w:pPr>
        <w:pStyle w:val="MoIBody"/>
      </w:pPr>
    </w:p>
    <w:p w14:paraId="3173C428" w14:textId="59D9474F" w:rsidR="00CC5B84" w:rsidRDefault="00CC5B84" w:rsidP="00CC5B84">
      <w:pPr>
        <w:pStyle w:val="MoIBody"/>
      </w:pPr>
      <w:r>
        <w:t>Макро-икономическите индикатори и тяхната прогноза са ва</w:t>
      </w:r>
      <w:r w:rsidR="00802160">
        <w:t>жен елемент при изготвяне на финансови анализи</w:t>
      </w:r>
      <w:r>
        <w:t>, защото чрез тях се определят ценовите корекции и достоверността на п</w:t>
      </w:r>
      <w:r w:rsidR="00802160">
        <w:t xml:space="preserve">рогнозите за референтния период, както и настоящата стойност на различни показатели - </w:t>
      </w:r>
      <w:r w:rsidR="00D27DCE">
        <w:t>инвестиции</w:t>
      </w:r>
      <w:r w:rsidR="00802160">
        <w:t>, приходи, разходи, печалба и др.</w:t>
      </w:r>
    </w:p>
    <w:p w14:paraId="6CDE6184" w14:textId="3AC5E638" w:rsidR="005D066F" w:rsidRDefault="00802160" w:rsidP="00CC5B84">
      <w:pPr>
        <w:pStyle w:val="MoIBody"/>
      </w:pPr>
      <w:r>
        <w:t xml:space="preserve">Характерно за настоящия момент е необходимостта от корекции на изготвените вече средно срочни прогнози на национално и международно ниво, в резултат на пандемията от </w:t>
      </w:r>
      <w:r>
        <w:rPr>
          <w:lang w:val="en-US"/>
        </w:rPr>
        <w:t>COVID 19</w:t>
      </w:r>
      <w:r>
        <w:t>, която наложи преоценка и промяна в стойностите на повечето от тях.</w:t>
      </w:r>
    </w:p>
    <w:p w14:paraId="750F76EB" w14:textId="022EB753"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Този анализ и прогнозата са направени на база официални статистически данни от НСИ</w:t>
      </w:r>
      <w:r w:rsidRPr="000E36B7">
        <w:rPr>
          <w:rFonts w:ascii="Times New Roman" w:eastAsiaTheme="minorHAnsi" w:hAnsi="Times New Roman"/>
          <w:szCs w:val="24"/>
          <w:vertAlign w:val="superscript"/>
        </w:rPr>
        <w:footnoteReference w:id="5"/>
      </w:r>
      <w:r w:rsidRPr="000E36B7">
        <w:rPr>
          <w:rFonts w:ascii="Times New Roman" w:eastAsiaTheme="minorHAnsi" w:hAnsi="Times New Roman"/>
          <w:szCs w:val="24"/>
        </w:rPr>
        <w:t>, Конвергентна програма на Правителството 2019-2022</w:t>
      </w:r>
      <w:r w:rsidRPr="000E36B7">
        <w:rPr>
          <w:rFonts w:ascii="Times New Roman" w:eastAsiaTheme="minorHAnsi" w:hAnsi="Times New Roman"/>
          <w:szCs w:val="24"/>
          <w:vertAlign w:val="superscript"/>
        </w:rPr>
        <w:footnoteReference w:id="6"/>
      </w:r>
      <w:r w:rsidRPr="000E36B7">
        <w:rPr>
          <w:rFonts w:ascii="Times New Roman" w:eastAsiaTheme="minorHAnsi" w:hAnsi="Times New Roman"/>
          <w:szCs w:val="24"/>
        </w:rPr>
        <w:t xml:space="preserve"> и лидера в икономическите анализи </w:t>
      </w:r>
      <w:r w:rsidRPr="000E36B7">
        <w:rPr>
          <w:rFonts w:ascii="Times New Roman" w:eastAsiaTheme="minorHAnsi" w:hAnsi="Times New Roman"/>
          <w:szCs w:val="24"/>
          <w:lang w:val="en-US"/>
        </w:rPr>
        <w:t>Focus Economics</w:t>
      </w:r>
      <w:r w:rsidRPr="000E36B7">
        <w:rPr>
          <w:rFonts w:ascii="Times New Roman" w:eastAsiaTheme="minorHAnsi" w:hAnsi="Times New Roman"/>
          <w:szCs w:val="24"/>
          <w:vertAlign w:val="superscript"/>
          <w:lang w:val="en-US"/>
        </w:rPr>
        <w:footnoteReference w:id="7"/>
      </w:r>
      <w:r w:rsidRPr="000E36B7">
        <w:rPr>
          <w:rFonts w:ascii="Times New Roman" w:eastAsiaTheme="minorHAnsi" w:hAnsi="Times New Roman"/>
          <w:szCs w:val="24"/>
        </w:rPr>
        <w:t>.</w:t>
      </w:r>
    </w:p>
    <w:p w14:paraId="6D520B15"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rPr>
        <w:t>К</w:t>
      </w:r>
      <w:r w:rsidRPr="000E36B7">
        <w:rPr>
          <w:rFonts w:ascii="Times New Roman" w:eastAsiaTheme="minorHAnsi" w:hAnsi="Times New Roman"/>
          <w:szCs w:val="24"/>
          <w:lang w:val="en-US"/>
        </w:rPr>
        <w:t>онвергентната програма на Република България очертава основните политики за поддържане на макроикономическа и фискална стабилност на страната с цел създаване на условия за икономически растеж.</w:t>
      </w:r>
    </w:p>
    <w:p w14:paraId="7F80232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На база тези документи е направен анализ на представените макро индикатори за последните 6 години:</w:t>
      </w:r>
    </w:p>
    <w:tbl>
      <w:tblPr>
        <w:tblW w:w="9540" w:type="dxa"/>
        <w:tblInd w:w="-5" w:type="dxa"/>
        <w:tblLook w:val="04A0" w:firstRow="1" w:lastRow="0" w:firstColumn="1" w:lastColumn="0" w:noHBand="0" w:noVBand="1"/>
      </w:tblPr>
      <w:tblGrid>
        <w:gridCol w:w="3420"/>
        <w:gridCol w:w="1020"/>
        <w:gridCol w:w="1020"/>
        <w:gridCol w:w="1020"/>
        <w:gridCol w:w="1020"/>
        <w:gridCol w:w="1020"/>
        <w:gridCol w:w="1020"/>
      </w:tblGrid>
      <w:tr w:rsidR="000E36B7" w:rsidRPr="000E36B7" w14:paraId="4C5196D0"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71D293F8"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Макро индикатори</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36837F7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2014</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6DBDC122"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2015</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23A72B71"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2016</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5F3A4BB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2017</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5A779820"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2018</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3913EC00"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2019</w:t>
            </w:r>
          </w:p>
        </w:tc>
      </w:tr>
      <w:tr w:rsidR="000E36B7" w:rsidRPr="000E36B7" w14:paraId="320A99D3"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1138918"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Неселение в млн.</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57F4E4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FEA339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6C9D3C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7CDCA9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CE2BCA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16C47C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6,95</w:t>
            </w:r>
          </w:p>
        </w:tc>
      </w:tr>
      <w:tr w:rsidR="000E36B7" w:rsidRPr="000E36B7" w14:paraId="7CBAF353"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BBC092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БВП на  глава от населението (EUR)</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B7BF7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5 946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F38694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6 384</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22AD19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6 846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FB71B5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7 419</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EA0CD1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8 012</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9E9E31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8 680</w:t>
            </w:r>
          </w:p>
        </w:tc>
      </w:tr>
      <w:tr w:rsidR="000E36B7" w:rsidRPr="000E36B7" w14:paraId="4D43549D"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B15B9E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БВП реално измерение ( bln EUR)</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B89AB6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42,8</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B81A27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45,7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742F92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48,6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F5D87D1"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52,3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2302250"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56,1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BA1122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60,7</w:t>
            </w:r>
          </w:p>
        </w:tc>
      </w:tr>
      <w:tr w:rsidR="000E36B7" w:rsidRPr="000E36B7" w14:paraId="6C793AB7"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B11E613"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proofErr w:type="gramStart"/>
            <w:r w:rsidRPr="000E36B7">
              <w:rPr>
                <w:rFonts w:ascii="Calibri" w:eastAsia="Times New Roman" w:hAnsi="Calibri" w:cs="Calibri"/>
                <w:color w:val="000000"/>
                <w:sz w:val="22"/>
                <w:lang w:val="en-US"/>
              </w:rPr>
              <w:t>ръст</w:t>
            </w:r>
            <w:proofErr w:type="gramEnd"/>
            <w:r w:rsidRPr="000E36B7">
              <w:rPr>
                <w:rFonts w:ascii="Calibri" w:eastAsia="Times New Roman" w:hAnsi="Calibri" w:cs="Calibri"/>
                <w:color w:val="000000"/>
                <w:sz w:val="22"/>
                <w:lang w:val="en-US"/>
              </w:rPr>
              <w:t xml:space="preserve"> на БВП  (%)</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8B434F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613EF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1BAB73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313BF7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A586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4347BA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3,4</w:t>
            </w:r>
          </w:p>
        </w:tc>
      </w:tr>
      <w:tr w:rsidR="000E36B7" w:rsidRPr="000E36B7" w14:paraId="644ADBA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1CE786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Безработица (%)</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8ED5C2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10,4</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4F65855"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9A79C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E3A421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C05A0A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EF1FB8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3,9</w:t>
            </w:r>
          </w:p>
        </w:tc>
      </w:tr>
      <w:tr w:rsidR="000E36B7" w:rsidRPr="000E36B7" w14:paraId="197484C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6D99AAB"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Фискален баланс  (в % от БВП)</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50F556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84C54F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-11,7</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646DE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0,1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EDA3A60"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4FE327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6E2E4E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 -1,1</w:t>
            </w:r>
          </w:p>
        </w:tc>
      </w:tr>
      <w:tr w:rsidR="000E36B7" w:rsidRPr="000E36B7" w14:paraId="3EF99F9F"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616A0BC"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Публичен дълг (в % от БВП)</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2108FD"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762B0B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0216D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81736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25,3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A3543C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22,3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8772CA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 26,3</w:t>
            </w:r>
          </w:p>
        </w:tc>
      </w:tr>
      <w:tr w:rsidR="000E36B7" w:rsidRPr="000E36B7" w14:paraId="3ABE9BBB"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96D6823"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Годишна инфлация (%)</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4540C43B"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-1,42</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60B4EA24"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-0,1</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178757B3"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-0,8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14:paraId="3E3C21BA"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14:paraId="23E6C326"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66D955D4"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1,8</w:t>
            </w:r>
          </w:p>
        </w:tc>
      </w:tr>
      <w:tr w:rsidR="000E36B7" w:rsidRPr="000E36B7" w14:paraId="7ADAE1F2"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D69161F"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Валутен курс</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3827E2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02E5E4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E4C2C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C105FF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B3DAE1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84C86C5"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r>
      <w:tr w:rsidR="000E36B7" w:rsidRPr="000E36B7" w14:paraId="09F9B046"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A1AEB76"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lastRenderedPageBreak/>
              <w:t>Външно търговски баланс</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5C7F31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2C5C8C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8B3FA5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B98C8F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-0,8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F622C8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541D6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-3,3</w:t>
            </w:r>
          </w:p>
        </w:tc>
      </w:tr>
      <w:tr w:rsidR="000E36B7" w:rsidRPr="000E36B7" w14:paraId="3DB6CB0C"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AEC207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Внос ( bln EUR)</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FA5F6B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CF72FA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21,9</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1ED3EE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593780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570FA1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A3711E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29,9</w:t>
            </w:r>
          </w:p>
        </w:tc>
      </w:tr>
      <w:tr w:rsidR="000E36B7" w:rsidRPr="000E36B7" w14:paraId="466D9C7E"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8985611"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Износ ( bln EUR)</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72A815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4B01B01"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24,5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08C4B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24,1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6F61AB"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27,7</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602B80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15A0B3B"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33,2</w:t>
            </w:r>
          </w:p>
        </w:tc>
      </w:tr>
      <w:tr w:rsidR="000E36B7" w:rsidRPr="000E36B7" w14:paraId="30B6B87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619613E"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Външен дълг  (в % от БВП)</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6B46EB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26,97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307A78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7B2284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8C0F86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25,6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E06468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1CBC0F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21,3</w:t>
            </w:r>
          </w:p>
        </w:tc>
      </w:tr>
    </w:tbl>
    <w:p w14:paraId="6CCFAD6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През последното тримесечие на 2019 година икономиката е нараснала, измерена чрез ръста на БВП, с 3.1% на годишна база, намалявайки с 0.4 процентни пункта спрямо предварителната оценка и забавяйки се от ревизираното разширяване с 3.2% за предходното тримесечие, според изчерпателни данни, публикувани от Националния статистически институт. Междувременно, ръстът в сезонно изгладени условия се увеличи до ревизираните 0.8%. Резултатът от четвъртото тримесечие носи ръст за цялата година до 2019 г. до 3,4%, в сравнение с 3,1% разширение през 2018 г.</w:t>
      </w:r>
    </w:p>
    <w:p w14:paraId="763D4CF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Общото потребление се е засилило с  6,3% за последното тримесечие на 2019г., главно благодарение на динамичните разходи на домакинствата на фона на изключително стегнат пазар на труда, подобряване на доверието на потребителите и силен растеж на заплатите. Нещо повече, фиксираните инвестиции набраха сила през четвъртото тримесечие, като нараснаха с 3.0% на годишна база, вероятно поради силен приток на средства от ЕС.</w:t>
      </w:r>
    </w:p>
    <w:p w14:paraId="28BFAC2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От друга страна, външният сектор отслабва, най-вероятно поради смущения в европейската верига на доставки, слаба икономика на ЕС и недобросъвестно отчетени резултати на индустриалния сектор. Износът на стоки и услуги спадна с 0,4% на годишна база и вносът също се понижи с 0,2%.</w:t>
      </w:r>
    </w:p>
    <w:p w14:paraId="5C3D1695"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lang w:val="en-US"/>
        </w:rPr>
        <w:t xml:space="preserve">Устойчивият икономически растеж и създаването на работни места в икономиката през 2019 г. допринесоха за увеличението на коефициентите на заетост и на икономическа активност на населението (15-64 г.) до исторически най-високите им стойности от съответно 67.7% и 71.5%. </w:t>
      </w:r>
      <w:proofErr w:type="gramStart"/>
      <w:r w:rsidRPr="000E36B7">
        <w:rPr>
          <w:rFonts w:ascii="Times New Roman" w:eastAsiaTheme="minorHAnsi" w:hAnsi="Times New Roman"/>
          <w:szCs w:val="24"/>
          <w:lang w:val="en-US"/>
        </w:rPr>
        <w:t>Това се осъществи в условията на негативно демографско развитие, което има ограничаващо влияние и върху предлагането на труд в страната.</w:t>
      </w:r>
      <w:proofErr w:type="gramEnd"/>
      <w:r w:rsidRPr="000E36B7">
        <w:rPr>
          <w:rFonts w:ascii="Times New Roman" w:eastAsiaTheme="minorHAnsi" w:hAnsi="Times New Roman"/>
          <w:szCs w:val="24"/>
          <w:lang w:val="en-US"/>
        </w:rPr>
        <w:t xml:space="preserve"> Повишението на икономическа активност на трудоспособното население през изминалата година се дължи изцяло на лицата във възрастовите групи 45-54 г. и 55-64 г., което отразява застаряването на работната сила, но така също и провежданата целенасочена политика в подкрепа на уязвимите групи на пазара на труда, както и пенсионната реформа, една от целите на която е по-дългото оставане на пазара на труда. Последните две възрастови групи </w:t>
      </w:r>
      <w:r w:rsidRPr="000E36B7">
        <w:rPr>
          <w:rFonts w:ascii="Times New Roman" w:eastAsiaTheme="minorHAnsi" w:hAnsi="Times New Roman"/>
          <w:szCs w:val="24"/>
        </w:rPr>
        <w:t xml:space="preserve">са </w:t>
      </w:r>
      <w:r w:rsidRPr="000E36B7">
        <w:rPr>
          <w:rFonts w:ascii="Times New Roman" w:eastAsiaTheme="minorHAnsi" w:hAnsi="Times New Roman"/>
          <w:szCs w:val="24"/>
          <w:lang w:val="en-US"/>
        </w:rPr>
        <w:t>оказали  най-голямо влияние за общото повишение на коефициента на заетост (15-64 г.), въпреки че слабо нарастване се наблюдаваше и при лицата между 25-34 г. и 35-44 г., но то е свързано с по-големия спад на населението в сравнение с намалението в броя на заетите</w:t>
      </w:r>
      <w:r w:rsidRPr="000E36B7">
        <w:rPr>
          <w:rFonts w:ascii="Times New Roman" w:eastAsiaTheme="minorHAnsi" w:hAnsi="Times New Roman"/>
          <w:szCs w:val="24"/>
        </w:rPr>
        <w:t>.</w:t>
      </w:r>
    </w:p>
    <w:p w14:paraId="2E9842F9"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 xml:space="preserve">През тази година инерцията се улеснява, тъй като намаленият растеж на работни места ще ограничи растежа на потребителските разходи. Това каза, че отбелязаното увеличение на заплатите ще поддържа динамиката на разходите, докато инвестиционната активност ще се засили на фона на увеличаване на усвояването на средства от ЕС, като ще намали </w:t>
      </w:r>
      <w:r w:rsidRPr="000E36B7">
        <w:rPr>
          <w:rFonts w:ascii="Times New Roman" w:eastAsiaTheme="minorHAnsi" w:hAnsi="Times New Roman"/>
          <w:szCs w:val="24"/>
        </w:rPr>
        <w:lastRenderedPageBreak/>
        <w:t>забавянето. Продължаващото напрежение в световната търговия, разпространението на коронавирус и слабостта в икономиката на ЕС представляват отрицателни рискове.</w:t>
      </w:r>
    </w:p>
    <w:p w14:paraId="224E1311"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rPr>
        <w:t>В началото на 2020 г. потребителските цени паднаха с 0.6% през март, което вероятно до голяма степен е отражение на по-ниските цени на транспорта; рекреации и култура; комуникации; и облекло и обувки.</w:t>
      </w:r>
      <w:r w:rsidRPr="000E36B7">
        <w:rPr>
          <w:rFonts w:asciiTheme="minorHAnsi" w:eastAsiaTheme="minorHAnsi" w:hAnsiTheme="minorHAnsi" w:cstheme="minorBidi"/>
          <w:sz w:val="22"/>
          <w:lang w:val="en-US"/>
        </w:rPr>
        <w:t xml:space="preserve"> </w:t>
      </w:r>
      <w:r w:rsidRPr="000E36B7">
        <w:rPr>
          <w:rFonts w:ascii="Times New Roman" w:eastAsiaTheme="minorHAnsi" w:hAnsi="Times New Roman"/>
          <w:szCs w:val="24"/>
        </w:rPr>
        <w:t>Междувременно инфлацията се понижи до 3,0% с очаквания за средна годишна инфлация от 3,2%.</w:t>
      </w:r>
    </w:p>
    <w:p w14:paraId="283E2707"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 xml:space="preserve">Икономиката започна 2020 година с мека нотка, след ръст в инвестиции и износ, спрямо последното тримесечие на 2019. Индустриалното производство има лек спад, типичен  за първо тримесечие , а равнището на безработица се повиши през март.  </w:t>
      </w:r>
    </w:p>
    <w:p w14:paraId="736C05B1"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Негативните тенденции в края на първото тримесечие на 2020г могат да се обяснят с появата на коронавирус в Европа и България и предприетите мерки за овладяване на силно намалената активност. В отговор правителството прие мерки в размер на 2,3 милиарда евро за смекчаване на кризата. Пакетът включва държавни гарантирани бизнес заеми; забавеното плащане на корпоративния данък; предоставяне на безлихвени заеми на работниците и изплащане от държавата на компенсации на служители, които в противен случай биха могли да бъдат уволнени. В резултат  на 30 март Правителството представи на Парламента бюджетен дефицит от 2,9% от БВП за 2020 г.</w:t>
      </w:r>
    </w:p>
    <w:p w14:paraId="12234274"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lang w:val="en-US"/>
        </w:rPr>
        <w:t>В периода 2020-2022 г. растежът на заетостта се очаква да отслабне и постепенно да премине към намаление от 0.1% през 2021 г. и 0.3% през 2022 г. Това ще бъде повлияно от ограниченията от страна на предлагането на труд, обусловени както от негативните демографски тенденции и намалението на работната сила, така и от бързото изчерпване на свободния трудов ресурс от безработни и лица извън работната сила (обезкуражени), които най-бързо биха могли да задоволят търсенето на труд. Коефициентът на безработица ще запази тенденцията на намаление, която ще се реализира с все по-бавни темпове до достигане на около 4% през 2021–2022 г. В условията на спад на населението и на работната сила, коефициентът на икономическа активност (15-64 г.) ще продължи да се повишава до 74.5%</w:t>
      </w:r>
      <w:r w:rsidRPr="000E36B7">
        <w:rPr>
          <w:rFonts w:ascii="Times New Roman" w:eastAsiaTheme="minorHAnsi" w:hAnsi="Times New Roman"/>
          <w:szCs w:val="24"/>
        </w:rPr>
        <w:t xml:space="preserve"> до края на 2022 г., след което прогнозата ще се запази до края на прогнозния период</w:t>
      </w:r>
      <w:r w:rsidRPr="000E36B7">
        <w:rPr>
          <w:rFonts w:ascii="Times New Roman" w:eastAsiaTheme="minorHAnsi" w:hAnsi="Times New Roman"/>
          <w:szCs w:val="24"/>
          <w:lang w:val="en-US"/>
        </w:rPr>
        <w:t xml:space="preserve">. </w:t>
      </w:r>
    </w:p>
    <w:p w14:paraId="6DB90606"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Прогнозите за ръста на доходите от труд ще претърпят известно отлагане във връзка с икономическата криза, заради коронавируса. Най вероятно ще достигнат планираните стойности за 2022г. едва в началото на 2025г., като за държавния сектор това ще се случи по-рано, вероятно още в края  на 2023г.</w:t>
      </w:r>
    </w:p>
    <w:p w14:paraId="6E29029F"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Ръста на инфлацията се влияе основно от динамиката на цените на суровините на международните пазари и вътрешното потребление. И за двете безспорно  ще има  намаление през 2020г. и вероятно планираните нива в Конвергетната програма ще бъдат достигнати до 2025г.</w:t>
      </w:r>
    </w:p>
    <w:p w14:paraId="36568413" w14:textId="5368369A" w:rsid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lastRenderedPageBreak/>
        <w:t>За обективност на прогнозите е направено допускането, че в края на 2023 ще се постигнат заложените в алтернативния сценарий на Правителството стойности на макро индикаторите и след 2027 те ще запазят стойностите си до края на 2030г.</w:t>
      </w:r>
    </w:p>
    <w:p w14:paraId="60038CAF" w14:textId="7C0A081B"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Pr>
          <w:rFonts w:ascii="Times New Roman" w:eastAsiaTheme="minorHAnsi" w:hAnsi="Times New Roman"/>
          <w:szCs w:val="24"/>
        </w:rPr>
        <w:t>След 2030г. ръста на БВП ще намалее до 2,8%, а след 2040г. ще има стойности равни на дългосрочните прогнози за страните от ЕС, а именно 2,2%.</w:t>
      </w:r>
    </w:p>
    <w:p w14:paraId="551DD061" w14:textId="77777777" w:rsidR="000E36B7" w:rsidRPr="00802160" w:rsidRDefault="000E36B7" w:rsidP="00CC5B84">
      <w:pPr>
        <w:pStyle w:val="MoIBody"/>
      </w:pPr>
    </w:p>
    <w:p w14:paraId="4138FDFC" w14:textId="77777777" w:rsidR="001A0249" w:rsidRPr="001A0249" w:rsidRDefault="001A0249" w:rsidP="005F23D7">
      <w:pPr>
        <w:keepNext/>
        <w:suppressAutoHyphens w:val="0"/>
        <w:spacing w:before="240" w:after="0" w:line="360" w:lineRule="auto"/>
        <w:outlineLvl w:val="3"/>
        <w:rPr>
          <w:rFonts w:ascii="Times New Roman" w:hAnsi="Times New Roman"/>
          <w:b/>
          <w:color w:val="0063B8"/>
          <w:u w:val="single"/>
        </w:rPr>
      </w:pPr>
      <w:r w:rsidRPr="001A0249">
        <w:rPr>
          <w:rFonts w:ascii="Times New Roman" w:hAnsi="Times New Roman"/>
          <w:b/>
          <w:color w:val="0063B8"/>
          <w:u w:val="single"/>
        </w:rPr>
        <w:t xml:space="preserve">Брутeн вътрешен продукт </w:t>
      </w:r>
    </w:p>
    <w:p w14:paraId="42748304" w14:textId="77777777" w:rsidR="001A0249" w:rsidRDefault="001A0249" w:rsidP="00264397">
      <w:pPr>
        <w:pStyle w:val="MoIBody"/>
      </w:pPr>
      <w:r w:rsidRPr="001A0249">
        <w:t>В периода от 2011 до 2018 г. БВП на България расте постоянно и достига 107,92 млрд. лв. в текущи цени през последната година. През първото тримесечие на 2019 г. брутният вътрешен продукт (БВП)  възлиза на 24 656 млн. лв. по текущи цени. Преизчислен в евро, БВП е съответно 12 606 млн., като на човек от населението се падат 1 801 евро. Сезонно изгладените данни показват растеж от 3.5% на БВП през първото тримесечие на 2019 г. в сравнение със съответното тримесечие на предходната година и 1.2% спрямо четвъртото тримесечие на 2018 година. За прогнозите, обаче са важни  годишните нива и темпа на прираста, който се очертава.</w:t>
      </w:r>
    </w:p>
    <w:p w14:paraId="0AD2FB76" w14:textId="77777777" w:rsidR="001A0249" w:rsidRPr="00EF19E4" w:rsidRDefault="001A0249" w:rsidP="00E32CAB">
      <w:pPr>
        <w:suppressAutoHyphens w:val="0"/>
        <w:spacing w:before="240" w:after="0" w:line="360" w:lineRule="auto"/>
        <w:rPr>
          <w:rFonts w:ascii="Times New Roman" w:hAnsi="Times New Roman"/>
          <w:sz w:val="22"/>
        </w:rPr>
      </w:pPr>
      <w:bookmarkStart w:id="8" w:name="_Toc491687410"/>
      <w:bookmarkStart w:id="9" w:name="_Toc497819653"/>
      <w:r w:rsidRPr="00EF19E4">
        <w:rPr>
          <w:rFonts w:ascii="Times New Roman" w:hAnsi="Times New Roman"/>
          <w:b/>
          <w:bCs/>
          <w:smallCaps/>
          <w:color w:val="4F81BD"/>
          <w:sz w:val="22"/>
        </w:rPr>
        <w:t xml:space="preserve">Таблица </w:t>
      </w:r>
      <w:r w:rsidR="00E071DD" w:rsidRPr="00EF19E4">
        <w:rPr>
          <w:rFonts w:ascii="Times New Roman" w:hAnsi="Times New Roman"/>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sz w:val="22"/>
        </w:rPr>
        <w:fldChar w:fldCharType="end"/>
      </w:r>
      <w:r w:rsidRPr="00EF19E4">
        <w:rPr>
          <w:rFonts w:ascii="Times New Roman" w:hAnsi="Times New Roman"/>
          <w:b/>
          <w:bCs/>
          <w:smallCaps/>
          <w:color w:val="4F81BD"/>
          <w:sz w:val="22"/>
        </w:rPr>
        <w:noBreakHyphen/>
        <w:t>1: Годишен ръст на БВП</w:t>
      </w:r>
      <w:bookmarkEnd w:id="8"/>
      <w:bookmarkEnd w:id="9"/>
    </w:p>
    <w:tbl>
      <w:tblPr>
        <w:tblW w:w="9526" w:type="dxa"/>
        <w:tblInd w:w="-10" w:type="dxa"/>
        <w:tblLook w:val="04A0" w:firstRow="1" w:lastRow="0" w:firstColumn="1" w:lastColumn="0" w:noHBand="0" w:noVBand="1"/>
      </w:tblPr>
      <w:tblGrid>
        <w:gridCol w:w="1701"/>
        <w:gridCol w:w="709"/>
        <w:gridCol w:w="851"/>
        <w:gridCol w:w="708"/>
        <w:gridCol w:w="709"/>
        <w:gridCol w:w="709"/>
        <w:gridCol w:w="709"/>
        <w:gridCol w:w="708"/>
        <w:gridCol w:w="681"/>
        <w:gridCol w:w="681"/>
        <w:gridCol w:w="683"/>
        <w:gridCol w:w="677"/>
      </w:tblGrid>
      <w:tr w:rsidR="001A0249" w:rsidRPr="001A0249" w14:paraId="346FD76D" w14:textId="77777777" w:rsidTr="001A0249">
        <w:trPr>
          <w:trHeight w:val="300"/>
        </w:trPr>
        <w:tc>
          <w:tcPr>
            <w:tcW w:w="1701" w:type="dxa"/>
            <w:tcBorders>
              <w:top w:val="single" w:sz="8" w:space="0" w:color="auto"/>
              <w:left w:val="single" w:sz="8" w:space="0" w:color="auto"/>
              <w:bottom w:val="single" w:sz="8" w:space="0" w:color="auto"/>
              <w:right w:val="single" w:sz="8" w:space="0" w:color="auto"/>
            </w:tcBorders>
            <w:shd w:val="clear" w:color="auto" w:fill="ACB9CA" w:themeFill="text2" w:themeFillTint="66"/>
            <w:tcMar>
              <w:left w:w="28" w:type="dxa"/>
              <w:right w:w="28" w:type="dxa"/>
            </w:tcMar>
            <w:vAlign w:val="center"/>
            <w:hideMark/>
          </w:tcPr>
          <w:p w14:paraId="5B058A86" w14:textId="77777777" w:rsidR="001A0249" w:rsidRPr="001A0249" w:rsidRDefault="001A0249" w:rsidP="00D16283">
            <w:pPr>
              <w:suppressAutoHyphens w:val="0"/>
              <w:spacing w:after="0" w:line="276" w:lineRule="auto"/>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БВП (реален)</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EA01A68"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2008</w:t>
            </w:r>
          </w:p>
        </w:tc>
        <w:tc>
          <w:tcPr>
            <w:tcW w:w="85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5F21FEEA"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2009</w:t>
            </w:r>
          </w:p>
        </w:tc>
        <w:tc>
          <w:tcPr>
            <w:tcW w:w="708"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363D5005"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2010</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693390B4"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2011</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A432EC4"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2012</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E660C30"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2013</w:t>
            </w:r>
          </w:p>
        </w:tc>
        <w:tc>
          <w:tcPr>
            <w:tcW w:w="708"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2BEE785D"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2014</w:t>
            </w:r>
          </w:p>
        </w:tc>
        <w:tc>
          <w:tcPr>
            <w:tcW w:w="68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68C430D"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2015</w:t>
            </w:r>
          </w:p>
        </w:tc>
        <w:tc>
          <w:tcPr>
            <w:tcW w:w="68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DF53D8F"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2016</w:t>
            </w:r>
          </w:p>
        </w:tc>
        <w:tc>
          <w:tcPr>
            <w:tcW w:w="683"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44479042"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2017</w:t>
            </w:r>
          </w:p>
        </w:tc>
        <w:tc>
          <w:tcPr>
            <w:tcW w:w="677"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087610D1"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2018</w:t>
            </w:r>
          </w:p>
        </w:tc>
      </w:tr>
      <w:tr w:rsidR="001A0249" w:rsidRPr="001A0249" w14:paraId="2D629FB7" w14:textId="77777777" w:rsidTr="001A0249">
        <w:trPr>
          <w:trHeight w:val="300"/>
        </w:trPr>
        <w:tc>
          <w:tcPr>
            <w:tcW w:w="1701"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1A83E99" w14:textId="77777777" w:rsidR="001A0249" w:rsidRPr="001A0249" w:rsidRDefault="001A0249" w:rsidP="00D16283">
            <w:pPr>
              <w:suppressAutoHyphens w:val="0"/>
              <w:spacing w:line="276" w:lineRule="auto"/>
              <w:rPr>
                <w:rFonts w:ascii="Times New Roman" w:hAnsi="Times New Roman"/>
                <w:color w:val="000000"/>
                <w:sz w:val="20"/>
                <w:szCs w:val="18"/>
                <w:lang w:val="en-US"/>
              </w:rPr>
            </w:pPr>
            <w:r w:rsidRPr="001A0249">
              <w:rPr>
                <w:rFonts w:ascii="Times New Roman" w:hAnsi="Times New Roman"/>
                <w:color w:val="000000"/>
                <w:sz w:val="20"/>
                <w:szCs w:val="18"/>
                <w:lang w:val="en-US"/>
              </w:rPr>
              <w:t>Годишен ръст в %</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7650CA"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6.00%</w:t>
            </w:r>
          </w:p>
        </w:tc>
        <w:tc>
          <w:tcPr>
            <w:tcW w:w="85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6541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-3.60%</w:t>
            </w:r>
          </w:p>
        </w:tc>
        <w:tc>
          <w:tcPr>
            <w:tcW w:w="708"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4AFD4"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1.30%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A17B4"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1.90%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1C3D5F"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0.00%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B04FB"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0.90%</w:t>
            </w:r>
          </w:p>
        </w:tc>
        <w:tc>
          <w:tcPr>
            <w:tcW w:w="708"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AAF61E"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1.30%</w:t>
            </w:r>
          </w:p>
        </w:tc>
        <w:tc>
          <w:tcPr>
            <w:tcW w:w="68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083B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3.60%</w:t>
            </w:r>
          </w:p>
        </w:tc>
        <w:tc>
          <w:tcPr>
            <w:tcW w:w="68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B9BA6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3.40%</w:t>
            </w:r>
          </w:p>
        </w:tc>
        <w:tc>
          <w:tcPr>
            <w:tcW w:w="683"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0E0BA"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3.80%</w:t>
            </w:r>
          </w:p>
        </w:tc>
        <w:tc>
          <w:tcPr>
            <w:tcW w:w="677"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A1B3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3.10%</w:t>
            </w:r>
          </w:p>
        </w:tc>
      </w:tr>
    </w:tbl>
    <w:p w14:paraId="3B95F2B1" w14:textId="77777777" w:rsidR="001A0249" w:rsidRPr="00E32CAB" w:rsidRDefault="001A0249" w:rsidP="001A0249">
      <w:pPr>
        <w:suppressAutoHyphens w:val="0"/>
        <w:rPr>
          <w:rFonts w:ascii="Times New Roman" w:hAnsi="Times New Roman"/>
          <w:i/>
          <w:sz w:val="20"/>
          <w:szCs w:val="20"/>
          <w:lang w:val="en-US"/>
        </w:rPr>
      </w:pPr>
      <w:r w:rsidRPr="00E32CAB">
        <w:rPr>
          <w:rFonts w:ascii="Times New Roman" w:hAnsi="Times New Roman"/>
          <w:i/>
          <w:sz w:val="20"/>
          <w:szCs w:val="20"/>
        </w:rPr>
        <w:t xml:space="preserve">Източник: </w:t>
      </w:r>
      <w:r w:rsidRPr="00E32CAB">
        <w:rPr>
          <w:rFonts w:ascii="Times New Roman" w:hAnsi="Times New Roman"/>
          <w:i/>
          <w:sz w:val="20"/>
          <w:szCs w:val="20"/>
          <w:lang w:val="en-US"/>
        </w:rPr>
        <w:t xml:space="preserve">NSI </w:t>
      </w:r>
      <w:r w:rsidRPr="00E32CAB">
        <w:rPr>
          <w:rFonts w:ascii="Times New Roman" w:hAnsi="Times New Roman"/>
          <w:color w:val="0070C0"/>
          <w:sz w:val="20"/>
          <w:szCs w:val="20"/>
          <w:u w:val="single"/>
          <w:lang w:val="en-US"/>
        </w:rPr>
        <w:t>http://www.nsi.bg/bg/content/2206</w:t>
      </w:r>
      <w:r w:rsidRPr="00E32CAB">
        <w:rPr>
          <w:rFonts w:ascii="Times New Roman" w:hAnsi="Times New Roman"/>
          <w:color w:val="0070C0"/>
          <w:sz w:val="20"/>
          <w:szCs w:val="20"/>
          <w:u w:val="single"/>
        </w:rPr>
        <w:t xml:space="preserve"> </w:t>
      </w:r>
      <w:r w:rsidRPr="00E32CAB">
        <w:rPr>
          <w:rFonts w:ascii="Times New Roman" w:hAnsi="Times New Roman"/>
          <w:color w:val="0070C0"/>
          <w:sz w:val="20"/>
          <w:szCs w:val="20"/>
          <w:u w:val="single"/>
          <w:lang w:val="en-US"/>
        </w:rPr>
        <w:t>бвп-производствен-метод-национално-ниво</w:t>
      </w:r>
      <w:r w:rsidRPr="00E32CAB">
        <w:rPr>
          <w:rFonts w:ascii="Times New Roman" w:hAnsi="Times New Roman"/>
          <w:color w:val="0070C0"/>
          <w:sz w:val="20"/>
          <w:szCs w:val="20"/>
          <w:lang w:val="en-US"/>
        </w:rPr>
        <w:t xml:space="preserve"> </w:t>
      </w:r>
      <w:r w:rsidRPr="00E32CAB">
        <w:rPr>
          <w:rFonts w:ascii="Times New Roman" w:hAnsi="Times New Roman"/>
          <w:i/>
          <w:color w:val="0070C0"/>
          <w:sz w:val="20"/>
          <w:szCs w:val="20"/>
          <w:lang w:val="en-US"/>
        </w:rPr>
        <w:t xml:space="preserve">  </w:t>
      </w:r>
    </w:p>
    <w:p w14:paraId="028C4785" w14:textId="103074DB" w:rsidR="001A0249" w:rsidRDefault="001A0249" w:rsidP="00EF19E4">
      <w:pPr>
        <w:pStyle w:val="MoIBody"/>
      </w:pPr>
      <w:r w:rsidRPr="008D6E69">
        <w:t>За периода има ясно изразена тенденция на нарастване, като БВП на глава от население нараства по-бързо от общия БВП за страната, поради намаляване на населението.</w:t>
      </w:r>
    </w:p>
    <w:p w14:paraId="2DFFAB82" w14:textId="6E33C881" w:rsidR="000E36B7" w:rsidRDefault="000E36B7" w:rsidP="00EF19E4">
      <w:pPr>
        <w:pStyle w:val="MoIBody"/>
      </w:pPr>
      <w:r>
        <w:t>Отчетеният ръст на БВП за 2019г. е 3,4%, но планираният за 2020 е -2,9% и положителен ръст се очаква едва през 2024г.</w:t>
      </w:r>
    </w:p>
    <w:p w14:paraId="6944C318" w14:textId="77777777" w:rsidR="005D066F" w:rsidRPr="008D6E69" w:rsidRDefault="005D066F" w:rsidP="00EF19E4">
      <w:pPr>
        <w:pStyle w:val="MoIBody"/>
      </w:pPr>
    </w:p>
    <w:p w14:paraId="5AA07D46" w14:textId="77777777" w:rsidR="001A0249" w:rsidRPr="00EF19E4" w:rsidRDefault="001A0249" w:rsidP="00E32CAB">
      <w:pPr>
        <w:suppressAutoHyphens w:val="0"/>
        <w:spacing w:before="240" w:after="0" w:line="360" w:lineRule="auto"/>
        <w:rPr>
          <w:rFonts w:ascii="Times New Roman" w:hAnsi="Times New Roman"/>
          <w:b/>
          <w:bCs/>
          <w:smallCaps/>
          <w:color w:val="4F81BD"/>
          <w:sz w:val="22"/>
        </w:rPr>
      </w:pPr>
      <w:bookmarkStart w:id="10" w:name="_Toc491687411"/>
      <w:bookmarkStart w:id="11" w:name="_Toc497819654"/>
      <w:r w:rsidRPr="00EF19E4">
        <w:rPr>
          <w:rFonts w:ascii="Times New Roman" w:hAnsi="Times New Roman"/>
          <w:b/>
          <w:bCs/>
          <w:smallCaps/>
          <w:color w:val="4F81BD"/>
          <w:sz w:val="22"/>
        </w:rPr>
        <w:t xml:space="preserve">Таблица </w:t>
      </w:r>
      <w:r w:rsidR="00E071DD" w:rsidRPr="00EF19E4">
        <w:rPr>
          <w:rFonts w:ascii="Times New Roman" w:hAnsi="Times New Roman"/>
          <w:b/>
          <w:bCs/>
          <w:smallCaps/>
          <w:color w:val="4F81BD"/>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b/>
          <w:bCs/>
          <w:smallCaps/>
          <w:color w:val="4F81BD"/>
          <w:sz w:val="22"/>
        </w:rPr>
        <w:fldChar w:fldCharType="end"/>
      </w:r>
      <w:r w:rsidRPr="00EF19E4">
        <w:rPr>
          <w:rFonts w:ascii="Times New Roman" w:hAnsi="Times New Roman"/>
          <w:b/>
          <w:bCs/>
          <w:smallCaps/>
          <w:color w:val="4F81BD"/>
          <w:sz w:val="22"/>
        </w:rPr>
        <w:noBreakHyphen/>
        <w:t>2: БВП на България, 2011 - 2018 г.</w:t>
      </w:r>
      <w:bookmarkEnd w:id="10"/>
      <w:bookmarkEnd w:id="11"/>
      <w:r w:rsidRPr="00EF19E4">
        <w:rPr>
          <w:rFonts w:ascii="Times New Roman" w:hAnsi="Times New Roman"/>
          <w:b/>
          <w:bCs/>
          <w:smallCaps/>
          <w:color w:val="4F81BD"/>
          <w:sz w:val="22"/>
        </w:rPr>
        <w:tab/>
      </w:r>
    </w:p>
    <w:tbl>
      <w:tblPr>
        <w:tblW w:w="9072" w:type="dxa"/>
        <w:tblInd w:w="108" w:type="dxa"/>
        <w:tblLook w:val="04A0" w:firstRow="1" w:lastRow="0" w:firstColumn="1" w:lastColumn="0" w:noHBand="0" w:noVBand="1"/>
      </w:tblPr>
      <w:tblGrid>
        <w:gridCol w:w="2268"/>
        <w:gridCol w:w="851"/>
        <w:gridCol w:w="850"/>
        <w:gridCol w:w="851"/>
        <w:gridCol w:w="850"/>
        <w:gridCol w:w="851"/>
        <w:gridCol w:w="850"/>
        <w:gridCol w:w="851"/>
        <w:gridCol w:w="850"/>
      </w:tblGrid>
      <w:tr w:rsidR="001A0249" w:rsidRPr="00EF19E4" w14:paraId="7D913231" w14:textId="77777777" w:rsidTr="00EF19E4">
        <w:trPr>
          <w:trHeight w:val="292"/>
        </w:trPr>
        <w:tc>
          <w:tcPr>
            <w:tcW w:w="2268" w:type="dxa"/>
            <w:tcBorders>
              <w:top w:val="single" w:sz="8" w:space="0" w:color="auto"/>
              <w:left w:val="single" w:sz="8" w:space="0" w:color="auto"/>
              <w:bottom w:val="single" w:sz="4" w:space="0" w:color="auto"/>
              <w:right w:val="single" w:sz="4" w:space="0" w:color="auto"/>
            </w:tcBorders>
            <w:shd w:val="clear" w:color="auto" w:fill="ACB9CA" w:themeFill="text2" w:themeFillTint="66"/>
            <w:vAlign w:val="center"/>
            <w:hideMark/>
          </w:tcPr>
          <w:p w14:paraId="59F2DCF8" w14:textId="77777777" w:rsidR="001A0249" w:rsidRPr="00EF19E4" w:rsidRDefault="001A0249" w:rsidP="00D16283">
            <w:pPr>
              <w:suppressAutoHyphens w:val="0"/>
              <w:spacing w:after="0" w:line="276" w:lineRule="auto"/>
              <w:rPr>
                <w:rFonts w:ascii="Times New Roman" w:hAnsi="Times New Roman"/>
                <w:b/>
                <w:bCs/>
                <w:color w:val="000000"/>
                <w:szCs w:val="20"/>
                <w:lang w:val="en-US"/>
              </w:rPr>
            </w:pPr>
            <w:r w:rsidRPr="00EF19E4">
              <w:rPr>
                <w:rFonts w:ascii="Times New Roman" w:hAnsi="Times New Roman"/>
                <w:b/>
                <w:bCs/>
                <w:color w:val="000000"/>
                <w:sz w:val="22"/>
                <w:szCs w:val="20"/>
                <w:lang w:eastAsia="bg-BG"/>
              </w:rPr>
              <w:t>БВП/ глава от населението</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5513EE35"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2011</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78A65878"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2012</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209CDF0B"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2013</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D256EC1"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2014</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6016C012"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2015</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63D36A33"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2016</w:t>
            </w:r>
          </w:p>
        </w:tc>
        <w:tc>
          <w:tcPr>
            <w:tcW w:w="851" w:type="dxa"/>
            <w:tcBorders>
              <w:top w:val="single" w:sz="8" w:space="0" w:color="auto"/>
              <w:left w:val="nil"/>
              <w:bottom w:val="single" w:sz="4" w:space="0" w:color="auto"/>
              <w:right w:val="single" w:sz="4" w:space="0" w:color="auto"/>
            </w:tcBorders>
            <w:shd w:val="clear" w:color="auto" w:fill="ACB9CA" w:themeFill="text2" w:themeFillTint="66"/>
            <w:noWrap/>
            <w:vAlign w:val="center"/>
            <w:hideMark/>
          </w:tcPr>
          <w:p w14:paraId="409E0370"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val="en-US"/>
              </w:rPr>
              <w:t>2017</w:t>
            </w:r>
          </w:p>
        </w:tc>
        <w:tc>
          <w:tcPr>
            <w:tcW w:w="850" w:type="dxa"/>
            <w:tcBorders>
              <w:top w:val="single" w:sz="8" w:space="0" w:color="auto"/>
              <w:left w:val="nil"/>
              <w:bottom w:val="single" w:sz="4" w:space="0" w:color="auto"/>
              <w:right w:val="single" w:sz="8" w:space="0" w:color="auto"/>
            </w:tcBorders>
            <w:shd w:val="clear" w:color="auto" w:fill="ACB9CA" w:themeFill="text2" w:themeFillTint="66"/>
            <w:noWrap/>
            <w:vAlign w:val="center"/>
            <w:hideMark/>
          </w:tcPr>
          <w:p w14:paraId="08F6C286"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val="en-US"/>
              </w:rPr>
              <w:t>2018</w:t>
            </w:r>
          </w:p>
        </w:tc>
      </w:tr>
      <w:tr w:rsidR="001A0249" w:rsidRPr="00EF19E4" w14:paraId="61CD7FA3" w14:textId="77777777" w:rsidTr="00EF19E4">
        <w:trPr>
          <w:trHeight w:val="300"/>
        </w:trPr>
        <w:tc>
          <w:tcPr>
            <w:tcW w:w="2268" w:type="dxa"/>
            <w:tcBorders>
              <w:top w:val="nil"/>
              <w:left w:val="single" w:sz="8" w:space="0" w:color="auto"/>
              <w:bottom w:val="single" w:sz="8" w:space="0" w:color="auto"/>
              <w:right w:val="single" w:sz="4" w:space="0" w:color="auto"/>
            </w:tcBorders>
            <w:shd w:val="clear" w:color="auto" w:fill="auto"/>
            <w:noWrap/>
            <w:vAlign w:val="center"/>
            <w:hideMark/>
          </w:tcPr>
          <w:p w14:paraId="463F85C0" w14:textId="77777777" w:rsidR="001A0249" w:rsidRPr="00EF19E4" w:rsidRDefault="001A0249" w:rsidP="00D16283">
            <w:pPr>
              <w:suppressAutoHyphens w:val="0"/>
              <w:spacing w:after="0" w:line="276" w:lineRule="auto"/>
              <w:rPr>
                <w:rFonts w:ascii="Times New Roman" w:hAnsi="Times New Roman"/>
                <w:color w:val="000000"/>
                <w:szCs w:val="20"/>
                <w:lang w:val="en-US"/>
              </w:rPr>
            </w:pPr>
            <w:r w:rsidRPr="00EF19E4">
              <w:rPr>
                <w:rFonts w:ascii="Times New Roman" w:hAnsi="Times New Roman"/>
                <w:color w:val="000000"/>
                <w:sz w:val="22"/>
                <w:szCs w:val="20"/>
                <w:lang w:val="en-US"/>
              </w:rPr>
              <w:t>Годишна стойност в лв. текущи цени</w:t>
            </w:r>
          </w:p>
        </w:tc>
        <w:tc>
          <w:tcPr>
            <w:tcW w:w="851" w:type="dxa"/>
            <w:tcBorders>
              <w:top w:val="nil"/>
              <w:left w:val="nil"/>
              <w:bottom w:val="single" w:sz="8" w:space="0" w:color="auto"/>
              <w:right w:val="single" w:sz="4" w:space="0" w:color="auto"/>
            </w:tcBorders>
            <w:shd w:val="clear" w:color="auto" w:fill="auto"/>
            <w:vAlign w:val="center"/>
            <w:hideMark/>
          </w:tcPr>
          <w:p w14:paraId="0DFAEBA6"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10 990</w:t>
            </w:r>
          </w:p>
        </w:tc>
        <w:tc>
          <w:tcPr>
            <w:tcW w:w="850" w:type="dxa"/>
            <w:tcBorders>
              <w:top w:val="nil"/>
              <w:left w:val="nil"/>
              <w:bottom w:val="single" w:sz="8" w:space="0" w:color="auto"/>
              <w:right w:val="single" w:sz="4" w:space="0" w:color="auto"/>
            </w:tcBorders>
            <w:shd w:val="clear" w:color="auto" w:fill="auto"/>
            <w:vAlign w:val="center"/>
            <w:hideMark/>
          </w:tcPr>
          <w:p w14:paraId="6E2EEB0F"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11 229</w:t>
            </w:r>
          </w:p>
        </w:tc>
        <w:tc>
          <w:tcPr>
            <w:tcW w:w="851" w:type="dxa"/>
            <w:tcBorders>
              <w:top w:val="nil"/>
              <w:left w:val="nil"/>
              <w:bottom w:val="single" w:sz="8" w:space="0" w:color="auto"/>
              <w:right w:val="single" w:sz="4" w:space="0" w:color="auto"/>
            </w:tcBorders>
            <w:shd w:val="clear" w:color="auto" w:fill="auto"/>
            <w:vAlign w:val="center"/>
            <w:hideMark/>
          </w:tcPr>
          <w:p w14:paraId="18FCA1A7"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11 310</w:t>
            </w:r>
          </w:p>
        </w:tc>
        <w:tc>
          <w:tcPr>
            <w:tcW w:w="850" w:type="dxa"/>
            <w:tcBorders>
              <w:top w:val="nil"/>
              <w:left w:val="nil"/>
              <w:bottom w:val="single" w:sz="8" w:space="0" w:color="auto"/>
              <w:right w:val="single" w:sz="4" w:space="0" w:color="auto"/>
            </w:tcBorders>
            <w:shd w:val="clear" w:color="auto" w:fill="auto"/>
            <w:vAlign w:val="center"/>
            <w:hideMark/>
          </w:tcPr>
          <w:p w14:paraId="2ED2393E"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11 577</w:t>
            </w:r>
          </w:p>
        </w:tc>
        <w:tc>
          <w:tcPr>
            <w:tcW w:w="851" w:type="dxa"/>
            <w:tcBorders>
              <w:top w:val="nil"/>
              <w:left w:val="nil"/>
              <w:bottom w:val="single" w:sz="8" w:space="0" w:color="auto"/>
              <w:right w:val="single" w:sz="4" w:space="0" w:color="auto"/>
            </w:tcBorders>
            <w:shd w:val="clear" w:color="auto" w:fill="auto"/>
            <w:vAlign w:val="center"/>
            <w:hideMark/>
          </w:tcPr>
          <w:p w14:paraId="51EAD47E"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12 339</w:t>
            </w:r>
          </w:p>
        </w:tc>
        <w:tc>
          <w:tcPr>
            <w:tcW w:w="850" w:type="dxa"/>
            <w:tcBorders>
              <w:top w:val="nil"/>
              <w:left w:val="nil"/>
              <w:bottom w:val="single" w:sz="8" w:space="0" w:color="auto"/>
              <w:right w:val="single" w:sz="4" w:space="0" w:color="auto"/>
            </w:tcBorders>
            <w:shd w:val="clear" w:color="auto" w:fill="auto"/>
            <w:vAlign w:val="center"/>
            <w:hideMark/>
          </w:tcPr>
          <w:p w14:paraId="38E6BEDD"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12 967</w:t>
            </w:r>
          </w:p>
        </w:tc>
        <w:tc>
          <w:tcPr>
            <w:tcW w:w="851" w:type="dxa"/>
            <w:tcBorders>
              <w:top w:val="nil"/>
              <w:left w:val="nil"/>
              <w:bottom w:val="single" w:sz="8" w:space="0" w:color="auto"/>
              <w:right w:val="single" w:sz="4" w:space="0" w:color="auto"/>
            </w:tcBorders>
            <w:shd w:val="clear" w:color="auto" w:fill="auto"/>
            <w:vAlign w:val="center"/>
            <w:hideMark/>
          </w:tcPr>
          <w:p w14:paraId="0734FD01"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lang w:val="en-US"/>
              </w:rPr>
              <w:t>14 280</w:t>
            </w:r>
          </w:p>
        </w:tc>
        <w:tc>
          <w:tcPr>
            <w:tcW w:w="850" w:type="dxa"/>
            <w:tcBorders>
              <w:top w:val="nil"/>
              <w:left w:val="nil"/>
              <w:bottom w:val="single" w:sz="8" w:space="0" w:color="auto"/>
              <w:right w:val="single" w:sz="8" w:space="0" w:color="auto"/>
            </w:tcBorders>
            <w:shd w:val="clear" w:color="auto" w:fill="auto"/>
            <w:vAlign w:val="center"/>
            <w:hideMark/>
          </w:tcPr>
          <w:p w14:paraId="16DAC53D"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lang w:val="en-US"/>
              </w:rPr>
              <w:t>15 001</w:t>
            </w:r>
          </w:p>
        </w:tc>
      </w:tr>
    </w:tbl>
    <w:p w14:paraId="23A67F30" w14:textId="77777777" w:rsidR="001A0249" w:rsidRPr="00E32CAB" w:rsidRDefault="001A0249" w:rsidP="001A0249">
      <w:pPr>
        <w:widowControl w:val="0"/>
        <w:suppressAutoHyphens w:val="0"/>
        <w:rPr>
          <w:rFonts w:ascii="Times New Roman" w:hAnsi="Times New Roman"/>
          <w:i/>
          <w:sz w:val="20"/>
          <w:szCs w:val="20"/>
          <w:highlight w:val="yellow"/>
        </w:rPr>
      </w:pPr>
      <w:r w:rsidRPr="00E32CAB">
        <w:rPr>
          <w:rFonts w:ascii="Times New Roman" w:hAnsi="Times New Roman"/>
          <w:i/>
          <w:sz w:val="20"/>
          <w:szCs w:val="20"/>
        </w:rPr>
        <w:t xml:space="preserve">Източник: </w:t>
      </w:r>
      <w:r w:rsidRPr="00E32CAB">
        <w:rPr>
          <w:rFonts w:ascii="Times New Roman" w:hAnsi="Times New Roman"/>
          <w:i/>
          <w:sz w:val="20"/>
          <w:szCs w:val="20"/>
          <w:lang w:val="en-US"/>
        </w:rPr>
        <w:t>NSI</w:t>
      </w:r>
      <w:r w:rsidRPr="00E32CAB">
        <w:rPr>
          <w:rFonts w:ascii="Times New Roman" w:hAnsi="Times New Roman"/>
          <w:i/>
          <w:sz w:val="20"/>
          <w:szCs w:val="20"/>
        </w:rPr>
        <w:t xml:space="preserve"> </w:t>
      </w:r>
      <w:r w:rsidRPr="00E32CAB">
        <w:rPr>
          <w:rFonts w:ascii="Times New Roman" w:hAnsi="Times New Roman"/>
          <w:color w:val="0070C0"/>
          <w:sz w:val="20"/>
          <w:szCs w:val="20"/>
          <w:u w:val="single"/>
        </w:rPr>
        <w:t>http://www.nsi.bg/bg/content/2297 бвп-на-човек-от-населението-по-текущи-цени-в-евро-и-в-стандарт-на-покупателната</w:t>
      </w:r>
      <w:r w:rsidRPr="00E32CAB">
        <w:rPr>
          <w:rFonts w:ascii="Times New Roman" w:hAnsi="Times New Roman"/>
          <w:i/>
          <w:color w:val="0070C0"/>
          <w:sz w:val="20"/>
          <w:szCs w:val="20"/>
        </w:rPr>
        <w:t xml:space="preserve"> </w:t>
      </w:r>
    </w:p>
    <w:p w14:paraId="49A0232B" w14:textId="77777777" w:rsidR="005D066F" w:rsidRDefault="005D066F" w:rsidP="00EF19E4">
      <w:pPr>
        <w:pStyle w:val="MoIBody"/>
      </w:pPr>
    </w:p>
    <w:p w14:paraId="456A084A" w14:textId="7E628568" w:rsidR="001A0249" w:rsidRDefault="001A0249" w:rsidP="00EF19E4">
      <w:pPr>
        <w:pStyle w:val="MoIBody"/>
      </w:pPr>
      <w:r w:rsidRPr="008D6E69">
        <w:t>Министерството на финансите ежегодно публикува актуализирана краткосрочна макроикономическата прогноз</w:t>
      </w:r>
      <w:r>
        <w:t xml:space="preserve">а за четири </w:t>
      </w:r>
      <w:r w:rsidRPr="008D6E69">
        <w:t>годишен период на основните макроикономически индикатори. Последнат</w:t>
      </w:r>
      <w:r w:rsidR="00264397">
        <w:t>а публикувана</w:t>
      </w:r>
      <w:r>
        <w:t xml:space="preserve"> е за периода 2019-2022</w:t>
      </w:r>
      <w:r w:rsidRPr="008D6E69">
        <w:t xml:space="preserve"> година. </w:t>
      </w:r>
      <w:r w:rsidRPr="008D6E69">
        <w:lastRenderedPageBreak/>
        <w:t>Очакванията за реалния растеж на БВП са той да се запази на относително стабилни нива през п</w:t>
      </w:r>
      <w:r>
        <w:t>рогнозния период, като през 2020</w:t>
      </w:r>
      <w:r w:rsidRPr="008D6E69">
        <w:t xml:space="preserve"> г. слабо щ</w:t>
      </w:r>
      <w:r>
        <w:t>е се забави до 3,3</w:t>
      </w:r>
      <w:r w:rsidRPr="008D6E69">
        <w:t xml:space="preserve"> %, а за периода </w:t>
      </w:r>
      <w:r>
        <w:t xml:space="preserve">след 2020 г. ще се задържи на това ниво. </w:t>
      </w:r>
      <w:r w:rsidRPr="008D6E69">
        <w:t>В Конвергентната програма на Българското правителство има изготве</w:t>
      </w:r>
      <w:r>
        <w:t>ни краткосрочни прогнози до 2022</w:t>
      </w:r>
      <w:r w:rsidR="00264397">
        <w:t xml:space="preserve"> </w:t>
      </w:r>
      <w:r w:rsidRPr="008D6E69">
        <w:t>г.</w:t>
      </w:r>
      <w:r>
        <w:t>, а в дългосрочната прогноза е заложен незначителен спад.</w:t>
      </w:r>
    </w:p>
    <w:p w14:paraId="2A2C0D43" w14:textId="77777777" w:rsidR="005D066F" w:rsidRPr="008D6E69" w:rsidRDefault="005D066F" w:rsidP="00EF19E4">
      <w:pPr>
        <w:pStyle w:val="MoIBody"/>
      </w:pPr>
    </w:p>
    <w:p w14:paraId="0FCCCD09" w14:textId="77777777" w:rsidR="001A0249" w:rsidRPr="00EF19E4" w:rsidRDefault="001A0249" w:rsidP="00E32CAB">
      <w:pPr>
        <w:suppressAutoHyphens w:val="0"/>
        <w:spacing w:before="240" w:after="0" w:line="360" w:lineRule="auto"/>
        <w:rPr>
          <w:rFonts w:ascii="Times New Roman" w:hAnsi="Times New Roman"/>
          <w:b/>
          <w:bCs/>
          <w:smallCaps/>
          <w:color w:val="4F81BD"/>
          <w:sz w:val="22"/>
        </w:rPr>
      </w:pPr>
      <w:bookmarkStart w:id="12" w:name="_Toc491687414"/>
      <w:bookmarkStart w:id="13" w:name="_Toc497819657"/>
      <w:r w:rsidRPr="00EF19E4">
        <w:rPr>
          <w:rFonts w:ascii="Times New Roman" w:hAnsi="Times New Roman"/>
          <w:b/>
          <w:bCs/>
          <w:smallCaps/>
          <w:color w:val="4F81BD"/>
          <w:sz w:val="22"/>
        </w:rPr>
        <w:t xml:space="preserve">Таблица </w:t>
      </w:r>
      <w:r w:rsidR="00E071DD" w:rsidRPr="00EF19E4">
        <w:rPr>
          <w:rFonts w:ascii="Times New Roman" w:hAnsi="Times New Roman"/>
          <w:b/>
          <w:bCs/>
          <w:smallCaps/>
          <w:color w:val="4F81BD"/>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b/>
          <w:bCs/>
          <w:smallCaps/>
          <w:color w:val="4F81BD"/>
          <w:sz w:val="22"/>
        </w:rPr>
        <w:fldChar w:fldCharType="end"/>
      </w:r>
      <w:r w:rsidRPr="00EF19E4">
        <w:rPr>
          <w:rFonts w:ascii="Times New Roman" w:hAnsi="Times New Roman"/>
          <w:b/>
          <w:bCs/>
          <w:smallCaps/>
          <w:color w:val="4F81BD"/>
          <w:sz w:val="22"/>
        </w:rPr>
        <w:noBreakHyphen/>
        <w:t>3: Прогноза за БВП 2019-2043, България</w:t>
      </w:r>
      <w:bookmarkEnd w:id="12"/>
      <w:bookmarkEnd w:id="13"/>
    </w:p>
    <w:tbl>
      <w:tblPr>
        <w:tblW w:w="0" w:type="auto"/>
        <w:tblInd w:w="108" w:type="dxa"/>
        <w:tblLayout w:type="fixed"/>
        <w:tblLook w:val="0000" w:firstRow="0" w:lastRow="0" w:firstColumn="0" w:lastColumn="0" w:noHBand="0" w:noVBand="0"/>
      </w:tblPr>
      <w:tblGrid>
        <w:gridCol w:w="3291"/>
        <w:gridCol w:w="892"/>
        <w:gridCol w:w="892"/>
        <w:gridCol w:w="893"/>
        <w:gridCol w:w="893"/>
        <w:gridCol w:w="1816"/>
      </w:tblGrid>
      <w:tr w:rsidR="001A0249" w:rsidRPr="00EF19E4" w14:paraId="0AD81579" w14:textId="77777777" w:rsidTr="00EF19E4">
        <w:trPr>
          <w:trHeight w:val="300"/>
        </w:trPr>
        <w:tc>
          <w:tcPr>
            <w:tcW w:w="3291" w:type="dxa"/>
            <w:tcBorders>
              <w:top w:val="single" w:sz="3" w:space="0" w:color="000000"/>
              <w:left w:val="single" w:sz="3" w:space="0" w:color="000000"/>
              <w:bottom w:val="single" w:sz="3" w:space="0" w:color="000000"/>
              <w:right w:val="single" w:sz="3" w:space="0" w:color="000000"/>
            </w:tcBorders>
            <w:shd w:val="clear" w:color="auto" w:fill="ACB9CA" w:themeFill="text2" w:themeFillTint="66"/>
            <w:vAlign w:val="bottom"/>
          </w:tcPr>
          <w:p w14:paraId="3EE2970E" w14:textId="77777777" w:rsidR="001A0249" w:rsidRPr="00EF19E4" w:rsidRDefault="001A0249" w:rsidP="00D16283">
            <w:pPr>
              <w:widowControl w:val="0"/>
              <w:suppressAutoHyphens w:val="0"/>
              <w:spacing w:before="60" w:after="60" w:line="276" w:lineRule="auto"/>
              <w:rPr>
                <w:b/>
                <w:szCs w:val="20"/>
              </w:rPr>
            </w:pPr>
            <w:r w:rsidRPr="00EF19E4">
              <w:rPr>
                <w:b/>
                <w:sz w:val="22"/>
                <w:szCs w:val="20"/>
              </w:rPr>
              <w:t>БВП , България (реален)</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5C9C430"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2019</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78781F94"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2020</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33606F2C"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2021</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595AEF2"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2022</w:t>
            </w:r>
          </w:p>
        </w:tc>
        <w:tc>
          <w:tcPr>
            <w:tcW w:w="1816"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A654A17"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2023 и следващи до 2043</w:t>
            </w:r>
          </w:p>
        </w:tc>
      </w:tr>
      <w:tr w:rsidR="001A0249" w:rsidRPr="00EF19E4" w14:paraId="4CB87CF5" w14:textId="77777777" w:rsidTr="00EF19E4">
        <w:trPr>
          <w:trHeight w:val="300"/>
        </w:trPr>
        <w:tc>
          <w:tcPr>
            <w:tcW w:w="3291" w:type="dxa"/>
            <w:tcBorders>
              <w:top w:val="single" w:sz="3" w:space="0" w:color="000000"/>
              <w:left w:val="single" w:sz="3" w:space="0" w:color="000000"/>
              <w:bottom w:val="single" w:sz="3" w:space="0" w:color="000000"/>
              <w:right w:val="single" w:sz="3" w:space="0" w:color="000000"/>
            </w:tcBorders>
            <w:vAlign w:val="bottom"/>
          </w:tcPr>
          <w:p w14:paraId="1EBC7084" w14:textId="77777777" w:rsidR="001A0249" w:rsidRPr="00EF19E4" w:rsidRDefault="001A0249" w:rsidP="00D16283">
            <w:pPr>
              <w:widowControl w:val="0"/>
              <w:suppressAutoHyphens w:val="0"/>
              <w:spacing w:before="60" w:after="60" w:line="276" w:lineRule="auto"/>
              <w:rPr>
                <w:szCs w:val="20"/>
              </w:rPr>
            </w:pPr>
            <w:r w:rsidRPr="00EF19E4">
              <w:rPr>
                <w:sz w:val="22"/>
                <w:szCs w:val="20"/>
              </w:rPr>
              <w:t>Годишен ръст</w:t>
            </w:r>
          </w:p>
        </w:tc>
        <w:tc>
          <w:tcPr>
            <w:tcW w:w="892" w:type="dxa"/>
            <w:tcBorders>
              <w:top w:val="single" w:sz="3" w:space="0" w:color="000000"/>
              <w:left w:val="nil"/>
              <w:bottom w:val="single" w:sz="3" w:space="0" w:color="000000"/>
              <w:right w:val="single" w:sz="3" w:space="0" w:color="000000"/>
            </w:tcBorders>
            <w:vAlign w:val="center"/>
          </w:tcPr>
          <w:p w14:paraId="3E353C37"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3.40%</w:t>
            </w:r>
          </w:p>
        </w:tc>
        <w:tc>
          <w:tcPr>
            <w:tcW w:w="892" w:type="dxa"/>
            <w:tcBorders>
              <w:top w:val="single" w:sz="3" w:space="0" w:color="000000"/>
              <w:left w:val="nil"/>
              <w:bottom w:val="single" w:sz="3" w:space="0" w:color="000000"/>
              <w:right w:val="single" w:sz="3" w:space="0" w:color="000000"/>
            </w:tcBorders>
            <w:vAlign w:val="center"/>
          </w:tcPr>
          <w:p w14:paraId="1B53CFAB"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893" w:type="dxa"/>
            <w:tcBorders>
              <w:top w:val="single" w:sz="3" w:space="0" w:color="000000"/>
              <w:left w:val="nil"/>
              <w:bottom w:val="single" w:sz="3" w:space="0" w:color="000000"/>
              <w:right w:val="single" w:sz="3" w:space="0" w:color="000000"/>
            </w:tcBorders>
            <w:vAlign w:val="center"/>
          </w:tcPr>
          <w:p w14:paraId="795283BF"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893" w:type="dxa"/>
            <w:tcBorders>
              <w:top w:val="single" w:sz="3" w:space="0" w:color="000000"/>
              <w:left w:val="nil"/>
              <w:bottom w:val="single" w:sz="3" w:space="0" w:color="000000"/>
              <w:right w:val="single" w:sz="3" w:space="0" w:color="000000"/>
            </w:tcBorders>
            <w:vAlign w:val="center"/>
          </w:tcPr>
          <w:p w14:paraId="6D95322A"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1816" w:type="dxa"/>
            <w:tcBorders>
              <w:top w:val="single" w:sz="3" w:space="0" w:color="000000"/>
              <w:left w:val="nil"/>
              <w:bottom w:val="single" w:sz="3" w:space="0" w:color="000000"/>
              <w:right w:val="single" w:sz="3" w:space="0" w:color="000000"/>
            </w:tcBorders>
            <w:vAlign w:val="center"/>
          </w:tcPr>
          <w:p w14:paraId="0FB27829"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3.20%</w:t>
            </w:r>
          </w:p>
        </w:tc>
      </w:tr>
    </w:tbl>
    <w:p w14:paraId="5C9EA875" w14:textId="77777777" w:rsidR="001A0249" w:rsidRPr="00E32CAB" w:rsidRDefault="001A0249" w:rsidP="001A0249">
      <w:pPr>
        <w:widowControl w:val="0"/>
        <w:suppressAutoHyphens w:val="0"/>
        <w:spacing w:line="360" w:lineRule="auto"/>
        <w:rPr>
          <w:rFonts w:ascii="Times New Roman" w:hAnsi="Times New Roman"/>
          <w:i/>
          <w:sz w:val="20"/>
        </w:rPr>
      </w:pPr>
      <w:r w:rsidRPr="00E32CAB">
        <w:rPr>
          <w:rFonts w:ascii="Times New Roman" w:hAnsi="Times New Roman"/>
          <w:i/>
          <w:sz w:val="20"/>
        </w:rPr>
        <w:t>Източник: Конвергентна програма (2019–2022),</w:t>
      </w:r>
      <w:hyperlink r:id="rId14" w:history="1">
        <w:r w:rsidRPr="00E32CAB">
          <w:rPr>
            <w:rFonts w:ascii="Times New Roman" w:hAnsi="Times New Roman"/>
            <w:i/>
            <w:color w:val="0000FF"/>
            <w:sz w:val="20"/>
            <w:u w:val="single"/>
          </w:rPr>
          <w:t>https://www.minfin.bg/bg/page/868</w:t>
        </w:r>
      </w:hyperlink>
    </w:p>
    <w:p w14:paraId="4DB16818" w14:textId="77777777" w:rsidR="001A0249" w:rsidRDefault="001A0249" w:rsidP="00264397">
      <w:pPr>
        <w:widowControl w:val="0"/>
        <w:suppressAutoHyphens w:val="0"/>
        <w:spacing w:before="120" w:after="120" w:line="252" w:lineRule="auto"/>
        <w:rPr>
          <w:rFonts w:ascii="Times New Roman" w:hAnsi="Times New Roman"/>
        </w:rPr>
      </w:pPr>
      <w:r w:rsidRPr="00EF19E4">
        <w:rPr>
          <w:rFonts w:ascii="Times New Roman" w:hAnsi="Times New Roman"/>
        </w:rPr>
        <w:t xml:space="preserve">За целите на АРП след 2021 г. </w:t>
      </w:r>
      <w:r w:rsidRPr="00EF19E4">
        <w:rPr>
          <w:rFonts w:ascii="Times New Roman" w:hAnsi="Times New Roman"/>
          <w:b/>
        </w:rPr>
        <w:t xml:space="preserve">до края на референтния периода е запазен ръст от </w:t>
      </w:r>
      <w:r w:rsidRPr="00EF19E4">
        <w:rPr>
          <w:rFonts w:ascii="Times New Roman" w:hAnsi="Times New Roman"/>
          <w:b/>
          <w:color w:val="000000"/>
        </w:rPr>
        <w:t xml:space="preserve">3,20% </w:t>
      </w:r>
      <w:r w:rsidRPr="00EF19E4">
        <w:rPr>
          <w:rFonts w:ascii="Times New Roman" w:hAnsi="Times New Roman"/>
          <w:b/>
        </w:rPr>
        <w:t>годишно на БВП в реални цени</w:t>
      </w:r>
      <w:r w:rsidRPr="00EF19E4">
        <w:rPr>
          <w:rFonts w:ascii="Times New Roman" w:hAnsi="Times New Roman"/>
        </w:rPr>
        <w:t xml:space="preserve"> за страната, като цяло.</w:t>
      </w:r>
    </w:p>
    <w:p w14:paraId="29939FCA" w14:textId="77777777" w:rsidR="00264397" w:rsidRDefault="00264397" w:rsidP="00264397">
      <w:pPr>
        <w:widowControl w:val="0"/>
        <w:suppressAutoHyphens w:val="0"/>
        <w:spacing w:before="120" w:after="120" w:line="252" w:lineRule="auto"/>
        <w:rPr>
          <w:rFonts w:ascii="Times New Roman" w:hAnsi="Times New Roman"/>
          <w:lang w:val="en-US"/>
        </w:rPr>
      </w:pPr>
    </w:p>
    <w:p w14:paraId="29F34786" w14:textId="77777777" w:rsidR="00E32CAB" w:rsidRPr="00E32CAB" w:rsidRDefault="00E32CAB" w:rsidP="005F23D7">
      <w:pPr>
        <w:keepNext/>
        <w:suppressAutoHyphens w:val="0"/>
        <w:spacing w:after="0" w:line="276" w:lineRule="auto"/>
        <w:outlineLvl w:val="3"/>
        <w:rPr>
          <w:rFonts w:ascii="Times New Roman" w:hAnsi="Times New Roman"/>
          <w:b/>
          <w:snapToGrid w:val="0"/>
          <w:color w:val="0063B8"/>
          <w:u w:val="single"/>
          <w:lang w:eastAsia="bg-BG"/>
        </w:rPr>
      </w:pPr>
      <w:r w:rsidRPr="00E32CAB">
        <w:rPr>
          <w:rFonts w:ascii="Times New Roman" w:hAnsi="Times New Roman"/>
          <w:b/>
          <w:color w:val="0063B8"/>
          <w:u w:val="single"/>
        </w:rPr>
        <w:t xml:space="preserve">Инфлация </w:t>
      </w:r>
    </w:p>
    <w:p w14:paraId="750B9B3F" w14:textId="29E9CB0B" w:rsidR="00E32CAB" w:rsidRDefault="00E32CAB" w:rsidP="00E32CAB">
      <w:pPr>
        <w:suppressAutoHyphens w:val="0"/>
        <w:autoSpaceDE w:val="0"/>
        <w:adjustRightInd w:val="0"/>
        <w:spacing w:after="0"/>
        <w:rPr>
          <w:rFonts w:ascii="Times New Roman" w:hAnsi="Times New Roman"/>
          <w:snapToGrid w:val="0"/>
          <w:lang w:eastAsia="bg-BG"/>
        </w:rPr>
      </w:pPr>
      <w:r w:rsidRPr="00E32CAB">
        <w:rPr>
          <w:rFonts w:ascii="Times New Roman" w:hAnsi="Times New Roman"/>
          <w:snapToGrid w:val="0"/>
          <w:lang w:eastAsia="bg-BG"/>
        </w:rPr>
        <w:t>В последните години има изразен тренд на намаляване на инфлацията до стойности за дефлация през 2016</w:t>
      </w:r>
      <w:r w:rsidR="00264397">
        <w:rPr>
          <w:rFonts w:ascii="Times New Roman" w:hAnsi="Times New Roman"/>
          <w:snapToGrid w:val="0"/>
          <w:lang w:eastAsia="bg-BG"/>
        </w:rPr>
        <w:t xml:space="preserve"> </w:t>
      </w:r>
      <w:r w:rsidRPr="00E32CAB">
        <w:rPr>
          <w:rFonts w:ascii="Times New Roman" w:hAnsi="Times New Roman"/>
          <w:snapToGrid w:val="0"/>
          <w:lang w:eastAsia="bg-BG"/>
        </w:rPr>
        <w:t>г.</w:t>
      </w:r>
      <w:r w:rsidRPr="00E32CAB">
        <w:rPr>
          <w:rFonts w:ascii="Times New Roman" w:hAnsi="Times New Roman"/>
          <w:snapToGrid w:val="0"/>
          <w:lang w:val="en-GB" w:eastAsia="bg-BG"/>
        </w:rPr>
        <w:t xml:space="preserve"> </w:t>
      </w:r>
      <w:r w:rsidRPr="00E32CAB">
        <w:rPr>
          <w:rFonts w:ascii="Times New Roman" w:hAnsi="Times New Roman"/>
          <w:snapToGrid w:val="0"/>
          <w:lang w:eastAsia="bg-BG"/>
        </w:rPr>
        <w:t xml:space="preserve">Изменението на общото равнище на потребителските цени в края на 2016 г. е положително с принос от страна на по-високите цени на храните и течните </w:t>
      </w:r>
      <w:r w:rsidR="00D27DCE" w:rsidRPr="00E32CAB">
        <w:rPr>
          <w:rFonts w:ascii="Times New Roman" w:hAnsi="Times New Roman"/>
          <w:snapToGrid w:val="0"/>
          <w:lang w:eastAsia="bg-BG"/>
        </w:rPr>
        <w:t>горива</w:t>
      </w:r>
      <w:r w:rsidRPr="00E32CAB">
        <w:rPr>
          <w:rFonts w:ascii="Times New Roman" w:hAnsi="Times New Roman"/>
          <w:snapToGrid w:val="0"/>
          <w:lang w:eastAsia="bg-BG"/>
        </w:rPr>
        <w:t xml:space="preserve">. </w:t>
      </w:r>
    </w:p>
    <w:p w14:paraId="00068B7E" w14:textId="77777777" w:rsidR="005D066F" w:rsidRPr="00E32CAB" w:rsidRDefault="005D066F" w:rsidP="00E32CAB">
      <w:pPr>
        <w:suppressAutoHyphens w:val="0"/>
        <w:autoSpaceDE w:val="0"/>
        <w:adjustRightInd w:val="0"/>
        <w:spacing w:after="0"/>
        <w:rPr>
          <w:rFonts w:ascii="Times New Roman" w:hAnsi="Times New Roman"/>
          <w:snapToGrid w:val="0"/>
          <w:lang w:eastAsia="bg-BG"/>
        </w:rPr>
      </w:pPr>
    </w:p>
    <w:p w14:paraId="594FA93C" w14:textId="77777777" w:rsidR="00E32CAB" w:rsidRPr="00E32CAB" w:rsidRDefault="00E32CAB" w:rsidP="00E32CAB">
      <w:pPr>
        <w:suppressAutoHyphens w:val="0"/>
        <w:spacing w:before="240" w:after="0" w:line="360" w:lineRule="auto"/>
        <w:rPr>
          <w:rFonts w:ascii="Times New Roman" w:hAnsi="Times New Roman"/>
          <w:b/>
          <w:bCs/>
          <w:smallCaps/>
          <w:color w:val="4F81BD"/>
          <w:sz w:val="22"/>
        </w:rPr>
      </w:pPr>
      <w:bookmarkStart w:id="14" w:name="_Toc491687416"/>
      <w:bookmarkStart w:id="15" w:name="_Toc497819659"/>
      <w:r w:rsidRPr="00E32CAB">
        <w:rPr>
          <w:rFonts w:ascii="Times New Roman" w:hAnsi="Times New Roman"/>
          <w:b/>
          <w:bCs/>
          <w:smallCaps/>
          <w:color w:val="4F81BD"/>
          <w:sz w:val="22"/>
        </w:rPr>
        <w:t xml:space="preserve">Таблица </w:t>
      </w:r>
      <w:r w:rsidR="00E071DD" w:rsidRPr="00E32CAB">
        <w:rPr>
          <w:rFonts w:ascii="Times New Roman" w:hAnsi="Times New Roman"/>
          <w:b/>
          <w:bCs/>
          <w:smallCaps/>
          <w:color w:val="4F81BD"/>
          <w:sz w:val="22"/>
        </w:rPr>
        <w:fldChar w:fldCharType="begin"/>
      </w:r>
      <w:r w:rsidRPr="00E32CAB">
        <w:rPr>
          <w:rFonts w:ascii="Times New Roman" w:hAnsi="Times New Roman"/>
          <w:b/>
          <w:bCs/>
          <w:smallCaps/>
          <w:color w:val="4F81BD"/>
          <w:sz w:val="22"/>
        </w:rPr>
        <w:instrText xml:space="preserve"> STYLEREF 1 \s </w:instrText>
      </w:r>
      <w:r w:rsidR="00E071DD" w:rsidRPr="00E32C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32CAB">
        <w:rPr>
          <w:rFonts w:ascii="Times New Roman" w:hAnsi="Times New Roman"/>
          <w:b/>
          <w:bCs/>
          <w:smallCaps/>
          <w:color w:val="4F81BD"/>
          <w:sz w:val="22"/>
        </w:rPr>
        <w:fldChar w:fldCharType="end"/>
      </w:r>
      <w:r w:rsidRPr="00E32CAB">
        <w:rPr>
          <w:rFonts w:ascii="Times New Roman" w:hAnsi="Times New Roman"/>
          <w:b/>
          <w:bCs/>
          <w:smallCaps/>
          <w:color w:val="4F81BD"/>
          <w:sz w:val="22"/>
        </w:rPr>
        <w:noBreakHyphen/>
        <w:t>4: средногодишна инфлация 2011-201</w:t>
      </w:r>
      <w:bookmarkEnd w:id="14"/>
      <w:bookmarkEnd w:id="15"/>
      <w:r w:rsidRPr="00E32CAB">
        <w:rPr>
          <w:rFonts w:ascii="Times New Roman" w:hAnsi="Times New Roman"/>
          <w:b/>
          <w:bCs/>
          <w:smallCaps/>
          <w:color w:val="4F81BD"/>
          <w:sz w:val="22"/>
        </w:rPr>
        <w:t>8</w:t>
      </w:r>
    </w:p>
    <w:tbl>
      <w:tblPr>
        <w:tblW w:w="9214" w:type="dxa"/>
        <w:tblInd w:w="108" w:type="dxa"/>
        <w:tblLook w:val="04A0" w:firstRow="1" w:lastRow="0" w:firstColumn="1" w:lastColumn="0" w:noHBand="0" w:noVBand="1"/>
      </w:tblPr>
      <w:tblGrid>
        <w:gridCol w:w="2977"/>
        <w:gridCol w:w="709"/>
        <w:gridCol w:w="850"/>
        <w:gridCol w:w="851"/>
        <w:gridCol w:w="708"/>
        <w:gridCol w:w="851"/>
        <w:gridCol w:w="709"/>
        <w:gridCol w:w="708"/>
        <w:gridCol w:w="851"/>
      </w:tblGrid>
      <w:tr w:rsidR="00E32CAB" w:rsidRPr="00E32CAB" w14:paraId="4A824EB7" w14:textId="77777777" w:rsidTr="00E32CAB">
        <w:trPr>
          <w:trHeight w:val="292"/>
        </w:trPr>
        <w:tc>
          <w:tcPr>
            <w:tcW w:w="2977" w:type="dxa"/>
            <w:tcBorders>
              <w:top w:val="single" w:sz="8" w:space="0" w:color="auto"/>
              <w:left w:val="single" w:sz="8" w:space="0" w:color="auto"/>
              <w:bottom w:val="single" w:sz="4" w:space="0" w:color="auto"/>
              <w:right w:val="single" w:sz="4" w:space="0" w:color="auto"/>
            </w:tcBorders>
            <w:shd w:val="clear" w:color="auto" w:fill="ACB9CA" w:themeFill="text2" w:themeFillTint="66"/>
            <w:vAlign w:val="center"/>
            <w:hideMark/>
          </w:tcPr>
          <w:p w14:paraId="601C4B9F" w14:textId="77777777" w:rsidR="00E32CAB" w:rsidRPr="00E32CAB" w:rsidRDefault="00E32CAB" w:rsidP="00D16283">
            <w:pPr>
              <w:suppressAutoHyphens w:val="0"/>
              <w:spacing w:before="60" w:after="60" w:line="276" w:lineRule="auto"/>
              <w:rPr>
                <w:rFonts w:ascii="Times New Roman" w:hAnsi="Times New Roman"/>
                <w:b/>
                <w:bCs/>
                <w:color w:val="000000"/>
                <w:szCs w:val="20"/>
                <w:lang w:val="en-US"/>
              </w:rPr>
            </w:pPr>
            <w:r w:rsidRPr="00E32CAB">
              <w:rPr>
                <w:rFonts w:ascii="Times New Roman" w:hAnsi="Times New Roman"/>
                <w:b/>
                <w:bCs/>
                <w:color w:val="000000"/>
                <w:sz w:val="22"/>
                <w:szCs w:val="20"/>
                <w:lang w:eastAsia="bg-BG"/>
              </w:rPr>
              <w:t>Средногодишна инфлация</w:t>
            </w:r>
          </w:p>
        </w:tc>
        <w:tc>
          <w:tcPr>
            <w:tcW w:w="709"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88DF106"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2011</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86439FD"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2012</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78116B5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2013</w:t>
            </w:r>
          </w:p>
        </w:tc>
        <w:tc>
          <w:tcPr>
            <w:tcW w:w="708"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4F4FA692"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2014</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DB6114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2015</w:t>
            </w:r>
          </w:p>
        </w:tc>
        <w:tc>
          <w:tcPr>
            <w:tcW w:w="709"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0CC162EE"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2016</w:t>
            </w:r>
          </w:p>
        </w:tc>
        <w:tc>
          <w:tcPr>
            <w:tcW w:w="708" w:type="dxa"/>
            <w:tcBorders>
              <w:top w:val="single" w:sz="8" w:space="0" w:color="auto"/>
              <w:left w:val="nil"/>
              <w:bottom w:val="single" w:sz="4" w:space="0" w:color="auto"/>
              <w:right w:val="single" w:sz="4" w:space="0" w:color="auto"/>
            </w:tcBorders>
            <w:shd w:val="clear" w:color="auto" w:fill="ACB9CA" w:themeFill="text2" w:themeFillTint="66"/>
            <w:noWrap/>
            <w:vAlign w:val="center"/>
            <w:hideMark/>
          </w:tcPr>
          <w:p w14:paraId="71FCF649"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val="en-US"/>
              </w:rPr>
              <w:t>2017</w:t>
            </w:r>
          </w:p>
        </w:tc>
        <w:tc>
          <w:tcPr>
            <w:tcW w:w="851" w:type="dxa"/>
            <w:tcBorders>
              <w:top w:val="single" w:sz="8" w:space="0" w:color="auto"/>
              <w:left w:val="nil"/>
              <w:bottom w:val="single" w:sz="4" w:space="0" w:color="auto"/>
              <w:right w:val="single" w:sz="8" w:space="0" w:color="auto"/>
            </w:tcBorders>
            <w:shd w:val="clear" w:color="auto" w:fill="ACB9CA" w:themeFill="text2" w:themeFillTint="66"/>
            <w:noWrap/>
            <w:vAlign w:val="center"/>
            <w:hideMark/>
          </w:tcPr>
          <w:p w14:paraId="108146B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val="en-US"/>
              </w:rPr>
              <w:t>2018</w:t>
            </w:r>
          </w:p>
        </w:tc>
      </w:tr>
      <w:tr w:rsidR="00E32CAB" w:rsidRPr="00E32CAB" w14:paraId="081DB088" w14:textId="77777777" w:rsidTr="00E32CAB">
        <w:trPr>
          <w:trHeight w:val="300"/>
        </w:trPr>
        <w:tc>
          <w:tcPr>
            <w:tcW w:w="2977" w:type="dxa"/>
            <w:tcBorders>
              <w:top w:val="nil"/>
              <w:left w:val="single" w:sz="8" w:space="0" w:color="auto"/>
              <w:bottom w:val="single" w:sz="8" w:space="0" w:color="auto"/>
              <w:right w:val="single" w:sz="4" w:space="0" w:color="auto"/>
            </w:tcBorders>
            <w:shd w:val="clear" w:color="auto" w:fill="auto"/>
            <w:noWrap/>
            <w:vAlign w:val="center"/>
            <w:hideMark/>
          </w:tcPr>
          <w:p w14:paraId="0412AED5" w14:textId="77777777" w:rsidR="00E32CAB" w:rsidRPr="00E32CAB" w:rsidRDefault="00E32CAB" w:rsidP="00D16283">
            <w:pPr>
              <w:suppressAutoHyphens w:val="0"/>
              <w:spacing w:before="60" w:after="60" w:line="276" w:lineRule="auto"/>
              <w:rPr>
                <w:rFonts w:ascii="Times New Roman" w:hAnsi="Times New Roman"/>
                <w:color w:val="000000"/>
                <w:szCs w:val="20"/>
                <w:lang w:val="en-US"/>
              </w:rPr>
            </w:pPr>
            <w:r w:rsidRPr="00E32CAB">
              <w:rPr>
                <w:rFonts w:ascii="Times New Roman" w:hAnsi="Times New Roman"/>
                <w:color w:val="000000"/>
                <w:sz w:val="22"/>
                <w:szCs w:val="20"/>
                <w:lang w:val="en-US"/>
              </w:rPr>
              <w:t>Годишен ръст в %</w:t>
            </w:r>
          </w:p>
        </w:tc>
        <w:tc>
          <w:tcPr>
            <w:tcW w:w="709" w:type="dxa"/>
            <w:tcBorders>
              <w:top w:val="nil"/>
              <w:left w:val="nil"/>
              <w:bottom w:val="single" w:sz="8" w:space="0" w:color="auto"/>
              <w:right w:val="single" w:sz="4" w:space="0" w:color="auto"/>
            </w:tcBorders>
            <w:shd w:val="clear" w:color="auto" w:fill="auto"/>
            <w:vAlign w:val="center"/>
            <w:hideMark/>
          </w:tcPr>
          <w:p w14:paraId="5BC9C784"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4,22</w:t>
            </w:r>
          </w:p>
        </w:tc>
        <w:tc>
          <w:tcPr>
            <w:tcW w:w="850" w:type="dxa"/>
            <w:tcBorders>
              <w:top w:val="nil"/>
              <w:left w:val="nil"/>
              <w:bottom w:val="single" w:sz="8" w:space="0" w:color="auto"/>
              <w:right w:val="single" w:sz="4" w:space="0" w:color="auto"/>
            </w:tcBorders>
            <w:shd w:val="clear" w:color="auto" w:fill="auto"/>
            <w:vAlign w:val="center"/>
            <w:hideMark/>
          </w:tcPr>
          <w:p w14:paraId="66F7FE40"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2,95</w:t>
            </w:r>
          </w:p>
        </w:tc>
        <w:tc>
          <w:tcPr>
            <w:tcW w:w="851" w:type="dxa"/>
            <w:tcBorders>
              <w:top w:val="nil"/>
              <w:left w:val="nil"/>
              <w:bottom w:val="single" w:sz="8" w:space="0" w:color="auto"/>
              <w:right w:val="single" w:sz="4" w:space="0" w:color="auto"/>
            </w:tcBorders>
            <w:shd w:val="clear" w:color="auto" w:fill="auto"/>
            <w:vAlign w:val="center"/>
            <w:hideMark/>
          </w:tcPr>
          <w:p w14:paraId="52E1BB4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0,89</w:t>
            </w:r>
          </w:p>
        </w:tc>
        <w:tc>
          <w:tcPr>
            <w:tcW w:w="708" w:type="dxa"/>
            <w:tcBorders>
              <w:top w:val="nil"/>
              <w:left w:val="nil"/>
              <w:bottom w:val="single" w:sz="8" w:space="0" w:color="auto"/>
              <w:right w:val="single" w:sz="4" w:space="0" w:color="auto"/>
            </w:tcBorders>
            <w:shd w:val="clear" w:color="auto" w:fill="auto"/>
            <w:vAlign w:val="center"/>
            <w:hideMark/>
          </w:tcPr>
          <w:p w14:paraId="38DAB7C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-1,42</w:t>
            </w:r>
          </w:p>
        </w:tc>
        <w:tc>
          <w:tcPr>
            <w:tcW w:w="851" w:type="dxa"/>
            <w:tcBorders>
              <w:top w:val="nil"/>
              <w:left w:val="nil"/>
              <w:bottom w:val="single" w:sz="8" w:space="0" w:color="auto"/>
              <w:right w:val="single" w:sz="4" w:space="0" w:color="auto"/>
            </w:tcBorders>
            <w:shd w:val="clear" w:color="auto" w:fill="auto"/>
            <w:vAlign w:val="center"/>
            <w:hideMark/>
          </w:tcPr>
          <w:p w14:paraId="39C972CF"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-0,1</w:t>
            </w:r>
          </w:p>
        </w:tc>
        <w:tc>
          <w:tcPr>
            <w:tcW w:w="709" w:type="dxa"/>
            <w:tcBorders>
              <w:top w:val="nil"/>
              <w:left w:val="nil"/>
              <w:bottom w:val="single" w:sz="8" w:space="0" w:color="auto"/>
              <w:right w:val="single" w:sz="4" w:space="0" w:color="auto"/>
            </w:tcBorders>
            <w:shd w:val="clear" w:color="auto" w:fill="auto"/>
            <w:vAlign w:val="center"/>
            <w:hideMark/>
          </w:tcPr>
          <w:p w14:paraId="0046526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eastAsia="bg-BG"/>
              </w:rPr>
              <w:t>-0,8</w:t>
            </w:r>
          </w:p>
        </w:tc>
        <w:tc>
          <w:tcPr>
            <w:tcW w:w="708" w:type="dxa"/>
            <w:tcBorders>
              <w:top w:val="nil"/>
              <w:left w:val="nil"/>
              <w:bottom w:val="single" w:sz="8" w:space="0" w:color="auto"/>
              <w:right w:val="single" w:sz="4" w:space="0" w:color="auto"/>
            </w:tcBorders>
            <w:shd w:val="clear" w:color="auto" w:fill="auto"/>
            <w:noWrap/>
            <w:vAlign w:val="center"/>
            <w:hideMark/>
          </w:tcPr>
          <w:p w14:paraId="24D42624"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val="en-US"/>
              </w:rPr>
              <w:t>2,80</w:t>
            </w:r>
          </w:p>
        </w:tc>
        <w:tc>
          <w:tcPr>
            <w:tcW w:w="851" w:type="dxa"/>
            <w:tcBorders>
              <w:top w:val="nil"/>
              <w:left w:val="nil"/>
              <w:bottom w:val="single" w:sz="8" w:space="0" w:color="auto"/>
              <w:right w:val="single" w:sz="8" w:space="0" w:color="auto"/>
            </w:tcBorders>
            <w:shd w:val="clear" w:color="auto" w:fill="auto"/>
            <w:noWrap/>
            <w:vAlign w:val="center"/>
            <w:hideMark/>
          </w:tcPr>
          <w:p w14:paraId="79C7FC0E"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val="en-US"/>
              </w:rPr>
              <w:t>2,60</w:t>
            </w:r>
          </w:p>
        </w:tc>
      </w:tr>
    </w:tbl>
    <w:p w14:paraId="760A063A" w14:textId="77777777" w:rsidR="00E32CAB" w:rsidRPr="00E32CAB" w:rsidRDefault="00E32CAB" w:rsidP="00E32CAB">
      <w:pPr>
        <w:suppressAutoHyphens w:val="0"/>
        <w:autoSpaceDE w:val="0"/>
        <w:adjustRightInd w:val="0"/>
        <w:rPr>
          <w:rFonts w:ascii="Times New Roman" w:hAnsi="Times New Roman"/>
          <w:snapToGrid w:val="0"/>
          <w:sz w:val="20"/>
          <w:szCs w:val="20"/>
          <w:lang w:val="en-US" w:eastAsia="bg-BG"/>
        </w:rPr>
      </w:pPr>
      <w:r w:rsidRPr="00E32CAB">
        <w:rPr>
          <w:rFonts w:ascii="Times New Roman" w:hAnsi="Times New Roman"/>
          <w:i/>
          <w:snapToGrid w:val="0"/>
          <w:sz w:val="20"/>
          <w:szCs w:val="20"/>
          <w:lang w:eastAsia="bg-BG"/>
        </w:rPr>
        <w:t>Източник: НСИ</w:t>
      </w:r>
      <w:r w:rsidRPr="00E32CAB">
        <w:rPr>
          <w:rFonts w:ascii="Times New Roman" w:hAnsi="Times New Roman"/>
          <w:i/>
          <w:snapToGrid w:val="0"/>
          <w:sz w:val="20"/>
          <w:szCs w:val="20"/>
          <w:lang w:val="en-US" w:eastAsia="bg-BG"/>
        </w:rPr>
        <w:t xml:space="preserve"> </w:t>
      </w:r>
      <w:hyperlink r:id="rId15" w:history="1">
        <w:r w:rsidRPr="00E32CAB">
          <w:rPr>
            <w:rStyle w:val="Hyperlink"/>
            <w:rFonts w:ascii="Times New Roman" w:hAnsi="Times New Roman"/>
            <w:sz w:val="20"/>
            <w:szCs w:val="20"/>
          </w:rPr>
          <w:t>http://www.nsi.bg/bg/content/2445/инфлация-и-индекси-на-потребителските-цени</w:t>
        </w:r>
        <w:r w:rsidRPr="00E32CAB">
          <w:rPr>
            <w:rStyle w:val="Hyperlink"/>
            <w:rFonts w:ascii="Times New Roman" w:hAnsi="Times New Roman"/>
            <w:sz w:val="20"/>
            <w:szCs w:val="20"/>
            <w:lang w:val="en-US"/>
          </w:rPr>
          <w:t xml:space="preserve"> </w:t>
        </w:r>
      </w:hyperlink>
    </w:p>
    <w:p w14:paraId="16220ABC" w14:textId="77777777" w:rsidR="005D066F" w:rsidRDefault="005D066F" w:rsidP="00264397">
      <w:pPr>
        <w:suppressAutoHyphens w:val="0"/>
        <w:autoSpaceDE w:val="0"/>
        <w:adjustRightInd w:val="0"/>
        <w:spacing w:before="120" w:after="120" w:line="252" w:lineRule="auto"/>
        <w:rPr>
          <w:rFonts w:ascii="Times New Roman" w:hAnsi="Times New Roman"/>
          <w:snapToGrid w:val="0"/>
          <w:lang w:eastAsia="bg-BG"/>
        </w:rPr>
      </w:pPr>
    </w:p>
    <w:p w14:paraId="799DE171" w14:textId="77777777" w:rsidR="00E32CAB" w:rsidRPr="00E32CAB" w:rsidRDefault="00E32CAB" w:rsidP="00264397">
      <w:pPr>
        <w:suppressAutoHyphens w:val="0"/>
        <w:autoSpaceDE w:val="0"/>
        <w:adjustRightInd w:val="0"/>
        <w:spacing w:before="120" w:after="120" w:line="252" w:lineRule="auto"/>
        <w:rPr>
          <w:rFonts w:ascii="Times New Roman" w:hAnsi="Times New Roman"/>
          <w:snapToGrid w:val="0"/>
          <w:lang w:eastAsia="bg-BG"/>
        </w:rPr>
      </w:pPr>
      <w:r w:rsidRPr="00E32CAB">
        <w:rPr>
          <w:rFonts w:ascii="Times New Roman" w:hAnsi="Times New Roman"/>
          <w:snapToGrid w:val="0"/>
          <w:lang w:eastAsia="bg-BG"/>
        </w:rPr>
        <w:t xml:space="preserve">Средногодишната инфлация през 2019 г. се очаква да бъде отрицателна от 0.8%, като повишението на общото равнище на потребителските цени в края на периода се очаква да достигне 1.8%. </w:t>
      </w:r>
    </w:p>
    <w:p w14:paraId="38DEAE5A" w14:textId="77777777" w:rsidR="00E32CAB" w:rsidRDefault="00E32CAB" w:rsidP="00264397">
      <w:pPr>
        <w:suppressAutoHyphens w:val="0"/>
        <w:autoSpaceDE w:val="0"/>
        <w:adjustRightInd w:val="0"/>
        <w:spacing w:before="120" w:after="120" w:line="252" w:lineRule="auto"/>
        <w:rPr>
          <w:rFonts w:ascii="Times New Roman" w:hAnsi="Times New Roman"/>
          <w:snapToGrid w:val="0"/>
          <w:lang w:eastAsia="bg-BG"/>
        </w:rPr>
      </w:pPr>
      <w:r w:rsidRPr="00E32CAB">
        <w:rPr>
          <w:rFonts w:ascii="Times New Roman" w:hAnsi="Times New Roman"/>
          <w:snapToGrid w:val="0"/>
          <w:lang w:eastAsia="bg-BG"/>
        </w:rPr>
        <w:t>Средногодишното повишение на ХИПЦ през 2019 г. се очаква да бъде 1.8%, като инфлацията ще се ускори до 2.5% през 2020 г. и 2.2% през 2022 г. при допускане за по-високи международни цени на петрола и неенергийните суровини и нарастване на вътрешното търсене.</w:t>
      </w:r>
    </w:p>
    <w:p w14:paraId="1F720BFA" w14:textId="77777777" w:rsidR="005D066F" w:rsidRPr="00E32CAB" w:rsidRDefault="005D066F" w:rsidP="00264397">
      <w:pPr>
        <w:suppressAutoHyphens w:val="0"/>
        <w:autoSpaceDE w:val="0"/>
        <w:adjustRightInd w:val="0"/>
        <w:spacing w:before="120" w:after="120" w:line="252" w:lineRule="auto"/>
        <w:rPr>
          <w:rFonts w:ascii="Times New Roman" w:hAnsi="Times New Roman"/>
          <w:snapToGrid w:val="0"/>
          <w:lang w:eastAsia="bg-BG"/>
        </w:rPr>
      </w:pPr>
    </w:p>
    <w:p w14:paraId="51D387BD" w14:textId="77777777" w:rsidR="00E32CAB" w:rsidRPr="00E32CAB" w:rsidRDefault="00E32CAB" w:rsidP="00E32CAB">
      <w:pPr>
        <w:suppressAutoHyphens w:val="0"/>
        <w:spacing w:before="240" w:after="0" w:line="360" w:lineRule="auto"/>
        <w:rPr>
          <w:rFonts w:ascii="Times New Roman" w:hAnsi="Times New Roman"/>
          <w:b/>
          <w:bCs/>
          <w:smallCaps/>
          <w:color w:val="4F81BD"/>
          <w:sz w:val="22"/>
        </w:rPr>
      </w:pPr>
      <w:bookmarkStart w:id="16" w:name="_Toc491687417"/>
      <w:bookmarkStart w:id="17" w:name="_Toc497819660"/>
      <w:r w:rsidRPr="00E32CAB">
        <w:rPr>
          <w:rFonts w:ascii="Times New Roman" w:hAnsi="Times New Roman"/>
          <w:b/>
          <w:bCs/>
          <w:smallCaps/>
          <w:color w:val="4F81BD"/>
          <w:sz w:val="22"/>
        </w:rPr>
        <w:t xml:space="preserve">Таблица </w:t>
      </w:r>
      <w:r w:rsidR="00E071DD" w:rsidRPr="00E32CAB">
        <w:rPr>
          <w:rFonts w:ascii="Times New Roman" w:hAnsi="Times New Roman"/>
          <w:b/>
          <w:bCs/>
          <w:smallCaps/>
          <w:color w:val="4F81BD"/>
          <w:sz w:val="22"/>
        </w:rPr>
        <w:fldChar w:fldCharType="begin"/>
      </w:r>
      <w:r w:rsidRPr="00E32CAB">
        <w:rPr>
          <w:rFonts w:ascii="Times New Roman" w:hAnsi="Times New Roman"/>
          <w:b/>
          <w:bCs/>
          <w:smallCaps/>
          <w:color w:val="4F81BD"/>
          <w:sz w:val="22"/>
        </w:rPr>
        <w:instrText xml:space="preserve"> STYLEREF 1 \s </w:instrText>
      </w:r>
      <w:r w:rsidR="00E071DD" w:rsidRPr="00E32C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32CAB">
        <w:rPr>
          <w:rFonts w:ascii="Times New Roman" w:hAnsi="Times New Roman"/>
          <w:b/>
          <w:bCs/>
          <w:smallCaps/>
          <w:color w:val="4F81BD"/>
          <w:sz w:val="22"/>
        </w:rPr>
        <w:fldChar w:fldCharType="end"/>
      </w:r>
      <w:r w:rsidRPr="00E32CAB">
        <w:rPr>
          <w:rFonts w:ascii="Times New Roman" w:hAnsi="Times New Roman"/>
          <w:b/>
          <w:bCs/>
          <w:smallCaps/>
          <w:color w:val="4F81BD"/>
          <w:sz w:val="22"/>
        </w:rPr>
        <w:noBreakHyphen/>
        <w:t>5: прогноза за средногодишна инфлация 2019-20</w:t>
      </w:r>
      <w:bookmarkEnd w:id="16"/>
      <w:bookmarkEnd w:id="17"/>
      <w:r w:rsidRPr="00E32CAB">
        <w:rPr>
          <w:rFonts w:ascii="Times New Roman" w:hAnsi="Times New Roman"/>
          <w:b/>
          <w:bCs/>
          <w:smallCaps/>
          <w:color w:val="4F81BD"/>
          <w:sz w:val="22"/>
        </w:rPr>
        <w:t>43</w:t>
      </w:r>
    </w:p>
    <w:tbl>
      <w:tblPr>
        <w:tblW w:w="0" w:type="auto"/>
        <w:tblInd w:w="108" w:type="dxa"/>
        <w:tblLayout w:type="fixed"/>
        <w:tblLook w:val="0000" w:firstRow="0" w:lastRow="0" w:firstColumn="0" w:lastColumn="0" w:noHBand="0" w:noVBand="0"/>
      </w:tblPr>
      <w:tblGrid>
        <w:gridCol w:w="3291"/>
        <w:gridCol w:w="892"/>
        <w:gridCol w:w="892"/>
        <w:gridCol w:w="893"/>
        <w:gridCol w:w="893"/>
        <w:gridCol w:w="1928"/>
      </w:tblGrid>
      <w:tr w:rsidR="00E32CAB" w:rsidRPr="00E32CAB" w14:paraId="4A3DC091" w14:textId="77777777" w:rsidTr="002D4253">
        <w:trPr>
          <w:trHeight w:val="300"/>
        </w:trPr>
        <w:tc>
          <w:tcPr>
            <w:tcW w:w="3291" w:type="dxa"/>
            <w:tcBorders>
              <w:top w:val="single" w:sz="3" w:space="0" w:color="000000"/>
              <w:left w:val="single" w:sz="3" w:space="0" w:color="000000"/>
              <w:bottom w:val="single" w:sz="3" w:space="0" w:color="000000"/>
              <w:right w:val="single" w:sz="3" w:space="0" w:color="000000"/>
            </w:tcBorders>
            <w:shd w:val="clear" w:color="auto" w:fill="ACB9CA" w:themeFill="text2" w:themeFillTint="66"/>
            <w:vAlign w:val="bottom"/>
          </w:tcPr>
          <w:p w14:paraId="3B0B3DB8" w14:textId="77777777" w:rsidR="00E32CAB" w:rsidRPr="00E32CAB" w:rsidRDefault="00E32CAB" w:rsidP="00D16283">
            <w:pPr>
              <w:widowControl w:val="0"/>
              <w:suppressAutoHyphens w:val="0"/>
              <w:spacing w:before="60" w:after="60" w:line="276" w:lineRule="auto"/>
              <w:rPr>
                <w:rFonts w:ascii="Times New Roman" w:hAnsi="Times New Roman"/>
                <w:b/>
                <w:szCs w:val="20"/>
              </w:rPr>
            </w:pPr>
            <w:r w:rsidRPr="00E32CAB">
              <w:rPr>
                <w:rFonts w:ascii="Times New Roman" w:hAnsi="Times New Roman"/>
                <w:b/>
                <w:sz w:val="22"/>
                <w:szCs w:val="20"/>
              </w:rPr>
              <w:t>Средногодишна инфлация</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394B9070"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2019</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2F0F54D"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2020</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0FF51EF"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2021</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DF6F1D3"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2022</w:t>
            </w:r>
          </w:p>
        </w:tc>
        <w:tc>
          <w:tcPr>
            <w:tcW w:w="1928"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75A807BC"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 xml:space="preserve">2023 и следващи </w:t>
            </w:r>
            <w:r w:rsidRPr="00E32CAB">
              <w:rPr>
                <w:rFonts w:ascii="Times New Roman" w:hAnsi="Times New Roman"/>
                <w:b/>
                <w:sz w:val="22"/>
                <w:szCs w:val="20"/>
              </w:rPr>
              <w:lastRenderedPageBreak/>
              <w:t>до 2043</w:t>
            </w:r>
          </w:p>
        </w:tc>
      </w:tr>
      <w:tr w:rsidR="00E32CAB" w:rsidRPr="00E32CAB" w14:paraId="3709769A" w14:textId="77777777" w:rsidTr="002D4253">
        <w:trPr>
          <w:trHeight w:val="300"/>
        </w:trPr>
        <w:tc>
          <w:tcPr>
            <w:tcW w:w="3291" w:type="dxa"/>
            <w:tcBorders>
              <w:top w:val="single" w:sz="3" w:space="0" w:color="000000"/>
              <w:left w:val="single" w:sz="3" w:space="0" w:color="000000"/>
              <w:bottom w:val="single" w:sz="3" w:space="0" w:color="000000"/>
              <w:right w:val="single" w:sz="3" w:space="0" w:color="000000"/>
            </w:tcBorders>
            <w:vAlign w:val="bottom"/>
          </w:tcPr>
          <w:p w14:paraId="3E114B86" w14:textId="77777777" w:rsidR="00E32CAB" w:rsidRPr="00E32CAB" w:rsidRDefault="00E32CAB" w:rsidP="00D16283">
            <w:pPr>
              <w:widowControl w:val="0"/>
              <w:suppressAutoHyphens w:val="0"/>
              <w:spacing w:before="60" w:after="60" w:line="276" w:lineRule="auto"/>
              <w:rPr>
                <w:rFonts w:ascii="Times New Roman" w:hAnsi="Times New Roman"/>
                <w:szCs w:val="20"/>
              </w:rPr>
            </w:pPr>
            <w:r w:rsidRPr="00E32CAB">
              <w:rPr>
                <w:rFonts w:ascii="Times New Roman" w:hAnsi="Times New Roman"/>
                <w:sz w:val="22"/>
                <w:szCs w:val="20"/>
              </w:rPr>
              <w:lastRenderedPageBreak/>
              <w:t>Годишен ръст</w:t>
            </w:r>
          </w:p>
        </w:tc>
        <w:tc>
          <w:tcPr>
            <w:tcW w:w="892" w:type="dxa"/>
            <w:tcBorders>
              <w:top w:val="single" w:sz="3" w:space="0" w:color="000000"/>
              <w:left w:val="nil"/>
              <w:bottom w:val="single" w:sz="3" w:space="0" w:color="000000"/>
              <w:right w:val="single" w:sz="3" w:space="0" w:color="000000"/>
            </w:tcBorders>
            <w:vAlign w:val="center"/>
          </w:tcPr>
          <w:p w14:paraId="388B2D25"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1,8%</w:t>
            </w:r>
          </w:p>
        </w:tc>
        <w:tc>
          <w:tcPr>
            <w:tcW w:w="892" w:type="dxa"/>
            <w:tcBorders>
              <w:top w:val="single" w:sz="3" w:space="0" w:color="000000"/>
              <w:left w:val="nil"/>
              <w:bottom w:val="single" w:sz="3" w:space="0" w:color="000000"/>
              <w:right w:val="single" w:sz="3" w:space="0" w:color="000000"/>
            </w:tcBorders>
            <w:vAlign w:val="center"/>
          </w:tcPr>
          <w:p w14:paraId="4E4FB9A2"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2,5%</w:t>
            </w:r>
          </w:p>
        </w:tc>
        <w:tc>
          <w:tcPr>
            <w:tcW w:w="893" w:type="dxa"/>
            <w:tcBorders>
              <w:top w:val="single" w:sz="3" w:space="0" w:color="000000"/>
              <w:left w:val="nil"/>
              <w:bottom w:val="single" w:sz="3" w:space="0" w:color="000000"/>
              <w:right w:val="single" w:sz="3" w:space="0" w:color="000000"/>
            </w:tcBorders>
            <w:vAlign w:val="center"/>
          </w:tcPr>
          <w:p w14:paraId="639169D8"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2,3%</w:t>
            </w:r>
          </w:p>
        </w:tc>
        <w:tc>
          <w:tcPr>
            <w:tcW w:w="893" w:type="dxa"/>
            <w:tcBorders>
              <w:top w:val="single" w:sz="3" w:space="0" w:color="000000"/>
              <w:left w:val="nil"/>
              <w:bottom w:val="single" w:sz="3" w:space="0" w:color="000000"/>
              <w:right w:val="single" w:sz="3" w:space="0" w:color="000000"/>
            </w:tcBorders>
            <w:vAlign w:val="center"/>
          </w:tcPr>
          <w:p w14:paraId="5C96762F"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2,2%</w:t>
            </w:r>
          </w:p>
        </w:tc>
        <w:tc>
          <w:tcPr>
            <w:tcW w:w="1928" w:type="dxa"/>
            <w:tcBorders>
              <w:top w:val="single" w:sz="3" w:space="0" w:color="000000"/>
              <w:left w:val="nil"/>
              <w:bottom w:val="single" w:sz="3" w:space="0" w:color="000000"/>
              <w:right w:val="single" w:sz="3" w:space="0" w:color="000000"/>
            </w:tcBorders>
            <w:vAlign w:val="center"/>
          </w:tcPr>
          <w:p w14:paraId="1340C670"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1,8%</w:t>
            </w:r>
          </w:p>
        </w:tc>
      </w:tr>
    </w:tbl>
    <w:p w14:paraId="0117C977" w14:textId="77777777" w:rsidR="00E32CAB" w:rsidRPr="002D4253" w:rsidRDefault="00E32CAB" w:rsidP="00E32CAB">
      <w:pPr>
        <w:widowControl w:val="0"/>
        <w:suppressAutoHyphens w:val="0"/>
        <w:spacing w:line="360" w:lineRule="auto"/>
        <w:rPr>
          <w:rFonts w:ascii="Times New Roman" w:hAnsi="Times New Roman"/>
          <w:i/>
          <w:sz w:val="20"/>
          <w:lang w:val="en-US"/>
        </w:rPr>
      </w:pPr>
      <w:r w:rsidRPr="002D4253">
        <w:rPr>
          <w:rFonts w:ascii="Times New Roman" w:hAnsi="Times New Roman"/>
          <w:i/>
          <w:sz w:val="20"/>
        </w:rPr>
        <w:t>Източник: Конвергентна програма (2017–2020),</w:t>
      </w:r>
      <w:hyperlink r:id="rId16" w:history="1">
        <w:r w:rsidRPr="002D4253">
          <w:rPr>
            <w:rFonts w:ascii="Times New Roman" w:hAnsi="Times New Roman"/>
            <w:i/>
            <w:color w:val="0000FF"/>
            <w:sz w:val="20"/>
            <w:u w:val="single"/>
          </w:rPr>
          <w:t>https://www.minfin.bg/bg/page/868</w:t>
        </w:r>
      </w:hyperlink>
    </w:p>
    <w:p w14:paraId="089893B4" w14:textId="77777777" w:rsidR="00E32CAB" w:rsidRDefault="00E32CAB" w:rsidP="00264397">
      <w:pPr>
        <w:widowControl w:val="0"/>
        <w:suppressAutoHyphens w:val="0"/>
        <w:spacing w:before="120" w:after="120" w:line="252" w:lineRule="auto"/>
        <w:rPr>
          <w:rFonts w:ascii="Times New Roman" w:hAnsi="Times New Roman"/>
        </w:rPr>
      </w:pPr>
      <w:r w:rsidRPr="002D4253">
        <w:rPr>
          <w:rFonts w:ascii="Times New Roman" w:hAnsi="Times New Roman"/>
        </w:rPr>
        <w:t xml:space="preserve">За целите на АРП след  2021г </w:t>
      </w:r>
      <w:r w:rsidRPr="002D4253">
        <w:rPr>
          <w:rFonts w:ascii="Times New Roman" w:hAnsi="Times New Roman"/>
          <w:b/>
        </w:rPr>
        <w:t>до края на референтния периода е запазен ръст от 1,8 % годишно на инфлацията</w:t>
      </w:r>
      <w:r w:rsidRPr="002D4253">
        <w:rPr>
          <w:rFonts w:ascii="Times New Roman" w:hAnsi="Times New Roman"/>
        </w:rPr>
        <w:t>, съгласно допускания за задържане на цените на енергийните суровини.</w:t>
      </w:r>
    </w:p>
    <w:p w14:paraId="60672014" w14:textId="77777777" w:rsidR="002D4253" w:rsidRPr="002D4253" w:rsidRDefault="002D4253" w:rsidP="005F23D7">
      <w:pPr>
        <w:widowControl w:val="0"/>
        <w:suppressAutoHyphens w:val="0"/>
        <w:spacing w:before="240" w:line="276" w:lineRule="auto"/>
        <w:rPr>
          <w:rFonts w:ascii="Times New Roman" w:hAnsi="Times New Roman"/>
          <w:b/>
          <w:color w:val="0070C0"/>
          <w:u w:val="single"/>
        </w:rPr>
      </w:pPr>
      <w:r w:rsidRPr="002D4253">
        <w:rPr>
          <w:rFonts w:ascii="Times New Roman" w:hAnsi="Times New Roman"/>
          <w:b/>
          <w:color w:val="0070C0"/>
          <w:u w:val="single"/>
        </w:rPr>
        <w:t xml:space="preserve">Валутен курс </w:t>
      </w:r>
    </w:p>
    <w:p w14:paraId="6F4693BD" w14:textId="77777777" w:rsidR="0005719F" w:rsidRDefault="002D4253" w:rsidP="005F23D7">
      <w:pPr>
        <w:pStyle w:val="MoIBody"/>
        <w:rPr>
          <w:snapToGrid w:val="0"/>
          <w:lang w:eastAsia="bg-BG"/>
        </w:rPr>
      </w:pPr>
      <w:r w:rsidRPr="002D4253">
        <w:rPr>
          <w:snapToGrid w:val="0"/>
          <w:lang w:eastAsia="bg-BG"/>
        </w:rPr>
        <w:t>България има фиксиран валутен курс от 1.95583 лева за 1 евро и такъв курс е заложен за целия период на прогнозата.</w:t>
      </w:r>
    </w:p>
    <w:p w14:paraId="019EB48C" w14:textId="77777777" w:rsidR="002D4253" w:rsidRPr="002D4253" w:rsidRDefault="002D4253" w:rsidP="005F23D7">
      <w:pPr>
        <w:keepNext/>
        <w:suppressAutoHyphens w:val="0"/>
        <w:spacing w:before="240" w:after="120" w:line="276" w:lineRule="auto"/>
        <w:outlineLvl w:val="3"/>
        <w:rPr>
          <w:rFonts w:ascii="Times New Roman" w:hAnsi="Times New Roman"/>
          <w:b/>
          <w:color w:val="0063B8"/>
          <w:u w:val="single"/>
        </w:rPr>
      </w:pPr>
      <w:r w:rsidRPr="002D4253">
        <w:rPr>
          <w:rFonts w:ascii="Times New Roman" w:hAnsi="Times New Roman"/>
          <w:b/>
          <w:color w:val="0063B8"/>
          <w:u w:val="single"/>
        </w:rPr>
        <w:t>Външна търговия</w:t>
      </w:r>
    </w:p>
    <w:p w14:paraId="40810E24" w14:textId="75294C3B" w:rsidR="002D4253" w:rsidRPr="002D4253" w:rsidRDefault="002D4253" w:rsidP="002D4253">
      <w:pPr>
        <w:pStyle w:val="MoIBody"/>
        <w:rPr>
          <w:snapToGrid w:val="0"/>
          <w:lang w:eastAsia="bg-BG"/>
        </w:rPr>
      </w:pPr>
      <w:r w:rsidRPr="002D4253">
        <w:rPr>
          <w:snapToGrid w:val="0"/>
          <w:lang w:eastAsia="bg-BG"/>
        </w:rPr>
        <w:t>Балансът през 2018</w:t>
      </w:r>
      <w:r w:rsidR="00264397">
        <w:rPr>
          <w:snapToGrid w:val="0"/>
          <w:lang w:eastAsia="bg-BG"/>
        </w:rPr>
        <w:t xml:space="preserve"> </w:t>
      </w:r>
      <w:r w:rsidRPr="002D4253">
        <w:rPr>
          <w:snapToGrid w:val="0"/>
          <w:lang w:eastAsia="bg-BG"/>
        </w:rPr>
        <w:t xml:space="preserve">г. се е понижил спрямо 2017 г., като определящо значение е имало   увеличението на търговския дефицит от 2.6% през предходната година до 4.1% от БВП. Отчетеното влошаване е породено от изпреварващия реален ръст на вноса на стоки спрямо износа, при сходно нарастване на цените на внос и износ. Ускореното нарастване на потреблението и инвестициите в основен капитал обуславя растежа на вноса, докато забавянето във външното търсене, наред с някои еднократни ефекти, е оказало негативен ефект върху износа на стоки. </w:t>
      </w:r>
    </w:p>
    <w:p w14:paraId="32084629" w14:textId="28311D0F" w:rsidR="002D4253" w:rsidRPr="002D4253" w:rsidRDefault="002D4253" w:rsidP="002D4253">
      <w:pPr>
        <w:pStyle w:val="MoIBody"/>
        <w:rPr>
          <w:snapToGrid w:val="0"/>
          <w:lang w:eastAsia="bg-BG"/>
        </w:rPr>
      </w:pPr>
      <w:r w:rsidRPr="002D4253">
        <w:rPr>
          <w:snapToGrid w:val="0"/>
          <w:lang w:eastAsia="bg-BG"/>
        </w:rPr>
        <w:t>Средногодишния</w:t>
      </w:r>
      <w:r w:rsidR="00264397">
        <w:rPr>
          <w:snapToGrid w:val="0"/>
          <w:lang w:eastAsia="bg-BG"/>
        </w:rPr>
        <w:t>т</w:t>
      </w:r>
      <w:r w:rsidRPr="002D4253">
        <w:rPr>
          <w:snapToGrid w:val="0"/>
          <w:lang w:eastAsia="bg-BG"/>
        </w:rPr>
        <w:t xml:space="preserve"> размер на вноса планиран за 2019</w:t>
      </w:r>
      <w:r w:rsidR="00264397">
        <w:rPr>
          <w:snapToGrid w:val="0"/>
          <w:lang w:eastAsia="bg-BG"/>
        </w:rPr>
        <w:t xml:space="preserve"> </w:t>
      </w:r>
      <w:r w:rsidRPr="002D4253">
        <w:rPr>
          <w:snapToGrid w:val="0"/>
          <w:lang w:eastAsia="bg-BG"/>
        </w:rPr>
        <w:t>г. е 72,7 млн.лв., а на износа 73,16 млн.лв. Дори при разглеждания Алтерн</w:t>
      </w:r>
      <w:r w:rsidR="00264397">
        <w:rPr>
          <w:snapToGrid w:val="0"/>
          <w:lang w:eastAsia="bg-BG"/>
        </w:rPr>
        <w:t>ативен сценарий на намалено пот</w:t>
      </w:r>
      <w:r w:rsidRPr="002D4253">
        <w:rPr>
          <w:snapToGrid w:val="0"/>
          <w:lang w:eastAsia="bg-BG"/>
        </w:rPr>
        <w:t xml:space="preserve">ребление, външно търговското салдо остава положително. </w:t>
      </w:r>
    </w:p>
    <w:p w14:paraId="027851FD" w14:textId="1E126749" w:rsidR="002D4253" w:rsidRPr="002D4253" w:rsidRDefault="002D4253" w:rsidP="002D4253">
      <w:pPr>
        <w:pStyle w:val="MoIBody"/>
        <w:rPr>
          <w:snapToGrid w:val="0"/>
          <w:lang w:eastAsia="bg-BG"/>
        </w:rPr>
      </w:pPr>
      <w:r w:rsidRPr="002D4253">
        <w:rPr>
          <w:snapToGrid w:val="0"/>
          <w:lang w:eastAsia="bg-BG"/>
        </w:rPr>
        <w:t>За нуждите на прогнозите и допусканията в АРП тези макро-индикатори са необходим</w:t>
      </w:r>
      <w:r w:rsidR="00264397">
        <w:rPr>
          <w:snapToGrid w:val="0"/>
          <w:lang w:eastAsia="bg-BG"/>
        </w:rPr>
        <w:t>и и затова те се из</w:t>
      </w:r>
      <w:r w:rsidRPr="002D4253">
        <w:rPr>
          <w:snapToGrid w:val="0"/>
          <w:lang w:eastAsia="bg-BG"/>
        </w:rPr>
        <w:t>следвани.</w:t>
      </w:r>
    </w:p>
    <w:p w14:paraId="5CEE0823" w14:textId="77777777" w:rsidR="00C64335" w:rsidRDefault="00C64335" w:rsidP="00561396">
      <w:pPr>
        <w:pStyle w:val="MoIBody"/>
        <w:rPr>
          <w:lang w:val="en-US"/>
        </w:rPr>
      </w:pPr>
    </w:p>
    <w:p w14:paraId="32BB0D85" w14:textId="27C15583" w:rsidR="002D4253" w:rsidRPr="00E24E2A" w:rsidRDefault="00631BBE" w:rsidP="002D4253">
      <w:pPr>
        <w:pStyle w:val="Heading2"/>
      </w:pPr>
      <w:bookmarkStart w:id="18" w:name="_Toc485653128"/>
      <w:bookmarkStart w:id="19" w:name="_Toc43309114"/>
      <w:bookmarkStart w:id="20" w:name="_Toc13831901"/>
      <w:r w:rsidRPr="00E24E2A">
        <w:t>Анализ на търсенето</w:t>
      </w:r>
      <w:bookmarkEnd w:id="18"/>
      <w:bookmarkEnd w:id="19"/>
      <w:r w:rsidRPr="00E24E2A">
        <w:t xml:space="preserve"> </w:t>
      </w:r>
      <w:bookmarkEnd w:id="20"/>
    </w:p>
    <w:p w14:paraId="4D0279E3" w14:textId="7442F585" w:rsidR="003C5540" w:rsidRDefault="00986526" w:rsidP="003C5540">
      <w:pPr>
        <w:pStyle w:val="MoIBody"/>
        <w:rPr>
          <w:noProof/>
        </w:rPr>
      </w:pPr>
      <w:r>
        <w:rPr>
          <w:noProof/>
        </w:rPr>
        <w:t xml:space="preserve">Анаизът на търсенето е необходим за изготвяне на реалистични прогнози във Финансовия анализ. </w:t>
      </w:r>
      <w:r w:rsidR="003C5540">
        <w:rPr>
          <w:noProof/>
        </w:rPr>
        <w:t xml:space="preserve">При </w:t>
      </w:r>
      <w:r>
        <w:rPr>
          <w:noProof/>
        </w:rPr>
        <w:t xml:space="preserve">него е важно </w:t>
      </w:r>
      <w:r w:rsidR="003C5540">
        <w:rPr>
          <w:noProof/>
        </w:rPr>
        <w:t xml:space="preserve">да се отчетат разликите между морските и </w:t>
      </w:r>
      <w:r w:rsidR="00BB50F8">
        <w:rPr>
          <w:noProof/>
        </w:rPr>
        <w:t>речните</w:t>
      </w:r>
      <w:r w:rsidR="003C5540">
        <w:rPr>
          <w:noProof/>
        </w:rPr>
        <w:t xml:space="preserve"> пристанища за обществен транспорт с национално значение - както в международната нормативна рамка, така и в настоящото състояние на приемането на отпадъци от експлоатацията на кораби, както и възможностите за борба с експлоатационни и аварийни замърсявания в пристанищните акватории. Тези разлики са отразени в направените прединвестиционни проучавня за петте пристанища, в камките на Дейност 1 по Договор ДЕП-27/26.10.2018 г., относно „Осигуряване на консултантски услуги на Стратегически съветник“. </w:t>
      </w:r>
    </w:p>
    <w:p w14:paraId="1A166C14" w14:textId="77777777" w:rsidR="00103F2C" w:rsidRDefault="00103F2C" w:rsidP="00103F2C">
      <w:pPr>
        <w:pStyle w:val="MoIBody"/>
        <w:rPr>
          <w:noProof/>
        </w:rPr>
      </w:pPr>
      <w:r>
        <w:rPr>
          <w:noProof/>
        </w:rPr>
        <w:t xml:space="preserve">Общата оценка относно ППС в морските пристанища е, че капацитетите и видовете ППС за категориите отпадъци, покрити от Тарифата за пристанищните такси, събирани от ДППИ, могат да се приемат за достатъчни.  </w:t>
      </w:r>
    </w:p>
    <w:p w14:paraId="254A153C" w14:textId="26405E58" w:rsidR="003C5540" w:rsidRDefault="003C5540" w:rsidP="003C5540">
      <w:pPr>
        <w:pStyle w:val="MoIBody"/>
        <w:rPr>
          <w:noProof/>
        </w:rPr>
      </w:pPr>
      <w:r>
        <w:rPr>
          <w:noProof/>
        </w:rPr>
        <w:lastRenderedPageBreak/>
        <w:t xml:space="preserve">При направеното проучване в рамките на проекта се установи, че наличните съоръжения за превенция и борба с нефтени разливи са остарели и изключително недостатъчни, за да покрият нуждите за превенция и борба с експлоатационни и аварийни замърсявания (с нефтоводни смеси и/или твърди отпадъци) в района на </w:t>
      </w:r>
      <w:r w:rsidR="00BB50F8">
        <w:rPr>
          <w:noProof/>
        </w:rPr>
        <w:t>морски</w:t>
      </w:r>
      <w:r>
        <w:rPr>
          <w:noProof/>
        </w:rPr>
        <w:t xml:space="preserve">те пристанища. </w:t>
      </w:r>
    </w:p>
    <w:p w14:paraId="3BD6BC79" w14:textId="6A3BC5A8" w:rsidR="003C5540" w:rsidRDefault="003C5540" w:rsidP="003C5540">
      <w:pPr>
        <w:pStyle w:val="MoIBody"/>
        <w:rPr>
          <w:noProof/>
        </w:rPr>
      </w:pPr>
      <w:r>
        <w:rPr>
          <w:noProof/>
        </w:rPr>
        <w:t xml:space="preserve">Анализът на търсенето е извършен в прединвестиционните проучвания, където вида и размера на необходимите ППС е определен на база очаквани количества видове отпадъци. Прогнозите са извършени на база анализ  на водния </w:t>
      </w:r>
      <w:r w:rsidR="00986526">
        <w:rPr>
          <w:noProof/>
        </w:rPr>
        <w:t xml:space="preserve">речен </w:t>
      </w:r>
      <w:r>
        <w:rPr>
          <w:noProof/>
        </w:rPr>
        <w:t>транспорт и очертани тенденции за последните години в периода 2011-2018</w:t>
      </w:r>
      <w:r w:rsidR="006C6229">
        <w:rPr>
          <w:noProof/>
        </w:rPr>
        <w:t xml:space="preserve"> </w:t>
      </w:r>
      <w:r>
        <w:rPr>
          <w:noProof/>
        </w:rPr>
        <w:t>г.</w:t>
      </w:r>
    </w:p>
    <w:p w14:paraId="38094FF7" w14:textId="7122D3C4" w:rsidR="002D4253" w:rsidRDefault="002D4253" w:rsidP="003C5540">
      <w:pPr>
        <w:pStyle w:val="MoIBody"/>
        <w:rPr>
          <w:noProof/>
        </w:rPr>
      </w:pPr>
      <w:r>
        <w:rPr>
          <w:noProof/>
        </w:rPr>
        <w:t>Данните от НСИ показват, че товарите за последните 8 години показва устойчив ръст, с изключение на 2014</w:t>
      </w:r>
      <w:r w:rsidR="006C6229">
        <w:rPr>
          <w:noProof/>
        </w:rPr>
        <w:t xml:space="preserve"> </w:t>
      </w:r>
      <w:r>
        <w:rPr>
          <w:noProof/>
        </w:rPr>
        <w:t>г.</w:t>
      </w:r>
      <w:r>
        <w:rPr>
          <w:noProof/>
          <w:lang w:val="en-US"/>
        </w:rPr>
        <w:t xml:space="preserve"> </w:t>
      </w:r>
      <w:r>
        <w:rPr>
          <w:noProof/>
        </w:rPr>
        <w:t>Данните за 2018</w:t>
      </w:r>
      <w:r w:rsidR="006C6229">
        <w:rPr>
          <w:noProof/>
        </w:rPr>
        <w:t xml:space="preserve"> г.</w:t>
      </w:r>
      <w:r>
        <w:rPr>
          <w:noProof/>
        </w:rPr>
        <w:t xml:space="preserve"> са със статут на прогнозни.</w:t>
      </w:r>
    </w:p>
    <w:p w14:paraId="55C1C34C" w14:textId="594501DC" w:rsidR="00986526" w:rsidRDefault="00986526" w:rsidP="00986526">
      <w:pPr>
        <w:suppressAutoHyphens w:val="0"/>
        <w:spacing w:before="240" w:after="0" w:line="360" w:lineRule="auto"/>
        <w:rPr>
          <w:rFonts w:ascii="Times New Roman" w:hAnsi="Times New Roman"/>
          <w:b/>
          <w:bCs/>
          <w:smallCaps/>
          <w:color w:val="4F81BD"/>
          <w:sz w:val="22"/>
        </w:rPr>
      </w:pPr>
      <w:r w:rsidRPr="0005719F">
        <w:rPr>
          <w:rFonts w:ascii="Times New Roman" w:hAnsi="Times New Roman"/>
          <w:b/>
          <w:bCs/>
          <w:smallCaps/>
          <w:color w:val="4F81BD"/>
          <w:sz w:val="22"/>
        </w:rPr>
        <w:t xml:space="preserve">Таблица </w:t>
      </w:r>
      <w:r w:rsidRPr="0005719F">
        <w:rPr>
          <w:rFonts w:ascii="Times New Roman" w:hAnsi="Times New Roman"/>
          <w:b/>
          <w:bCs/>
          <w:smallCaps/>
          <w:color w:val="4F81BD"/>
          <w:sz w:val="22"/>
        </w:rPr>
        <w:fldChar w:fldCharType="begin"/>
      </w:r>
      <w:r w:rsidRPr="0005719F">
        <w:rPr>
          <w:rFonts w:ascii="Times New Roman" w:hAnsi="Times New Roman"/>
          <w:b/>
          <w:bCs/>
          <w:smallCaps/>
          <w:color w:val="4F81BD"/>
          <w:sz w:val="22"/>
        </w:rPr>
        <w:instrText xml:space="preserve"> STYLEREF 1 \s </w:instrText>
      </w:r>
      <w:r w:rsidRPr="0005719F">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05719F">
        <w:rPr>
          <w:rFonts w:ascii="Times New Roman" w:hAnsi="Times New Roman"/>
          <w:b/>
          <w:bCs/>
          <w:smallCaps/>
          <w:color w:val="4F81BD"/>
          <w:sz w:val="22"/>
        </w:rPr>
        <w:fldChar w:fldCharType="end"/>
      </w:r>
      <w:r>
        <w:rPr>
          <w:rFonts w:ascii="Times New Roman" w:hAnsi="Times New Roman"/>
          <w:b/>
          <w:bCs/>
          <w:smallCaps/>
          <w:color w:val="4F81BD"/>
          <w:sz w:val="22"/>
        </w:rPr>
        <w:noBreakHyphen/>
        <w:t>6</w:t>
      </w:r>
      <w:r w:rsidRPr="0005719F">
        <w:rPr>
          <w:rFonts w:ascii="Times New Roman" w:hAnsi="Times New Roman"/>
          <w:b/>
          <w:bCs/>
          <w:smallCaps/>
          <w:color w:val="4F81BD"/>
          <w:sz w:val="22"/>
        </w:rPr>
        <w:t xml:space="preserve">: Исторически данни за товари в </w:t>
      </w:r>
      <w:r w:rsidR="00BB50F8">
        <w:rPr>
          <w:rFonts w:ascii="Times New Roman" w:hAnsi="Times New Roman"/>
          <w:b/>
          <w:bCs/>
          <w:smallCaps/>
          <w:color w:val="4F81BD"/>
          <w:sz w:val="22"/>
        </w:rPr>
        <w:t>морски</w:t>
      </w:r>
      <w:r w:rsidRPr="0005719F">
        <w:rPr>
          <w:rFonts w:ascii="Times New Roman" w:hAnsi="Times New Roman"/>
          <w:b/>
          <w:bCs/>
          <w:smallCaps/>
          <w:color w:val="4F81BD"/>
          <w:sz w:val="22"/>
        </w:rPr>
        <w:t>те пристанища</w:t>
      </w:r>
    </w:p>
    <w:tbl>
      <w:tblPr>
        <w:tblW w:w="9556" w:type="dxa"/>
        <w:tblInd w:w="108" w:type="dxa"/>
        <w:tblLook w:val="04A0" w:firstRow="1" w:lastRow="0" w:firstColumn="1" w:lastColumn="0" w:noHBand="0" w:noVBand="1"/>
      </w:tblPr>
      <w:tblGrid>
        <w:gridCol w:w="3119"/>
        <w:gridCol w:w="851"/>
        <w:gridCol w:w="766"/>
        <w:gridCol w:w="766"/>
        <w:gridCol w:w="766"/>
        <w:gridCol w:w="766"/>
        <w:gridCol w:w="821"/>
        <w:gridCol w:w="851"/>
        <w:gridCol w:w="850"/>
      </w:tblGrid>
      <w:tr w:rsidR="00103F2C" w:rsidRPr="002D4253" w14:paraId="7865D581" w14:textId="77777777" w:rsidTr="00866433">
        <w:trPr>
          <w:trHeight w:val="352"/>
        </w:trPr>
        <w:tc>
          <w:tcPr>
            <w:tcW w:w="3119"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60E539C7" w14:textId="77777777" w:rsidR="00103F2C" w:rsidRPr="002D4253" w:rsidRDefault="00103F2C" w:rsidP="00866433">
            <w:pPr>
              <w:suppressAutoHyphens w:val="0"/>
              <w:spacing w:before="60" w:after="60" w:line="276" w:lineRule="auto"/>
              <w:jc w:val="right"/>
              <w:rPr>
                <w:rFonts w:ascii="Times New Roman" w:hAnsi="Times New Roman"/>
                <w:b/>
                <w:bCs/>
                <w:szCs w:val="20"/>
                <w:lang w:val="en-US"/>
              </w:rPr>
            </w:pPr>
            <w:r w:rsidRPr="002D4253">
              <w:rPr>
                <w:rFonts w:ascii="Times New Roman" w:hAnsi="Times New Roman"/>
                <w:b/>
                <w:bCs/>
                <w:sz w:val="22"/>
                <w:szCs w:val="20"/>
                <w:lang w:val="en-US"/>
              </w:rPr>
              <w:t>Товари за морски транспорт</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54E66494"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2011</w:t>
            </w:r>
          </w:p>
        </w:tc>
        <w:tc>
          <w:tcPr>
            <w:tcW w:w="766" w:type="dxa"/>
            <w:tcBorders>
              <w:top w:val="single" w:sz="4" w:space="0" w:color="auto"/>
              <w:left w:val="nil"/>
              <w:bottom w:val="single" w:sz="4" w:space="0" w:color="auto"/>
              <w:right w:val="single" w:sz="4" w:space="0" w:color="auto"/>
            </w:tcBorders>
            <w:shd w:val="clear" w:color="000000" w:fill="D9D9D9"/>
            <w:vAlign w:val="center"/>
            <w:hideMark/>
          </w:tcPr>
          <w:p w14:paraId="25AD6114"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2012</w:t>
            </w:r>
          </w:p>
        </w:tc>
        <w:tc>
          <w:tcPr>
            <w:tcW w:w="766" w:type="dxa"/>
            <w:tcBorders>
              <w:top w:val="single" w:sz="4" w:space="0" w:color="auto"/>
              <w:left w:val="nil"/>
              <w:bottom w:val="single" w:sz="4" w:space="0" w:color="auto"/>
              <w:right w:val="single" w:sz="4" w:space="0" w:color="auto"/>
            </w:tcBorders>
            <w:shd w:val="clear" w:color="000000" w:fill="D9D9D9"/>
            <w:vAlign w:val="center"/>
            <w:hideMark/>
          </w:tcPr>
          <w:p w14:paraId="0771F18B"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2013</w:t>
            </w:r>
          </w:p>
        </w:tc>
        <w:tc>
          <w:tcPr>
            <w:tcW w:w="766" w:type="dxa"/>
            <w:tcBorders>
              <w:top w:val="single" w:sz="4" w:space="0" w:color="auto"/>
              <w:left w:val="nil"/>
              <w:bottom w:val="single" w:sz="4" w:space="0" w:color="auto"/>
              <w:right w:val="single" w:sz="4" w:space="0" w:color="auto"/>
            </w:tcBorders>
            <w:shd w:val="clear" w:color="000000" w:fill="D9D9D9"/>
            <w:vAlign w:val="center"/>
            <w:hideMark/>
          </w:tcPr>
          <w:p w14:paraId="394C1A98"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2014</w:t>
            </w:r>
          </w:p>
        </w:tc>
        <w:tc>
          <w:tcPr>
            <w:tcW w:w="766" w:type="dxa"/>
            <w:tcBorders>
              <w:top w:val="single" w:sz="4" w:space="0" w:color="auto"/>
              <w:left w:val="nil"/>
              <w:bottom w:val="single" w:sz="4" w:space="0" w:color="auto"/>
              <w:right w:val="single" w:sz="4" w:space="0" w:color="auto"/>
            </w:tcBorders>
            <w:shd w:val="clear" w:color="000000" w:fill="D9D9D9"/>
            <w:vAlign w:val="center"/>
            <w:hideMark/>
          </w:tcPr>
          <w:p w14:paraId="37A4FC6E"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2015</w:t>
            </w:r>
          </w:p>
        </w:tc>
        <w:tc>
          <w:tcPr>
            <w:tcW w:w="821" w:type="dxa"/>
            <w:tcBorders>
              <w:top w:val="single" w:sz="4" w:space="0" w:color="auto"/>
              <w:left w:val="nil"/>
              <w:bottom w:val="single" w:sz="4" w:space="0" w:color="auto"/>
              <w:right w:val="single" w:sz="4" w:space="0" w:color="auto"/>
            </w:tcBorders>
            <w:shd w:val="clear" w:color="000000" w:fill="D9D9D9"/>
            <w:vAlign w:val="center"/>
            <w:hideMark/>
          </w:tcPr>
          <w:p w14:paraId="4F74DF2D"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2016</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51A2ABAC"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2017</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14:paraId="68A0B5A8"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2018*</w:t>
            </w:r>
          </w:p>
        </w:tc>
      </w:tr>
      <w:tr w:rsidR="00103F2C" w:rsidRPr="002D4253" w14:paraId="1A13E658" w14:textId="77777777" w:rsidTr="00866433">
        <w:trPr>
          <w:trHeight w:val="36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75BCB025" w14:textId="77777777" w:rsidR="00103F2C" w:rsidRPr="002D4253" w:rsidRDefault="00103F2C" w:rsidP="00866433">
            <w:pPr>
              <w:suppressAutoHyphens w:val="0"/>
              <w:spacing w:before="60" w:after="60" w:line="276" w:lineRule="auto"/>
              <w:rPr>
                <w:rFonts w:ascii="Times New Roman" w:hAnsi="Times New Roman"/>
                <w:b/>
                <w:bCs/>
                <w:szCs w:val="20"/>
                <w:lang w:val="en-US"/>
              </w:rPr>
            </w:pPr>
            <w:r w:rsidRPr="002D4253">
              <w:rPr>
                <w:rFonts w:ascii="Times New Roman" w:hAnsi="Times New Roman"/>
                <w:b/>
                <w:bCs/>
                <w:sz w:val="22"/>
                <w:szCs w:val="20"/>
                <w:lang w:val="en-US"/>
              </w:rPr>
              <w:t>Общо</w:t>
            </w:r>
          </w:p>
        </w:tc>
        <w:tc>
          <w:tcPr>
            <w:tcW w:w="851" w:type="dxa"/>
            <w:tcBorders>
              <w:top w:val="nil"/>
              <w:left w:val="nil"/>
              <w:bottom w:val="single" w:sz="4" w:space="0" w:color="auto"/>
              <w:right w:val="single" w:sz="4" w:space="0" w:color="auto"/>
            </w:tcBorders>
            <w:shd w:val="clear" w:color="auto" w:fill="auto"/>
            <w:noWrap/>
            <w:vAlign w:val="center"/>
            <w:hideMark/>
          </w:tcPr>
          <w:p w14:paraId="62BE6610"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25185</w:t>
            </w:r>
          </w:p>
        </w:tc>
        <w:tc>
          <w:tcPr>
            <w:tcW w:w="766" w:type="dxa"/>
            <w:tcBorders>
              <w:top w:val="nil"/>
              <w:left w:val="nil"/>
              <w:bottom w:val="single" w:sz="4" w:space="0" w:color="auto"/>
              <w:right w:val="single" w:sz="4" w:space="0" w:color="auto"/>
            </w:tcBorders>
            <w:shd w:val="clear" w:color="auto" w:fill="auto"/>
            <w:noWrap/>
            <w:vAlign w:val="center"/>
            <w:hideMark/>
          </w:tcPr>
          <w:p w14:paraId="3D5E5FEF"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26012</w:t>
            </w:r>
          </w:p>
        </w:tc>
        <w:tc>
          <w:tcPr>
            <w:tcW w:w="766" w:type="dxa"/>
            <w:tcBorders>
              <w:top w:val="nil"/>
              <w:left w:val="nil"/>
              <w:bottom w:val="single" w:sz="4" w:space="0" w:color="auto"/>
              <w:right w:val="single" w:sz="4" w:space="0" w:color="auto"/>
            </w:tcBorders>
            <w:shd w:val="clear" w:color="auto" w:fill="auto"/>
            <w:noWrap/>
            <w:vAlign w:val="center"/>
            <w:hideMark/>
          </w:tcPr>
          <w:p w14:paraId="689331C8"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28841</w:t>
            </w:r>
          </w:p>
        </w:tc>
        <w:tc>
          <w:tcPr>
            <w:tcW w:w="766" w:type="dxa"/>
            <w:tcBorders>
              <w:top w:val="nil"/>
              <w:left w:val="nil"/>
              <w:bottom w:val="single" w:sz="4" w:space="0" w:color="auto"/>
              <w:right w:val="single" w:sz="4" w:space="0" w:color="auto"/>
            </w:tcBorders>
            <w:shd w:val="clear" w:color="auto" w:fill="auto"/>
            <w:noWrap/>
            <w:vAlign w:val="center"/>
            <w:hideMark/>
          </w:tcPr>
          <w:p w14:paraId="71E9BD50"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27235</w:t>
            </w:r>
          </w:p>
        </w:tc>
        <w:tc>
          <w:tcPr>
            <w:tcW w:w="766" w:type="dxa"/>
            <w:tcBorders>
              <w:top w:val="nil"/>
              <w:left w:val="nil"/>
              <w:bottom w:val="single" w:sz="4" w:space="0" w:color="auto"/>
              <w:right w:val="single" w:sz="4" w:space="0" w:color="auto"/>
            </w:tcBorders>
            <w:shd w:val="clear" w:color="auto" w:fill="auto"/>
            <w:noWrap/>
            <w:vAlign w:val="center"/>
            <w:hideMark/>
          </w:tcPr>
          <w:p w14:paraId="2F10A957"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27166</w:t>
            </w:r>
          </w:p>
        </w:tc>
        <w:tc>
          <w:tcPr>
            <w:tcW w:w="821" w:type="dxa"/>
            <w:tcBorders>
              <w:top w:val="nil"/>
              <w:left w:val="nil"/>
              <w:bottom w:val="single" w:sz="4" w:space="0" w:color="auto"/>
              <w:right w:val="single" w:sz="4" w:space="0" w:color="auto"/>
            </w:tcBorders>
            <w:shd w:val="clear" w:color="auto" w:fill="auto"/>
            <w:noWrap/>
            <w:vAlign w:val="center"/>
            <w:hideMark/>
          </w:tcPr>
          <w:p w14:paraId="2D3D2B13"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28685</w:t>
            </w:r>
          </w:p>
        </w:tc>
        <w:tc>
          <w:tcPr>
            <w:tcW w:w="851" w:type="dxa"/>
            <w:tcBorders>
              <w:top w:val="nil"/>
              <w:left w:val="nil"/>
              <w:bottom w:val="single" w:sz="4" w:space="0" w:color="auto"/>
              <w:right w:val="single" w:sz="4" w:space="0" w:color="auto"/>
            </w:tcBorders>
            <w:shd w:val="clear" w:color="auto" w:fill="auto"/>
            <w:noWrap/>
            <w:vAlign w:val="center"/>
            <w:hideMark/>
          </w:tcPr>
          <w:p w14:paraId="1EAA41C9" w14:textId="77777777" w:rsidR="00103F2C" w:rsidRPr="002D4253" w:rsidRDefault="00103F2C" w:rsidP="00866433">
            <w:pPr>
              <w:suppressAutoHyphens w:val="0"/>
              <w:spacing w:before="60" w:after="60" w:line="276" w:lineRule="auto"/>
              <w:jc w:val="center"/>
              <w:rPr>
                <w:rFonts w:ascii="Times New Roman" w:hAnsi="Times New Roman"/>
                <w:b/>
                <w:bCs/>
                <w:szCs w:val="20"/>
                <w:lang w:val="en-US"/>
              </w:rPr>
            </w:pPr>
            <w:r w:rsidRPr="002D4253">
              <w:rPr>
                <w:rFonts w:ascii="Times New Roman" w:hAnsi="Times New Roman"/>
                <w:b/>
                <w:bCs/>
                <w:sz w:val="22"/>
                <w:szCs w:val="20"/>
                <w:lang w:val="en-US"/>
              </w:rPr>
              <w:t>30953</w:t>
            </w:r>
          </w:p>
        </w:tc>
        <w:tc>
          <w:tcPr>
            <w:tcW w:w="850" w:type="dxa"/>
            <w:tcBorders>
              <w:top w:val="nil"/>
              <w:left w:val="nil"/>
              <w:bottom w:val="single" w:sz="4" w:space="0" w:color="auto"/>
              <w:right w:val="single" w:sz="4" w:space="0" w:color="auto"/>
            </w:tcBorders>
            <w:shd w:val="clear" w:color="auto" w:fill="auto"/>
            <w:noWrap/>
            <w:vAlign w:val="center"/>
            <w:hideMark/>
          </w:tcPr>
          <w:p w14:paraId="04AA733F" w14:textId="77777777" w:rsidR="00103F2C" w:rsidRPr="00FE390D" w:rsidRDefault="00103F2C" w:rsidP="00866433">
            <w:pPr>
              <w:suppressAutoHyphens w:val="0"/>
              <w:spacing w:before="60" w:after="60" w:line="276" w:lineRule="auto"/>
              <w:jc w:val="center"/>
              <w:rPr>
                <w:rFonts w:ascii="Times New Roman" w:hAnsi="Times New Roman"/>
                <w:b/>
                <w:szCs w:val="20"/>
                <w:lang w:val="en-US"/>
              </w:rPr>
            </w:pPr>
            <w:r w:rsidRPr="00FE390D">
              <w:rPr>
                <w:rFonts w:ascii="Times New Roman" w:hAnsi="Times New Roman"/>
                <w:b/>
                <w:sz w:val="22"/>
                <w:szCs w:val="20"/>
                <w:lang w:val="en-US"/>
              </w:rPr>
              <w:t>31957</w:t>
            </w:r>
          </w:p>
        </w:tc>
      </w:tr>
      <w:tr w:rsidR="00103F2C" w:rsidRPr="002D4253" w14:paraId="6EFFCF91" w14:textId="77777777" w:rsidTr="00866433">
        <w:trPr>
          <w:trHeight w:val="36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8788920" w14:textId="77777777" w:rsidR="00103F2C" w:rsidRPr="002D4253" w:rsidRDefault="00103F2C" w:rsidP="00866433">
            <w:pPr>
              <w:suppressAutoHyphens w:val="0"/>
              <w:spacing w:before="60" w:after="60" w:line="276" w:lineRule="auto"/>
              <w:ind w:firstLineChars="100" w:firstLine="220"/>
              <w:rPr>
                <w:rFonts w:ascii="Times New Roman" w:hAnsi="Times New Roman"/>
                <w:szCs w:val="20"/>
                <w:lang w:val="en-US"/>
              </w:rPr>
            </w:pPr>
            <w:r w:rsidRPr="002D4253">
              <w:rPr>
                <w:rFonts w:ascii="Times New Roman" w:hAnsi="Times New Roman"/>
                <w:sz w:val="22"/>
                <w:szCs w:val="20"/>
                <w:lang w:val="en-US"/>
              </w:rPr>
              <w:t>Внос - разтоварени</w:t>
            </w:r>
          </w:p>
        </w:tc>
        <w:tc>
          <w:tcPr>
            <w:tcW w:w="851" w:type="dxa"/>
            <w:tcBorders>
              <w:top w:val="nil"/>
              <w:left w:val="nil"/>
              <w:bottom w:val="single" w:sz="4" w:space="0" w:color="auto"/>
              <w:right w:val="single" w:sz="4" w:space="0" w:color="auto"/>
            </w:tcBorders>
            <w:shd w:val="clear" w:color="auto" w:fill="auto"/>
            <w:noWrap/>
            <w:vAlign w:val="center"/>
            <w:hideMark/>
          </w:tcPr>
          <w:p w14:paraId="13314B39"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13036</w:t>
            </w:r>
          </w:p>
        </w:tc>
        <w:tc>
          <w:tcPr>
            <w:tcW w:w="766" w:type="dxa"/>
            <w:tcBorders>
              <w:top w:val="nil"/>
              <w:left w:val="nil"/>
              <w:bottom w:val="single" w:sz="4" w:space="0" w:color="auto"/>
              <w:right w:val="single" w:sz="4" w:space="0" w:color="auto"/>
            </w:tcBorders>
            <w:shd w:val="clear" w:color="auto" w:fill="auto"/>
            <w:noWrap/>
            <w:vAlign w:val="center"/>
            <w:hideMark/>
          </w:tcPr>
          <w:p w14:paraId="651F7ED4"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12722</w:t>
            </w:r>
          </w:p>
        </w:tc>
        <w:tc>
          <w:tcPr>
            <w:tcW w:w="766" w:type="dxa"/>
            <w:tcBorders>
              <w:top w:val="nil"/>
              <w:left w:val="nil"/>
              <w:bottom w:val="single" w:sz="4" w:space="0" w:color="auto"/>
              <w:right w:val="single" w:sz="4" w:space="0" w:color="auto"/>
            </w:tcBorders>
            <w:shd w:val="clear" w:color="auto" w:fill="auto"/>
            <w:noWrap/>
            <w:vAlign w:val="center"/>
            <w:hideMark/>
          </w:tcPr>
          <w:p w14:paraId="045182E8"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12503</w:t>
            </w:r>
          </w:p>
        </w:tc>
        <w:tc>
          <w:tcPr>
            <w:tcW w:w="766" w:type="dxa"/>
            <w:tcBorders>
              <w:top w:val="nil"/>
              <w:left w:val="nil"/>
              <w:bottom w:val="single" w:sz="4" w:space="0" w:color="auto"/>
              <w:right w:val="single" w:sz="4" w:space="0" w:color="auto"/>
            </w:tcBorders>
            <w:shd w:val="clear" w:color="auto" w:fill="auto"/>
            <w:noWrap/>
            <w:vAlign w:val="center"/>
            <w:hideMark/>
          </w:tcPr>
          <w:p w14:paraId="4617A35F"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12299</w:t>
            </w:r>
          </w:p>
        </w:tc>
        <w:tc>
          <w:tcPr>
            <w:tcW w:w="766" w:type="dxa"/>
            <w:tcBorders>
              <w:top w:val="nil"/>
              <w:left w:val="nil"/>
              <w:bottom w:val="single" w:sz="4" w:space="0" w:color="auto"/>
              <w:right w:val="single" w:sz="4" w:space="0" w:color="auto"/>
            </w:tcBorders>
            <w:shd w:val="clear" w:color="auto" w:fill="auto"/>
            <w:noWrap/>
            <w:vAlign w:val="center"/>
            <w:hideMark/>
          </w:tcPr>
          <w:p w14:paraId="13E349FB"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12622</w:t>
            </w:r>
          </w:p>
        </w:tc>
        <w:tc>
          <w:tcPr>
            <w:tcW w:w="821" w:type="dxa"/>
            <w:tcBorders>
              <w:top w:val="nil"/>
              <w:left w:val="nil"/>
              <w:bottom w:val="single" w:sz="4" w:space="0" w:color="auto"/>
              <w:right w:val="single" w:sz="4" w:space="0" w:color="auto"/>
            </w:tcBorders>
            <w:shd w:val="clear" w:color="auto" w:fill="auto"/>
            <w:noWrap/>
            <w:vAlign w:val="center"/>
            <w:hideMark/>
          </w:tcPr>
          <w:p w14:paraId="1199ED31"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13115</w:t>
            </w:r>
          </w:p>
        </w:tc>
        <w:tc>
          <w:tcPr>
            <w:tcW w:w="851" w:type="dxa"/>
            <w:tcBorders>
              <w:top w:val="nil"/>
              <w:left w:val="nil"/>
              <w:bottom w:val="single" w:sz="4" w:space="0" w:color="auto"/>
              <w:right w:val="single" w:sz="4" w:space="0" w:color="auto"/>
            </w:tcBorders>
            <w:shd w:val="clear" w:color="auto" w:fill="auto"/>
            <w:noWrap/>
            <w:vAlign w:val="center"/>
            <w:hideMark/>
          </w:tcPr>
          <w:p w14:paraId="592D1D75"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14184</w:t>
            </w:r>
          </w:p>
        </w:tc>
        <w:tc>
          <w:tcPr>
            <w:tcW w:w="850" w:type="dxa"/>
            <w:tcBorders>
              <w:top w:val="nil"/>
              <w:left w:val="nil"/>
              <w:bottom w:val="single" w:sz="4" w:space="0" w:color="auto"/>
              <w:right w:val="single" w:sz="4" w:space="0" w:color="auto"/>
            </w:tcBorders>
            <w:shd w:val="clear" w:color="auto" w:fill="auto"/>
            <w:noWrap/>
            <w:vAlign w:val="center"/>
            <w:hideMark/>
          </w:tcPr>
          <w:p w14:paraId="32CFF53C"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14644</w:t>
            </w:r>
          </w:p>
        </w:tc>
      </w:tr>
      <w:tr w:rsidR="00103F2C" w:rsidRPr="002D4253" w14:paraId="786202F2" w14:textId="77777777" w:rsidTr="00866433">
        <w:trPr>
          <w:trHeight w:val="36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6CAE688" w14:textId="77777777" w:rsidR="00103F2C" w:rsidRPr="002D4253" w:rsidRDefault="00103F2C" w:rsidP="00866433">
            <w:pPr>
              <w:suppressAutoHyphens w:val="0"/>
              <w:spacing w:before="60" w:after="60" w:line="276" w:lineRule="auto"/>
              <w:ind w:firstLineChars="100" w:firstLine="220"/>
              <w:rPr>
                <w:rFonts w:ascii="Times New Roman" w:hAnsi="Times New Roman"/>
                <w:szCs w:val="20"/>
                <w:lang w:val="en-US"/>
              </w:rPr>
            </w:pPr>
            <w:r w:rsidRPr="002D4253">
              <w:rPr>
                <w:rFonts w:ascii="Times New Roman" w:hAnsi="Times New Roman"/>
                <w:sz w:val="22"/>
                <w:szCs w:val="20"/>
                <w:lang w:val="en-US"/>
              </w:rPr>
              <w:t>Износ - натоварени</w:t>
            </w:r>
          </w:p>
        </w:tc>
        <w:tc>
          <w:tcPr>
            <w:tcW w:w="851" w:type="dxa"/>
            <w:tcBorders>
              <w:top w:val="nil"/>
              <w:left w:val="nil"/>
              <w:bottom w:val="single" w:sz="4" w:space="0" w:color="auto"/>
              <w:right w:val="single" w:sz="4" w:space="0" w:color="auto"/>
            </w:tcBorders>
            <w:shd w:val="clear" w:color="auto" w:fill="auto"/>
            <w:noWrap/>
            <w:vAlign w:val="center"/>
            <w:hideMark/>
          </w:tcPr>
          <w:p w14:paraId="10FAEF2A"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12149</w:t>
            </w:r>
          </w:p>
        </w:tc>
        <w:tc>
          <w:tcPr>
            <w:tcW w:w="766" w:type="dxa"/>
            <w:tcBorders>
              <w:top w:val="nil"/>
              <w:left w:val="nil"/>
              <w:bottom w:val="single" w:sz="4" w:space="0" w:color="auto"/>
              <w:right w:val="single" w:sz="4" w:space="0" w:color="auto"/>
            </w:tcBorders>
            <w:shd w:val="clear" w:color="auto" w:fill="auto"/>
            <w:noWrap/>
            <w:vAlign w:val="center"/>
            <w:hideMark/>
          </w:tcPr>
          <w:p w14:paraId="05B5C620"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13290</w:t>
            </w:r>
          </w:p>
        </w:tc>
        <w:tc>
          <w:tcPr>
            <w:tcW w:w="766" w:type="dxa"/>
            <w:tcBorders>
              <w:top w:val="nil"/>
              <w:left w:val="nil"/>
              <w:bottom w:val="single" w:sz="4" w:space="0" w:color="auto"/>
              <w:right w:val="single" w:sz="4" w:space="0" w:color="auto"/>
            </w:tcBorders>
            <w:shd w:val="clear" w:color="auto" w:fill="auto"/>
            <w:noWrap/>
            <w:vAlign w:val="center"/>
            <w:hideMark/>
          </w:tcPr>
          <w:p w14:paraId="297E5F04"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16338</w:t>
            </w:r>
          </w:p>
        </w:tc>
        <w:tc>
          <w:tcPr>
            <w:tcW w:w="766" w:type="dxa"/>
            <w:tcBorders>
              <w:top w:val="nil"/>
              <w:left w:val="nil"/>
              <w:bottom w:val="single" w:sz="4" w:space="0" w:color="auto"/>
              <w:right w:val="single" w:sz="4" w:space="0" w:color="auto"/>
            </w:tcBorders>
            <w:shd w:val="clear" w:color="auto" w:fill="auto"/>
            <w:noWrap/>
            <w:vAlign w:val="center"/>
            <w:hideMark/>
          </w:tcPr>
          <w:p w14:paraId="700FE86E"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14936</w:t>
            </w:r>
          </w:p>
        </w:tc>
        <w:tc>
          <w:tcPr>
            <w:tcW w:w="766" w:type="dxa"/>
            <w:tcBorders>
              <w:top w:val="nil"/>
              <w:left w:val="nil"/>
              <w:bottom w:val="single" w:sz="4" w:space="0" w:color="auto"/>
              <w:right w:val="single" w:sz="4" w:space="0" w:color="auto"/>
            </w:tcBorders>
            <w:shd w:val="clear" w:color="auto" w:fill="auto"/>
            <w:noWrap/>
            <w:vAlign w:val="center"/>
            <w:hideMark/>
          </w:tcPr>
          <w:p w14:paraId="2D54A4D8"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14544</w:t>
            </w:r>
          </w:p>
        </w:tc>
        <w:tc>
          <w:tcPr>
            <w:tcW w:w="821" w:type="dxa"/>
            <w:tcBorders>
              <w:top w:val="nil"/>
              <w:left w:val="nil"/>
              <w:bottom w:val="single" w:sz="4" w:space="0" w:color="auto"/>
              <w:right w:val="single" w:sz="4" w:space="0" w:color="auto"/>
            </w:tcBorders>
            <w:shd w:val="clear" w:color="auto" w:fill="auto"/>
            <w:noWrap/>
            <w:vAlign w:val="center"/>
            <w:hideMark/>
          </w:tcPr>
          <w:p w14:paraId="2344C711"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15570</w:t>
            </w:r>
          </w:p>
        </w:tc>
        <w:tc>
          <w:tcPr>
            <w:tcW w:w="851" w:type="dxa"/>
            <w:tcBorders>
              <w:top w:val="nil"/>
              <w:left w:val="nil"/>
              <w:bottom w:val="single" w:sz="4" w:space="0" w:color="auto"/>
              <w:right w:val="single" w:sz="4" w:space="0" w:color="auto"/>
            </w:tcBorders>
            <w:shd w:val="clear" w:color="auto" w:fill="auto"/>
            <w:noWrap/>
            <w:vAlign w:val="center"/>
            <w:hideMark/>
          </w:tcPr>
          <w:p w14:paraId="20958D6D"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16769</w:t>
            </w:r>
          </w:p>
        </w:tc>
        <w:tc>
          <w:tcPr>
            <w:tcW w:w="850" w:type="dxa"/>
            <w:tcBorders>
              <w:top w:val="nil"/>
              <w:left w:val="nil"/>
              <w:bottom w:val="single" w:sz="4" w:space="0" w:color="auto"/>
              <w:right w:val="single" w:sz="4" w:space="0" w:color="auto"/>
            </w:tcBorders>
            <w:shd w:val="clear" w:color="auto" w:fill="auto"/>
            <w:noWrap/>
            <w:vAlign w:val="center"/>
            <w:hideMark/>
          </w:tcPr>
          <w:p w14:paraId="245F558F" w14:textId="77777777" w:rsidR="00103F2C" w:rsidRPr="002D4253" w:rsidRDefault="00103F2C" w:rsidP="00866433">
            <w:pPr>
              <w:suppressAutoHyphens w:val="0"/>
              <w:spacing w:before="60" w:after="60" w:line="276" w:lineRule="auto"/>
              <w:jc w:val="center"/>
              <w:rPr>
                <w:rFonts w:ascii="Times New Roman" w:hAnsi="Times New Roman"/>
                <w:szCs w:val="20"/>
                <w:lang w:val="en-US"/>
              </w:rPr>
            </w:pPr>
            <w:r w:rsidRPr="002D4253">
              <w:rPr>
                <w:rFonts w:ascii="Times New Roman" w:hAnsi="Times New Roman"/>
                <w:sz w:val="22"/>
                <w:szCs w:val="20"/>
                <w:lang w:val="en-US"/>
              </w:rPr>
              <w:t>17313</w:t>
            </w:r>
          </w:p>
        </w:tc>
      </w:tr>
    </w:tbl>
    <w:p w14:paraId="6318005D" w14:textId="77777777" w:rsidR="00103F2C" w:rsidRPr="002D4253" w:rsidRDefault="00103F2C" w:rsidP="00103F2C">
      <w:pPr>
        <w:spacing w:after="240"/>
        <w:rPr>
          <w:rFonts w:ascii="Times New Roman" w:hAnsi="Times New Roman"/>
          <w:i/>
          <w:noProof/>
          <w:sz w:val="20"/>
          <w:lang w:val="en-US"/>
        </w:rPr>
      </w:pPr>
      <w:r w:rsidRPr="002D4253">
        <w:rPr>
          <w:rFonts w:ascii="Times New Roman" w:hAnsi="Times New Roman"/>
          <w:i/>
          <w:noProof/>
          <w:sz w:val="20"/>
        </w:rPr>
        <w:t xml:space="preserve">Източник: </w:t>
      </w:r>
      <w:r w:rsidRPr="002D4253">
        <w:rPr>
          <w:rFonts w:ascii="Times New Roman" w:hAnsi="Times New Roman"/>
          <w:i/>
          <w:noProof/>
          <w:sz w:val="20"/>
          <w:lang w:val="en-US"/>
        </w:rPr>
        <w:t xml:space="preserve">NSI </w:t>
      </w:r>
      <w:hyperlink r:id="rId17" w:history="1">
        <w:r w:rsidRPr="002D4253">
          <w:rPr>
            <w:rStyle w:val="Hyperlink"/>
            <w:rFonts w:ascii="Times New Roman" w:hAnsi="Times New Roman"/>
            <w:i/>
            <w:noProof/>
            <w:sz w:val="20"/>
            <w:lang w:val="en-US"/>
          </w:rPr>
          <w:t>http://www.nsi.bg/bg/content/1755/морски-транспорт</w:t>
        </w:r>
      </w:hyperlink>
      <w:r w:rsidRPr="002D4253">
        <w:rPr>
          <w:rFonts w:ascii="Times New Roman" w:hAnsi="Times New Roman"/>
          <w:i/>
          <w:noProof/>
          <w:sz w:val="20"/>
          <w:lang w:val="en-US"/>
        </w:rPr>
        <w:t xml:space="preserve"> </w:t>
      </w:r>
    </w:p>
    <w:p w14:paraId="76A46318" w14:textId="77777777" w:rsidR="00103F2C" w:rsidRDefault="00103F2C" w:rsidP="00103F2C">
      <w:pPr>
        <w:pStyle w:val="MoIBody"/>
        <w:rPr>
          <w:noProof/>
        </w:rPr>
      </w:pPr>
      <w:r w:rsidRPr="00C6558E">
        <w:rPr>
          <w:noProof/>
        </w:rPr>
        <w:t>Средногодишния</w:t>
      </w:r>
      <w:r>
        <w:rPr>
          <w:noProof/>
        </w:rPr>
        <w:t>т</w:t>
      </w:r>
      <w:r w:rsidRPr="00C6558E">
        <w:rPr>
          <w:noProof/>
        </w:rPr>
        <w:t xml:space="preserve"> темп на нарастване за периода е 3,24%, който е използван в прогнозата за приходите за периода 2019-2030</w:t>
      </w:r>
      <w:r>
        <w:rPr>
          <w:noProof/>
        </w:rPr>
        <w:t xml:space="preserve"> г.</w:t>
      </w:r>
      <w:r w:rsidRPr="00C6558E">
        <w:rPr>
          <w:noProof/>
        </w:rPr>
        <w:t xml:space="preserve"> и вспоследствие е направено допускане за намаление на ръста </w:t>
      </w:r>
      <w:r>
        <w:rPr>
          <w:noProof/>
        </w:rPr>
        <w:t>до 2% за пер</w:t>
      </w:r>
      <w:r w:rsidRPr="00C6558E">
        <w:rPr>
          <w:noProof/>
        </w:rPr>
        <w:t>иода от 2031 до 2043</w:t>
      </w:r>
      <w:r>
        <w:rPr>
          <w:noProof/>
        </w:rPr>
        <w:t xml:space="preserve"> </w:t>
      </w:r>
      <w:r w:rsidRPr="00C6558E">
        <w:rPr>
          <w:noProof/>
        </w:rPr>
        <w:t>г.</w:t>
      </w:r>
    </w:p>
    <w:p w14:paraId="42C2A8FB" w14:textId="22E52991" w:rsidR="0005719F" w:rsidRDefault="0005719F" w:rsidP="00981FA5">
      <w:pPr>
        <w:pStyle w:val="MoIBody"/>
        <w:rPr>
          <w:noProof/>
        </w:rPr>
      </w:pPr>
      <w:r>
        <w:rPr>
          <w:noProof/>
        </w:rPr>
        <w:t>Като цяло има изразен ръст на то</w:t>
      </w:r>
      <w:r w:rsidR="006C6229">
        <w:rPr>
          <w:noProof/>
        </w:rPr>
        <w:t>варите с воден транспорт, показ</w:t>
      </w:r>
      <w:r>
        <w:rPr>
          <w:noProof/>
        </w:rPr>
        <w:t>ан на следващата графика:</w:t>
      </w:r>
    </w:p>
    <w:p w14:paraId="09807B7C" w14:textId="77777777" w:rsidR="005D066F" w:rsidRDefault="005D066F" w:rsidP="00981FA5">
      <w:pPr>
        <w:pStyle w:val="MoIBody"/>
        <w:rPr>
          <w:noProof/>
        </w:rPr>
      </w:pPr>
    </w:p>
    <w:p w14:paraId="40D99042" w14:textId="77777777" w:rsidR="0005719F" w:rsidRPr="00463780" w:rsidRDefault="0005719F" w:rsidP="005D066F">
      <w:pPr>
        <w:spacing w:after="240"/>
        <w:ind w:left="142"/>
        <w:jc w:val="center"/>
        <w:rPr>
          <w:noProof/>
          <w:szCs w:val="20"/>
        </w:rPr>
      </w:pPr>
      <w:r>
        <w:rPr>
          <w:noProof/>
          <w:lang w:eastAsia="bg-BG"/>
        </w:rPr>
        <w:drawing>
          <wp:inline distT="0" distB="0" distL="0" distR="0" wp14:anchorId="161DA269" wp14:editId="3B6D5004">
            <wp:extent cx="4362450" cy="2190750"/>
            <wp:effectExtent l="0" t="0" r="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F2774B8" w14:textId="77777777" w:rsidR="00103F2C" w:rsidRPr="00981FA5" w:rsidRDefault="00103F2C" w:rsidP="00103F2C">
      <w:pPr>
        <w:pStyle w:val="MoIBody"/>
        <w:rPr>
          <w:b/>
          <w:noProof/>
          <w:u w:val="single"/>
        </w:rPr>
      </w:pPr>
      <w:r w:rsidRPr="00981FA5">
        <w:rPr>
          <w:b/>
          <w:noProof/>
          <w:u w:val="single"/>
        </w:rPr>
        <w:t>Пристанище Бургас</w:t>
      </w:r>
    </w:p>
    <w:p w14:paraId="37B5A943" w14:textId="77777777" w:rsidR="00103F2C" w:rsidRDefault="00103F2C" w:rsidP="00103F2C">
      <w:pPr>
        <w:pStyle w:val="MoIBody"/>
        <w:rPr>
          <w:noProof/>
        </w:rPr>
      </w:pPr>
      <w:r>
        <w:rPr>
          <w:noProof/>
        </w:rPr>
        <w:lastRenderedPageBreak/>
        <w:t>По обобщени и усреднени данни за последните три години</w:t>
      </w:r>
      <w:r w:rsidRPr="00A36C1F">
        <w:rPr>
          <w:noProof/>
        </w:rPr>
        <w:t xml:space="preserve"> при</w:t>
      </w:r>
      <w:r>
        <w:rPr>
          <w:noProof/>
        </w:rPr>
        <w:t>с</w:t>
      </w:r>
      <w:r w:rsidRPr="00A36C1F">
        <w:rPr>
          <w:noProof/>
        </w:rPr>
        <w:t xml:space="preserve">танище Бургас </w:t>
      </w:r>
      <w:r>
        <w:rPr>
          <w:noProof/>
        </w:rPr>
        <w:t>се посещава от 1204 кораба средно годишно. Наличните данни са за последните три години и не дават информация за изразен тренд, затова са използвани данните за ръста на товарите в пристанището при допуканията за прогнозата.</w:t>
      </w:r>
    </w:p>
    <w:p w14:paraId="4F2B30D4" w14:textId="77777777" w:rsidR="00103F2C" w:rsidRDefault="00103F2C" w:rsidP="00103F2C">
      <w:pPr>
        <w:pStyle w:val="MoIBody"/>
        <w:rPr>
          <w:noProof/>
        </w:rPr>
      </w:pPr>
    </w:p>
    <w:p w14:paraId="46FD056A" w14:textId="77777777" w:rsidR="00103F2C" w:rsidRPr="00981FA5" w:rsidRDefault="00103F2C" w:rsidP="00103F2C">
      <w:pPr>
        <w:suppressAutoHyphens w:val="0"/>
        <w:spacing w:before="240" w:after="0" w:line="360" w:lineRule="auto"/>
        <w:rPr>
          <w:rFonts w:ascii="Times New Roman" w:hAnsi="Times New Roman"/>
          <w:b/>
          <w:bCs/>
          <w:smallCaps/>
          <w:color w:val="4F81BD"/>
          <w:sz w:val="22"/>
        </w:rPr>
      </w:pPr>
      <w:r w:rsidRPr="00981FA5">
        <w:rPr>
          <w:rFonts w:ascii="Times New Roman" w:hAnsi="Times New Roman"/>
          <w:b/>
          <w:bCs/>
          <w:smallCaps/>
          <w:color w:val="4F81BD"/>
          <w:sz w:val="22"/>
        </w:rPr>
        <w:t xml:space="preserve">Таблица </w:t>
      </w:r>
      <w:r w:rsidRPr="00981FA5">
        <w:rPr>
          <w:rFonts w:ascii="Times New Roman" w:hAnsi="Times New Roman"/>
          <w:b/>
          <w:bCs/>
          <w:smallCaps/>
          <w:color w:val="4F81BD"/>
          <w:sz w:val="22"/>
        </w:rPr>
        <w:fldChar w:fldCharType="begin"/>
      </w:r>
      <w:r w:rsidRPr="00981FA5">
        <w:rPr>
          <w:rFonts w:ascii="Times New Roman" w:hAnsi="Times New Roman"/>
          <w:b/>
          <w:bCs/>
          <w:smallCaps/>
          <w:color w:val="4F81BD"/>
          <w:sz w:val="22"/>
        </w:rPr>
        <w:instrText xml:space="preserve"> STYLEREF 1 \s </w:instrText>
      </w:r>
      <w:r w:rsidRPr="00981FA5">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981FA5">
        <w:rPr>
          <w:rFonts w:ascii="Times New Roman" w:hAnsi="Times New Roman"/>
          <w:b/>
          <w:bCs/>
          <w:smallCaps/>
          <w:color w:val="4F81BD"/>
          <w:sz w:val="22"/>
        </w:rPr>
        <w:fldChar w:fldCharType="end"/>
      </w:r>
      <w:r w:rsidRPr="00981FA5">
        <w:rPr>
          <w:rFonts w:ascii="Times New Roman" w:hAnsi="Times New Roman"/>
          <w:b/>
          <w:bCs/>
          <w:smallCaps/>
          <w:color w:val="4F81BD"/>
          <w:sz w:val="22"/>
        </w:rPr>
        <w:noBreakHyphen/>
        <w:t>9: Исторически данни за количествата и видове отпадъци в пристанище Бургас</w:t>
      </w:r>
    </w:p>
    <w:tbl>
      <w:tblPr>
        <w:tblW w:w="6604" w:type="dxa"/>
        <w:tblInd w:w="108" w:type="dxa"/>
        <w:tblLook w:val="04A0" w:firstRow="1" w:lastRow="0" w:firstColumn="1" w:lastColumn="0" w:noHBand="0" w:noVBand="1"/>
      </w:tblPr>
      <w:tblGrid>
        <w:gridCol w:w="3544"/>
        <w:gridCol w:w="1020"/>
        <w:gridCol w:w="1020"/>
        <w:gridCol w:w="1020"/>
      </w:tblGrid>
      <w:tr w:rsidR="00103F2C" w:rsidRPr="00981FA5" w14:paraId="6C59E54C" w14:textId="77777777" w:rsidTr="00866433">
        <w:trPr>
          <w:trHeight w:val="292"/>
        </w:trPr>
        <w:tc>
          <w:tcPr>
            <w:tcW w:w="3544"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73C58986" w14:textId="77777777" w:rsidR="00103F2C" w:rsidRPr="00981FA5" w:rsidRDefault="00103F2C" w:rsidP="00866433">
            <w:pPr>
              <w:suppressAutoHyphens w:val="0"/>
              <w:spacing w:before="60" w:after="60" w:line="276" w:lineRule="auto"/>
              <w:jc w:val="center"/>
              <w:rPr>
                <w:rFonts w:ascii="Times New Roman" w:hAnsi="Times New Roman"/>
                <w:b/>
                <w:bCs/>
              </w:rPr>
            </w:pPr>
            <w:r w:rsidRPr="00981FA5">
              <w:rPr>
                <w:rFonts w:ascii="Times New Roman" w:hAnsi="Times New Roman"/>
                <w:b/>
                <w:bCs/>
                <w:sz w:val="22"/>
                <w:lang w:val="en-US"/>
              </w:rPr>
              <w:t>Количества отпадъци по видове</w:t>
            </w:r>
            <w:r w:rsidRPr="00981FA5">
              <w:rPr>
                <w:rFonts w:ascii="Times New Roman" w:hAnsi="Times New Roman"/>
                <w:b/>
                <w:bCs/>
                <w:sz w:val="22"/>
              </w:rPr>
              <w:t>- Бургас в м³</w:t>
            </w:r>
          </w:p>
        </w:tc>
        <w:tc>
          <w:tcPr>
            <w:tcW w:w="1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7C39C799" w14:textId="77777777" w:rsidR="00103F2C" w:rsidRPr="00981FA5" w:rsidRDefault="00103F2C" w:rsidP="00866433">
            <w:pPr>
              <w:suppressAutoHyphens w:val="0"/>
              <w:spacing w:before="60" w:after="60" w:line="276" w:lineRule="auto"/>
              <w:jc w:val="center"/>
              <w:rPr>
                <w:rFonts w:ascii="Times New Roman" w:hAnsi="Times New Roman"/>
                <w:b/>
                <w:bCs/>
                <w:lang w:val="en-US"/>
              </w:rPr>
            </w:pPr>
            <w:r w:rsidRPr="00981FA5">
              <w:rPr>
                <w:rFonts w:ascii="Times New Roman" w:hAnsi="Times New Roman"/>
                <w:b/>
                <w:bCs/>
                <w:sz w:val="22"/>
                <w:lang w:val="en-US"/>
              </w:rPr>
              <w:t>2016</w:t>
            </w:r>
          </w:p>
        </w:tc>
        <w:tc>
          <w:tcPr>
            <w:tcW w:w="1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4FAB2467" w14:textId="77777777" w:rsidR="00103F2C" w:rsidRPr="00981FA5" w:rsidRDefault="00103F2C" w:rsidP="00866433">
            <w:pPr>
              <w:suppressAutoHyphens w:val="0"/>
              <w:spacing w:before="60" w:after="60" w:line="276" w:lineRule="auto"/>
              <w:jc w:val="center"/>
              <w:rPr>
                <w:rFonts w:ascii="Times New Roman" w:hAnsi="Times New Roman"/>
                <w:b/>
              </w:rPr>
            </w:pPr>
            <w:r w:rsidRPr="00981FA5">
              <w:rPr>
                <w:rFonts w:ascii="Times New Roman" w:hAnsi="Times New Roman"/>
                <w:b/>
                <w:sz w:val="22"/>
              </w:rPr>
              <w:t>2017</w:t>
            </w:r>
          </w:p>
        </w:tc>
        <w:tc>
          <w:tcPr>
            <w:tcW w:w="1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73A06BF1" w14:textId="77777777" w:rsidR="00103F2C" w:rsidRPr="00981FA5" w:rsidRDefault="00103F2C" w:rsidP="00866433">
            <w:pPr>
              <w:suppressAutoHyphens w:val="0"/>
              <w:spacing w:before="60" w:after="60" w:line="276" w:lineRule="auto"/>
              <w:jc w:val="center"/>
              <w:rPr>
                <w:rFonts w:ascii="Times New Roman" w:hAnsi="Times New Roman"/>
                <w:b/>
              </w:rPr>
            </w:pPr>
            <w:r w:rsidRPr="00981FA5">
              <w:rPr>
                <w:rFonts w:ascii="Times New Roman" w:hAnsi="Times New Roman"/>
                <w:b/>
                <w:sz w:val="22"/>
              </w:rPr>
              <w:t>2018</w:t>
            </w:r>
          </w:p>
        </w:tc>
      </w:tr>
      <w:tr w:rsidR="00103F2C" w:rsidRPr="00981FA5" w14:paraId="19FCE0FC" w14:textId="77777777" w:rsidTr="00866433">
        <w:trPr>
          <w:trHeight w:val="292"/>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FBE926A" w14:textId="77777777" w:rsidR="00103F2C" w:rsidRPr="00981FA5" w:rsidRDefault="00103F2C" w:rsidP="00866433">
            <w:pPr>
              <w:suppressAutoHyphens w:val="0"/>
              <w:spacing w:before="60" w:after="60" w:line="276" w:lineRule="auto"/>
              <w:rPr>
                <w:rFonts w:ascii="Times New Roman" w:hAnsi="Times New Roman"/>
                <w:lang w:val="en-US"/>
              </w:rPr>
            </w:pPr>
            <w:r w:rsidRPr="00981FA5">
              <w:rPr>
                <w:rFonts w:ascii="Times New Roman" w:hAnsi="Times New Roman"/>
                <w:sz w:val="22"/>
                <w:lang w:val="en-US"/>
              </w:rPr>
              <w:t>Анекс I</w:t>
            </w:r>
          </w:p>
        </w:tc>
        <w:tc>
          <w:tcPr>
            <w:tcW w:w="1020" w:type="dxa"/>
            <w:tcBorders>
              <w:top w:val="nil"/>
              <w:left w:val="nil"/>
              <w:bottom w:val="single" w:sz="4" w:space="0" w:color="auto"/>
              <w:right w:val="single" w:sz="4" w:space="0" w:color="auto"/>
            </w:tcBorders>
            <w:shd w:val="clear" w:color="auto" w:fill="auto"/>
            <w:noWrap/>
            <w:vAlign w:val="center"/>
            <w:hideMark/>
          </w:tcPr>
          <w:p w14:paraId="5D03C572"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1 560,37</w:t>
            </w:r>
          </w:p>
        </w:tc>
        <w:tc>
          <w:tcPr>
            <w:tcW w:w="1020" w:type="dxa"/>
            <w:tcBorders>
              <w:top w:val="nil"/>
              <w:left w:val="nil"/>
              <w:bottom w:val="single" w:sz="4" w:space="0" w:color="auto"/>
              <w:right w:val="single" w:sz="4" w:space="0" w:color="auto"/>
            </w:tcBorders>
            <w:shd w:val="clear" w:color="auto" w:fill="auto"/>
            <w:noWrap/>
            <w:vAlign w:val="center"/>
            <w:hideMark/>
          </w:tcPr>
          <w:p w14:paraId="74BA978E"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3836,23</w:t>
            </w:r>
          </w:p>
        </w:tc>
        <w:tc>
          <w:tcPr>
            <w:tcW w:w="1020" w:type="dxa"/>
            <w:tcBorders>
              <w:top w:val="nil"/>
              <w:left w:val="nil"/>
              <w:bottom w:val="single" w:sz="4" w:space="0" w:color="auto"/>
              <w:right w:val="single" w:sz="4" w:space="0" w:color="auto"/>
            </w:tcBorders>
            <w:shd w:val="clear" w:color="auto" w:fill="auto"/>
            <w:noWrap/>
            <w:vAlign w:val="center"/>
            <w:hideMark/>
          </w:tcPr>
          <w:p w14:paraId="35550711"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1912,48</w:t>
            </w:r>
          </w:p>
        </w:tc>
      </w:tr>
      <w:tr w:rsidR="00103F2C" w:rsidRPr="00981FA5" w14:paraId="7CC217BA" w14:textId="77777777" w:rsidTr="00866433">
        <w:trPr>
          <w:trHeight w:val="292"/>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54FD3CE" w14:textId="77777777" w:rsidR="00103F2C" w:rsidRPr="00981FA5" w:rsidRDefault="00103F2C" w:rsidP="00866433">
            <w:pPr>
              <w:suppressAutoHyphens w:val="0"/>
              <w:spacing w:before="60" w:after="60" w:line="276" w:lineRule="auto"/>
              <w:rPr>
                <w:rFonts w:ascii="Times New Roman" w:hAnsi="Times New Roman"/>
                <w:lang w:val="en-US"/>
              </w:rPr>
            </w:pPr>
            <w:r w:rsidRPr="00981FA5">
              <w:rPr>
                <w:rFonts w:ascii="Times New Roman" w:hAnsi="Times New Roman"/>
                <w:sz w:val="22"/>
                <w:lang w:val="en-US"/>
              </w:rPr>
              <w:t>Анекс IV</w:t>
            </w:r>
          </w:p>
        </w:tc>
        <w:tc>
          <w:tcPr>
            <w:tcW w:w="1020" w:type="dxa"/>
            <w:tcBorders>
              <w:top w:val="nil"/>
              <w:left w:val="nil"/>
              <w:bottom w:val="single" w:sz="4" w:space="0" w:color="auto"/>
              <w:right w:val="single" w:sz="4" w:space="0" w:color="auto"/>
            </w:tcBorders>
            <w:shd w:val="clear" w:color="auto" w:fill="auto"/>
            <w:noWrap/>
            <w:vAlign w:val="center"/>
            <w:hideMark/>
          </w:tcPr>
          <w:p w14:paraId="327D386A"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0,00</w:t>
            </w:r>
          </w:p>
        </w:tc>
        <w:tc>
          <w:tcPr>
            <w:tcW w:w="1020" w:type="dxa"/>
            <w:tcBorders>
              <w:top w:val="nil"/>
              <w:left w:val="nil"/>
              <w:bottom w:val="single" w:sz="4" w:space="0" w:color="auto"/>
              <w:right w:val="single" w:sz="4" w:space="0" w:color="auto"/>
            </w:tcBorders>
            <w:shd w:val="clear" w:color="auto" w:fill="auto"/>
            <w:noWrap/>
            <w:vAlign w:val="center"/>
            <w:hideMark/>
          </w:tcPr>
          <w:p w14:paraId="08EA054A"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132,3</w:t>
            </w:r>
          </w:p>
        </w:tc>
        <w:tc>
          <w:tcPr>
            <w:tcW w:w="1020" w:type="dxa"/>
            <w:tcBorders>
              <w:top w:val="nil"/>
              <w:left w:val="nil"/>
              <w:bottom w:val="single" w:sz="4" w:space="0" w:color="auto"/>
              <w:right w:val="single" w:sz="4" w:space="0" w:color="auto"/>
            </w:tcBorders>
            <w:shd w:val="clear" w:color="auto" w:fill="auto"/>
            <w:noWrap/>
            <w:vAlign w:val="center"/>
            <w:hideMark/>
          </w:tcPr>
          <w:p w14:paraId="14D9A600"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359,89</w:t>
            </w:r>
          </w:p>
        </w:tc>
      </w:tr>
      <w:tr w:rsidR="00103F2C" w:rsidRPr="00981FA5" w14:paraId="52EE9A1B" w14:textId="77777777" w:rsidTr="00866433">
        <w:trPr>
          <w:trHeight w:val="292"/>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D153095" w14:textId="77777777" w:rsidR="00103F2C" w:rsidRPr="00981FA5" w:rsidRDefault="00103F2C" w:rsidP="00866433">
            <w:pPr>
              <w:suppressAutoHyphens w:val="0"/>
              <w:spacing w:before="60" w:after="60" w:line="276" w:lineRule="auto"/>
              <w:rPr>
                <w:rFonts w:ascii="Times New Roman" w:hAnsi="Times New Roman"/>
                <w:lang w:val="en-US"/>
              </w:rPr>
            </w:pPr>
            <w:r w:rsidRPr="00981FA5">
              <w:rPr>
                <w:rFonts w:ascii="Times New Roman" w:hAnsi="Times New Roman"/>
                <w:sz w:val="22"/>
                <w:lang w:val="en-US"/>
              </w:rPr>
              <w:t>Анекс V</w:t>
            </w:r>
          </w:p>
        </w:tc>
        <w:tc>
          <w:tcPr>
            <w:tcW w:w="1020" w:type="dxa"/>
            <w:tcBorders>
              <w:top w:val="nil"/>
              <w:left w:val="nil"/>
              <w:bottom w:val="single" w:sz="4" w:space="0" w:color="auto"/>
              <w:right w:val="single" w:sz="4" w:space="0" w:color="auto"/>
            </w:tcBorders>
            <w:shd w:val="clear" w:color="auto" w:fill="auto"/>
            <w:noWrap/>
            <w:vAlign w:val="center"/>
            <w:hideMark/>
          </w:tcPr>
          <w:p w14:paraId="70F5A143"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826,07</w:t>
            </w:r>
          </w:p>
        </w:tc>
        <w:tc>
          <w:tcPr>
            <w:tcW w:w="1020" w:type="dxa"/>
            <w:tcBorders>
              <w:top w:val="nil"/>
              <w:left w:val="nil"/>
              <w:bottom w:val="single" w:sz="4" w:space="0" w:color="auto"/>
              <w:right w:val="single" w:sz="4" w:space="0" w:color="auto"/>
            </w:tcBorders>
            <w:shd w:val="clear" w:color="auto" w:fill="auto"/>
            <w:noWrap/>
            <w:vAlign w:val="center"/>
            <w:hideMark/>
          </w:tcPr>
          <w:p w14:paraId="1A387F14"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904,86</w:t>
            </w:r>
          </w:p>
        </w:tc>
        <w:tc>
          <w:tcPr>
            <w:tcW w:w="1020" w:type="dxa"/>
            <w:tcBorders>
              <w:top w:val="nil"/>
              <w:left w:val="nil"/>
              <w:bottom w:val="single" w:sz="4" w:space="0" w:color="auto"/>
              <w:right w:val="single" w:sz="4" w:space="0" w:color="auto"/>
            </w:tcBorders>
            <w:shd w:val="clear" w:color="auto" w:fill="auto"/>
            <w:noWrap/>
            <w:vAlign w:val="center"/>
            <w:hideMark/>
          </w:tcPr>
          <w:p w14:paraId="046FDFF0" w14:textId="77777777" w:rsidR="00103F2C" w:rsidRPr="00981FA5" w:rsidRDefault="00103F2C" w:rsidP="00866433">
            <w:pPr>
              <w:suppressAutoHyphens w:val="0"/>
              <w:spacing w:before="60" w:after="60" w:line="276" w:lineRule="auto"/>
              <w:jc w:val="center"/>
              <w:rPr>
                <w:rFonts w:ascii="Times New Roman" w:hAnsi="Times New Roman"/>
                <w:lang w:val="en-US"/>
              </w:rPr>
            </w:pPr>
            <w:r w:rsidRPr="00981FA5">
              <w:rPr>
                <w:rFonts w:ascii="Times New Roman" w:hAnsi="Times New Roman"/>
                <w:sz w:val="22"/>
                <w:lang w:val="en-US"/>
              </w:rPr>
              <w:t>886,59</w:t>
            </w:r>
          </w:p>
        </w:tc>
      </w:tr>
    </w:tbl>
    <w:p w14:paraId="269AE630" w14:textId="77777777" w:rsidR="00103F2C" w:rsidRPr="003C5540" w:rsidRDefault="00103F2C" w:rsidP="00103F2C">
      <w:pPr>
        <w:spacing w:after="240"/>
        <w:rPr>
          <w:rFonts w:ascii="Times New Roman" w:hAnsi="Times New Roman"/>
          <w:i/>
          <w:noProof/>
          <w:sz w:val="20"/>
          <w:szCs w:val="20"/>
        </w:rPr>
      </w:pPr>
      <w:r w:rsidRPr="00981FA5">
        <w:rPr>
          <w:rFonts w:ascii="Times New Roman" w:hAnsi="Times New Roman"/>
          <w:i/>
          <w:noProof/>
          <w:sz w:val="20"/>
          <w:szCs w:val="20"/>
        </w:rPr>
        <w:t xml:space="preserve">       </w:t>
      </w:r>
      <w:r>
        <w:rPr>
          <w:rFonts w:ascii="Times New Roman" w:hAnsi="Times New Roman"/>
          <w:i/>
          <w:noProof/>
          <w:sz w:val="20"/>
          <w:szCs w:val="20"/>
        </w:rPr>
        <w:t>Източник:</w:t>
      </w:r>
      <w:r w:rsidRPr="003C5540">
        <w:rPr>
          <w:rFonts w:ascii="Times New Roman" w:hAnsi="Times New Roman"/>
          <w:i/>
          <w:noProof/>
          <w:sz w:val="20"/>
          <w:szCs w:val="20"/>
        </w:rPr>
        <w:t xml:space="preserve"> Предварителни данни, предоставени от пристанището </w:t>
      </w:r>
    </w:p>
    <w:p w14:paraId="1F7D73E4" w14:textId="77777777" w:rsidR="00103F2C" w:rsidRDefault="00103F2C" w:rsidP="00103F2C">
      <w:pPr>
        <w:pStyle w:val="MoIBody"/>
        <w:rPr>
          <w:noProof/>
        </w:rPr>
      </w:pPr>
    </w:p>
    <w:p w14:paraId="2AD3AB00" w14:textId="77777777" w:rsidR="00103F2C" w:rsidRDefault="00103F2C" w:rsidP="00103F2C">
      <w:pPr>
        <w:pStyle w:val="MoIBody"/>
        <w:rPr>
          <w:noProof/>
        </w:rPr>
      </w:pPr>
      <w:r w:rsidRPr="00E24E2A">
        <w:rPr>
          <w:noProof/>
        </w:rPr>
        <w:t>За определяне на средногодишния брой кораби са взети данните за последните три години</w:t>
      </w:r>
      <w:r>
        <w:rPr>
          <w:noProof/>
        </w:rPr>
        <w:t>:</w:t>
      </w:r>
    </w:p>
    <w:p w14:paraId="1553E92F" w14:textId="77777777" w:rsidR="00103F2C" w:rsidRDefault="00103F2C" w:rsidP="00103F2C">
      <w:pPr>
        <w:pStyle w:val="MoIBody"/>
        <w:rPr>
          <w:noProof/>
        </w:rPr>
      </w:pPr>
    </w:p>
    <w:p w14:paraId="4F255CCE" w14:textId="77777777" w:rsidR="00103F2C" w:rsidRPr="00981FA5" w:rsidRDefault="00103F2C" w:rsidP="00103F2C">
      <w:pPr>
        <w:suppressAutoHyphens w:val="0"/>
        <w:spacing w:before="240" w:after="0" w:line="360" w:lineRule="auto"/>
        <w:rPr>
          <w:rFonts w:ascii="Times New Roman" w:hAnsi="Times New Roman"/>
          <w:b/>
          <w:bCs/>
          <w:smallCaps/>
          <w:color w:val="4F81BD"/>
          <w:sz w:val="22"/>
        </w:rPr>
      </w:pPr>
      <w:r w:rsidRPr="00981FA5">
        <w:rPr>
          <w:rFonts w:ascii="Times New Roman" w:hAnsi="Times New Roman"/>
          <w:b/>
          <w:bCs/>
          <w:smallCaps/>
          <w:color w:val="4F81BD"/>
          <w:sz w:val="22"/>
        </w:rPr>
        <w:t xml:space="preserve">Таблица </w:t>
      </w:r>
      <w:r w:rsidRPr="00981FA5">
        <w:rPr>
          <w:rFonts w:ascii="Times New Roman" w:hAnsi="Times New Roman"/>
          <w:b/>
          <w:bCs/>
          <w:smallCaps/>
          <w:color w:val="4F81BD"/>
          <w:sz w:val="22"/>
        </w:rPr>
        <w:fldChar w:fldCharType="begin"/>
      </w:r>
      <w:r w:rsidRPr="00981FA5">
        <w:rPr>
          <w:rFonts w:ascii="Times New Roman" w:hAnsi="Times New Roman"/>
          <w:b/>
          <w:bCs/>
          <w:smallCaps/>
          <w:color w:val="4F81BD"/>
          <w:sz w:val="22"/>
        </w:rPr>
        <w:instrText xml:space="preserve"> STYLEREF 1 \s </w:instrText>
      </w:r>
      <w:r w:rsidRPr="00981FA5">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981FA5">
        <w:rPr>
          <w:rFonts w:ascii="Times New Roman" w:hAnsi="Times New Roman"/>
          <w:b/>
          <w:bCs/>
          <w:smallCaps/>
          <w:color w:val="4F81BD"/>
          <w:sz w:val="22"/>
        </w:rPr>
        <w:fldChar w:fldCharType="end"/>
      </w:r>
      <w:r w:rsidRPr="00981FA5">
        <w:rPr>
          <w:rFonts w:ascii="Times New Roman" w:hAnsi="Times New Roman"/>
          <w:b/>
          <w:bCs/>
          <w:smallCaps/>
          <w:color w:val="4F81BD"/>
          <w:sz w:val="22"/>
        </w:rPr>
        <w:noBreakHyphen/>
        <w:t>10: Исторически данни за броя кораби, посетили пристанище Бургас</w:t>
      </w:r>
    </w:p>
    <w:tbl>
      <w:tblPr>
        <w:tblW w:w="5216" w:type="dxa"/>
        <w:tblInd w:w="-5" w:type="dxa"/>
        <w:shd w:val="clear" w:color="auto" w:fill="FFFFFF" w:themeFill="background1"/>
        <w:tblLook w:val="04A0" w:firstRow="1" w:lastRow="0" w:firstColumn="1" w:lastColumn="0" w:noHBand="0" w:noVBand="1"/>
      </w:tblPr>
      <w:tblGrid>
        <w:gridCol w:w="2268"/>
        <w:gridCol w:w="2948"/>
      </w:tblGrid>
      <w:tr w:rsidR="00103F2C" w:rsidRPr="00981FA5" w14:paraId="1811231C" w14:textId="77777777" w:rsidTr="00866433">
        <w:trPr>
          <w:trHeight w:val="292"/>
        </w:trPr>
        <w:tc>
          <w:tcPr>
            <w:tcW w:w="2268"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tcPr>
          <w:p w14:paraId="67663588" w14:textId="77777777" w:rsidR="00103F2C" w:rsidRPr="00981FA5" w:rsidRDefault="00103F2C" w:rsidP="00866433">
            <w:pPr>
              <w:suppressAutoHyphens w:val="0"/>
              <w:spacing w:before="60" w:after="60" w:line="276" w:lineRule="auto"/>
              <w:jc w:val="center"/>
              <w:rPr>
                <w:rFonts w:ascii="Times New Roman" w:hAnsi="Times New Roman"/>
                <w:b/>
                <w:color w:val="000000"/>
                <w:szCs w:val="20"/>
              </w:rPr>
            </w:pPr>
            <w:r w:rsidRPr="00981FA5">
              <w:rPr>
                <w:rFonts w:ascii="Times New Roman" w:hAnsi="Times New Roman"/>
                <w:b/>
                <w:color w:val="000000"/>
                <w:sz w:val="22"/>
                <w:szCs w:val="20"/>
              </w:rPr>
              <w:t>Година</w:t>
            </w:r>
          </w:p>
        </w:tc>
        <w:tc>
          <w:tcPr>
            <w:tcW w:w="2948" w:type="dxa"/>
            <w:tcBorders>
              <w:top w:val="single" w:sz="4" w:space="0" w:color="auto"/>
              <w:left w:val="nil"/>
              <w:bottom w:val="single" w:sz="4" w:space="0" w:color="auto"/>
              <w:right w:val="single" w:sz="4" w:space="0" w:color="auto"/>
            </w:tcBorders>
            <w:shd w:val="clear" w:color="auto" w:fill="9CC2E5" w:themeFill="accent1" w:themeFillTint="99"/>
            <w:noWrap/>
            <w:vAlign w:val="center"/>
          </w:tcPr>
          <w:p w14:paraId="5720956C" w14:textId="77777777" w:rsidR="00103F2C" w:rsidRPr="00981FA5" w:rsidRDefault="00103F2C" w:rsidP="00866433">
            <w:pPr>
              <w:suppressAutoHyphens w:val="0"/>
              <w:spacing w:before="60" w:after="60" w:line="276" w:lineRule="auto"/>
              <w:jc w:val="center"/>
              <w:rPr>
                <w:rFonts w:ascii="Times New Roman" w:hAnsi="Times New Roman"/>
                <w:b/>
                <w:bCs/>
                <w:szCs w:val="20"/>
              </w:rPr>
            </w:pPr>
            <w:r w:rsidRPr="00981FA5">
              <w:rPr>
                <w:rFonts w:ascii="Times New Roman" w:hAnsi="Times New Roman"/>
                <w:b/>
                <w:bCs/>
                <w:sz w:val="22"/>
                <w:szCs w:val="20"/>
              </w:rPr>
              <w:t>Брой кораби посетили пристанище Бургас</w:t>
            </w:r>
          </w:p>
        </w:tc>
      </w:tr>
      <w:tr w:rsidR="00103F2C" w:rsidRPr="00981FA5" w14:paraId="1651C31E" w14:textId="77777777" w:rsidTr="00866433">
        <w:trPr>
          <w:trHeight w:val="292"/>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7C9899" w14:textId="77777777" w:rsidR="00103F2C" w:rsidRPr="00981FA5" w:rsidRDefault="00103F2C" w:rsidP="00866433">
            <w:pPr>
              <w:suppressAutoHyphens w:val="0"/>
              <w:spacing w:before="60" w:after="60" w:line="276" w:lineRule="auto"/>
              <w:jc w:val="center"/>
              <w:rPr>
                <w:rFonts w:ascii="Times New Roman" w:hAnsi="Times New Roman"/>
                <w:color w:val="000000"/>
                <w:szCs w:val="20"/>
                <w:lang w:val="en-US"/>
              </w:rPr>
            </w:pPr>
            <w:r w:rsidRPr="00981FA5">
              <w:rPr>
                <w:rFonts w:ascii="Times New Roman" w:hAnsi="Times New Roman"/>
                <w:color w:val="000000"/>
                <w:sz w:val="22"/>
                <w:szCs w:val="20"/>
                <w:lang w:val="en-US"/>
              </w:rPr>
              <w:t>2016</w:t>
            </w:r>
          </w:p>
        </w:tc>
        <w:tc>
          <w:tcPr>
            <w:tcW w:w="294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AF724F6" w14:textId="77777777" w:rsidR="00103F2C" w:rsidRPr="00981FA5" w:rsidRDefault="00103F2C" w:rsidP="00866433">
            <w:pPr>
              <w:suppressAutoHyphens w:val="0"/>
              <w:spacing w:before="60" w:after="60" w:line="276" w:lineRule="auto"/>
              <w:jc w:val="center"/>
              <w:rPr>
                <w:rFonts w:ascii="Times New Roman" w:hAnsi="Times New Roman"/>
                <w:bCs/>
                <w:szCs w:val="20"/>
                <w:lang w:val="en-US"/>
              </w:rPr>
            </w:pPr>
            <w:r w:rsidRPr="00981FA5">
              <w:rPr>
                <w:rFonts w:ascii="Times New Roman" w:hAnsi="Times New Roman"/>
                <w:bCs/>
                <w:sz w:val="22"/>
                <w:szCs w:val="20"/>
                <w:lang w:val="en-US"/>
              </w:rPr>
              <w:t>1 048</w:t>
            </w:r>
          </w:p>
        </w:tc>
      </w:tr>
      <w:tr w:rsidR="00103F2C" w:rsidRPr="00981FA5" w14:paraId="4104C5BD" w14:textId="77777777" w:rsidTr="00866433">
        <w:trPr>
          <w:trHeight w:val="292"/>
        </w:trPr>
        <w:tc>
          <w:tcPr>
            <w:tcW w:w="2268"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9B70FE4" w14:textId="77777777" w:rsidR="00103F2C" w:rsidRPr="00981FA5" w:rsidRDefault="00103F2C" w:rsidP="00866433">
            <w:pPr>
              <w:suppressAutoHyphens w:val="0"/>
              <w:spacing w:before="60" w:after="60" w:line="276" w:lineRule="auto"/>
              <w:jc w:val="center"/>
              <w:rPr>
                <w:rFonts w:ascii="Times New Roman" w:hAnsi="Times New Roman"/>
                <w:color w:val="000000"/>
                <w:szCs w:val="20"/>
                <w:lang w:val="en-US"/>
              </w:rPr>
            </w:pPr>
            <w:r w:rsidRPr="00981FA5">
              <w:rPr>
                <w:rFonts w:ascii="Times New Roman" w:hAnsi="Times New Roman"/>
                <w:color w:val="000000"/>
                <w:sz w:val="22"/>
                <w:szCs w:val="20"/>
                <w:lang w:val="en-US"/>
              </w:rPr>
              <w:t>2017</w:t>
            </w:r>
          </w:p>
        </w:tc>
        <w:tc>
          <w:tcPr>
            <w:tcW w:w="2948" w:type="dxa"/>
            <w:tcBorders>
              <w:top w:val="nil"/>
              <w:left w:val="nil"/>
              <w:bottom w:val="single" w:sz="4" w:space="0" w:color="auto"/>
              <w:right w:val="single" w:sz="4" w:space="0" w:color="auto"/>
            </w:tcBorders>
            <w:shd w:val="clear" w:color="auto" w:fill="FFFFFF" w:themeFill="background1"/>
            <w:noWrap/>
            <w:vAlign w:val="center"/>
            <w:hideMark/>
          </w:tcPr>
          <w:p w14:paraId="5EE98E4B" w14:textId="77777777" w:rsidR="00103F2C" w:rsidRPr="00981FA5" w:rsidRDefault="00103F2C" w:rsidP="00866433">
            <w:pPr>
              <w:suppressAutoHyphens w:val="0"/>
              <w:spacing w:before="60" w:after="60" w:line="276" w:lineRule="auto"/>
              <w:jc w:val="center"/>
              <w:rPr>
                <w:rFonts w:ascii="Times New Roman" w:hAnsi="Times New Roman"/>
                <w:color w:val="000000"/>
                <w:szCs w:val="20"/>
                <w:lang w:val="en-US"/>
              </w:rPr>
            </w:pPr>
            <w:r w:rsidRPr="00981FA5">
              <w:rPr>
                <w:rFonts w:ascii="Times New Roman" w:hAnsi="Times New Roman"/>
                <w:color w:val="000000"/>
                <w:sz w:val="22"/>
                <w:szCs w:val="20"/>
                <w:lang w:val="en-US"/>
              </w:rPr>
              <w:t>1318</w:t>
            </w:r>
          </w:p>
        </w:tc>
      </w:tr>
      <w:tr w:rsidR="00103F2C" w:rsidRPr="00981FA5" w14:paraId="30B2DFE4" w14:textId="77777777" w:rsidTr="00866433">
        <w:trPr>
          <w:trHeight w:val="292"/>
        </w:trPr>
        <w:tc>
          <w:tcPr>
            <w:tcW w:w="2268"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F22AC1D" w14:textId="77777777" w:rsidR="00103F2C" w:rsidRPr="00981FA5" w:rsidRDefault="00103F2C" w:rsidP="00866433">
            <w:pPr>
              <w:suppressAutoHyphens w:val="0"/>
              <w:spacing w:before="60" w:after="60" w:line="276" w:lineRule="auto"/>
              <w:jc w:val="center"/>
              <w:rPr>
                <w:rFonts w:ascii="Times New Roman" w:hAnsi="Times New Roman"/>
                <w:color w:val="000000"/>
                <w:szCs w:val="20"/>
                <w:lang w:val="en-US"/>
              </w:rPr>
            </w:pPr>
            <w:r w:rsidRPr="00981FA5">
              <w:rPr>
                <w:rFonts w:ascii="Times New Roman" w:hAnsi="Times New Roman"/>
                <w:color w:val="000000"/>
                <w:sz w:val="22"/>
                <w:szCs w:val="20"/>
                <w:lang w:val="en-US"/>
              </w:rPr>
              <w:t>2018</w:t>
            </w:r>
          </w:p>
        </w:tc>
        <w:tc>
          <w:tcPr>
            <w:tcW w:w="2948" w:type="dxa"/>
            <w:tcBorders>
              <w:top w:val="nil"/>
              <w:left w:val="nil"/>
              <w:bottom w:val="single" w:sz="4" w:space="0" w:color="auto"/>
              <w:right w:val="single" w:sz="4" w:space="0" w:color="auto"/>
            </w:tcBorders>
            <w:shd w:val="clear" w:color="auto" w:fill="FFFFFF" w:themeFill="background1"/>
            <w:noWrap/>
            <w:vAlign w:val="center"/>
            <w:hideMark/>
          </w:tcPr>
          <w:p w14:paraId="2031C72D" w14:textId="77777777" w:rsidR="00103F2C" w:rsidRPr="00981FA5" w:rsidRDefault="00103F2C" w:rsidP="00866433">
            <w:pPr>
              <w:suppressAutoHyphens w:val="0"/>
              <w:spacing w:before="60" w:after="60" w:line="276" w:lineRule="auto"/>
              <w:jc w:val="center"/>
              <w:rPr>
                <w:rFonts w:ascii="Times New Roman" w:hAnsi="Times New Roman"/>
                <w:color w:val="000000"/>
                <w:szCs w:val="20"/>
                <w:lang w:val="en-US"/>
              </w:rPr>
            </w:pPr>
            <w:r w:rsidRPr="00981FA5">
              <w:rPr>
                <w:rFonts w:ascii="Times New Roman" w:hAnsi="Times New Roman"/>
                <w:color w:val="000000"/>
                <w:sz w:val="22"/>
                <w:szCs w:val="20"/>
                <w:lang w:val="en-US"/>
              </w:rPr>
              <w:t>1247</w:t>
            </w:r>
          </w:p>
        </w:tc>
      </w:tr>
      <w:tr w:rsidR="00103F2C" w:rsidRPr="00981FA5" w14:paraId="7A9B629D" w14:textId="77777777" w:rsidTr="00866433">
        <w:trPr>
          <w:trHeight w:val="292"/>
        </w:trPr>
        <w:tc>
          <w:tcPr>
            <w:tcW w:w="2268"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5943FFCC" w14:textId="77777777" w:rsidR="00103F2C" w:rsidRPr="00981FA5" w:rsidRDefault="00103F2C" w:rsidP="00866433">
            <w:pPr>
              <w:suppressAutoHyphens w:val="0"/>
              <w:spacing w:before="60" w:after="60" w:line="276" w:lineRule="auto"/>
              <w:jc w:val="center"/>
              <w:rPr>
                <w:rFonts w:ascii="Times New Roman" w:hAnsi="Times New Roman"/>
                <w:b/>
                <w:color w:val="000000"/>
                <w:szCs w:val="20"/>
              </w:rPr>
            </w:pPr>
            <w:r w:rsidRPr="00981FA5">
              <w:rPr>
                <w:rFonts w:ascii="Times New Roman" w:hAnsi="Times New Roman"/>
                <w:b/>
                <w:color w:val="000000"/>
                <w:sz w:val="22"/>
                <w:szCs w:val="20"/>
              </w:rPr>
              <w:t>Средно на година</w:t>
            </w:r>
          </w:p>
        </w:tc>
        <w:tc>
          <w:tcPr>
            <w:tcW w:w="2948"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0B92A60" w14:textId="77777777" w:rsidR="00103F2C" w:rsidRPr="00981FA5" w:rsidRDefault="00103F2C" w:rsidP="00866433">
            <w:pPr>
              <w:suppressAutoHyphens w:val="0"/>
              <w:spacing w:before="60" w:after="60" w:line="276" w:lineRule="auto"/>
              <w:jc w:val="center"/>
              <w:rPr>
                <w:rFonts w:ascii="Times New Roman" w:hAnsi="Times New Roman"/>
                <w:b/>
                <w:color w:val="000000"/>
                <w:szCs w:val="20"/>
              </w:rPr>
            </w:pPr>
            <w:r w:rsidRPr="00981FA5">
              <w:rPr>
                <w:rFonts w:ascii="Times New Roman" w:hAnsi="Times New Roman"/>
                <w:b/>
                <w:color w:val="000000"/>
                <w:sz w:val="22"/>
                <w:szCs w:val="20"/>
              </w:rPr>
              <w:t>1204</w:t>
            </w:r>
          </w:p>
        </w:tc>
      </w:tr>
    </w:tbl>
    <w:p w14:paraId="362314A7" w14:textId="77777777" w:rsidR="00103F2C" w:rsidRPr="00981FA5" w:rsidRDefault="00103F2C" w:rsidP="00103F2C">
      <w:pPr>
        <w:spacing w:after="240"/>
        <w:ind w:left="-360"/>
        <w:rPr>
          <w:rFonts w:ascii="Times New Roman" w:hAnsi="Times New Roman"/>
          <w:i/>
          <w:noProof/>
          <w:sz w:val="20"/>
          <w:szCs w:val="20"/>
        </w:rPr>
      </w:pPr>
      <w:r w:rsidRPr="00981FA5">
        <w:rPr>
          <w:rFonts w:ascii="Times New Roman" w:hAnsi="Times New Roman"/>
          <w:i/>
          <w:noProof/>
          <w:sz w:val="20"/>
          <w:szCs w:val="20"/>
        </w:rPr>
        <w:t xml:space="preserve">       Източник: Предварителни данни, предоставени от пристанището </w:t>
      </w:r>
    </w:p>
    <w:p w14:paraId="7ADC08A1" w14:textId="77777777" w:rsidR="00103F2C" w:rsidRDefault="00103F2C" w:rsidP="00103F2C">
      <w:pPr>
        <w:pStyle w:val="MoIBody"/>
        <w:rPr>
          <w:noProof/>
        </w:rPr>
      </w:pPr>
    </w:p>
    <w:p w14:paraId="66441101" w14:textId="77777777" w:rsidR="00103F2C" w:rsidRDefault="00103F2C" w:rsidP="00103F2C">
      <w:pPr>
        <w:pStyle w:val="MoIBody"/>
        <w:rPr>
          <w:noProof/>
        </w:rPr>
      </w:pPr>
      <w:r>
        <w:rPr>
          <w:noProof/>
        </w:rPr>
        <w:t>Прилагайки средното количество отпадъци по видове за същия период, спрямо средния брой кораби получаваме средното количество отпадъци, които се генерират от един кораб за нуждите на прогнозата.</w:t>
      </w:r>
    </w:p>
    <w:p w14:paraId="5C4D51C4" w14:textId="77777777" w:rsidR="00103F2C" w:rsidRDefault="00103F2C" w:rsidP="00103F2C">
      <w:pPr>
        <w:pStyle w:val="MoIBody"/>
        <w:rPr>
          <w:noProof/>
        </w:rPr>
      </w:pPr>
    </w:p>
    <w:p w14:paraId="1D46B674" w14:textId="77777777" w:rsidR="00103F2C" w:rsidRPr="00981FA5" w:rsidRDefault="00103F2C" w:rsidP="00103F2C">
      <w:pPr>
        <w:suppressAutoHyphens w:val="0"/>
        <w:spacing w:before="240" w:after="0" w:line="360" w:lineRule="auto"/>
        <w:rPr>
          <w:rFonts w:ascii="Times New Roman" w:hAnsi="Times New Roman"/>
          <w:b/>
          <w:bCs/>
          <w:smallCaps/>
          <w:color w:val="4F81BD"/>
          <w:sz w:val="22"/>
        </w:rPr>
      </w:pPr>
      <w:r w:rsidRPr="00981FA5">
        <w:rPr>
          <w:rFonts w:ascii="Times New Roman" w:hAnsi="Times New Roman"/>
          <w:b/>
          <w:bCs/>
          <w:smallCaps/>
          <w:color w:val="4F81BD"/>
          <w:sz w:val="22"/>
        </w:rPr>
        <w:t xml:space="preserve">Таблица </w:t>
      </w:r>
      <w:r w:rsidRPr="00981FA5">
        <w:rPr>
          <w:rFonts w:ascii="Times New Roman" w:hAnsi="Times New Roman"/>
          <w:b/>
          <w:bCs/>
          <w:smallCaps/>
          <w:color w:val="4F81BD"/>
          <w:sz w:val="22"/>
        </w:rPr>
        <w:fldChar w:fldCharType="begin"/>
      </w:r>
      <w:r w:rsidRPr="00981FA5">
        <w:rPr>
          <w:rFonts w:ascii="Times New Roman" w:hAnsi="Times New Roman"/>
          <w:b/>
          <w:bCs/>
          <w:smallCaps/>
          <w:color w:val="4F81BD"/>
          <w:sz w:val="22"/>
        </w:rPr>
        <w:instrText xml:space="preserve"> STYLEREF 1 \s </w:instrText>
      </w:r>
      <w:r w:rsidRPr="00981FA5">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981FA5">
        <w:rPr>
          <w:rFonts w:ascii="Times New Roman" w:hAnsi="Times New Roman"/>
          <w:b/>
          <w:bCs/>
          <w:smallCaps/>
          <w:color w:val="4F81BD"/>
          <w:sz w:val="22"/>
        </w:rPr>
        <w:fldChar w:fldCharType="end"/>
      </w:r>
      <w:r w:rsidRPr="00981FA5">
        <w:rPr>
          <w:rFonts w:ascii="Times New Roman" w:hAnsi="Times New Roman"/>
          <w:b/>
          <w:bCs/>
          <w:smallCaps/>
          <w:color w:val="4F81BD"/>
          <w:sz w:val="22"/>
        </w:rPr>
        <w:noBreakHyphen/>
        <w:t>11: Определяне на единични количества отпадъци за  пристанище Бургас</w:t>
      </w:r>
    </w:p>
    <w:tbl>
      <w:tblPr>
        <w:tblW w:w="6305" w:type="dxa"/>
        <w:tblInd w:w="108" w:type="dxa"/>
        <w:tblLook w:val="04A0" w:firstRow="1" w:lastRow="0" w:firstColumn="1" w:lastColumn="0" w:noHBand="0" w:noVBand="1"/>
      </w:tblPr>
      <w:tblGrid>
        <w:gridCol w:w="1247"/>
        <w:gridCol w:w="1516"/>
        <w:gridCol w:w="1753"/>
        <w:gridCol w:w="1789"/>
      </w:tblGrid>
      <w:tr w:rsidR="00103F2C" w:rsidRPr="00981FA5" w14:paraId="6FA8FDB2" w14:textId="77777777" w:rsidTr="00866433">
        <w:trPr>
          <w:trHeight w:val="292"/>
        </w:trPr>
        <w:tc>
          <w:tcPr>
            <w:tcW w:w="124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CD24959" w14:textId="77777777" w:rsidR="00103F2C" w:rsidRPr="00981FA5" w:rsidRDefault="00103F2C" w:rsidP="00866433">
            <w:pPr>
              <w:suppressAutoHyphens w:val="0"/>
              <w:spacing w:before="60" w:after="60" w:line="276" w:lineRule="auto"/>
              <w:jc w:val="center"/>
              <w:rPr>
                <w:rFonts w:ascii="Times New Roman" w:hAnsi="Times New Roman"/>
                <w:b/>
                <w:bCs/>
                <w:szCs w:val="20"/>
              </w:rPr>
            </w:pPr>
            <w:r w:rsidRPr="00981FA5">
              <w:rPr>
                <w:rFonts w:ascii="Times New Roman" w:hAnsi="Times New Roman"/>
                <w:b/>
                <w:bCs/>
                <w:sz w:val="22"/>
                <w:szCs w:val="20"/>
              </w:rPr>
              <w:t xml:space="preserve">Видове </w:t>
            </w:r>
            <w:r w:rsidRPr="00981FA5">
              <w:rPr>
                <w:rFonts w:ascii="Times New Roman" w:hAnsi="Times New Roman"/>
                <w:b/>
                <w:bCs/>
                <w:sz w:val="22"/>
                <w:szCs w:val="20"/>
              </w:rPr>
              <w:lastRenderedPageBreak/>
              <w:t>отпадъци</w:t>
            </w:r>
          </w:p>
        </w:tc>
        <w:tc>
          <w:tcPr>
            <w:tcW w:w="151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6A54A090" w14:textId="77777777" w:rsidR="00103F2C" w:rsidRPr="00981FA5" w:rsidRDefault="00103F2C" w:rsidP="0086643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lastRenderedPageBreak/>
              <w:t>Средно</w:t>
            </w:r>
            <w:r w:rsidRPr="00981FA5">
              <w:rPr>
                <w:rFonts w:ascii="Times New Roman" w:hAnsi="Times New Roman"/>
                <w:b/>
                <w:bCs/>
                <w:sz w:val="22"/>
                <w:szCs w:val="20"/>
              </w:rPr>
              <w:t xml:space="preserve"> </w:t>
            </w:r>
            <w:r w:rsidRPr="00981FA5">
              <w:rPr>
                <w:rFonts w:ascii="Times New Roman" w:hAnsi="Times New Roman"/>
                <w:b/>
                <w:bCs/>
                <w:sz w:val="22"/>
                <w:szCs w:val="20"/>
              </w:rPr>
              <w:lastRenderedPageBreak/>
              <w:t>годишно</w:t>
            </w:r>
            <w:r w:rsidRPr="00981FA5">
              <w:rPr>
                <w:rFonts w:ascii="Times New Roman" w:hAnsi="Times New Roman"/>
                <w:b/>
                <w:bCs/>
                <w:sz w:val="22"/>
                <w:szCs w:val="20"/>
                <w:lang w:val="en-US"/>
              </w:rPr>
              <w:t xml:space="preserve"> в м³</w:t>
            </w:r>
          </w:p>
        </w:tc>
        <w:tc>
          <w:tcPr>
            <w:tcW w:w="1753"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4BA0AE38" w14:textId="77777777" w:rsidR="00103F2C" w:rsidRPr="00981FA5" w:rsidRDefault="00103F2C" w:rsidP="00866433">
            <w:pPr>
              <w:suppressAutoHyphens w:val="0"/>
              <w:spacing w:before="60" w:after="60" w:line="276" w:lineRule="auto"/>
              <w:jc w:val="center"/>
              <w:rPr>
                <w:rFonts w:ascii="Times New Roman" w:hAnsi="Times New Roman"/>
                <w:b/>
                <w:bCs/>
                <w:szCs w:val="20"/>
              </w:rPr>
            </w:pPr>
            <w:r>
              <w:rPr>
                <w:rFonts w:ascii="Times New Roman" w:hAnsi="Times New Roman"/>
                <w:b/>
                <w:bCs/>
                <w:sz w:val="22"/>
                <w:szCs w:val="20"/>
              </w:rPr>
              <w:lastRenderedPageBreak/>
              <w:t>Б</w:t>
            </w:r>
            <w:r w:rsidRPr="00981FA5">
              <w:rPr>
                <w:rFonts w:ascii="Times New Roman" w:hAnsi="Times New Roman"/>
                <w:b/>
                <w:bCs/>
                <w:sz w:val="22"/>
                <w:szCs w:val="20"/>
                <w:lang w:val="en-US"/>
              </w:rPr>
              <w:t>р. кораби</w:t>
            </w:r>
            <w:r w:rsidRPr="00981FA5">
              <w:rPr>
                <w:rFonts w:ascii="Times New Roman" w:hAnsi="Times New Roman"/>
                <w:b/>
                <w:bCs/>
                <w:sz w:val="22"/>
                <w:szCs w:val="20"/>
              </w:rPr>
              <w:t xml:space="preserve"> </w:t>
            </w:r>
            <w:r w:rsidRPr="00981FA5">
              <w:rPr>
                <w:rFonts w:ascii="Times New Roman" w:hAnsi="Times New Roman"/>
                <w:b/>
                <w:bCs/>
                <w:sz w:val="22"/>
                <w:szCs w:val="20"/>
              </w:rPr>
              <w:lastRenderedPageBreak/>
              <w:t>средногодишно</w:t>
            </w:r>
          </w:p>
        </w:tc>
        <w:tc>
          <w:tcPr>
            <w:tcW w:w="1789"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6E48887C" w14:textId="77777777" w:rsidR="00103F2C" w:rsidRPr="00981FA5" w:rsidRDefault="00103F2C" w:rsidP="00866433">
            <w:pPr>
              <w:suppressAutoHyphens w:val="0"/>
              <w:spacing w:before="60" w:after="60" w:line="276" w:lineRule="auto"/>
              <w:jc w:val="center"/>
              <w:rPr>
                <w:rFonts w:ascii="Times New Roman" w:hAnsi="Times New Roman"/>
                <w:b/>
                <w:bCs/>
                <w:szCs w:val="20"/>
              </w:rPr>
            </w:pPr>
            <w:r w:rsidRPr="00981FA5">
              <w:rPr>
                <w:rFonts w:ascii="Times New Roman" w:hAnsi="Times New Roman"/>
                <w:b/>
                <w:bCs/>
                <w:sz w:val="22"/>
                <w:szCs w:val="20"/>
                <w:lang w:val="en-US"/>
              </w:rPr>
              <w:lastRenderedPageBreak/>
              <w:t>Средно</w:t>
            </w:r>
            <w:r w:rsidRPr="00981FA5">
              <w:rPr>
                <w:rFonts w:ascii="Times New Roman" w:hAnsi="Times New Roman"/>
                <w:b/>
                <w:bCs/>
                <w:sz w:val="22"/>
                <w:szCs w:val="20"/>
              </w:rPr>
              <w:t xml:space="preserve"> </w:t>
            </w:r>
            <w:r w:rsidRPr="00981FA5">
              <w:rPr>
                <w:rFonts w:ascii="Times New Roman" w:hAnsi="Times New Roman"/>
                <w:b/>
                <w:bCs/>
                <w:sz w:val="22"/>
                <w:szCs w:val="20"/>
              </w:rPr>
              <w:lastRenderedPageBreak/>
              <w:t>отпадъци</w:t>
            </w:r>
            <w:r w:rsidRPr="00981FA5">
              <w:rPr>
                <w:rFonts w:ascii="Times New Roman" w:hAnsi="Times New Roman"/>
                <w:b/>
                <w:bCs/>
                <w:sz w:val="22"/>
                <w:szCs w:val="20"/>
                <w:lang w:val="en-US"/>
              </w:rPr>
              <w:t xml:space="preserve"> за 1 кораб</w:t>
            </w:r>
            <w:r w:rsidRPr="00981FA5">
              <w:rPr>
                <w:rFonts w:ascii="Times New Roman" w:hAnsi="Times New Roman"/>
                <w:b/>
                <w:bCs/>
                <w:sz w:val="22"/>
                <w:szCs w:val="20"/>
              </w:rPr>
              <w:t xml:space="preserve"> в м³</w:t>
            </w:r>
          </w:p>
        </w:tc>
      </w:tr>
      <w:tr w:rsidR="00103F2C" w:rsidRPr="00981FA5" w14:paraId="749C2243" w14:textId="77777777" w:rsidTr="00866433">
        <w:trPr>
          <w:trHeight w:val="292"/>
        </w:trPr>
        <w:tc>
          <w:tcPr>
            <w:tcW w:w="1247" w:type="dxa"/>
            <w:tcBorders>
              <w:top w:val="nil"/>
              <w:left w:val="single" w:sz="4" w:space="0" w:color="auto"/>
              <w:bottom w:val="single" w:sz="4" w:space="0" w:color="auto"/>
              <w:right w:val="single" w:sz="4" w:space="0" w:color="auto"/>
            </w:tcBorders>
            <w:vAlign w:val="center"/>
          </w:tcPr>
          <w:p w14:paraId="41199139"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rPr>
              <w:lastRenderedPageBreak/>
              <w:t>Анекс I</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0CE4FF6B"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2436,36</w:t>
            </w:r>
          </w:p>
        </w:tc>
        <w:tc>
          <w:tcPr>
            <w:tcW w:w="1753" w:type="dxa"/>
            <w:tcBorders>
              <w:top w:val="nil"/>
              <w:left w:val="nil"/>
              <w:bottom w:val="single" w:sz="4" w:space="0" w:color="auto"/>
              <w:right w:val="single" w:sz="4" w:space="0" w:color="auto"/>
            </w:tcBorders>
            <w:shd w:val="clear" w:color="auto" w:fill="auto"/>
            <w:noWrap/>
            <w:vAlign w:val="center"/>
            <w:hideMark/>
          </w:tcPr>
          <w:p w14:paraId="482758D4"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1 204</w:t>
            </w:r>
          </w:p>
        </w:tc>
        <w:tc>
          <w:tcPr>
            <w:tcW w:w="1789" w:type="dxa"/>
            <w:tcBorders>
              <w:top w:val="nil"/>
              <w:left w:val="nil"/>
              <w:bottom w:val="single" w:sz="4" w:space="0" w:color="auto"/>
              <w:right w:val="single" w:sz="4" w:space="0" w:color="auto"/>
            </w:tcBorders>
            <w:shd w:val="clear" w:color="auto" w:fill="auto"/>
            <w:noWrap/>
            <w:vAlign w:val="center"/>
            <w:hideMark/>
          </w:tcPr>
          <w:p w14:paraId="28879642"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2,022995</w:t>
            </w:r>
          </w:p>
        </w:tc>
      </w:tr>
      <w:tr w:rsidR="00103F2C" w:rsidRPr="00981FA5" w14:paraId="5A100299" w14:textId="77777777" w:rsidTr="00866433">
        <w:trPr>
          <w:trHeight w:val="292"/>
        </w:trPr>
        <w:tc>
          <w:tcPr>
            <w:tcW w:w="1247" w:type="dxa"/>
            <w:tcBorders>
              <w:top w:val="nil"/>
              <w:left w:val="single" w:sz="4" w:space="0" w:color="auto"/>
              <w:bottom w:val="single" w:sz="4" w:space="0" w:color="auto"/>
              <w:right w:val="single" w:sz="4" w:space="0" w:color="auto"/>
            </w:tcBorders>
            <w:vAlign w:val="center"/>
          </w:tcPr>
          <w:p w14:paraId="24DB5EB3"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rPr>
              <w:t>Анекс IV</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0ECCC455"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164,06</w:t>
            </w:r>
          </w:p>
        </w:tc>
        <w:tc>
          <w:tcPr>
            <w:tcW w:w="1753" w:type="dxa"/>
            <w:tcBorders>
              <w:top w:val="nil"/>
              <w:left w:val="nil"/>
              <w:bottom w:val="single" w:sz="4" w:space="0" w:color="auto"/>
              <w:right w:val="single" w:sz="4" w:space="0" w:color="auto"/>
            </w:tcBorders>
            <w:shd w:val="clear" w:color="auto" w:fill="auto"/>
            <w:noWrap/>
            <w:vAlign w:val="center"/>
            <w:hideMark/>
          </w:tcPr>
          <w:p w14:paraId="6094B968"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1 204</w:t>
            </w:r>
          </w:p>
        </w:tc>
        <w:tc>
          <w:tcPr>
            <w:tcW w:w="1789" w:type="dxa"/>
            <w:tcBorders>
              <w:top w:val="nil"/>
              <w:left w:val="nil"/>
              <w:bottom w:val="single" w:sz="4" w:space="0" w:color="auto"/>
              <w:right w:val="single" w:sz="4" w:space="0" w:color="auto"/>
            </w:tcBorders>
            <w:shd w:val="clear" w:color="auto" w:fill="auto"/>
            <w:noWrap/>
            <w:vAlign w:val="center"/>
            <w:hideMark/>
          </w:tcPr>
          <w:p w14:paraId="4499C464"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0,136228</w:t>
            </w:r>
          </w:p>
        </w:tc>
      </w:tr>
      <w:tr w:rsidR="00103F2C" w:rsidRPr="00981FA5" w14:paraId="498E8D43" w14:textId="77777777" w:rsidTr="00866433">
        <w:trPr>
          <w:trHeight w:val="292"/>
        </w:trPr>
        <w:tc>
          <w:tcPr>
            <w:tcW w:w="1247" w:type="dxa"/>
            <w:tcBorders>
              <w:top w:val="nil"/>
              <w:left w:val="single" w:sz="4" w:space="0" w:color="auto"/>
              <w:bottom w:val="single" w:sz="4" w:space="0" w:color="auto"/>
              <w:right w:val="single" w:sz="4" w:space="0" w:color="auto"/>
            </w:tcBorders>
            <w:vAlign w:val="center"/>
          </w:tcPr>
          <w:p w14:paraId="3340925B"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rPr>
              <w:t>Анекс V</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4F3B80AE"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872,51</w:t>
            </w:r>
          </w:p>
        </w:tc>
        <w:tc>
          <w:tcPr>
            <w:tcW w:w="1753" w:type="dxa"/>
            <w:tcBorders>
              <w:top w:val="nil"/>
              <w:left w:val="nil"/>
              <w:bottom w:val="single" w:sz="4" w:space="0" w:color="auto"/>
              <w:right w:val="single" w:sz="4" w:space="0" w:color="auto"/>
            </w:tcBorders>
            <w:shd w:val="clear" w:color="auto" w:fill="auto"/>
            <w:noWrap/>
            <w:vAlign w:val="center"/>
            <w:hideMark/>
          </w:tcPr>
          <w:p w14:paraId="38C461F6"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1 204</w:t>
            </w:r>
          </w:p>
        </w:tc>
        <w:tc>
          <w:tcPr>
            <w:tcW w:w="1789" w:type="dxa"/>
            <w:tcBorders>
              <w:top w:val="nil"/>
              <w:left w:val="nil"/>
              <w:bottom w:val="single" w:sz="4" w:space="0" w:color="auto"/>
              <w:right w:val="single" w:sz="4" w:space="0" w:color="auto"/>
            </w:tcBorders>
            <w:shd w:val="clear" w:color="auto" w:fill="auto"/>
            <w:noWrap/>
            <w:vAlign w:val="center"/>
            <w:hideMark/>
          </w:tcPr>
          <w:p w14:paraId="60EEF088" w14:textId="77777777" w:rsidR="00103F2C" w:rsidRPr="00981FA5" w:rsidRDefault="00103F2C" w:rsidP="0086643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0,724473</w:t>
            </w:r>
          </w:p>
        </w:tc>
      </w:tr>
    </w:tbl>
    <w:p w14:paraId="7CCE26D7" w14:textId="77777777" w:rsidR="00103F2C" w:rsidRPr="00414F51" w:rsidRDefault="00103F2C" w:rsidP="00103F2C">
      <w:pPr>
        <w:spacing w:after="240"/>
        <w:ind w:left="-360"/>
        <w:rPr>
          <w:i/>
          <w:noProof/>
          <w:sz w:val="20"/>
          <w:szCs w:val="20"/>
        </w:rPr>
      </w:pPr>
      <w:r>
        <w:rPr>
          <w:i/>
          <w:noProof/>
          <w:sz w:val="20"/>
          <w:szCs w:val="20"/>
        </w:rPr>
        <w:t xml:space="preserve">       Източник: Собствени изчисления на консултанта</w:t>
      </w:r>
      <w:r w:rsidRPr="00414F51">
        <w:rPr>
          <w:i/>
          <w:noProof/>
          <w:sz w:val="20"/>
          <w:szCs w:val="20"/>
        </w:rPr>
        <w:t xml:space="preserve"> </w:t>
      </w:r>
    </w:p>
    <w:p w14:paraId="0BB50EB4" w14:textId="77777777" w:rsidR="00103F2C" w:rsidRDefault="00103F2C" w:rsidP="00103F2C">
      <w:pPr>
        <w:pStyle w:val="MoIBody"/>
        <w:rPr>
          <w:noProof/>
        </w:rPr>
      </w:pPr>
    </w:p>
    <w:p w14:paraId="3C01C7F6" w14:textId="77777777" w:rsidR="00103F2C" w:rsidRDefault="00103F2C" w:rsidP="00103F2C">
      <w:pPr>
        <w:pStyle w:val="MoIBody"/>
        <w:rPr>
          <w:noProof/>
        </w:rPr>
      </w:pPr>
      <w:r>
        <w:rPr>
          <w:noProof/>
        </w:rPr>
        <w:t xml:space="preserve">Прогнозата за броя кораби и единичните количества по видове отпадъци ни дават стойностите за общите количества отпадъци до 2043 г. </w:t>
      </w:r>
    </w:p>
    <w:p w14:paraId="2B610787" w14:textId="77777777" w:rsidR="00103F2C" w:rsidRDefault="00103F2C" w:rsidP="00103F2C">
      <w:pPr>
        <w:pStyle w:val="MoIBody"/>
        <w:rPr>
          <w:noProof/>
        </w:rPr>
      </w:pPr>
    </w:p>
    <w:p w14:paraId="446A93BE" w14:textId="77777777" w:rsidR="00103F2C" w:rsidRPr="00500DA6" w:rsidRDefault="00103F2C" w:rsidP="00103F2C">
      <w:pPr>
        <w:suppressAutoHyphens w:val="0"/>
        <w:spacing w:before="240" w:after="0" w:line="360" w:lineRule="auto"/>
        <w:rPr>
          <w:rFonts w:ascii="Times New Roman" w:hAnsi="Times New Roman"/>
          <w:b/>
          <w:bCs/>
          <w:smallCaps/>
          <w:color w:val="4F81BD"/>
          <w:sz w:val="22"/>
        </w:rPr>
      </w:pPr>
      <w:r w:rsidRPr="00500DA6">
        <w:rPr>
          <w:rFonts w:ascii="Times New Roman" w:hAnsi="Times New Roman"/>
          <w:b/>
          <w:bCs/>
          <w:smallCaps/>
          <w:color w:val="4F81BD"/>
          <w:sz w:val="22"/>
        </w:rPr>
        <w:t xml:space="preserve">Таблица </w:t>
      </w:r>
      <w:r w:rsidRPr="00500DA6">
        <w:rPr>
          <w:rFonts w:ascii="Times New Roman" w:hAnsi="Times New Roman"/>
          <w:b/>
          <w:bCs/>
          <w:smallCaps/>
          <w:color w:val="4F81BD"/>
          <w:sz w:val="22"/>
        </w:rPr>
        <w:fldChar w:fldCharType="begin"/>
      </w:r>
      <w:r w:rsidRPr="00500DA6">
        <w:rPr>
          <w:rFonts w:ascii="Times New Roman" w:hAnsi="Times New Roman"/>
          <w:b/>
          <w:bCs/>
          <w:smallCaps/>
          <w:color w:val="4F81BD"/>
          <w:sz w:val="22"/>
        </w:rPr>
        <w:instrText xml:space="preserve"> STYLEREF 1 \s </w:instrText>
      </w:r>
      <w:r w:rsidRPr="00500DA6">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500DA6">
        <w:rPr>
          <w:rFonts w:ascii="Times New Roman" w:hAnsi="Times New Roman"/>
          <w:b/>
          <w:bCs/>
          <w:smallCaps/>
          <w:color w:val="4F81BD"/>
          <w:sz w:val="22"/>
        </w:rPr>
        <w:fldChar w:fldCharType="end"/>
      </w:r>
      <w:r w:rsidRPr="00500DA6">
        <w:rPr>
          <w:rFonts w:ascii="Times New Roman" w:hAnsi="Times New Roman"/>
          <w:b/>
          <w:bCs/>
          <w:smallCaps/>
          <w:color w:val="4F81BD"/>
          <w:sz w:val="22"/>
        </w:rPr>
        <w:noBreakHyphen/>
        <w:t>12: Прогноза за  пристанище Бургас</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720"/>
        <w:gridCol w:w="656"/>
        <w:gridCol w:w="694"/>
        <w:gridCol w:w="656"/>
        <w:gridCol w:w="694"/>
        <w:gridCol w:w="656"/>
        <w:gridCol w:w="694"/>
      </w:tblGrid>
      <w:tr w:rsidR="00103F2C" w:rsidRPr="00500DA6" w14:paraId="4E3B3103" w14:textId="77777777" w:rsidTr="00866433">
        <w:trPr>
          <w:trHeight w:val="300"/>
        </w:trPr>
        <w:tc>
          <w:tcPr>
            <w:tcW w:w="4027" w:type="dxa"/>
            <w:shd w:val="clear" w:color="auto" w:fill="9CC2E5" w:themeFill="accent1" w:themeFillTint="99"/>
            <w:noWrap/>
            <w:vAlign w:val="center"/>
            <w:hideMark/>
          </w:tcPr>
          <w:p w14:paraId="47B2C7B9" w14:textId="77777777" w:rsidR="00103F2C" w:rsidRPr="00500DA6" w:rsidRDefault="00103F2C" w:rsidP="00866433">
            <w:pPr>
              <w:suppressAutoHyphens w:val="0"/>
              <w:spacing w:before="60" w:after="60" w:line="276" w:lineRule="auto"/>
              <w:jc w:val="center"/>
              <w:rPr>
                <w:rFonts w:ascii="Times New Roman" w:hAnsi="Times New Roman"/>
                <w:b/>
                <w:color w:val="000000"/>
              </w:rPr>
            </w:pPr>
            <w:r w:rsidRPr="00500DA6">
              <w:rPr>
                <w:rFonts w:ascii="Times New Roman" w:hAnsi="Times New Roman"/>
                <w:b/>
                <w:color w:val="000000"/>
                <w:sz w:val="22"/>
              </w:rPr>
              <w:t>Пристанище Бургас</w:t>
            </w:r>
          </w:p>
        </w:tc>
        <w:tc>
          <w:tcPr>
            <w:tcW w:w="720" w:type="dxa"/>
            <w:shd w:val="clear" w:color="auto" w:fill="9CC2E5" w:themeFill="accent1" w:themeFillTint="99"/>
            <w:noWrap/>
            <w:vAlign w:val="center"/>
            <w:hideMark/>
          </w:tcPr>
          <w:p w14:paraId="30A4ED08"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2019</w:t>
            </w:r>
          </w:p>
        </w:tc>
        <w:tc>
          <w:tcPr>
            <w:tcW w:w="656" w:type="dxa"/>
            <w:shd w:val="clear" w:color="auto" w:fill="9CC2E5" w:themeFill="accent1" w:themeFillTint="99"/>
            <w:noWrap/>
            <w:vAlign w:val="center"/>
            <w:hideMark/>
          </w:tcPr>
          <w:p w14:paraId="42262A2B"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2020</w:t>
            </w:r>
          </w:p>
        </w:tc>
        <w:tc>
          <w:tcPr>
            <w:tcW w:w="694" w:type="dxa"/>
            <w:shd w:val="clear" w:color="auto" w:fill="9CC2E5" w:themeFill="accent1" w:themeFillTint="99"/>
            <w:noWrap/>
            <w:vAlign w:val="center"/>
            <w:hideMark/>
          </w:tcPr>
          <w:p w14:paraId="4D2C7A6E"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2021</w:t>
            </w:r>
          </w:p>
        </w:tc>
        <w:tc>
          <w:tcPr>
            <w:tcW w:w="656" w:type="dxa"/>
            <w:shd w:val="clear" w:color="auto" w:fill="9CC2E5" w:themeFill="accent1" w:themeFillTint="99"/>
            <w:noWrap/>
            <w:vAlign w:val="center"/>
            <w:hideMark/>
          </w:tcPr>
          <w:p w14:paraId="3E619A63"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2022</w:t>
            </w:r>
          </w:p>
        </w:tc>
        <w:tc>
          <w:tcPr>
            <w:tcW w:w="694" w:type="dxa"/>
            <w:shd w:val="clear" w:color="auto" w:fill="9CC2E5" w:themeFill="accent1" w:themeFillTint="99"/>
            <w:noWrap/>
            <w:vAlign w:val="center"/>
            <w:hideMark/>
          </w:tcPr>
          <w:p w14:paraId="416CAC4B"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2030</w:t>
            </w:r>
          </w:p>
        </w:tc>
        <w:tc>
          <w:tcPr>
            <w:tcW w:w="656" w:type="dxa"/>
            <w:shd w:val="clear" w:color="auto" w:fill="9CC2E5" w:themeFill="accent1" w:themeFillTint="99"/>
            <w:noWrap/>
            <w:vAlign w:val="center"/>
            <w:hideMark/>
          </w:tcPr>
          <w:p w14:paraId="011A9B68"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2040</w:t>
            </w:r>
          </w:p>
        </w:tc>
        <w:tc>
          <w:tcPr>
            <w:tcW w:w="694" w:type="dxa"/>
            <w:shd w:val="clear" w:color="auto" w:fill="9CC2E5" w:themeFill="accent1" w:themeFillTint="99"/>
            <w:noWrap/>
            <w:vAlign w:val="center"/>
            <w:hideMark/>
          </w:tcPr>
          <w:p w14:paraId="74C8964E" w14:textId="77777777" w:rsidR="00103F2C" w:rsidRPr="00500DA6" w:rsidRDefault="00103F2C" w:rsidP="00866433">
            <w:pPr>
              <w:suppressAutoHyphens w:val="0"/>
              <w:spacing w:before="60" w:after="60" w:line="276" w:lineRule="auto"/>
              <w:jc w:val="center"/>
              <w:rPr>
                <w:rFonts w:ascii="Times New Roman" w:hAnsi="Times New Roman"/>
                <w:b/>
                <w:color w:val="000000"/>
                <w:lang w:val="en-US"/>
              </w:rPr>
            </w:pPr>
            <w:r w:rsidRPr="00500DA6">
              <w:rPr>
                <w:rFonts w:ascii="Times New Roman" w:hAnsi="Times New Roman"/>
                <w:b/>
                <w:color w:val="000000"/>
                <w:sz w:val="22"/>
                <w:lang w:val="en-US"/>
              </w:rPr>
              <w:t>2043</w:t>
            </w:r>
          </w:p>
        </w:tc>
      </w:tr>
      <w:tr w:rsidR="00103F2C" w:rsidRPr="00500DA6" w14:paraId="6D4E767B" w14:textId="77777777" w:rsidTr="00866433">
        <w:trPr>
          <w:trHeight w:val="292"/>
        </w:trPr>
        <w:tc>
          <w:tcPr>
            <w:tcW w:w="4027" w:type="dxa"/>
            <w:shd w:val="clear" w:color="auto" w:fill="auto"/>
            <w:noWrap/>
            <w:vAlign w:val="bottom"/>
            <w:hideMark/>
          </w:tcPr>
          <w:p w14:paraId="4FD41D13" w14:textId="77777777" w:rsidR="00103F2C" w:rsidRPr="00500DA6" w:rsidRDefault="00103F2C" w:rsidP="00866433">
            <w:pPr>
              <w:suppressAutoHyphens w:val="0"/>
              <w:spacing w:before="60" w:after="60" w:line="276" w:lineRule="auto"/>
              <w:rPr>
                <w:rFonts w:ascii="Times New Roman" w:hAnsi="Times New Roman"/>
                <w:i/>
                <w:iCs/>
                <w:color w:val="000000"/>
                <w:lang w:val="en-US"/>
              </w:rPr>
            </w:pPr>
            <w:r w:rsidRPr="00500DA6">
              <w:rPr>
                <w:rFonts w:ascii="Times New Roman" w:hAnsi="Times New Roman"/>
                <w:i/>
                <w:iCs/>
                <w:color w:val="000000"/>
                <w:sz w:val="22"/>
                <w:lang w:val="en-US"/>
              </w:rPr>
              <w:t>брой кораби</w:t>
            </w:r>
          </w:p>
        </w:tc>
        <w:tc>
          <w:tcPr>
            <w:tcW w:w="720" w:type="dxa"/>
            <w:shd w:val="clear" w:color="auto" w:fill="auto"/>
            <w:noWrap/>
            <w:vAlign w:val="center"/>
            <w:hideMark/>
          </w:tcPr>
          <w:p w14:paraId="176C4BB4"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1287</w:t>
            </w:r>
          </w:p>
        </w:tc>
        <w:tc>
          <w:tcPr>
            <w:tcW w:w="656" w:type="dxa"/>
            <w:shd w:val="clear" w:color="auto" w:fill="auto"/>
            <w:noWrap/>
            <w:vAlign w:val="center"/>
            <w:hideMark/>
          </w:tcPr>
          <w:p w14:paraId="30A0FE26"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1329</w:t>
            </w:r>
          </w:p>
        </w:tc>
        <w:tc>
          <w:tcPr>
            <w:tcW w:w="694" w:type="dxa"/>
            <w:shd w:val="clear" w:color="auto" w:fill="auto"/>
            <w:noWrap/>
            <w:vAlign w:val="center"/>
            <w:hideMark/>
          </w:tcPr>
          <w:p w14:paraId="2B42D5C4"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1372</w:t>
            </w:r>
          </w:p>
        </w:tc>
        <w:tc>
          <w:tcPr>
            <w:tcW w:w="656" w:type="dxa"/>
            <w:shd w:val="clear" w:color="auto" w:fill="auto"/>
            <w:noWrap/>
            <w:vAlign w:val="center"/>
            <w:hideMark/>
          </w:tcPr>
          <w:p w14:paraId="3E0F9180"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1417</w:t>
            </w:r>
          </w:p>
        </w:tc>
        <w:tc>
          <w:tcPr>
            <w:tcW w:w="694" w:type="dxa"/>
            <w:shd w:val="clear" w:color="auto" w:fill="auto"/>
            <w:noWrap/>
            <w:vAlign w:val="center"/>
            <w:hideMark/>
          </w:tcPr>
          <w:p w14:paraId="764DB868"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1829</w:t>
            </w:r>
          </w:p>
        </w:tc>
        <w:tc>
          <w:tcPr>
            <w:tcW w:w="656" w:type="dxa"/>
            <w:shd w:val="clear" w:color="auto" w:fill="auto"/>
            <w:noWrap/>
            <w:vAlign w:val="center"/>
            <w:hideMark/>
          </w:tcPr>
          <w:p w14:paraId="1EA876FA"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2230</w:t>
            </w:r>
          </w:p>
        </w:tc>
        <w:tc>
          <w:tcPr>
            <w:tcW w:w="694" w:type="dxa"/>
            <w:shd w:val="clear" w:color="auto" w:fill="auto"/>
            <w:noWrap/>
            <w:vAlign w:val="center"/>
            <w:hideMark/>
          </w:tcPr>
          <w:p w14:paraId="3FE91EC6" w14:textId="77777777" w:rsidR="00103F2C" w:rsidRPr="00500DA6" w:rsidRDefault="00103F2C" w:rsidP="00866433">
            <w:pPr>
              <w:suppressAutoHyphens w:val="0"/>
              <w:spacing w:before="60" w:after="60" w:line="276" w:lineRule="auto"/>
              <w:jc w:val="center"/>
              <w:rPr>
                <w:rFonts w:ascii="Times New Roman" w:hAnsi="Times New Roman"/>
                <w:i/>
                <w:iCs/>
                <w:color w:val="000000"/>
                <w:lang w:val="en-US"/>
              </w:rPr>
            </w:pPr>
            <w:r w:rsidRPr="00500DA6">
              <w:rPr>
                <w:rFonts w:ascii="Times New Roman" w:hAnsi="Times New Roman"/>
                <w:i/>
                <w:iCs/>
                <w:color w:val="000000"/>
                <w:sz w:val="22"/>
                <w:lang w:val="en-US"/>
              </w:rPr>
              <w:t>2366</w:t>
            </w:r>
          </w:p>
        </w:tc>
      </w:tr>
      <w:tr w:rsidR="00103F2C" w:rsidRPr="00500DA6" w14:paraId="3D8890EE" w14:textId="77777777" w:rsidTr="00866433">
        <w:trPr>
          <w:trHeight w:val="292"/>
        </w:trPr>
        <w:tc>
          <w:tcPr>
            <w:tcW w:w="4027" w:type="dxa"/>
            <w:shd w:val="clear" w:color="auto" w:fill="auto"/>
            <w:noWrap/>
            <w:vAlign w:val="bottom"/>
            <w:hideMark/>
          </w:tcPr>
          <w:p w14:paraId="762443BE" w14:textId="77777777" w:rsidR="00103F2C" w:rsidRPr="00500DA6" w:rsidRDefault="00103F2C" w:rsidP="00866433">
            <w:pPr>
              <w:suppressAutoHyphens w:val="0"/>
              <w:spacing w:before="60" w:after="60" w:line="276" w:lineRule="auto"/>
              <w:rPr>
                <w:rFonts w:ascii="Times New Roman" w:hAnsi="Times New Roman"/>
                <w:i/>
                <w:iCs/>
                <w:color w:val="000000"/>
                <w:lang w:val="en-US"/>
              </w:rPr>
            </w:pPr>
            <w:r w:rsidRPr="00500DA6">
              <w:rPr>
                <w:rFonts w:ascii="Times New Roman" w:hAnsi="Times New Roman"/>
                <w:i/>
                <w:iCs/>
                <w:color w:val="000000"/>
                <w:sz w:val="22"/>
                <w:lang w:val="en-US"/>
              </w:rPr>
              <w:t>количества отпадъци в м</w:t>
            </w:r>
            <w:r w:rsidRPr="00500DA6">
              <w:rPr>
                <w:rFonts w:ascii="Times New Roman" w:hAnsi="Times New Roman"/>
                <w:color w:val="000000"/>
                <w:sz w:val="22"/>
                <w:lang w:val="en-US"/>
              </w:rPr>
              <w:t>³ за един кораб</w:t>
            </w:r>
          </w:p>
        </w:tc>
        <w:tc>
          <w:tcPr>
            <w:tcW w:w="720" w:type="dxa"/>
            <w:shd w:val="clear" w:color="auto" w:fill="auto"/>
            <w:noWrap/>
            <w:vAlign w:val="center"/>
            <w:hideMark/>
          </w:tcPr>
          <w:p w14:paraId="6847C1FD"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56" w:type="dxa"/>
            <w:shd w:val="clear" w:color="auto" w:fill="auto"/>
            <w:noWrap/>
            <w:vAlign w:val="center"/>
            <w:hideMark/>
          </w:tcPr>
          <w:p w14:paraId="23E9EB64"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94" w:type="dxa"/>
            <w:shd w:val="clear" w:color="auto" w:fill="auto"/>
            <w:noWrap/>
            <w:vAlign w:val="center"/>
            <w:hideMark/>
          </w:tcPr>
          <w:p w14:paraId="5FF8250E"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56" w:type="dxa"/>
            <w:shd w:val="clear" w:color="auto" w:fill="auto"/>
            <w:noWrap/>
            <w:vAlign w:val="center"/>
            <w:hideMark/>
          </w:tcPr>
          <w:p w14:paraId="4DB2801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94" w:type="dxa"/>
            <w:shd w:val="clear" w:color="auto" w:fill="auto"/>
            <w:noWrap/>
            <w:vAlign w:val="center"/>
            <w:hideMark/>
          </w:tcPr>
          <w:p w14:paraId="53E91C24"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56" w:type="dxa"/>
            <w:shd w:val="clear" w:color="auto" w:fill="auto"/>
            <w:noWrap/>
            <w:vAlign w:val="center"/>
            <w:hideMark/>
          </w:tcPr>
          <w:p w14:paraId="30E981D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c>
          <w:tcPr>
            <w:tcW w:w="694" w:type="dxa"/>
            <w:shd w:val="clear" w:color="auto" w:fill="auto"/>
            <w:noWrap/>
            <w:vAlign w:val="center"/>
            <w:hideMark/>
          </w:tcPr>
          <w:p w14:paraId="0927237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p>
        </w:tc>
      </w:tr>
      <w:tr w:rsidR="00103F2C" w:rsidRPr="00500DA6" w14:paraId="4E5692C5" w14:textId="77777777" w:rsidTr="00866433">
        <w:trPr>
          <w:trHeight w:val="292"/>
        </w:trPr>
        <w:tc>
          <w:tcPr>
            <w:tcW w:w="4027" w:type="dxa"/>
            <w:shd w:val="clear" w:color="auto" w:fill="auto"/>
            <w:noWrap/>
            <w:vAlign w:val="bottom"/>
            <w:hideMark/>
          </w:tcPr>
          <w:p w14:paraId="3B2CC83D" w14:textId="77777777" w:rsidR="00103F2C" w:rsidRPr="00500DA6" w:rsidRDefault="00103F2C" w:rsidP="00866433">
            <w:pPr>
              <w:suppressAutoHyphens w:val="0"/>
              <w:spacing w:before="60" w:after="60" w:line="276" w:lineRule="auto"/>
              <w:rPr>
                <w:rFonts w:ascii="Times New Roman" w:hAnsi="Times New Roman"/>
                <w:color w:val="000000"/>
                <w:lang w:val="en-US"/>
              </w:rPr>
            </w:pPr>
            <w:r w:rsidRPr="00500DA6">
              <w:rPr>
                <w:rFonts w:ascii="Times New Roman" w:hAnsi="Times New Roman"/>
                <w:color w:val="000000"/>
                <w:sz w:val="22"/>
                <w:lang w:val="en-US"/>
              </w:rPr>
              <w:t>Анекс I</w:t>
            </w:r>
            <w:r>
              <w:rPr>
                <w:rFonts w:ascii="Times New Roman" w:hAnsi="Times New Roman"/>
                <w:color w:val="000000"/>
                <w:sz w:val="22"/>
              </w:rPr>
              <w:t xml:space="preserve"> </w:t>
            </w:r>
            <w:r w:rsidRPr="00500DA6">
              <w:rPr>
                <w:rFonts w:ascii="Times New Roman" w:hAnsi="Times New Roman"/>
                <w:color w:val="000000"/>
                <w:sz w:val="22"/>
                <w:lang w:val="en-US"/>
              </w:rPr>
              <w:t>- нефтени замърсявания</w:t>
            </w:r>
          </w:p>
        </w:tc>
        <w:tc>
          <w:tcPr>
            <w:tcW w:w="720" w:type="dxa"/>
            <w:shd w:val="clear" w:color="auto" w:fill="auto"/>
            <w:noWrap/>
            <w:vAlign w:val="center"/>
            <w:hideMark/>
          </w:tcPr>
          <w:p w14:paraId="400A9477"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2604</w:t>
            </w:r>
          </w:p>
        </w:tc>
        <w:tc>
          <w:tcPr>
            <w:tcW w:w="656" w:type="dxa"/>
            <w:shd w:val="clear" w:color="auto" w:fill="auto"/>
            <w:noWrap/>
            <w:vAlign w:val="center"/>
            <w:hideMark/>
          </w:tcPr>
          <w:p w14:paraId="70EE7DEE"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2689</w:t>
            </w:r>
          </w:p>
        </w:tc>
        <w:tc>
          <w:tcPr>
            <w:tcW w:w="694" w:type="dxa"/>
            <w:shd w:val="clear" w:color="auto" w:fill="auto"/>
            <w:noWrap/>
            <w:vAlign w:val="center"/>
            <w:hideMark/>
          </w:tcPr>
          <w:p w14:paraId="08621876"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2776</w:t>
            </w:r>
          </w:p>
        </w:tc>
        <w:tc>
          <w:tcPr>
            <w:tcW w:w="656" w:type="dxa"/>
            <w:shd w:val="clear" w:color="auto" w:fill="auto"/>
            <w:noWrap/>
            <w:vAlign w:val="center"/>
            <w:hideMark/>
          </w:tcPr>
          <w:p w14:paraId="36512A3B"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2866</w:t>
            </w:r>
          </w:p>
        </w:tc>
        <w:tc>
          <w:tcPr>
            <w:tcW w:w="694" w:type="dxa"/>
            <w:shd w:val="clear" w:color="auto" w:fill="auto"/>
            <w:noWrap/>
            <w:vAlign w:val="center"/>
            <w:hideMark/>
          </w:tcPr>
          <w:p w14:paraId="62CDD83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3700</w:t>
            </w:r>
          </w:p>
        </w:tc>
        <w:tc>
          <w:tcPr>
            <w:tcW w:w="656" w:type="dxa"/>
            <w:shd w:val="clear" w:color="auto" w:fill="auto"/>
            <w:noWrap/>
            <w:vAlign w:val="center"/>
            <w:hideMark/>
          </w:tcPr>
          <w:p w14:paraId="0DECE4CB"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4510</w:t>
            </w:r>
          </w:p>
        </w:tc>
        <w:tc>
          <w:tcPr>
            <w:tcW w:w="694" w:type="dxa"/>
            <w:shd w:val="clear" w:color="auto" w:fill="auto"/>
            <w:noWrap/>
            <w:vAlign w:val="center"/>
            <w:hideMark/>
          </w:tcPr>
          <w:p w14:paraId="5411EA4E"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4786</w:t>
            </w:r>
          </w:p>
        </w:tc>
      </w:tr>
      <w:tr w:rsidR="00103F2C" w:rsidRPr="00500DA6" w14:paraId="028153AB" w14:textId="77777777" w:rsidTr="00866433">
        <w:trPr>
          <w:trHeight w:val="292"/>
        </w:trPr>
        <w:tc>
          <w:tcPr>
            <w:tcW w:w="4027" w:type="dxa"/>
            <w:shd w:val="clear" w:color="auto" w:fill="auto"/>
            <w:noWrap/>
            <w:vAlign w:val="bottom"/>
            <w:hideMark/>
          </w:tcPr>
          <w:p w14:paraId="6A4960A3" w14:textId="77777777" w:rsidR="00103F2C" w:rsidRPr="00500DA6" w:rsidRDefault="00103F2C" w:rsidP="00866433">
            <w:pPr>
              <w:suppressAutoHyphens w:val="0"/>
              <w:spacing w:before="60" w:after="60" w:line="276" w:lineRule="auto"/>
              <w:rPr>
                <w:rFonts w:ascii="Times New Roman" w:hAnsi="Times New Roman"/>
                <w:color w:val="000000"/>
                <w:lang w:val="en-US"/>
              </w:rPr>
            </w:pPr>
            <w:r w:rsidRPr="00500DA6">
              <w:rPr>
                <w:rFonts w:ascii="Times New Roman" w:hAnsi="Times New Roman"/>
                <w:color w:val="000000"/>
                <w:sz w:val="22"/>
                <w:lang w:val="en-US"/>
              </w:rPr>
              <w:t>Анекс IV</w:t>
            </w:r>
            <w:r>
              <w:rPr>
                <w:rFonts w:ascii="Times New Roman" w:hAnsi="Times New Roman"/>
                <w:color w:val="000000"/>
                <w:sz w:val="22"/>
              </w:rPr>
              <w:t xml:space="preserve"> </w:t>
            </w:r>
            <w:r w:rsidRPr="00500DA6">
              <w:rPr>
                <w:rFonts w:ascii="Times New Roman" w:hAnsi="Times New Roman"/>
                <w:color w:val="000000"/>
                <w:sz w:val="22"/>
                <w:lang w:val="en-US"/>
              </w:rPr>
              <w:t>- отпадъчни води</w:t>
            </w:r>
          </w:p>
        </w:tc>
        <w:tc>
          <w:tcPr>
            <w:tcW w:w="720" w:type="dxa"/>
            <w:shd w:val="clear" w:color="auto" w:fill="auto"/>
            <w:noWrap/>
            <w:vAlign w:val="center"/>
            <w:hideMark/>
          </w:tcPr>
          <w:p w14:paraId="1C0D3B96"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175</w:t>
            </w:r>
          </w:p>
        </w:tc>
        <w:tc>
          <w:tcPr>
            <w:tcW w:w="656" w:type="dxa"/>
            <w:shd w:val="clear" w:color="auto" w:fill="auto"/>
            <w:noWrap/>
            <w:vAlign w:val="center"/>
            <w:hideMark/>
          </w:tcPr>
          <w:p w14:paraId="42B3B253"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181</w:t>
            </w:r>
          </w:p>
        </w:tc>
        <w:tc>
          <w:tcPr>
            <w:tcW w:w="694" w:type="dxa"/>
            <w:shd w:val="clear" w:color="auto" w:fill="auto"/>
            <w:noWrap/>
            <w:vAlign w:val="center"/>
            <w:hideMark/>
          </w:tcPr>
          <w:p w14:paraId="02CCE2E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187</w:t>
            </w:r>
          </w:p>
        </w:tc>
        <w:tc>
          <w:tcPr>
            <w:tcW w:w="656" w:type="dxa"/>
            <w:shd w:val="clear" w:color="auto" w:fill="auto"/>
            <w:noWrap/>
            <w:vAlign w:val="center"/>
            <w:hideMark/>
          </w:tcPr>
          <w:p w14:paraId="0929C66F"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193</w:t>
            </w:r>
          </w:p>
        </w:tc>
        <w:tc>
          <w:tcPr>
            <w:tcW w:w="694" w:type="dxa"/>
            <w:shd w:val="clear" w:color="auto" w:fill="auto"/>
            <w:noWrap/>
            <w:vAlign w:val="center"/>
            <w:hideMark/>
          </w:tcPr>
          <w:p w14:paraId="22AE563D"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249</w:t>
            </w:r>
          </w:p>
        </w:tc>
        <w:tc>
          <w:tcPr>
            <w:tcW w:w="656" w:type="dxa"/>
            <w:shd w:val="clear" w:color="auto" w:fill="auto"/>
            <w:noWrap/>
            <w:vAlign w:val="center"/>
            <w:hideMark/>
          </w:tcPr>
          <w:p w14:paraId="152F1854"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304</w:t>
            </w:r>
          </w:p>
        </w:tc>
        <w:tc>
          <w:tcPr>
            <w:tcW w:w="694" w:type="dxa"/>
            <w:shd w:val="clear" w:color="auto" w:fill="auto"/>
            <w:noWrap/>
            <w:vAlign w:val="center"/>
            <w:hideMark/>
          </w:tcPr>
          <w:p w14:paraId="4AC4FF42"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322</w:t>
            </w:r>
          </w:p>
        </w:tc>
      </w:tr>
      <w:tr w:rsidR="00103F2C" w:rsidRPr="00500DA6" w14:paraId="400701D0" w14:textId="77777777" w:rsidTr="00866433">
        <w:trPr>
          <w:trHeight w:val="300"/>
        </w:trPr>
        <w:tc>
          <w:tcPr>
            <w:tcW w:w="4027" w:type="dxa"/>
            <w:shd w:val="clear" w:color="auto" w:fill="auto"/>
            <w:noWrap/>
            <w:vAlign w:val="bottom"/>
            <w:hideMark/>
          </w:tcPr>
          <w:p w14:paraId="36738A42" w14:textId="77777777" w:rsidR="00103F2C" w:rsidRPr="00500DA6" w:rsidRDefault="00103F2C" w:rsidP="00866433">
            <w:pPr>
              <w:suppressAutoHyphens w:val="0"/>
              <w:spacing w:before="60" w:after="60" w:line="276" w:lineRule="auto"/>
              <w:rPr>
                <w:rFonts w:ascii="Times New Roman" w:hAnsi="Times New Roman"/>
                <w:color w:val="000000"/>
                <w:lang w:val="en-US"/>
              </w:rPr>
            </w:pPr>
            <w:r w:rsidRPr="00500DA6">
              <w:rPr>
                <w:rFonts w:ascii="Times New Roman" w:hAnsi="Times New Roman"/>
                <w:color w:val="000000"/>
                <w:sz w:val="22"/>
                <w:lang w:val="en-US"/>
              </w:rPr>
              <w:t>Анекс V</w:t>
            </w:r>
            <w:r>
              <w:rPr>
                <w:rFonts w:ascii="Times New Roman" w:hAnsi="Times New Roman"/>
                <w:color w:val="000000"/>
                <w:sz w:val="22"/>
              </w:rPr>
              <w:t xml:space="preserve"> </w:t>
            </w:r>
            <w:r w:rsidRPr="00500DA6">
              <w:rPr>
                <w:rFonts w:ascii="Times New Roman" w:hAnsi="Times New Roman"/>
                <w:color w:val="000000"/>
                <w:sz w:val="22"/>
                <w:lang w:val="en-US"/>
              </w:rPr>
              <w:t>- битови отпадъци</w:t>
            </w:r>
          </w:p>
        </w:tc>
        <w:tc>
          <w:tcPr>
            <w:tcW w:w="720" w:type="dxa"/>
            <w:shd w:val="clear" w:color="auto" w:fill="auto"/>
            <w:noWrap/>
            <w:vAlign w:val="center"/>
            <w:hideMark/>
          </w:tcPr>
          <w:p w14:paraId="098BD63B"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933</w:t>
            </w:r>
          </w:p>
        </w:tc>
        <w:tc>
          <w:tcPr>
            <w:tcW w:w="656" w:type="dxa"/>
            <w:shd w:val="clear" w:color="auto" w:fill="auto"/>
            <w:noWrap/>
            <w:vAlign w:val="center"/>
            <w:hideMark/>
          </w:tcPr>
          <w:p w14:paraId="54A64E27"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963</w:t>
            </w:r>
          </w:p>
        </w:tc>
        <w:tc>
          <w:tcPr>
            <w:tcW w:w="694" w:type="dxa"/>
            <w:shd w:val="clear" w:color="auto" w:fill="auto"/>
            <w:noWrap/>
            <w:vAlign w:val="center"/>
            <w:hideMark/>
          </w:tcPr>
          <w:p w14:paraId="0B111B44"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994</w:t>
            </w:r>
          </w:p>
        </w:tc>
        <w:tc>
          <w:tcPr>
            <w:tcW w:w="656" w:type="dxa"/>
            <w:shd w:val="clear" w:color="auto" w:fill="auto"/>
            <w:noWrap/>
            <w:vAlign w:val="center"/>
            <w:hideMark/>
          </w:tcPr>
          <w:p w14:paraId="2A4FC52A"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1026</w:t>
            </w:r>
          </w:p>
        </w:tc>
        <w:tc>
          <w:tcPr>
            <w:tcW w:w="694" w:type="dxa"/>
            <w:shd w:val="clear" w:color="auto" w:fill="auto"/>
            <w:noWrap/>
            <w:vAlign w:val="center"/>
            <w:hideMark/>
          </w:tcPr>
          <w:p w14:paraId="514B9E58"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1325</w:t>
            </w:r>
          </w:p>
        </w:tc>
        <w:tc>
          <w:tcPr>
            <w:tcW w:w="656" w:type="dxa"/>
            <w:shd w:val="clear" w:color="auto" w:fill="auto"/>
            <w:noWrap/>
            <w:vAlign w:val="center"/>
            <w:hideMark/>
          </w:tcPr>
          <w:p w14:paraId="5D0677C0"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1615</w:t>
            </w:r>
          </w:p>
        </w:tc>
        <w:tc>
          <w:tcPr>
            <w:tcW w:w="694" w:type="dxa"/>
            <w:shd w:val="clear" w:color="auto" w:fill="auto"/>
            <w:noWrap/>
            <w:vAlign w:val="center"/>
            <w:hideMark/>
          </w:tcPr>
          <w:p w14:paraId="5C2CDC29" w14:textId="77777777" w:rsidR="00103F2C" w:rsidRPr="00500DA6" w:rsidRDefault="00103F2C" w:rsidP="00866433">
            <w:pPr>
              <w:suppressAutoHyphens w:val="0"/>
              <w:spacing w:before="60" w:after="60" w:line="276" w:lineRule="auto"/>
              <w:jc w:val="center"/>
              <w:rPr>
                <w:rFonts w:ascii="Times New Roman" w:hAnsi="Times New Roman"/>
                <w:color w:val="000000"/>
                <w:lang w:val="en-US"/>
              </w:rPr>
            </w:pPr>
            <w:r w:rsidRPr="00500DA6">
              <w:rPr>
                <w:rFonts w:ascii="Times New Roman" w:hAnsi="Times New Roman"/>
                <w:color w:val="000000"/>
                <w:sz w:val="22"/>
                <w:lang w:val="en-US"/>
              </w:rPr>
              <w:t>1714</w:t>
            </w:r>
          </w:p>
        </w:tc>
      </w:tr>
    </w:tbl>
    <w:p w14:paraId="67DD5822" w14:textId="77777777" w:rsidR="00103F2C" w:rsidRPr="00500DA6" w:rsidRDefault="00103F2C" w:rsidP="00103F2C">
      <w:pPr>
        <w:spacing w:after="240"/>
        <w:ind w:left="-360"/>
        <w:rPr>
          <w:rFonts w:ascii="Times New Roman" w:hAnsi="Times New Roman"/>
          <w:i/>
          <w:noProof/>
          <w:sz w:val="20"/>
          <w:szCs w:val="20"/>
        </w:rPr>
      </w:pPr>
      <w:r w:rsidRPr="00500DA6">
        <w:rPr>
          <w:rFonts w:ascii="Times New Roman" w:hAnsi="Times New Roman"/>
          <w:i/>
          <w:noProof/>
          <w:sz w:val="20"/>
          <w:szCs w:val="20"/>
        </w:rPr>
        <w:t xml:space="preserve">       Източник: Собствени изчисления на консултанта </w:t>
      </w:r>
    </w:p>
    <w:p w14:paraId="318B0CCF" w14:textId="77777777" w:rsidR="00103F2C" w:rsidRDefault="00103F2C" w:rsidP="00103F2C">
      <w:pPr>
        <w:pStyle w:val="MoIBody"/>
        <w:rPr>
          <w:noProof/>
        </w:rPr>
      </w:pPr>
    </w:p>
    <w:p w14:paraId="3E772FB9" w14:textId="77777777" w:rsidR="00103F2C" w:rsidRPr="00E24E2A" w:rsidRDefault="00103F2C" w:rsidP="00103F2C">
      <w:pPr>
        <w:pStyle w:val="MoIBody"/>
        <w:rPr>
          <w:noProof/>
        </w:rPr>
      </w:pPr>
      <w:r>
        <w:rPr>
          <w:noProof/>
        </w:rPr>
        <w:t>Тези стойности са използвани в прогнозата за приходите и разходите, като част от приходите и разходите за ДППИ, във връзка с таксите за приемане и обработване на отпадъци, резултат от корабоплавателната дейност за пристанище Бургас.</w:t>
      </w:r>
    </w:p>
    <w:p w14:paraId="7D6EB3D4" w14:textId="77777777" w:rsidR="00103F2C" w:rsidRDefault="00103F2C" w:rsidP="00103F2C">
      <w:pPr>
        <w:pStyle w:val="MoIBody"/>
        <w:rPr>
          <w:lang w:val="en-US"/>
        </w:rPr>
      </w:pPr>
    </w:p>
    <w:p w14:paraId="1AF5D43D" w14:textId="77777777" w:rsidR="00103F2C" w:rsidRPr="00B83E40" w:rsidRDefault="00103F2C" w:rsidP="00103F2C">
      <w:pPr>
        <w:pStyle w:val="MoIBody"/>
        <w:rPr>
          <w:b/>
          <w:noProof/>
          <w:u w:val="single"/>
        </w:rPr>
      </w:pPr>
      <w:r w:rsidRPr="00B83E40">
        <w:rPr>
          <w:b/>
          <w:noProof/>
          <w:u w:val="single"/>
        </w:rPr>
        <w:t>Пристанище Варна</w:t>
      </w:r>
    </w:p>
    <w:p w14:paraId="63DBE453" w14:textId="77777777" w:rsidR="00103F2C" w:rsidRDefault="00103F2C" w:rsidP="00103F2C">
      <w:pPr>
        <w:pStyle w:val="MoIBody"/>
        <w:rPr>
          <w:noProof/>
        </w:rPr>
      </w:pPr>
      <w:r w:rsidRPr="00B83E40">
        <w:rPr>
          <w:noProof/>
        </w:rPr>
        <w:t>По обобщени и усреднени</w:t>
      </w:r>
      <w:r>
        <w:rPr>
          <w:noProof/>
        </w:rPr>
        <w:t xml:space="preserve"> данни за последните три години</w:t>
      </w:r>
      <w:r w:rsidRPr="00B83E40">
        <w:rPr>
          <w:noProof/>
        </w:rPr>
        <w:t xml:space="preserve"> пристанище Варна се посещава от </w:t>
      </w:r>
      <w:r w:rsidRPr="00B8464F">
        <w:rPr>
          <w:noProof/>
        </w:rPr>
        <w:t>1539</w:t>
      </w:r>
      <w:r w:rsidRPr="00B83E40">
        <w:rPr>
          <w:noProof/>
        </w:rPr>
        <w:t xml:space="preserve"> кораба средно годишно. Наличните данни са за последните три години и не дават информация за изразен тренд, затова са използвани данните за ръста на товарите в пристанището при допуканията за прогнозата.</w:t>
      </w:r>
    </w:p>
    <w:p w14:paraId="05D33EE4" w14:textId="77777777" w:rsidR="00103F2C" w:rsidRPr="00B83E40" w:rsidRDefault="00103F2C" w:rsidP="00103F2C">
      <w:pPr>
        <w:pStyle w:val="MoIBody"/>
        <w:rPr>
          <w:noProof/>
        </w:rPr>
      </w:pPr>
    </w:p>
    <w:p w14:paraId="1420522D" w14:textId="77777777" w:rsidR="00103F2C" w:rsidRPr="00B83E40" w:rsidRDefault="00103F2C" w:rsidP="00103F2C">
      <w:pPr>
        <w:suppressAutoHyphens w:val="0"/>
        <w:spacing w:before="240" w:after="0" w:line="360" w:lineRule="auto"/>
        <w:rPr>
          <w:rFonts w:ascii="Times New Roman" w:hAnsi="Times New Roman"/>
          <w:b/>
          <w:bCs/>
          <w:smallCaps/>
          <w:color w:val="4F81BD"/>
          <w:sz w:val="22"/>
        </w:rPr>
      </w:pPr>
      <w:r w:rsidRPr="00B83E40">
        <w:rPr>
          <w:rFonts w:ascii="Times New Roman" w:hAnsi="Times New Roman"/>
          <w:b/>
          <w:bCs/>
          <w:smallCaps/>
          <w:color w:val="4F81BD"/>
          <w:sz w:val="22"/>
        </w:rPr>
        <w:t xml:space="preserve">Таблица </w:t>
      </w:r>
      <w:r w:rsidRPr="00B83E40">
        <w:rPr>
          <w:rFonts w:ascii="Times New Roman" w:hAnsi="Times New Roman"/>
          <w:b/>
          <w:bCs/>
          <w:smallCaps/>
          <w:color w:val="4F81BD"/>
          <w:sz w:val="22"/>
        </w:rPr>
        <w:fldChar w:fldCharType="begin"/>
      </w:r>
      <w:r w:rsidRPr="00B83E40">
        <w:rPr>
          <w:rFonts w:ascii="Times New Roman" w:hAnsi="Times New Roman"/>
          <w:b/>
          <w:bCs/>
          <w:smallCaps/>
          <w:color w:val="4F81BD"/>
          <w:sz w:val="22"/>
        </w:rPr>
        <w:instrText xml:space="preserve"> STYLEREF 1 \s </w:instrText>
      </w:r>
      <w:r w:rsidRPr="00B83E40">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B83E40">
        <w:rPr>
          <w:rFonts w:ascii="Times New Roman" w:hAnsi="Times New Roman"/>
          <w:b/>
          <w:bCs/>
          <w:smallCaps/>
          <w:color w:val="4F81BD"/>
          <w:sz w:val="22"/>
        </w:rPr>
        <w:fldChar w:fldCharType="end"/>
      </w:r>
      <w:r w:rsidRPr="00B83E40">
        <w:rPr>
          <w:rFonts w:ascii="Times New Roman" w:hAnsi="Times New Roman"/>
          <w:b/>
          <w:bCs/>
          <w:smallCaps/>
          <w:color w:val="4F81BD"/>
          <w:sz w:val="22"/>
        </w:rPr>
        <w:noBreakHyphen/>
      </w:r>
      <w:r>
        <w:rPr>
          <w:rFonts w:ascii="Times New Roman" w:hAnsi="Times New Roman"/>
          <w:b/>
          <w:bCs/>
          <w:smallCaps/>
          <w:color w:val="4F81BD"/>
          <w:sz w:val="22"/>
        </w:rPr>
        <w:t>1</w:t>
      </w:r>
      <w:r>
        <w:rPr>
          <w:rFonts w:ascii="Times New Roman" w:hAnsi="Times New Roman"/>
          <w:b/>
          <w:bCs/>
          <w:smallCaps/>
          <w:color w:val="4F81BD"/>
          <w:sz w:val="22"/>
          <w:lang w:val="en-US"/>
        </w:rPr>
        <w:t>3</w:t>
      </w:r>
      <w:r w:rsidRPr="00B83E40">
        <w:rPr>
          <w:rFonts w:ascii="Times New Roman" w:hAnsi="Times New Roman"/>
          <w:b/>
          <w:bCs/>
          <w:smallCaps/>
          <w:color w:val="4F81BD"/>
          <w:sz w:val="22"/>
        </w:rPr>
        <w:t>: Исторически данни за количествата и видове отпадъци в пристанище Варна</w:t>
      </w:r>
    </w:p>
    <w:tbl>
      <w:tblPr>
        <w:tblW w:w="6746" w:type="dxa"/>
        <w:tblInd w:w="108" w:type="dxa"/>
        <w:tblLook w:val="04A0" w:firstRow="1" w:lastRow="0" w:firstColumn="1" w:lastColumn="0" w:noHBand="0" w:noVBand="1"/>
      </w:tblPr>
      <w:tblGrid>
        <w:gridCol w:w="3686"/>
        <w:gridCol w:w="1020"/>
        <w:gridCol w:w="1020"/>
        <w:gridCol w:w="1020"/>
      </w:tblGrid>
      <w:tr w:rsidR="00103F2C" w:rsidRPr="00B83E40" w14:paraId="535AD9DB" w14:textId="77777777" w:rsidTr="00866433">
        <w:trPr>
          <w:trHeight w:val="292"/>
        </w:trPr>
        <w:tc>
          <w:tcPr>
            <w:tcW w:w="3686" w:type="dxa"/>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bottom"/>
            <w:hideMark/>
          </w:tcPr>
          <w:p w14:paraId="36FD354E" w14:textId="77777777" w:rsidR="00103F2C" w:rsidRPr="00B83E40" w:rsidRDefault="00103F2C" w:rsidP="00866433">
            <w:pPr>
              <w:suppressAutoHyphens w:val="0"/>
              <w:spacing w:line="276" w:lineRule="auto"/>
              <w:rPr>
                <w:rFonts w:ascii="Times New Roman" w:hAnsi="Times New Roman"/>
                <w:b/>
                <w:bCs/>
              </w:rPr>
            </w:pPr>
            <w:r w:rsidRPr="00B83E40">
              <w:rPr>
                <w:rFonts w:ascii="Times New Roman" w:hAnsi="Times New Roman"/>
                <w:b/>
                <w:bCs/>
                <w:sz w:val="22"/>
                <w:lang w:val="en-US"/>
              </w:rPr>
              <w:lastRenderedPageBreak/>
              <w:t>Количества отпадъци по видове</w:t>
            </w:r>
            <w:r w:rsidRPr="00B83E40">
              <w:rPr>
                <w:rFonts w:ascii="Times New Roman" w:hAnsi="Times New Roman"/>
                <w:b/>
                <w:bCs/>
                <w:sz w:val="22"/>
              </w:rPr>
              <w:t>- Варна в м³</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2AF2CA94" w14:textId="77777777" w:rsidR="00103F2C" w:rsidRPr="00B83E40" w:rsidRDefault="00103F2C" w:rsidP="00866433">
            <w:pPr>
              <w:suppressAutoHyphens w:val="0"/>
              <w:spacing w:line="276" w:lineRule="auto"/>
              <w:jc w:val="center"/>
              <w:rPr>
                <w:rFonts w:ascii="Times New Roman" w:hAnsi="Times New Roman"/>
                <w:b/>
                <w:bCs/>
                <w:lang w:val="en-US"/>
              </w:rPr>
            </w:pPr>
            <w:r w:rsidRPr="00B83E40">
              <w:rPr>
                <w:rFonts w:ascii="Times New Roman" w:hAnsi="Times New Roman"/>
                <w:b/>
                <w:bCs/>
                <w:sz w:val="22"/>
                <w:lang w:val="en-US"/>
              </w:rPr>
              <w:t>2016</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3F52500E" w14:textId="77777777" w:rsidR="00103F2C" w:rsidRPr="00B83E40" w:rsidRDefault="00103F2C" w:rsidP="00866433">
            <w:pPr>
              <w:suppressAutoHyphens w:val="0"/>
              <w:spacing w:line="276" w:lineRule="auto"/>
              <w:jc w:val="center"/>
              <w:rPr>
                <w:rFonts w:ascii="Times New Roman" w:hAnsi="Times New Roman"/>
                <w:b/>
              </w:rPr>
            </w:pPr>
            <w:r w:rsidRPr="00B83E40">
              <w:rPr>
                <w:rFonts w:ascii="Times New Roman" w:hAnsi="Times New Roman"/>
                <w:b/>
                <w:sz w:val="22"/>
              </w:rPr>
              <w:t>2017</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53D5FD14" w14:textId="77777777" w:rsidR="00103F2C" w:rsidRPr="00B83E40" w:rsidRDefault="00103F2C" w:rsidP="00866433">
            <w:pPr>
              <w:suppressAutoHyphens w:val="0"/>
              <w:spacing w:line="276" w:lineRule="auto"/>
              <w:jc w:val="center"/>
              <w:rPr>
                <w:rFonts w:ascii="Times New Roman" w:hAnsi="Times New Roman"/>
                <w:b/>
              </w:rPr>
            </w:pPr>
            <w:r w:rsidRPr="00B83E40">
              <w:rPr>
                <w:rFonts w:ascii="Times New Roman" w:hAnsi="Times New Roman"/>
                <w:b/>
                <w:sz w:val="22"/>
              </w:rPr>
              <w:t>2018</w:t>
            </w:r>
          </w:p>
        </w:tc>
      </w:tr>
      <w:tr w:rsidR="00103F2C" w:rsidRPr="00B83E40" w14:paraId="1EE85558" w14:textId="77777777" w:rsidTr="00866433">
        <w:trPr>
          <w:trHeight w:val="292"/>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F648E7C" w14:textId="77777777" w:rsidR="00103F2C" w:rsidRPr="00B83E40" w:rsidRDefault="00103F2C" w:rsidP="00866433">
            <w:pPr>
              <w:suppressAutoHyphens w:val="0"/>
              <w:spacing w:line="276" w:lineRule="auto"/>
              <w:rPr>
                <w:rFonts w:ascii="Times New Roman" w:hAnsi="Times New Roman"/>
                <w:lang w:val="en-US"/>
              </w:rPr>
            </w:pPr>
            <w:r w:rsidRPr="00B83E40">
              <w:rPr>
                <w:rFonts w:ascii="Times New Roman" w:hAnsi="Times New Roman"/>
                <w:sz w:val="22"/>
                <w:lang w:val="en-US"/>
              </w:rPr>
              <w:t>Анекс I</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B026A"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7496,61</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34586E68"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6927,38</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3F9053B6"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6228,26</w:t>
            </w:r>
          </w:p>
        </w:tc>
      </w:tr>
      <w:tr w:rsidR="00103F2C" w:rsidRPr="00B83E40" w14:paraId="4AB9BFDB" w14:textId="77777777" w:rsidTr="00866433">
        <w:trPr>
          <w:trHeight w:val="292"/>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21EDDD8" w14:textId="77777777" w:rsidR="00103F2C" w:rsidRPr="00B83E40" w:rsidRDefault="00103F2C" w:rsidP="00866433">
            <w:pPr>
              <w:suppressAutoHyphens w:val="0"/>
              <w:spacing w:line="276" w:lineRule="auto"/>
              <w:rPr>
                <w:rFonts w:ascii="Times New Roman" w:hAnsi="Times New Roman"/>
                <w:lang w:val="en-US"/>
              </w:rPr>
            </w:pPr>
            <w:r w:rsidRPr="00B83E40">
              <w:rPr>
                <w:rFonts w:ascii="Times New Roman" w:hAnsi="Times New Roman"/>
                <w:sz w:val="22"/>
                <w:lang w:val="en-US"/>
              </w:rPr>
              <w:t>Анекс IV</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05318F40"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24,00</w:t>
            </w:r>
          </w:p>
        </w:tc>
        <w:tc>
          <w:tcPr>
            <w:tcW w:w="1020" w:type="dxa"/>
            <w:tcBorders>
              <w:top w:val="nil"/>
              <w:left w:val="nil"/>
              <w:bottom w:val="single" w:sz="4" w:space="0" w:color="auto"/>
              <w:right w:val="single" w:sz="4" w:space="0" w:color="auto"/>
            </w:tcBorders>
            <w:shd w:val="clear" w:color="auto" w:fill="auto"/>
            <w:noWrap/>
            <w:vAlign w:val="bottom"/>
            <w:hideMark/>
          </w:tcPr>
          <w:p w14:paraId="59512D51"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232,03</w:t>
            </w:r>
          </w:p>
        </w:tc>
        <w:tc>
          <w:tcPr>
            <w:tcW w:w="1020" w:type="dxa"/>
            <w:tcBorders>
              <w:top w:val="nil"/>
              <w:left w:val="nil"/>
              <w:bottom w:val="single" w:sz="4" w:space="0" w:color="auto"/>
              <w:right w:val="single" w:sz="4" w:space="0" w:color="auto"/>
            </w:tcBorders>
            <w:shd w:val="clear" w:color="auto" w:fill="auto"/>
            <w:noWrap/>
            <w:vAlign w:val="bottom"/>
            <w:hideMark/>
          </w:tcPr>
          <w:p w14:paraId="1A445691"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237,47</w:t>
            </w:r>
          </w:p>
        </w:tc>
      </w:tr>
      <w:tr w:rsidR="00103F2C" w:rsidRPr="00B83E40" w14:paraId="303DB5A8" w14:textId="77777777" w:rsidTr="00866433">
        <w:trPr>
          <w:trHeight w:val="292"/>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530223D4" w14:textId="77777777" w:rsidR="00103F2C" w:rsidRPr="00B83E40" w:rsidRDefault="00103F2C" w:rsidP="00866433">
            <w:pPr>
              <w:suppressAutoHyphens w:val="0"/>
              <w:spacing w:line="276" w:lineRule="auto"/>
              <w:rPr>
                <w:rFonts w:ascii="Times New Roman" w:hAnsi="Times New Roman"/>
                <w:lang w:val="en-US"/>
              </w:rPr>
            </w:pPr>
            <w:r w:rsidRPr="00B83E40">
              <w:rPr>
                <w:rFonts w:ascii="Times New Roman" w:hAnsi="Times New Roman"/>
                <w:sz w:val="22"/>
                <w:lang w:val="en-US"/>
              </w:rPr>
              <w:t>Анекс V</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14254BBE"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1340,59</w:t>
            </w:r>
          </w:p>
        </w:tc>
        <w:tc>
          <w:tcPr>
            <w:tcW w:w="1020" w:type="dxa"/>
            <w:tcBorders>
              <w:top w:val="nil"/>
              <w:left w:val="nil"/>
              <w:bottom w:val="single" w:sz="4" w:space="0" w:color="auto"/>
              <w:right w:val="single" w:sz="4" w:space="0" w:color="auto"/>
            </w:tcBorders>
            <w:shd w:val="clear" w:color="auto" w:fill="auto"/>
            <w:noWrap/>
            <w:vAlign w:val="bottom"/>
            <w:hideMark/>
          </w:tcPr>
          <w:p w14:paraId="75D775B0"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1330,60</w:t>
            </w:r>
          </w:p>
        </w:tc>
        <w:tc>
          <w:tcPr>
            <w:tcW w:w="1020" w:type="dxa"/>
            <w:tcBorders>
              <w:top w:val="nil"/>
              <w:left w:val="nil"/>
              <w:bottom w:val="single" w:sz="4" w:space="0" w:color="auto"/>
              <w:right w:val="single" w:sz="4" w:space="0" w:color="auto"/>
            </w:tcBorders>
            <w:shd w:val="clear" w:color="auto" w:fill="auto"/>
            <w:noWrap/>
            <w:vAlign w:val="bottom"/>
            <w:hideMark/>
          </w:tcPr>
          <w:p w14:paraId="65CACD95" w14:textId="77777777" w:rsidR="00103F2C" w:rsidRPr="00B8464F" w:rsidRDefault="00103F2C" w:rsidP="00866433">
            <w:pPr>
              <w:suppressAutoHyphens w:val="0"/>
              <w:spacing w:line="276" w:lineRule="auto"/>
              <w:jc w:val="center"/>
              <w:rPr>
                <w:rFonts w:ascii="Times New Roman" w:hAnsi="Times New Roman"/>
                <w:highlight w:val="yellow"/>
                <w:lang w:val="en-US"/>
              </w:rPr>
            </w:pPr>
            <w:r w:rsidRPr="00B8464F">
              <w:rPr>
                <w:rFonts w:ascii="Times New Roman" w:hAnsi="Times New Roman"/>
                <w:color w:val="000000"/>
                <w:sz w:val="22"/>
              </w:rPr>
              <w:t>1194,84</w:t>
            </w:r>
          </w:p>
        </w:tc>
      </w:tr>
    </w:tbl>
    <w:p w14:paraId="4A6EB06B" w14:textId="77777777" w:rsidR="00103F2C" w:rsidRPr="00B83E40" w:rsidRDefault="00103F2C" w:rsidP="00103F2C">
      <w:pPr>
        <w:spacing w:after="240"/>
        <w:rPr>
          <w:rFonts w:ascii="Times New Roman" w:hAnsi="Times New Roman"/>
          <w:i/>
          <w:noProof/>
          <w:sz w:val="20"/>
          <w:szCs w:val="20"/>
        </w:rPr>
      </w:pPr>
      <w:r w:rsidRPr="00B83E40">
        <w:rPr>
          <w:rFonts w:ascii="Times New Roman" w:hAnsi="Times New Roman"/>
          <w:i/>
          <w:noProof/>
          <w:sz w:val="20"/>
          <w:szCs w:val="20"/>
        </w:rPr>
        <w:t xml:space="preserve">Източник: Предварителни данни, предоставени от пристанището </w:t>
      </w:r>
    </w:p>
    <w:p w14:paraId="1372D02A" w14:textId="77777777" w:rsidR="00103F2C" w:rsidRDefault="00103F2C" w:rsidP="00103F2C">
      <w:pPr>
        <w:pStyle w:val="MoIBody"/>
        <w:rPr>
          <w:noProof/>
        </w:rPr>
      </w:pPr>
    </w:p>
    <w:p w14:paraId="36A8A630" w14:textId="77777777" w:rsidR="00103F2C" w:rsidRDefault="00103F2C" w:rsidP="00103F2C">
      <w:pPr>
        <w:pStyle w:val="MoIBody"/>
        <w:rPr>
          <w:noProof/>
        </w:rPr>
      </w:pPr>
      <w:r w:rsidRPr="00E24E2A">
        <w:rPr>
          <w:noProof/>
        </w:rPr>
        <w:t>За определяне на средногодишния брой кораби са взети данните за последните три години</w:t>
      </w:r>
      <w:r>
        <w:rPr>
          <w:noProof/>
        </w:rPr>
        <w:t>:</w:t>
      </w:r>
    </w:p>
    <w:p w14:paraId="7EFC4B7C" w14:textId="77777777" w:rsidR="00103F2C" w:rsidRDefault="00103F2C" w:rsidP="00103F2C">
      <w:pPr>
        <w:pStyle w:val="MoIBody"/>
        <w:rPr>
          <w:noProof/>
        </w:rPr>
      </w:pPr>
    </w:p>
    <w:p w14:paraId="2FE8E243" w14:textId="77777777" w:rsidR="00103F2C" w:rsidRPr="00B83E40" w:rsidRDefault="00103F2C" w:rsidP="00103F2C">
      <w:pPr>
        <w:suppressAutoHyphens w:val="0"/>
        <w:spacing w:before="240" w:after="0" w:line="360" w:lineRule="auto"/>
        <w:rPr>
          <w:rFonts w:ascii="Times New Roman" w:hAnsi="Times New Roman"/>
          <w:b/>
          <w:bCs/>
          <w:smallCaps/>
          <w:color w:val="4F81BD"/>
          <w:sz w:val="22"/>
        </w:rPr>
      </w:pPr>
      <w:r w:rsidRPr="00B83E40">
        <w:rPr>
          <w:rFonts w:ascii="Times New Roman" w:hAnsi="Times New Roman"/>
          <w:b/>
          <w:bCs/>
          <w:smallCaps/>
          <w:color w:val="4F81BD"/>
          <w:sz w:val="22"/>
        </w:rPr>
        <w:t xml:space="preserve">Таблица </w:t>
      </w:r>
      <w:r w:rsidRPr="00B83E40">
        <w:rPr>
          <w:rFonts w:ascii="Times New Roman" w:hAnsi="Times New Roman"/>
          <w:b/>
          <w:bCs/>
          <w:smallCaps/>
          <w:color w:val="4F81BD"/>
          <w:sz w:val="22"/>
        </w:rPr>
        <w:fldChar w:fldCharType="begin"/>
      </w:r>
      <w:r w:rsidRPr="00B83E40">
        <w:rPr>
          <w:rFonts w:ascii="Times New Roman" w:hAnsi="Times New Roman"/>
          <w:b/>
          <w:bCs/>
          <w:smallCaps/>
          <w:color w:val="4F81BD"/>
          <w:sz w:val="22"/>
        </w:rPr>
        <w:instrText xml:space="preserve"> STYLEREF 1 \s </w:instrText>
      </w:r>
      <w:r w:rsidRPr="00B83E40">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B83E40">
        <w:rPr>
          <w:rFonts w:ascii="Times New Roman" w:hAnsi="Times New Roman"/>
          <w:b/>
          <w:bCs/>
          <w:smallCaps/>
          <w:color w:val="4F81BD"/>
          <w:sz w:val="22"/>
        </w:rPr>
        <w:fldChar w:fldCharType="end"/>
      </w:r>
      <w:r w:rsidRPr="00B83E40">
        <w:rPr>
          <w:rFonts w:ascii="Times New Roman" w:hAnsi="Times New Roman"/>
          <w:b/>
          <w:bCs/>
          <w:smallCaps/>
          <w:color w:val="4F81BD"/>
          <w:sz w:val="22"/>
        </w:rPr>
        <w:noBreakHyphen/>
      </w:r>
      <w:r>
        <w:rPr>
          <w:rFonts w:ascii="Times New Roman" w:hAnsi="Times New Roman"/>
          <w:b/>
          <w:bCs/>
          <w:smallCaps/>
          <w:color w:val="4F81BD"/>
          <w:sz w:val="22"/>
        </w:rPr>
        <w:t>1</w:t>
      </w:r>
      <w:r>
        <w:rPr>
          <w:rFonts w:ascii="Times New Roman" w:hAnsi="Times New Roman"/>
          <w:b/>
          <w:bCs/>
          <w:smallCaps/>
          <w:color w:val="4F81BD"/>
          <w:sz w:val="22"/>
          <w:lang w:val="en-US"/>
        </w:rPr>
        <w:t>4</w:t>
      </w:r>
      <w:r w:rsidRPr="00B83E40">
        <w:rPr>
          <w:rFonts w:ascii="Times New Roman" w:hAnsi="Times New Roman"/>
          <w:b/>
          <w:bCs/>
          <w:smallCaps/>
          <w:color w:val="4F81BD"/>
          <w:sz w:val="22"/>
        </w:rPr>
        <w:t>: Исторически данни за броя кораби, посетили пристанище Варна</w:t>
      </w:r>
    </w:p>
    <w:tbl>
      <w:tblPr>
        <w:tblW w:w="4253" w:type="dxa"/>
        <w:tblInd w:w="108" w:type="dxa"/>
        <w:shd w:val="clear" w:color="auto" w:fill="FFFFFF" w:themeFill="background1"/>
        <w:tblLook w:val="04A0" w:firstRow="1" w:lastRow="0" w:firstColumn="1" w:lastColumn="0" w:noHBand="0" w:noVBand="1"/>
      </w:tblPr>
      <w:tblGrid>
        <w:gridCol w:w="1531"/>
        <w:gridCol w:w="2722"/>
      </w:tblGrid>
      <w:tr w:rsidR="00103F2C" w:rsidRPr="00B83E40" w14:paraId="6196CA8C" w14:textId="77777777" w:rsidTr="00866433">
        <w:trPr>
          <w:trHeight w:val="292"/>
        </w:trPr>
        <w:tc>
          <w:tcPr>
            <w:tcW w:w="1531"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tcPr>
          <w:p w14:paraId="143CF4E4" w14:textId="77777777" w:rsidR="00103F2C" w:rsidRPr="00B83E40" w:rsidRDefault="00103F2C" w:rsidP="00866433">
            <w:pPr>
              <w:suppressAutoHyphens w:val="0"/>
              <w:spacing w:before="60" w:after="60" w:line="276" w:lineRule="auto"/>
              <w:jc w:val="center"/>
              <w:rPr>
                <w:rFonts w:ascii="Times New Roman" w:hAnsi="Times New Roman"/>
                <w:b/>
                <w:color w:val="000000"/>
                <w:szCs w:val="20"/>
              </w:rPr>
            </w:pPr>
            <w:r w:rsidRPr="00B83E40">
              <w:rPr>
                <w:rFonts w:ascii="Times New Roman" w:hAnsi="Times New Roman"/>
                <w:b/>
                <w:color w:val="000000"/>
                <w:sz w:val="22"/>
                <w:szCs w:val="20"/>
              </w:rPr>
              <w:t>Година</w:t>
            </w:r>
          </w:p>
        </w:tc>
        <w:tc>
          <w:tcPr>
            <w:tcW w:w="2722" w:type="dxa"/>
            <w:tcBorders>
              <w:top w:val="single" w:sz="4" w:space="0" w:color="auto"/>
              <w:left w:val="nil"/>
              <w:bottom w:val="single" w:sz="4" w:space="0" w:color="auto"/>
              <w:right w:val="single" w:sz="4" w:space="0" w:color="auto"/>
            </w:tcBorders>
            <w:shd w:val="clear" w:color="auto" w:fill="9CC2E5" w:themeFill="accent1" w:themeFillTint="99"/>
            <w:noWrap/>
            <w:vAlign w:val="center"/>
          </w:tcPr>
          <w:p w14:paraId="018B8C6C" w14:textId="77777777" w:rsidR="00103F2C" w:rsidRPr="00B83E40" w:rsidRDefault="00103F2C" w:rsidP="00866433">
            <w:pPr>
              <w:suppressAutoHyphens w:val="0"/>
              <w:spacing w:before="60" w:after="60" w:line="276" w:lineRule="auto"/>
              <w:jc w:val="center"/>
              <w:rPr>
                <w:rFonts w:ascii="Times New Roman" w:hAnsi="Times New Roman"/>
                <w:b/>
                <w:bCs/>
                <w:szCs w:val="20"/>
              </w:rPr>
            </w:pPr>
            <w:r w:rsidRPr="00B83E40">
              <w:rPr>
                <w:rFonts w:ascii="Times New Roman" w:hAnsi="Times New Roman"/>
                <w:b/>
                <w:bCs/>
                <w:sz w:val="22"/>
                <w:szCs w:val="20"/>
              </w:rPr>
              <w:t>Брой кораби посетили пристанище Варна</w:t>
            </w:r>
          </w:p>
        </w:tc>
      </w:tr>
      <w:tr w:rsidR="00103F2C" w:rsidRPr="00B83E40" w14:paraId="45F07168" w14:textId="77777777" w:rsidTr="00866433">
        <w:trPr>
          <w:trHeight w:val="292"/>
        </w:trPr>
        <w:tc>
          <w:tcPr>
            <w:tcW w:w="15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E5495B" w14:textId="77777777" w:rsidR="00103F2C" w:rsidRPr="00B83E40" w:rsidRDefault="00103F2C" w:rsidP="00866433">
            <w:pPr>
              <w:suppressAutoHyphens w:val="0"/>
              <w:spacing w:before="60" w:after="60" w:line="276" w:lineRule="auto"/>
              <w:jc w:val="center"/>
              <w:rPr>
                <w:rFonts w:ascii="Times New Roman" w:hAnsi="Times New Roman"/>
                <w:color w:val="000000"/>
                <w:szCs w:val="20"/>
                <w:lang w:val="en-US"/>
              </w:rPr>
            </w:pPr>
            <w:r w:rsidRPr="00B83E40">
              <w:rPr>
                <w:rFonts w:ascii="Times New Roman" w:hAnsi="Times New Roman"/>
                <w:color w:val="000000"/>
                <w:sz w:val="22"/>
                <w:szCs w:val="20"/>
                <w:lang w:val="en-US"/>
              </w:rPr>
              <w:t>2016</w:t>
            </w:r>
          </w:p>
        </w:tc>
        <w:tc>
          <w:tcPr>
            <w:tcW w:w="272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73C0DF7" w14:textId="77777777" w:rsidR="00103F2C" w:rsidRPr="00B8464F" w:rsidRDefault="00103F2C" w:rsidP="00866433">
            <w:pPr>
              <w:suppressAutoHyphens w:val="0"/>
              <w:spacing w:before="60" w:after="60" w:line="276" w:lineRule="auto"/>
              <w:jc w:val="center"/>
              <w:rPr>
                <w:rFonts w:ascii="Times New Roman" w:hAnsi="Times New Roman"/>
                <w:bCs/>
                <w:szCs w:val="20"/>
                <w:lang w:val="en-US"/>
              </w:rPr>
            </w:pPr>
            <w:r w:rsidRPr="00B8464F">
              <w:rPr>
                <w:rFonts w:ascii="Times New Roman" w:hAnsi="Times New Roman"/>
                <w:bCs/>
                <w:sz w:val="22"/>
                <w:szCs w:val="20"/>
                <w:lang w:val="en-US"/>
              </w:rPr>
              <w:t>1 490</w:t>
            </w:r>
          </w:p>
        </w:tc>
      </w:tr>
      <w:tr w:rsidR="00103F2C" w:rsidRPr="00B83E40" w14:paraId="37FCD7E1" w14:textId="77777777" w:rsidTr="00866433">
        <w:trPr>
          <w:trHeight w:val="292"/>
        </w:trPr>
        <w:tc>
          <w:tcPr>
            <w:tcW w:w="1531"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43B70DC" w14:textId="77777777" w:rsidR="00103F2C" w:rsidRPr="00B83E40" w:rsidRDefault="00103F2C" w:rsidP="00866433">
            <w:pPr>
              <w:suppressAutoHyphens w:val="0"/>
              <w:spacing w:before="60" w:after="60" w:line="276" w:lineRule="auto"/>
              <w:jc w:val="center"/>
              <w:rPr>
                <w:rFonts w:ascii="Times New Roman" w:hAnsi="Times New Roman"/>
                <w:color w:val="000000"/>
                <w:szCs w:val="20"/>
                <w:lang w:val="en-US"/>
              </w:rPr>
            </w:pPr>
            <w:r w:rsidRPr="00B83E40">
              <w:rPr>
                <w:rFonts w:ascii="Times New Roman" w:hAnsi="Times New Roman"/>
                <w:color w:val="000000"/>
                <w:sz w:val="22"/>
                <w:szCs w:val="20"/>
                <w:lang w:val="en-US"/>
              </w:rPr>
              <w:t>2017</w:t>
            </w:r>
          </w:p>
        </w:tc>
        <w:tc>
          <w:tcPr>
            <w:tcW w:w="2722" w:type="dxa"/>
            <w:tcBorders>
              <w:top w:val="nil"/>
              <w:left w:val="nil"/>
              <w:bottom w:val="single" w:sz="4" w:space="0" w:color="auto"/>
              <w:right w:val="single" w:sz="4" w:space="0" w:color="auto"/>
            </w:tcBorders>
            <w:shd w:val="clear" w:color="auto" w:fill="FFFFFF" w:themeFill="background1"/>
            <w:noWrap/>
            <w:vAlign w:val="center"/>
            <w:hideMark/>
          </w:tcPr>
          <w:p w14:paraId="676565BC" w14:textId="77777777" w:rsidR="00103F2C" w:rsidRPr="00B8464F" w:rsidRDefault="00103F2C" w:rsidP="00866433">
            <w:pPr>
              <w:suppressAutoHyphens w:val="0"/>
              <w:spacing w:before="60" w:after="60" w:line="276" w:lineRule="auto"/>
              <w:jc w:val="center"/>
              <w:rPr>
                <w:rFonts w:ascii="Times New Roman" w:hAnsi="Times New Roman"/>
                <w:color w:val="000000"/>
                <w:szCs w:val="20"/>
                <w:lang w:val="en-US"/>
              </w:rPr>
            </w:pPr>
            <w:r w:rsidRPr="00B8464F">
              <w:rPr>
                <w:rFonts w:ascii="Times New Roman" w:hAnsi="Times New Roman"/>
                <w:color w:val="000000"/>
                <w:sz w:val="22"/>
                <w:szCs w:val="20"/>
                <w:lang w:val="en-US"/>
              </w:rPr>
              <w:t>1 583</w:t>
            </w:r>
          </w:p>
        </w:tc>
      </w:tr>
      <w:tr w:rsidR="00103F2C" w:rsidRPr="00B83E40" w14:paraId="144E100C" w14:textId="77777777" w:rsidTr="00866433">
        <w:trPr>
          <w:trHeight w:val="292"/>
        </w:trPr>
        <w:tc>
          <w:tcPr>
            <w:tcW w:w="1531"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9F2B2DE" w14:textId="77777777" w:rsidR="00103F2C" w:rsidRPr="00B83E40" w:rsidRDefault="00103F2C" w:rsidP="00866433">
            <w:pPr>
              <w:suppressAutoHyphens w:val="0"/>
              <w:spacing w:before="60" w:after="60" w:line="276" w:lineRule="auto"/>
              <w:jc w:val="center"/>
              <w:rPr>
                <w:rFonts w:ascii="Times New Roman" w:hAnsi="Times New Roman"/>
                <w:color w:val="000000"/>
                <w:szCs w:val="20"/>
                <w:lang w:val="en-US"/>
              </w:rPr>
            </w:pPr>
            <w:r w:rsidRPr="00B83E40">
              <w:rPr>
                <w:rFonts w:ascii="Times New Roman" w:hAnsi="Times New Roman"/>
                <w:color w:val="000000"/>
                <w:sz w:val="22"/>
                <w:szCs w:val="20"/>
                <w:lang w:val="en-US"/>
              </w:rPr>
              <w:t>2018</w:t>
            </w:r>
          </w:p>
        </w:tc>
        <w:tc>
          <w:tcPr>
            <w:tcW w:w="2722" w:type="dxa"/>
            <w:tcBorders>
              <w:top w:val="nil"/>
              <w:left w:val="nil"/>
              <w:bottom w:val="single" w:sz="4" w:space="0" w:color="auto"/>
              <w:right w:val="single" w:sz="4" w:space="0" w:color="auto"/>
            </w:tcBorders>
            <w:shd w:val="clear" w:color="auto" w:fill="FFFFFF" w:themeFill="background1"/>
            <w:noWrap/>
            <w:vAlign w:val="center"/>
            <w:hideMark/>
          </w:tcPr>
          <w:p w14:paraId="6EC4F092" w14:textId="77777777" w:rsidR="00103F2C" w:rsidRPr="00B8464F" w:rsidRDefault="00103F2C" w:rsidP="00866433">
            <w:pPr>
              <w:suppressAutoHyphens w:val="0"/>
              <w:spacing w:before="60" w:after="60" w:line="276" w:lineRule="auto"/>
              <w:jc w:val="center"/>
              <w:rPr>
                <w:rFonts w:ascii="Times New Roman" w:hAnsi="Times New Roman"/>
                <w:color w:val="000000"/>
                <w:szCs w:val="20"/>
                <w:lang w:val="en-US"/>
              </w:rPr>
            </w:pPr>
            <w:r w:rsidRPr="00B8464F">
              <w:rPr>
                <w:rFonts w:ascii="Times New Roman" w:hAnsi="Times New Roman"/>
                <w:color w:val="000000"/>
                <w:sz w:val="22"/>
                <w:szCs w:val="20"/>
                <w:lang w:val="en-US"/>
              </w:rPr>
              <w:t>1 402</w:t>
            </w:r>
          </w:p>
        </w:tc>
      </w:tr>
      <w:tr w:rsidR="00103F2C" w:rsidRPr="00B83E40" w14:paraId="10C76876" w14:textId="77777777" w:rsidTr="00866433">
        <w:trPr>
          <w:trHeight w:val="292"/>
        </w:trPr>
        <w:tc>
          <w:tcPr>
            <w:tcW w:w="153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1CA4B58" w14:textId="77777777" w:rsidR="00103F2C" w:rsidRPr="00B83E40" w:rsidRDefault="00103F2C" w:rsidP="00866433">
            <w:pPr>
              <w:suppressAutoHyphens w:val="0"/>
              <w:spacing w:before="60" w:after="60" w:line="276" w:lineRule="auto"/>
              <w:jc w:val="center"/>
              <w:rPr>
                <w:rFonts w:ascii="Times New Roman" w:hAnsi="Times New Roman"/>
                <w:b/>
                <w:color w:val="000000"/>
                <w:szCs w:val="20"/>
              </w:rPr>
            </w:pPr>
            <w:r w:rsidRPr="00B83E40">
              <w:rPr>
                <w:rFonts w:ascii="Times New Roman" w:hAnsi="Times New Roman"/>
                <w:b/>
                <w:color w:val="000000"/>
                <w:sz w:val="22"/>
                <w:szCs w:val="20"/>
              </w:rPr>
              <w:t>Средно на година</w:t>
            </w:r>
          </w:p>
        </w:tc>
        <w:tc>
          <w:tcPr>
            <w:tcW w:w="2722"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8B91E2D" w14:textId="77777777" w:rsidR="00103F2C" w:rsidRPr="00B83E40" w:rsidRDefault="00103F2C" w:rsidP="00866433">
            <w:pPr>
              <w:suppressAutoHyphens w:val="0"/>
              <w:spacing w:before="60" w:after="60" w:line="276" w:lineRule="auto"/>
              <w:jc w:val="center"/>
              <w:rPr>
                <w:rFonts w:ascii="Times New Roman" w:hAnsi="Times New Roman"/>
                <w:b/>
                <w:color w:val="000000"/>
                <w:szCs w:val="20"/>
              </w:rPr>
            </w:pPr>
            <w:r>
              <w:rPr>
                <w:rFonts w:ascii="Times New Roman" w:hAnsi="Times New Roman"/>
                <w:b/>
                <w:color w:val="000000"/>
                <w:sz w:val="22"/>
                <w:szCs w:val="20"/>
              </w:rPr>
              <w:t>1</w:t>
            </w:r>
            <w:r>
              <w:rPr>
                <w:rFonts w:ascii="Times New Roman" w:hAnsi="Times New Roman"/>
                <w:b/>
                <w:color w:val="000000"/>
                <w:sz w:val="22"/>
                <w:szCs w:val="20"/>
                <w:lang w:val="en-US"/>
              </w:rPr>
              <w:t xml:space="preserve"> </w:t>
            </w:r>
            <w:r>
              <w:rPr>
                <w:rFonts w:ascii="Times New Roman" w:hAnsi="Times New Roman"/>
                <w:b/>
                <w:color w:val="000000"/>
                <w:sz w:val="22"/>
                <w:szCs w:val="20"/>
              </w:rPr>
              <w:t>539</w:t>
            </w:r>
          </w:p>
        </w:tc>
      </w:tr>
    </w:tbl>
    <w:p w14:paraId="4CFF2E9D" w14:textId="77777777" w:rsidR="00103F2C" w:rsidRPr="00B83E40" w:rsidRDefault="00103F2C" w:rsidP="00103F2C">
      <w:pPr>
        <w:spacing w:after="240"/>
        <w:ind w:left="-360"/>
        <w:rPr>
          <w:rFonts w:ascii="Times New Roman" w:hAnsi="Times New Roman"/>
          <w:i/>
          <w:noProof/>
          <w:sz w:val="20"/>
          <w:szCs w:val="20"/>
        </w:rPr>
      </w:pPr>
      <w:r w:rsidRPr="00B83E40">
        <w:rPr>
          <w:rFonts w:ascii="Times New Roman" w:hAnsi="Times New Roman"/>
          <w:i/>
          <w:noProof/>
          <w:sz w:val="20"/>
          <w:szCs w:val="20"/>
        </w:rPr>
        <w:t xml:space="preserve">       Източник: Предварителни данни, предоставени от пристанището </w:t>
      </w:r>
    </w:p>
    <w:p w14:paraId="74AC1C44" w14:textId="77777777" w:rsidR="00103F2C" w:rsidRDefault="00103F2C" w:rsidP="00103F2C">
      <w:pPr>
        <w:pStyle w:val="MoIBody"/>
        <w:rPr>
          <w:noProof/>
        </w:rPr>
      </w:pPr>
    </w:p>
    <w:p w14:paraId="09C557BD" w14:textId="77777777" w:rsidR="00103F2C" w:rsidRDefault="00103F2C" w:rsidP="00103F2C">
      <w:pPr>
        <w:pStyle w:val="MoIBody"/>
        <w:rPr>
          <w:noProof/>
        </w:rPr>
      </w:pPr>
      <w:r>
        <w:rPr>
          <w:noProof/>
        </w:rPr>
        <w:t>Прилагайки средното количество отпадъци по видове за същия период , спрямо средния брой кораби получаваме средното количество отпадъци, които се генерират от един кораб за нуждите на прогнозата.</w:t>
      </w:r>
    </w:p>
    <w:p w14:paraId="72C3AB06" w14:textId="77777777" w:rsidR="00103F2C" w:rsidRDefault="00103F2C" w:rsidP="00103F2C">
      <w:pPr>
        <w:pStyle w:val="MoIBody"/>
        <w:rPr>
          <w:noProof/>
        </w:rPr>
      </w:pPr>
    </w:p>
    <w:p w14:paraId="5784FC51" w14:textId="77777777" w:rsidR="00103F2C" w:rsidRPr="000562BD" w:rsidRDefault="00103F2C" w:rsidP="00103F2C">
      <w:pPr>
        <w:suppressAutoHyphens w:val="0"/>
        <w:spacing w:before="240" w:after="0" w:line="360" w:lineRule="auto"/>
        <w:rPr>
          <w:rFonts w:ascii="Times New Roman" w:hAnsi="Times New Roman"/>
          <w:b/>
          <w:bCs/>
          <w:smallCaps/>
          <w:color w:val="4F81BD"/>
          <w:sz w:val="22"/>
        </w:rPr>
      </w:pPr>
      <w:r w:rsidRPr="000562BD">
        <w:rPr>
          <w:rFonts w:ascii="Times New Roman" w:hAnsi="Times New Roman"/>
          <w:b/>
          <w:bCs/>
          <w:smallCaps/>
          <w:color w:val="4F81BD"/>
          <w:sz w:val="22"/>
        </w:rPr>
        <w:t xml:space="preserve">Таблица </w:t>
      </w:r>
      <w:r w:rsidRPr="000562BD">
        <w:rPr>
          <w:rFonts w:ascii="Times New Roman" w:hAnsi="Times New Roman"/>
          <w:b/>
          <w:bCs/>
          <w:smallCaps/>
          <w:color w:val="4F81BD"/>
          <w:sz w:val="22"/>
        </w:rPr>
        <w:fldChar w:fldCharType="begin"/>
      </w:r>
      <w:r w:rsidRPr="000562BD">
        <w:rPr>
          <w:rFonts w:ascii="Times New Roman" w:hAnsi="Times New Roman"/>
          <w:b/>
          <w:bCs/>
          <w:smallCaps/>
          <w:color w:val="4F81BD"/>
          <w:sz w:val="22"/>
        </w:rPr>
        <w:instrText xml:space="preserve"> STYLEREF 1 \s </w:instrText>
      </w:r>
      <w:r w:rsidRPr="000562BD">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0562BD">
        <w:rPr>
          <w:rFonts w:ascii="Times New Roman" w:hAnsi="Times New Roman"/>
          <w:b/>
          <w:bCs/>
          <w:smallCaps/>
          <w:color w:val="4F81BD"/>
          <w:sz w:val="22"/>
        </w:rPr>
        <w:fldChar w:fldCharType="end"/>
      </w:r>
      <w:r w:rsidRPr="000562BD">
        <w:rPr>
          <w:rFonts w:ascii="Times New Roman" w:hAnsi="Times New Roman"/>
          <w:b/>
          <w:bCs/>
          <w:smallCaps/>
          <w:color w:val="4F81BD"/>
          <w:sz w:val="22"/>
        </w:rPr>
        <w:noBreakHyphen/>
      </w:r>
      <w:r>
        <w:rPr>
          <w:rFonts w:ascii="Times New Roman" w:hAnsi="Times New Roman"/>
          <w:b/>
          <w:bCs/>
          <w:smallCaps/>
          <w:color w:val="4F81BD"/>
          <w:sz w:val="22"/>
        </w:rPr>
        <w:t>1</w:t>
      </w:r>
      <w:r>
        <w:rPr>
          <w:rFonts w:ascii="Times New Roman" w:hAnsi="Times New Roman"/>
          <w:b/>
          <w:bCs/>
          <w:smallCaps/>
          <w:color w:val="4F81BD"/>
          <w:sz w:val="22"/>
          <w:lang w:val="en-US"/>
        </w:rPr>
        <w:t>5</w:t>
      </w:r>
      <w:r w:rsidRPr="000562BD">
        <w:rPr>
          <w:rFonts w:ascii="Times New Roman" w:hAnsi="Times New Roman"/>
          <w:b/>
          <w:bCs/>
          <w:smallCaps/>
          <w:color w:val="4F81BD"/>
          <w:sz w:val="22"/>
        </w:rPr>
        <w:t>: Определяне на единични количества отпадъци за  пристанище Варна</w:t>
      </w:r>
    </w:p>
    <w:tbl>
      <w:tblPr>
        <w:tblW w:w="6096" w:type="dxa"/>
        <w:tblInd w:w="108" w:type="dxa"/>
        <w:tblLook w:val="04A0" w:firstRow="1" w:lastRow="0" w:firstColumn="1" w:lastColumn="0" w:noHBand="0" w:noVBand="1"/>
      </w:tblPr>
      <w:tblGrid>
        <w:gridCol w:w="1164"/>
        <w:gridCol w:w="1516"/>
        <w:gridCol w:w="1753"/>
        <w:gridCol w:w="1789"/>
      </w:tblGrid>
      <w:tr w:rsidR="00103F2C" w:rsidRPr="000562BD" w14:paraId="72FDF7C9" w14:textId="77777777" w:rsidTr="00866433">
        <w:trPr>
          <w:trHeight w:val="292"/>
        </w:trPr>
        <w:tc>
          <w:tcPr>
            <w:tcW w:w="117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3D08213" w14:textId="77777777" w:rsidR="00103F2C" w:rsidRPr="000562BD" w:rsidRDefault="00103F2C" w:rsidP="00866433">
            <w:pPr>
              <w:suppressAutoHyphens w:val="0"/>
              <w:spacing w:before="60" w:after="60" w:line="276" w:lineRule="auto"/>
              <w:jc w:val="center"/>
              <w:rPr>
                <w:rFonts w:ascii="Times New Roman" w:hAnsi="Times New Roman"/>
                <w:b/>
                <w:bCs/>
                <w:szCs w:val="20"/>
              </w:rPr>
            </w:pPr>
            <w:r w:rsidRPr="000562BD">
              <w:rPr>
                <w:rFonts w:ascii="Times New Roman" w:hAnsi="Times New Roman"/>
                <w:b/>
                <w:bCs/>
                <w:sz w:val="22"/>
                <w:szCs w:val="20"/>
              </w:rPr>
              <w:t>Видове отпадъци</w:t>
            </w:r>
          </w:p>
        </w:tc>
        <w:tc>
          <w:tcPr>
            <w:tcW w:w="151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111AD3CB" w14:textId="77777777" w:rsidR="00103F2C" w:rsidRPr="000562BD" w:rsidRDefault="00103F2C" w:rsidP="00866433">
            <w:pPr>
              <w:suppressAutoHyphens w:val="0"/>
              <w:spacing w:before="60" w:after="60" w:line="276" w:lineRule="auto"/>
              <w:jc w:val="center"/>
              <w:rPr>
                <w:rFonts w:ascii="Times New Roman" w:hAnsi="Times New Roman"/>
                <w:b/>
                <w:bCs/>
                <w:szCs w:val="20"/>
                <w:lang w:val="en-US"/>
              </w:rPr>
            </w:pPr>
            <w:r w:rsidRPr="000562BD">
              <w:rPr>
                <w:rFonts w:ascii="Times New Roman" w:hAnsi="Times New Roman"/>
                <w:b/>
                <w:bCs/>
                <w:sz w:val="22"/>
                <w:szCs w:val="20"/>
                <w:lang w:val="en-US"/>
              </w:rPr>
              <w:t>Средно</w:t>
            </w:r>
            <w:r w:rsidRPr="000562BD">
              <w:rPr>
                <w:rFonts w:ascii="Times New Roman" w:hAnsi="Times New Roman"/>
                <w:b/>
                <w:bCs/>
                <w:sz w:val="22"/>
                <w:szCs w:val="20"/>
              </w:rPr>
              <w:t xml:space="preserve"> годишно</w:t>
            </w:r>
            <w:r w:rsidRPr="000562BD">
              <w:rPr>
                <w:rFonts w:ascii="Times New Roman" w:hAnsi="Times New Roman"/>
                <w:b/>
                <w:bCs/>
                <w:sz w:val="22"/>
                <w:szCs w:val="20"/>
                <w:lang w:val="en-US"/>
              </w:rPr>
              <w:t xml:space="preserve"> в м³</w:t>
            </w:r>
          </w:p>
        </w:tc>
        <w:tc>
          <w:tcPr>
            <w:tcW w:w="1613"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4D3BD1C3" w14:textId="77777777" w:rsidR="00103F2C" w:rsidRPr="000562BD" w:rsidRDefault="00103F2C" w:rsidP="00866433">
            <w:pPr>
              <w:suppressAutoHyphens w:val="0"/>
              <w:spacing w:before="60" w:after="60" w:line="276" w:lineRule="auto"/>
              <w:jc w:val="center"/>
              <w:rPr>
                <w:rFonts w:ascii="Times New Roman" w:hAnsi="Times New Roman"/>
                <w:b/>
                <w:bCs/>
                <w:szCs w:val="20"/>
              </w:rPr>
            </w:pPr>
            <w:proofErr w:type="gramStart"/>
            <w:r w:rsidRPr="000562BD">
              <w:rPr>
                <w:rFonts w:ascii="Times New Roman" w:hAnsi="Times New Roman"/>
                <w:b/>
                <w:bCs/>
                <w:sz w:val="22"/>
                <w:szCs w:val="20"/>
                <w:lang w:val="en-US"/>
              </w:rPr>
              <w:t>бр</w:t>
            </w:r>
            <w:proofErr w:type="gramEnd"/>
            <w:r w:rsidRPr="000562BD">
              <w:rPr>
                <w:rFonts w:ascii="Times New Roman" w:hAnsi="Times New Roman"/>
                <w:b/>
                <w:bCs/>
                <w:sz w:val="22"/>
                <w:szCs w:val="20"/>
                <w:lang w:val="en-US"/>
              </w:rPr>
              <w:t>. кораби</w:t>
            </w:r>
            <w:r w:rsidRPr="000562BD">
              <w:rPr>
                <w:rFonts w:ascii="Times New Roman" w:hAnsi="Times New Roman"/>
                <w:b/>
                <w:bCs/>
                <w:sz w:val="22"/>
                <w:szCs w:val="20"/>
              </w:rPr>
              <w:t xml:space="preserve"> средногодишно</w:t>
            </w:r>
          </w:p>
        </w:tc>
        <w:tc>
          <w:tcPr>
            <w:tcW w:w="1789"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0AEAF677" w14:textId="77777777" w:rsidR="00103F2C" w:rsidRPr="000562BD" w:rsidRDefault="00103F2C" w:rsidP="00866433">
            <w:pPr>
              <w:suppressAutoHyphens w:val="0"/>
              <w:spacing w:before="60" w:after="60" w:line="276" w:lineRule="auto"/>
              <w:jc w:val="center"/>
              <w:rPr>
                <w:rFonts w:ascii="Times New Roman" w:hAnsi="Times New Roman"/>
                <w:b/>
                <w:bCs/>
                <w:szCs w:val="20"/>
              </w:rPr>
            </w:pPr>
            <w:r w:rsidRPr="000562BD">
              <w:rPr>
                <w:rFonts w:ascii="Times New Roman" w:hAnsi="Times New Roman"/>
                <w:b/>
                <w:bCs/>
                <w:sz w:val="22"/>
                <w:szCs w:val="20"/>
                <w:lang w:val="en-US"/>
              </w:rPr>
              <w:t>Средно</w:t>
            </w:r>
            <w:r w:rsidRPr="000562BD">
              <w:rPr>
                <w:rFonts w:ascii="Times New Roman" w:hAnsi="Times New Roman"/>
                <w:b/>
                <w:bCs/>
                <w:sz w:val="22"/>
                <w:szCs w:val="20"/>
              </w:rPr>
              <w:t xml:space="preserve"> отпадъци</w:t>
            </w:r>
            <w:r w:rsidRPr="000562BD">
              <w:rPr>
                <w:rFonts w:ascii="Times New Roman" w:hAnsi="Times New Roman"/>
                <w:b/>
                <w:bCs/>
                <w:sz w:val="22"/>
                <w:szCs w:val="20"/>
                <w:lang w:val="en-US"/>
              </w:rPr>
              <w:t xml:space="preserve"> за 1 кораб</w:t>
            </w:r>
            <w:r w:rsidRPr="000562BD">
              <w:rPr>
                <w:rFonts w:ascii="Times New Roman" w:hAnsi="Times New Roman"/>
                <w:b/>
                <w:bCs/>
                <w:sz w:val="22"/>
                <w:szCs w:val="20"/>
              </w:rPr>
              <w:t xml:space="preserve"> в м³</w:t>
            </w:r>
          </w:p>
        </w:tc>
      </w:tr>
      <w:tr w:rsidR="00103F2C" w:rsidRPr="000562BD" w14:paraId="0D8F6D64" w14:textId="77777777" w:rsidTr="00866433">
        <w:trPr>
          <w:trHeight w:val="292"/>
        </w:trPr>
        <w:tc>
          <w:tcPr>
            <w:tcW w:w="1178" w:type="dxa"/>
            <w:tcBorders>
              <w:top w:val="nil"/>
              <w:left w:val="single" w:sz="4" w:space="0" w:color="auto"/>
              <w:bottom w:val="single" w:sz="4" w:space="0" w:color="auto"/>
              <w:right w:val="single" w:sz="4" w:space="0" w:color="auto"/>
            </w:tcBorders>
          </w:tcPr>
          <w:p w14:paraId="1417E1F1" w14:textId="77777777" w:rsidR="00103F2C" w:rsidRPr="000562BD" w:rsidRDefault="00103F2C" w:rsidP="00866433">
            <w:pPr>
              <w:suppressAutoHyphens w:val="0"/>
              <w:spacing w:before="60" w:after="60" w:line="276" w:lineRule="auto"/>
              <w:rPr>
                <w:rFonts w:ascii="Times New Roman" w:hAnsi="Times New Roman"/>
                <w:szCs w:val="20"/>
                <w:lang w:val="en-US"/>
              </w:rPr>
            </w:pPr>
            <w:r w:rsidRPr="000562BD">
              <w:rPr>
                <w:rFonts w:ascii="Times New Roman" w:hAnsi="Times New Roman"/>
                <w:sz w:val="22"/>
                <w:szCs w:val="20"/>
              </w:rPr>
              <w:t>Анекс I</w:t>
            </w:r>
          </w:p>
        </w:tc>
        <w:tc>
          <w:tcPr>
            <w:tcW w:w="15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3A135"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6884,08</w:t>
            </w:r>
          </w:p>
        </w:tc>
        <w:tc>
          <w:tcPr>
            <w:tcW w:w="1613" w:type="dxa"/>
            <w:tcBorders>
              <w:top w:val="single" w:sz="4" w:space="0" w:color="auto"/>
              <w:left w:val="nil"/>
              <w:bottom w:val="single" w:sz="4" w:space="0" w:color="auto"/>
              <w:right w:val="single" w:sz="4" w:space="0" w:color="auto"/>
            </w:tcBorders>
            <w:shd w:val="clear" w:color="auto" w:fill="auto"/>
            <w:noWrap/>
            <w:vAlign w:val="bottom"/>
            <w:hideMark/>
          </w:tcPr>
          <w:p w14:paraId="048C531D"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1492</w:t>
            </w:r>
          </w:p>
        </w:tc>
        <w:tc>
          <w:tcPr>
            <w:tcW w:w="1789" w:type="dxa"/>
            <w:tcBorders>
              <w:top w:val="single" w:sz="4" w:space="0" w:color="auto"/>
              <w:left w:val="nil"/>
              <w:bottom w:val="single" w:sz="4" w:space="0" w:color="auto"/>
              <w:right w:val="single" w:sz="4" w:space="0" w:color="auto"/>
            </w:tcBorders>
            <w:shd w:val="clear" w:color="auto" w:fill="auto"/>
            <w:noWrap/>
            <w:vAlign w:val="bottom"/>
            <w:hideMark/>
          </w:tcPr>
          <w:p w14:paraId="165D1F88"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4,615027</w:t>
            </w:r>
          </w:p>
        </w:tc>
      </w:tr>
      <w:tr w:rsidR="00103F2C" w:rsidRPr="000562BD" w14:paraId="77DE2B3F" w14:textId="77777777" w:rsidTr="00866433">
        <w:trPr>
          <w:trHeight w:val="292"/>
        </w:trPr>
        <w:tc>
          <w:tcPr>
            <w:tcW w:w="1178" w:type="dxa"/>
            <w:tcBorders>
              <w:top w:val="nil"/>
              <w:left w:val="single" w:sz="4" w:space="0" w:color="auto"/>
              <w:bottom w:val="single" w:sz="4" w:space="0" w:color="auto"/>
              <w:right w:val="single" w:sz="4" w:space="0" w:color="auto"/>
            </w:tcBorders>
          </w:tcPr>
          <w:p w14:paraId="526445A8" w14:textId="77777777" w:rsidR="00103F2C" w:rsidRPr="000562BD" w:rsidRDefault="00103F2C" w:rsidP="00866433">
            <w:pPr>
              <w:suppressAutoHyphens w:val="0"/>
              <w:spacing w:before="60" w:after="60" w:line="276" w:lineRule="auto"/>
              <w:rPr>
                <w:rFonts w:ascii="Times New Roman" w:hAnsi="Times New Roman"/>
                <w:szCs w:val="20"/>
                <w:lang w:val="en-US"/>
              </w:rPr>
            </w:pPr>
            <w:r w:rsidRPr="000562BD">
              <w:rPr>
                <w:rFonts w:ascii="Times New Roman" w:hAnsi="Times New Roman"/>
                <w:sz w:val="22"/>
                <w:szCs w:val="20"/>
              </w:rPr>
              <w:t>Анекс IV</w:t>
            </w:r>
          </w:p>
        </w:tc>
        <w:tc>
          <w:tcPr>
            <w:tcW w:w="1516" w:type="dxa"/>
            <w:tcBorders>
              <w:top w:val="nil"/>
              <w:left w:val="single" w:sz="4" w:space="0" w:color="auto"/>
              <w:bottom w:val="single" w:sz="4" w:space="0" w:color="auto"/>
              <w:right w:val="single" w:sz="4" w:space="0" w:color="auto"/>
            </w:tcBorders>
            <w:shd w:val="clear" w:color="auto" w:fill="auto"/>
            <w:noWrap/>
            <w:vAlign w:val="bottom"/>
            <w:hideMark/>
          </w:tcPr>
          <w:p w14:paraId="6BD11DF0"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164,50</w:t>
            </w:r>
          </w:p>
        </w:tc>
        <w:tc>
          <w:tcPr>
            <w:tcW w:w="1613" w:type="dxa"/>
            <w:tcBorders>
              <w:top w:val="nil"/>
              <w:left w:val="nil"/>
              <w:bottom w:val="single" w:sz="4" w:space="0" w:color="auto"/>
              <w:right w:val="single" w:sz="4" w:space="0" w:color="auto"/>
            </w:tcBorders>
            <w:shd w:val="clear" w:color="auto" w:fill="auto"/>
            <w:noWrap/>
            <w:vAlign w:val="bottom"/>
            <w:hideMark/>
          </w:tcPr>
          <w:p w14:paraId="50766D35"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1492</w:t>
            </w:r>
          </w:p>
        </w:tc>
        <w:tc>
          <w:tcPr>
            <w:tcW w:w="1789" w:type="dxa"/>
            <w:tcBorders>
              <w:top w:val="nil"/>
              <w:left w:val="nil"/>
              <w:bottom w:val="single" w:sz="4" w:space="0" w:color="auto"/>
              <w:right w:val="single" w:sz="4" w:space="0" w:color="auto"/>
            </w:tcBorders>
            <w:shd w:val="clear" w:color="auto" w:fill="auto"/>
            <w:noWrap/>
            <w:vAlign w:val="bottom"/>
            <w:hideMark/>
          </w:tcPr>
          <w:p w14:paraId="6A486F2E"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0,11028</w:t>
            </w:r>
          </w:p>
        </w:tc>
      </w:tr>
      <w:tr w:rsidR="00103F2C" w:rsidRPr="000562BD" w14:paraId="29FBB5A7" w14:textId="77777777" w:rsidTr="00866433">
        <w:trPr>
          <w:trHeight w:val="292"/>
        </w:trPr>
        <w:tc>
          <w:tcPr>
            <w:tcW w:w="1178" w:type="dxa"/>
            <w:tcBorders>
              <w:top w:val="nil"/>
              <w:left w:val="single" w:sz="4" w:space="0" w:color="auto"/>
              <w:bottom w:val="single" w:sz="4" w:space="0" w:color="auto"/>
              <w:right w:val="single" w:sz="4" w:space="0" w:color="auto"/>
            </w:tcBorders>
          </w:tcPr>
          <w:p w14:paraId="212E138A" w14:textId="77777777" w:rsidR="00103F2C" w:rsidRPr="000562BD" w:rsidRDefault="00103F2C" w:rsidP="00866433">
            <w:pPr>
              <w:suppressAutoHyphens w:val="0"/>
              <w:spacing w:before="60" w:after="60" w:line="276" w:lineRule="auto"/>
              <w:rPr>
                <w:rFonts w:ascii="Times New Roman" w:hAnsi="Times New Roman"/>
                <w:szCs w:val="20"/>
                <w:lang w:val="en-US"/>
              </w:rPr>
            </w:pPr>
            <w:r w:rsidRPr="000562BD">
              <w:rPr>
                <w:rFonts w:ascii="Times New Roman" w:hAnsi="Times New Roman"/>
                <w:sz w:val="22"/>
                <w:szCs w:val="20"/>
              </w:rPr>
              <w:t>Анекс V</w:t>
            </w:r>
          </w:p>
        </w:tc>
        <w:tc>
          <w:tcPr>
            <w:tcW w:w="1516" w:type="dxa"/>
            <w:tcBorders>
              <w:top w:val="nil"/>
              <w:left w:val="single" w:sz="4" w:space="0" w:color="auto"/>
              <w:bottom w:val="single" w:sz="4" w:space="0" w:color="auto"/>
              <w:right w:val="single" w:sz="4" w:space="0" w:color="auto"/>
            </w:tcBorders>
            <w:shd w:val="clear" w:color="auto" w:fill="auto"/>
            <w:noWrap/>
            <w:vAlign w:val="bottom"/>
            <w:hideMark/>
          </w:tcPr>
          <w:p w14:paraId="7FB04E26"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1288,48</w:t>
            </w:r>
          </w:p>
        </w:tc>
        <w:tc>
          <w:tcPr>
            <w:tcW w:w="1613" w:type="dxa"/>
            <w:tcBorders>
              <w:top w:val="nil"/>
              <w:left w:val="nil"/>
              <w:bottom w:val="single" w:sz="4" w:space="0" w:color="auto"/>
              <w:right w:val="single" w:sz="4" w:space="0" w:color="auto"/>
            </w:tcBorders>
            <w:shd w:val="clear" w:color="auto" w:fill="auto"/>
            <w:noWrap/>
            <w:vAlign w:val="bottom"/>
            <w:hideMark/>
          </w:tcPr>
          <w:p w14:paraId="29B310C6"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1492</w:t>
            </w:r>
          </w:p>
        </w:tc>
        <w:tc>
          <w:tcPr>
            <w:tcW w:w="1789" w:type="dxa"/>
            <w:tcBorders>
              <w:top w:val="nil"/>
              <w:left w:val="nil"/>
              <w:bottom w:val="single" w:sz="4" w:space="0" w:color="auto"/>
              <w:right w:val="single" w:sz="4" w:space="0" w:color="auto"/>
            </w:tcBorders>
            <w:shd w:val="clear" w:color="auto" w:fill="auto"/>
            <w:noWrap/>
            <w:vAlign w:val="bottom"/>
            <w:hideMark/>
          </w:tcPr>
          <w:p w14:paraId="55975744" w14:textId="77777777" w:rsidR="00103F2C" w:rsidRPr="00B8464F" w:rsidRDefault="00103F2C" w:rsidP="00866433">
            <w:pPr>
              <w:suppressAutoHyphens w:val="0"/>
              <w:spacing w:before="60" w:after="60" w:line="276" w:lineRule="auto"/>
              <w:jc w:val="center"/>
              <w:rPr>
                <w:rFonts w:ascii="Times New Roman" w:hAnsi="Times New Roman"/>
                <w:szCs w:val="20"/>
                <w:highlight w:val="yellow"/>
                <w:lang w:val="en-US"/>
              </w:rPr>
            </w:pPr>
            <w:r w:rsidRPr="00B8464F">
              <w:rPr>
                <w:rFonts w:ascii="Times New Roman" w:hAnsi="Times New Roman"/>
                <w:sz w:val="22"/>
              </w:rPr>
              <w:t>0,863786</w:t>
            </w:r>
          </w:p>
        </w:tc>
      </w:tr>
    </w:tbl>
    <w:p w14:paraId="38749B5D" w14:textId="77777777" w:rsidR="00103F2C" w:rsidRPr="000562BD" w:rsidRDefault="00103F2C" w:rsidP="00103F2C">
      <w:pPr>
        <w:spacing w:after="240"/>
        <w:ind w:left="-360"/>
        <w:rPr>
          <w:rFonts w:ascii="Times New Roman" w:hAnsi="Times New Roman"/>
          <w:i/>
          <w:noProof/>
          <w:sz w:val="20"/>
          <w:szCs w:val="20"/>
        </w:rPr>
      </w:pPr>
      <w:r w:rsidRPr="000562BD">
        <w:rPr>
          <w:rFonts w:ascii="Times New Roman" w:hAnsi="Times New Roman"/>
          <w:i/>
          <w:noProof/>
          <w:sz w:val="20"/>
          <w:szCs w:val="20"/>
        </w:rPr>
        <w:t xml:space="preserve">       Източник: Собствени изчисления на консултанта </w:t>
      </w:r>
    </w:p>
    <w:p w14:paraId="6C791480" w14:textId="77777777" w:rsidR="00103F2C" w:rsidRDefault="00103F2C" w:rsidP="00103F2C">
      <w:pPr>
        <w:pStyle w:val="MoIBody"/>
        <w:rPr>
          <w:noProof/>
        </w:rPr>
      </w:pPr>
    </w:p>
    <w:p w14:paraId="7C146AE8" w14:textId="77777777" w:rsidR="00103F2C" w:rsidRDefault="00103F2C" w:rsidP="00103F2C">
      <w:pPr>
        <w:pStyle w:val="MoIBody"/>
        <w:rPr>
          <w:noProof/>
        </w:rPr>
      </w:pPr>
      <w:r>
        <w:rPr>
          <w:noProof/>
        </w:rPr>
        <w:t xml:space="preserve">Прогнозата за броя кораби и единичните количества по видове отпадъци ни дават стойностите за общите количества отпадъци до 2043г. </w:t>
      </w:r>
    </w:p>
    <w:p w14:paraId="36564297" w14:textId="77777777" w:rsidR="00103F2C" w:rsidRDefault="00103F2C" w:rsidP="00103F2C">
      <w:pPr>
        <w:pStyle w:val="MoIBody"/>
        <w:rPr>
          <w:noProof/>
        </w:rPr>
      </w:pPr>
    </w:p>
    <w:p w14:paraId="26455B85" w14:textId="77777777" w:rsidR="00103F2C" w:rsidRDefault="00103F2C" w:rsidP="00103F2C">
      <w:pPr>
        <w:pStyle w:val="MoIBody"/>
        <w:rPr>
          <w:noProof/>
        </w:rPr>
      </w:pPr>
    </w:p>
    <w:p w14:paraId="4DD4CDCA" w14:textId="77777777" w:rsidR="00103F2C" w:rsidRPr="000562BD" w:rsidRDefault="00103F2C" w:rsidP="00103F2C">
      <w:pPr>
        <w:suppressAutoHyphens w:val="0"/>
        <w:spacing w:before="240" w:after="0" w:line="360" w:lineRule="auto"/>
        <w:rPr>
          <w:rFonts w:ascii="Times New Roman" w:hAnsi="Times New Roman"/>
          <w:b/>
          <w:bCs/>
          <w:smallCaps/>
          <w:color w:val="4F81BD"/>
          <w:sz w:val="22"/>
        </w:rPr>
      </w:pPr>
      <w:r w:rsidRPr="000562BD">
        <w:rPr>
          <w:rFonts w:ascii="Times New Roman" w:hAnsi="Times New Roman"/>
          <w:b/>
          <w:bCs/>
          <w:smallCaps/>
          <w:color w:val="4F81BD"/>
          <w:sz w:val="22"/>
        </w:rPr>
        <w:t xml:space="preserve">Таблица </w:t>
      </w:r>
      <w:r w:rsidRPr="000562BD">
        <w:rPr>
          <w:rFonts w:ascii="Times New Roman" w:hAnsi="Times New Roman"/>
          <w:b/>
          <w:bCs/>
          <w:smallCaps/>
          <w:color w:val="4F81BD"/>
          <w:sz w:val="22"/>
        </w:rPr>
        <w:fldChar w:fldCharType="begin"/>
      </w:r>
      <w:r w:rsidRPr="000562BD">
        <w:rPr>
          <w:rFonts w:ascii="Times New Roman" w:hAnsi="Times New Roman"/>
          <w:b/>
          <w:bCs/>
          <w:smallCaps/>
          <w:color w:val="4F81BD"/>
          <w:sz w:val="22"/>
        </w:rPr>
        <w:instrText xml:space="preserve"> STYLEREF 1 \s </w:instrText>
      </w:r>
      <w:r w:rsidRPr="000562BD">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0562BD">
        <w:rPr>
          <w:rFonts w:ascii="Times New Roman" w:hAnsi="Times New Roman"/>
          <w:b/>
          <w:bCs/>
          <w:smallCaps/>
          <w:color w:val="4F81BD"/>
          <w:sz w:val="22"/>
        </w:rPr>
        <w:fldChar w:fldCharType="end"/>
      </w:r>
      <w:r w:rsidRPr="000562BD">
        <w:rPr>
          <w:rFonts w:ascii="Times New Roman" w:hAnsi="Times New Roman"/>
          <w:b/>
          <w:bCs/>
          <w:smallCaps/>
          <w:color w:val="4F81BD"/>
          <w:sz w:val="22"/>
        </w:rPr>
        <w:noBreakHyphen/>
      </w:r>
      <w:r>
        <w:rPr>
          <w:rFonts w:ascii="Times New Roman" w:hAnsi="Times New Roman"/>
          <w:b/>
          <w:bCs/>
          <w:smallCaps/>
          <w:color w:val="4F81BD"/>
          <w:sz w:val="22"/>
        </w:rPr>
        <w:t>1</w:t>
      </w:r>
      <w:r>
        <w:rPr>
          <w:rFonts w:ascii="Times New Roman" w:hAnsi="Times New Roman"/>
          <w:b/>
          <w:bCs/>
          <w:smallCaps/>
          <w:color w:val="4F81BD"/>
          <w:sz w:val="22"/>
          <w:lang w:val="en-US"/>
        </w:rPr>
        <w:t>6</w:t>
      </w:r>
      <w:r w:rsidRPr="000562BD">
        <w:rPr>
          <w:rFonts w:ascii="Times New Roman" w:hAnsi="Times New Roman"/>
          <w:b/>
          <w:bCs/>
          <w:smallCaps/>
          <w:color w:val="4F81BD"/>
          <w:sz w:val="22"/>
        </w:rPr>
        <w:t>: Прогноза за  пристанище Варна</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656"/>
        <w:gridCol w:w="694"/>
        <w:gridCol w:w="656"/>
        <w:gridCol w:w="656"/>
        <w:gridCol w:w="668"/>
        <w:gridCol w:w="766"/>
        <w:gridCol w:w="766"/>
      </w:tblGrid>
      <w:tr w:rsidR="00103F2C" w:rsidRPr="000562BD" w14:paraId="11304BC9" w14:textId="77777777" w:rsidTr="00866433">
        <w:trPr>
          <w:trHeight w:val="300"/>
        </w:trPr>
        <w:tc>
          <w:tcPr>
            <w:tcW w:w="4027" w:type="dxa"/>
            <w:shd w:val="clear" w:color="auto" w:fill="9CC2E5" w:themeFill="accent1" w:themeFillTint="99"/>
            <w:noWrap/>
            <w:vAlign w:val="bottom"/>
            <w:hideMark/>
          </w:tcPr>
          <w:p w14:paraId="77E79B5E" w14:textId="77777777" w:rsidR="00103F2C" w:rsidRPr="000562BD" w:rsidRDefault="00103F2C" w:rsidP="00866433">
            <w:pPr>
              <w:suppressAutoHyphens w:val="0"/>
              <w:spacing w:before="60" w:after="60" w:line="276" w:lineRule="auto"/>
              <w:rPr>
                <w:rFonts w:ascii="Times New Roman" w:hAnsi="Times New Roman"/>
                <w:b/>
                <w:color w:val="000000"/>
              </w:rPr>
            </w:pPr>
            <w:r w:rsidRPr="000562BD">
              <w:rPr>
                <w:rFonts w:ascii="Times New Roman" w:hAnsi="Times New Roman"/>
                <w:b/>
                <w:color w:val="000000"/>
                <w:sz w:val="22"/>
              </w:rPr>
              <w:t>Пристанище Варна</w:t>
            </w:r>
          </w:p>
        </w:tc>
        <w:tc>
          <w:tcPr>
            <w:tcW w:w="656" w:type="dxa"/>
            <w:shd w:val="clear" w:color="auto" w:fill="9CC2E5" w:themeFill="accent1" w:themeFillTint="99"/>
            <w:noWrap/>
            <w:vAlign w:val="center"/>
            <w:hideMark/>
          </w:tcPr>
          <w:p w14:paraId="0B404EF3"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2019</w:t>
            </w:r>
          </w:p>
        </w:tc>
        <w:tc>
          <w:tcPr>
            <w:tcW w:w="694" w:type="dxa"/>
            <w:shd w:val="clear" w:color="auto" w:fill="9CC2E5" w:themeFill="accent1" w:themeFillTint="99"/>
            <w:noWrap/>
            <w:vAlign w:val="center"/>
            <w:hideMark/>
          </w:tcPr>
          <w:p w14:paraId="3D218609"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2020</w:t>
            </w:r>
          </w:p>
        </w:tc>
        <w:tc>
          <w:tcPr>
            <w:tcW w:w="656" w:type="dxa"/>
            <w:shd w:val="clear" w:color="auto" w:fill="9CC2E5" w:themeFill="accent1" w:themeFillTint="99"/>
            <w:noWrap/>
            <w:vAlign w:val="center"/>
            <w:hideMark/>
          </w:tcPr>
          <w:p w14:paraId="4A1FE53B"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2021</w:t>
            </w:r>
          </w:p>
        </w:tc>
        <w:tc>
          <w:tcPr>
            <w:tcW w:w="656" w:type="dxa"/>
            <w:shd w:val="clear" w:color="auto" w:fill="9CC2E5" w:themeFill="accent1" w:themeFillTint="99"/>
            <w:noWrap/>
            <w:vAlign w:val="center"/>
            <w:hideMark/>
          </w:tcPr>
          <w:p w14:paraId="44A9D9BB"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2022</w:t>
            </w:r>
          </w:p>
        </w:tc>
        <w:tc>
          <w:tcPr>
            <w:tcW w:w="668" w:type="dxa"/>
            <w:shd w:val="clear" w:color="auto" w:fill="9CC2E5" w:themeFill="accent1" w:themeFillTint="99"/>
            <w:noWrap/>
            <w:vAlign w:val="center"/>
            <w:hideMark/>
          </w:tcPr>
          <w:p w14:paraId="4312B7D8"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2030</w:t>
            </w:r>
          </w:p>
        </w:tc>
        <w:tc>
          <w:tcPr>
            <w:tcW w:w="766" w:type="dxa"/>
            <w:shd w:val="clear" w:color="auto" w:fill="9CC2E5" w:themeFill="accent1" w:themeFillTint="99"/>
            <w:noWrap/>
            <w:vAlign w:val="center"/>
            <w:hideMark/>
          </w:tcPr>
          <w:p w14:paraId="4023BC4D" w14:textId="77777777" w:rsidR="00103F2C" w:rsidRPr="000562BD" w:rsidRDefault="00103F2C" w:rsidP="00866433">
            <w:pPr>
              <w:suppressAutoHyphens w:val="0"/>
              <w:spacing w:before="60" w:after="60" w:line="276" w:lineRule="auto"/>
              <w:ind w:right="-62"/>
              <w:jc w:val="center"/>
              <w:rPr>
                <w:rFonts w:ascii="Times New Roman" w:hAnsi="Times New Roman"/>
                <w:b/>
                <w:color w:val="000000"/>
                <w:lang w:val="en-US"/>
              </w:rPr>
            </w:pPr>
            <w:r w:rsidRPr="000562BD">
              <w:rPr>
                <w:rFonts w:ascii="Times New Roman" w:hAnsi="Times New Roman"/>
                <w:b/>
                <w:color w:val="000000"/>
                <w:sz w:val="22"/>
                <w:lang w:val="en-US"/>
              </w:rPr>
              <w:t>2040</w:t>
            </w:r>
          </w:p>
        </w:tc>
        <w:tc>
          <w:tcPr>
            <w:tcW w:w="674" w:type="dxa"/>
            <w:shd w:val="clear" w:color="auto" w:fill="9CC2E5" w:themeFill="accent1" w:themeFillTint="99"/>
            <w:noWrap/>
            <w:vAlign w:val="center"/>
            <w:hideMark/>
          </w:tcPr>
          <w:p w14:paraId="35FB9FDA" w14:textId="77777777" w:rsidR="00103F2C" w:rsidRPr="000562BD" w:rsidRDefault="00103F2C" w:rsidP="00866433">
            <w:pPr>
              <w:suppressAutoHyphens w:val="0"/>
              <w:spacing w:before="60" w:after="60" w:line="276" w:lineRule="auto"/>
              <w:jc w:val="center"/>
              <w:rPr>
                <w:rFonts w:ascii="Times New Roman" w:hAnsi="Times New Roman"/>
                <w:b/>
                <w:color w:val="000000"/>
                <w:lang w:val="en-US"/>
              </w:rPr>
            </w:pPr>
            <w:r w:rsidRPr="000562BD">
              <w:rPr>
                <w:rFonts w:ascii="Times New Roman" w:hAnsi="Times New Roman"/>
                <w:b/>
                <w:color w:val="000000"/>
                <w:sz w:val="22"/>
                <w:lang w:val="en-US"/>
              </w:rPr>
              <w:t>2043</w:t>
            </w:r>
          </w:p>
        </w:tc>
      </w:tr>
      <w:tr w:rsidR="00103F2C" w:rsidRPr="000562BD" w14:paraId="6F544EA7" w14:textId="77777777" w:rsidTr="00103F2C">
        <w:trPr>
          <w:trHeight w:val="292"/>
        </w:trPr>
        <w:tc>
          <w:tcPr>
            <w:tcW w:w="4027" w:type="dxa"/>
            <w:shd w:val="clear" w:color="auto" w:fill="auto"/>
            <w:noWrap/>
            <w:vAlign w:val="bottom"/>
            <w:hideMark/>
          </w:tcPr>
          <w:p w14:paraId="04D80C7B" w14:textId="77777777" w:rsidR="00103F2C" w:rsidRPr="000562BD" w:rsidRDefault="00103F2C" w:rsidP="00866433">
            <w:pPr>
              <w:suppressAutoHyphens w:val="0"/>
              <w:spacing w:before="60" w:after="60" w:line="276" w:lineRule="auto"/>
              <w:rPr>
                <w:rFonts w:ascii="Times New Roman" w:hAnsi="Times New Roman"/>
                <w:i/>
                <w:iCs/>
                <w:color w:val="000000"/>
                <w:lang w:val="en-US"/>
              </w:rPr>
            </w:pPr>
            <w:r w:rsidRPr="000562BD">
              <w:rPr>
                <w:rFonts w:ascii="Times New Roman" w:hAnsi="Times New Roman"/>
                <w:i/>
                <w:iCs/>
                <w:color w:val="000000"/>
                <w:sz w:val="22"/>
                <w:lang w:val="en-US"/>
              </w:rPr>
              <w:t>брой кораби</w:t>
            </w:r>
          </w:p>
        </w:tc>
        <w:tc>
          <w:tcPr>
            <w:tcW w:w="656" w:type="dxa"/>
            <w:shd w:val="clear" w:color="auto" w:fill="auto"/>
            <w:noWrap/>
            <w:vAlign w:val="bottom"/>
            <w:hideMark/>
          </w:tcPr>
          <w:p w14:paraId="6F636F79"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1471</w:t>
            </w:r>
          </w:p>
        </w:tc>
        <w:tc>
          <w:tcPr>
            <w:tcW w:w="694" w:type="dxa"/>
            <w:shd w:val="clear" w:color="auto" w:fill="auto"/>
            <w:noWrap/>
            <w:vAlign w:val="bottom"/>
            <w:hideMark/>
          </w:tcPr>
          <w:p w14:paraId="54B855EA"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1518</w:t>
            </w:r>
          </w:p>
        </w:tc>
        <w:tc>
          <w:tcPr>
            <w:tcW w:w="656" w:type="dxa"/>
            <w:shd w:val="clear" w:color="auto" w:fill="auto"/>
            <w:noWrap/>
            <w:vAlign w:val="bottom"/>
            <w:hideMark/>
          </w:tcPr>
          <w:p w14:paraId="3EC4CDA5"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1568</w:t>
            </w:r>
          </w:p>
        </w:tc>
        <w:tc>
          <w:tcPr>
            <w:tcW w:w="656" w:type="dxa"/>
            <w:shd w:val="clear" w:color="auto" w:fill="auto"/>
            <w:noWrap/>
            <w:vAlign w:val="bottom"/>
            <w:hideMark/>
          </w:tcPr>
          <w:p w14:paraId="1F121267"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1619</w:t>
            </w:r>
          </w:p>
        </w:tc>
        <w:tc>
          <w:tcPr>
            <w:tcW w:w="668" w:type="dxa"/>
            <w:shd w:val="clear" w:color="auto" w:fill="auto"/>
            <w:noWrap/>
            <w:vAlign w:val="bottom"/>
            <w:hideMark/>
          </w:tcPr>
          <w:p w14:paraId="1358BCA2"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2089</w:t>
            </w:r>
          </w:p>
        </w:tc>
        <w:tc>
          <w:tcPr>
            <w:tcW w:w="766" w:type="dxa"/>
            <w:shd w:val="clear" w:color="auto" w:fill="auto"/>
            <w:noWrap/>
            <w:vAlign w:val="bottom"/>
            <w:hideMark/>
          </w:tcPr>
          <w:p w14:paraId="4E4943B4"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2875</w:t>
            </w:r>
          </w:p>
        </w:tc>
        <w:tc>
          <w:tcPr>
            <w:tcW w:w="674" w:type="dxa"/>
            <w:shd w:val="clear" w:color="auto" w:fill="auto"/>
            <w:noWrap/>
            <w:vAlign w:val="bottom"/>
            <w:hideMark/>
          </w:tcPr>
          <w:p w14:paraId="6BB73AB6" w14:textId="77777777" w:rsidR="00103F2C" w:rsidRPr="00B8464F" w:rsidRDefault="00103F2C" w:rsidP="00866433">
            <w:pPr>
              <w:suppressAutoHyphens w:val="0"/>
              <w:spacing w:before="60" w:after="60" w:line="276" w:lineRule="auto"/>
              <w:jc w:val="center"/>
              <w:rPr>
                <w:rFonts w:ascii="Times New Roman" w:hAnsi="Times New Roman"/>
                <w:i/>
                <w:iCs/>
                <w:color w:val="000000"/>
                <w:highlight w:val="yellow"/>
                <w:lang w:val="en-US"/>
              </w:rPr>
            </w:pPr>
            <w:r w:rsidRPr="00B8464F">
              <w:rPr>
                <w:rFonts w:ascii="Times New Roman" w:hAnsi="Times New Roman"/>
                <w:i/>
                <w:iCs/>
                <w:color w:val="000000"/>
                <w:sz w:val="22"/>
              </w:rPr>
              <w:t>3164</w:t>
            </w:r>
          </w:p>
        </w:tc>
      </w:tr>
      <w:tr w:rsidR="00103F2C" w:rsidRPr="000562BD" w14:paraId="6B30BA1F" w14:textId="77777777" w:rsidTr="00103F2C">
        <w:trPr>
          <w:trHeight w:val="292"/>
        </w:trPr>
        <w:tc>
          <w:tcPr>
            <w:tcW w:w="4027" w:type="dxa"/>
            <w:shd w:val="clear" w:color="auto" w:fill="auto"/>
            <w:noWrap/>
            <w:vAlign w:val="bottom"/>
            <w:hideMark/>
          </w:tcPr>
          <w:p w14:paraId="105A444C" w14:textId="77777777" w:rsidR="00103F2C" w:rsidRPr="000562BD" w:rsidRDefault="00103F2C" w:rsidP="00866433">
            <w:pPr>
              <w:suppressAutoHyphens w:val="0"/>
              <w:spacing w:before="60" w:after="60" w:line="276" w:lineRule="auto"/>
              <w:rPr>
                <w:rFonts w:ascii="Times New Roman" w:hAnsi="Times New Roman"/>
                <w:i/>
                <w:iCs/>
                <w:color w:val="000000"/>
                <w:lang w:val="en-US"/>
              </w:rPr>
            </w:pPr>
            <w:r w:rsidRPr="000562BD">
              <w:rPr>
                <w:rFonts w:ascii="Times New Roman" w:hAnsi="Times New Roman"/>
                <w:i/>
                <w:iCs/>
                <w:color w:val="000000"/>
                <w:sz w:val="22"/>
                <w:lang w:val="en-US"/>
              </w:rPr>
              <w:t>количества отпадъци в м</w:t>
            </w:r>
            <w:r w:rsidRPr="000562BD">
              <w:rPr>
                <w:rFonts w:ascii="Times New Roman" w:hAnsi="Times New Roman"/>
                <w:color w:val="000000"/>
                <w:sz w:val="22"/>
                <w:lang w:val="en-US"/>
              </w:rPr>
              <w:t>³ за един кораб</w:t>
            </w:r>
          </w:p>
        </w:tc>
        <w:tc>
          <w:tcPr>
            <w:tcW w:w="656" w:type="dxa"/>
            <w:shd w:val="clear" w:color="auto" w:fill="auto"/>
            <w:noWrap/>
            <w:vAlign w:val="bottom"/>
            <w:hideMark/>
          </w:tcPr>
          <w:p w14:paraId="71FAD32D"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694" w:type="dxa"/>
            <w:shd w:val="clear" w:color="auto" w:fill="auto"/>
            <w:noWrap/>
            <w:vAlign w:val="bottom"/>
            <w:hideMark/>
          </w:tcPr>
          <w:p w14:paraId="3E844EB2"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656" w:type="dxa"/>
            <w:shd w:val="clear" w:color="auto" w:fill="auto"/>
            <w:noWrap/>
            <w:vAlign w:val="bottom"/>
            <w:hideMark/>
          </w:tcPr>
          <w:p w14:paraId="74CBEB7C"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656" w:type="dxa"/>
            <w:shd w:val="clear" w:color="auto" w:fill="auto"/>
            <w:noWrap/>
            <w:vAlign w:val="bottom"/>
            <w:hideMark/>
          </w:tcPr>
          <w:p w14:paraId="4E15F8AB"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668" w:type="dxa"/>
            <w:shd w:val="clear" w:color="auto" w:fill="auto"/>
            <w:noWrap/>
            <w:vAlign w:val="bottom"/>
            <w:hideMark/>
          </w:tcPr>
          <w:p w14:paraId="3BF1A571"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766" w:type="dxa"/>
            <w:shd w:val="clear" w:color="auto" w:fill="auto"/>
            <w:noWrap/>
            <w:vAlign w:val="bottom"/>
            <w:hideMark/>
          </w:tcPr>
          <w:p w14:paraId="4064BA6A"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c>
          <w:tcPr>
            <w:tcW w:w="674" w:type="dxa"/>
            <w:shd w:val="clear" w:color="auto" w:fill="auto"/>
            <w:noWrap/>
            <w:vAlign w:val="bottom"/>
            <w:hideMark/>
          </w:tcPr>
          <w:p w14:paraId="73505098"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i/>
                <w:iCs/>
                <w:color w:val="000000"/>
                <w:sz w:val="22"/>
              </w:rPr>
              <w:t> </w:t>
            </w:r>
          </w:p>
        </w:tc>
      </w:tr>
      <w:tr w:rsidR="00103F2C" w:rsidRPr="000562BD" w14:paraId="7AAA8942" w14:textId="77777777" w:rsidTr="00103F2C">
        <w:trPr>
          <w:trHeight w:val="292"/>
        </w:trPr>
        <w:tc>
          <w:tcPr>
            <w:tcW w:w="4027" w:type="dxa"/>
            <w:shd w:val="clear" w:color="auto" w:fill="auto"/>
            <w:noWrap/>
            <w:vAlign w:val="bottom"/>
            <w:hideMark/>
          </w:tcPr>
          <w:p w14:paraId="47612E79" w14:textId="77777777" w:rsidR="00103F2C" w:rsidRPr="000562BD" w:rsidRDefault="00103F2C" w:rsidP="00866433">
            <w:pPr>
              <w:suppressAutoHyphens w:val="0"/>
              <w:spacing w:before="60" w:after="60" w:line="276" w:lineRule="auto"/>
              <w:jc w:val="left"/>
              <w:rPr>
                <w:rFonts w:ascii="Times New Roman" w:hAnsi="Times New Roman"/>
                <w:color w:val="000000"/>
                <w:lang w:val="en-US"/>
              </w:rPr>
            </w:pPr>
            <w:r w:rsidRPr="000562BD">
              <w:rPr>
                <w:rFonts w:ascii="Times New Roman" w:hAnsi="Times New Roman"/>
                <w:color w:val="000000"/>
                <w:sz w:val="22"/>
                <w:lang w:val="en-US"/>
              </w:rPr>
              <w:t>Анекс I</w:t>
            </w:r>
            <w:r>
              <w:rPr>
                <w:rFonts w:ascii="Times New Roman" w:hAnsi="Times New Roman"/>
                <w:color w:val="000000"/>
                <w:sz w:val="22"/>
              </w:rPr>
              <w:t xml:space="preserve"> </w:t>
            </w:r>
            <w:r w:rsidRPr="000562BD">
              <w:rPr>
                <w:rFonts w:ascii="Times New Roman" w:hAnsi="Times New Roman"/>
                <w:color w:val="000000"/>
                <w:sz w:val="22"/>
                <w:lang w:val="en-US"/>
              </w:rPr>
              <w:t>- нефтени замърсявания</w:t>
            </w:r>
          </w:p>
        </w:tc>
        <w:tc>
          <w:tcPr>
            <w:tcW w:w="656" w:type="dxa"/>
            <w:shd w:val="clear" w:color="auto" w:fill="auto"/>
            <w:noWrap/>
            <w:vAlign w:val="bottom"/>
            <w:hideMark/>
          </w:tcPr>
          <w:p w14:paraId="7640B17E"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6788</w:t>
            </w:r>
          </w:p>
        </w:tc>
        <w:tc>
          <w:tcPr>
            <w:tcW w:w="694" w:type="dxa"/>
            <w:shd w:val="clear" w:color="auto" w:fill="auto"/>
            <w:noWrap/>
            <w:vAlign w:val="bottom"/>
            <w:hideMark/>
          </w:tcPr>
          <w:p w14:paraId="2AE6314D"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7008</w:t>
            </w:r>
          </w:p>
        </w:tc>
        <w:tc>
          <w:tcPr>
            <w:tcW w:w="656" w:type="dxa"/>
            <w:shd w:val="clear" w:color="auto" w:fill="auto"/>
            <w:noWrap/>
            <w:vAlign w:val="bottom"/>
            <w:hideMark/>
          </w:tcPr>
          <w:p w14:paraId="5BFE1AA2"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7235</w:t>
            </w:r>
          </w:p>
        </w:tc>
        <w:tc>
          <w:tcPr>
            <w:tcW w:w="656" w:type="dxa"/>
            <w:shd w:val="clear" w:color="auto" w:fill="auto"/>
            <w:noWrap/>
            <w:vAlign w:val="bottom"/>
            <w:hideMark/>
          </w:tcPr>
          <w:p w14:paraId="3E509384"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7470</w:t>
            </w:r>
          </w:p>
        </w:tc>
        <w:tc>
          <w:tcPr>
            <w:tcW w:w="668" w:type="dxa"/>
            <w:shd w:val="clear" w:color="auto" w:fill="auto"/>
            <w:noWrap/>
            <w:vAlign w:val="bottom"/>
            <w:hideMark/>
          </w:tcPr>
          <w:p w14:paraId="3438008D"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9643</w:t>
            </w:r>
          </w:p>
        </w:tc>
        <w:tc>
          <w:tcPr>
            <w:tcW w:w="766" w:type="dxa"/>
            <w:shd w:val="clear" w:color="auto" w:fill="auto"/>
            <w:noWrap/>
            <w:vAlign w:val="bottom"/>
            <w:hideMark/>
          </w:tcPr>
          <w:p w14:paraId="6379F3A4"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13268</w:t>
            </w:r>
          </w:p>
        </w:tc>
        <w:tc>
          <w:tcPr>
            <w:tcW w:w="674" w:type="dxa"/>
            <w:shd w:val="clear" w:color="auto" w:fill="auto"/>
            <w:noWrap/>
            <w:vAlign w:val="bottom"/>
            <w:hideMark/>
          </w:tcPr>
          <w:p w14:paraId="5884D349"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14602</w:t>
            </w:r>
          </w:p>
        </w:tc>
      </w:tr>
      <w:tr w:rsidR="00103F2C" w:rsidRPr="000562BD" w14:paraId="5A1383C3" w14:textId="77777777" w:rsidTr="00103F2C">
        <w:trPr>
          <w:trHeight w:val="292"/>
        </w:trPr>
        <w:tc>
          <w:tcPr>
            <w:tcW w:w="4027" w:type="dxa"/>
            <w:shd w:val="clear" w:color="auto" w:fill="auto"/>
            <w:noWrap/>
            <w:vAlign w:val="bottom"/>
            <w:hideMark/>
          </w:tcPr>
          <w:p w14:paraId="7B609ED6" w14:textId="77777777" w:rsidR="00103F2C" w:rsidRPr="000562BD" w:rsidRDefault="00103F2C" w:rsidP="00866433">
            <w:pPr>
              <w:suppressAutoHyphens w:val="0"/>
              <w:spacing w:before="60" w:after="60" w:line="276" w:lineRule="auto"/>
              <w:rPr>
                <w:rFonts w:ascii="Times New Roman" w:hAnsi="Times New Roman"/>
                <w:color w:val="000000"/>
                <w:lang w:val="en-US"/>
              </w:rPr>
            </w:pPr>
            <w:r w:rsidRPr="000562BD">
              <w:rPr>
                <w:rFonts w:ascii="Times New Roman" w:hAnsi="Times New Roman"/>
                <w:color w:val="000000"/>
                <w:sz w:val="22"/>
                <w:lang w:val="en-US"/>
              </w:rPr>
              <w:t>Анекс IV</w:t>
            </w:r>
            <w:r>
              <w:rPr>
                <w:rFonts w:ascii="Times New Roman" w:hAnsi="Times New Roman"/>
                <w:color w:val="000000"/>
                <w:sz w:val="22"/>
              </w:rPr>
              <w:t xml:space="preserve"> </w:t>
            </w:r>
            <w:r w:rsidRPr="000562BD">
              <w:rPr>
                <w:rFonts w:ascii="Times New Roman" w:hAnsi="Times New Roman"/>
                <w:color w:val="000000"/>
                <w:sz w:val="22"/>
                <w:lang w:val="en-US"/>
              </w:rPr>
              <w:t>- отпадъчни води</w:t>
            </w:r>
          </w:p>
        </w:tc>
        <w:tc>
          <w:tcPr>
            <w:tcW w:w="656" w:type="dxa"/>
            <w:shd w:val="clear" w:color="auto" w:fill="auto"/>
            <w:noWrap/>
            <w:vAlign w:val="bottom"/>
            <w:hideMark/>
          </w:tcPr>
          <w:p w14:paraId="44BA6D4E"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162</w:t>
            </w:r>
          </w:p>
        </w:tc>
        <w:tc>
          <w:tcPr>
            <w:tcW w:w="694" w:type="dxa"/>
            <w:shd w:val="clear" w:color="auto" w:fill="auto"/>
            <w:noWrap/>
            <w:vAlign w:val="bottom"/>
            <w:hideMark/>
          </w:tcPr>
          <w:p w14:paraId="3F002307"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167</w:t>
            </w:r>
          </w:p>
        </w:tc>
        <w:tc>
          <w:tcPr>
            <w:tcW w:w="656" w:type="dxa"/>
            <w:shd w:val="clear" w:color="auto" w:fill="auto"/>
            <w:noWrap/>
            <w:vAlign w:val="bottom"/>
            <w:hideMark/>
          </w:tcPr>
          <w:p w14:paraId="034C8748"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173</w:t>
            </w:r>
          </w:p>
        </w:tc>
        <w:tc>
          <w:tcPr>
            <w:tcW w:w="656" w:type="dxa"/>
            <w:shd w:val="clear" w:color="auto" w:fill="auto"/>
            <w:noWrap/>
            <w:vAlign w:val="bottom"/>
            <w:hideMark/>
          </w:tcPr>
          <w:p w14:paraId="29EE906D"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178</w:t>
            </w:r>
          </w:p>
        </w:tc>
        <w:tc>
          <w:tcPr>
            <w:tcW w:w="668" w:type="dxa"/>
            <w:shd w:val="clear" w:color="auto" w:fill="auto"/>
            <w:noWrap/>
            <w:vAlign w:val="bottom"/>
            <w:hideMark/>
          </w:tcPr>
          <w:p w14:paraId="40277313"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230</w:t>
            </w:r>
          </w:p>
        </w:tc>
        <w:tc>
          <w:tcPr>
            <w:tcW w:w="766" w:type="dxa"/>
            <w:shd w:val="clear" w:color="auto" w:fill="auto"/>
            <w:noWrap/>
            <w:vAlign w:val="bottom"/>
            <w:hideMark/>
          </w:tcPr>
          <w:p w14:paraId="447689B3"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317</w:t>
            </w:r>
          </w:p>
        </w:tc>
        <w:tc>
          <w:tcPr>
            <w:tcW w:w="674" w:type="dxa"/>
            <w:shd w:val="clear" w:color="auto" w:fill="auto"/>
            <w:noWrap/>
            <w:vAlign w:val="bottom"/>
            <w:hideMark/>
          </w:tcPr>
          <w:p w14:paraId="128D8427"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349</w:t>
            </w:r>
          </w:p>
        </w:tc>
      </w:tr>
      <w:tr w:rsidR="00103F2C" w:rsidRPr="000562BD" w14:paraId="73BF3D20" w14:textId="77777777" w:rsidTr="00103F2C">
        <w:trPr>
          <w:trHeight w:val="300"/>
        </w:trPr>
        <w:tc>
          <w:tcPr>
            <w:tcW w:w="4027" w:type="dxa"/>
            <w:shd w:val="clear" w:color="auto" w:fill="auto"/>
            <w:noWrap/>
            <w:vAlign w:val="bottom"/>
            <w:hideMark/>
          </w:tcPr>
          <w:p w14:paraId="39B2C780" w14:textId="77777777" w:rsidR="00103F2C" w:rsidRPr="000562BD" w:rsidRDefault="00103F2C" w:rsidP="00866433">
            <w:pPr>
              <w:suppressAutoHyphens w:val="0"/>
              <w:spacing w:before="60" w:after="60" w:line="276" w:lineRule="auto"/>
              <w:rPr>
                <w:rFonts w:ascii="Times New Roman" w:hAnsi="Times New Roman"/>
                <w:color w:val="000000"/>
                <w:lang w:val="en-US"/>
              </w:rPr>
            </w:pPr>
            <w:r w:rsidRPr="000562BD">
              <w:rPr>
                <w:rFonts w:ascii="Times New Roman" w:hAnsi="Times New Roman"/>
                <w:color w:val="000000"/>
                <w:sz w:val="22"/>
                <w:lang w:val="en-US"/>
              </w:rPr>
              <w:t>Анекс V</w:t>
            </w:r>
            <w:r>
              <w:rPr>
                <w:rFonts w:ascii="Times New Roman" w:hAnsi="Times New Roman"/>
                <w:color w:val="000000"/>
                <w:sz w:val="22"/>
              </w:rPr>
              <w:t xml:space="preserve"> </w:t>
            </w:r>
            <w:r w:rsidRPr="000562BD">
              <w:rPr>
                <w:rFonts w:ascii="Times New Roman" w:hAnsi="Times New Roman"/>
                <w:color w:val="000000"/>
                <w:sz w:val="22"/>
                <w:lang w:val="en-US"/>
              </w:rPr>
              <w:t>- битови отпадъци</w:t>
            </w:r>
          </w:p>
        </w:tc>
        <w:tc>
          <w:tcPr>
            <w:tcW w:w="656" w:type="dxa"/>
            <w:shd w:val="clear" w:color="auto" w:fill="auto"/>
            <w:noWrap/>
            <w:vAlign w:val="bottom"/>
            <w:hideMark/>
          </w:tcPr>
          <w:p w14:paraId="1A9C566A"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1270</w:t>
            </w:r>
          </w:p>
        </w:tc>
        <w:tc>
          <w:tcPr>
            <w:tcW w:w="694" w:type="dxa"/>
            <w:shd w:val="clear" w:color="auto" w:fill="auto"/>
            <w:noWrap/>
            <w:vAlign w:val="bottom"/>
            <w:hideMark/>
          </w:tcPr>
          <w:p w14:paraId="7AABDCF9"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1312</w:t>
            </w:r>
          </w:p>
        </w:tc>
        <w:tc>
          <w:tcPr>
            <w:tcW w:w="656" w:type="dxa"/>
            <w:shd w:val="clear" w:color="auto" w:fill="auto"/>
            <w:noWrap/>
            <w:vAlign w:val="bottom"/>
            <w:hideMark/>
          </w:tcPr>
          <w:p w14:paraId="2E492CB3"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1354</w:t>
            </w:r>
          </w:p>
        </w:tc>
        <w:tc>
          <w:tcPr>
            <w:tcW w:w="656" w:type="dxa"/>
            <w:shd w:val="clear" w:color="auto" w:fill="auto"/>
            <w:noWrap/>
            <w:vAlign w:val="bottom"/>
            <w:hideMark/>
          </w:tcPr>
          <w:p w14:paraId="4844ACC3"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1398</w:t>
            </w:r>
          </w:p>
        </w:tc>
        <w:tc>
          <w:tcPr>
            <w:tcW w:w="668" w:type="dxa"/>
            <w:shd w:val="clear" w:color="auto" w:fill="auto"/>
            <w:noWrap/>
            <w:vAlign w:val="bottom"/>
            <w:hideMark/>
          </w:tcPr>
          <w:p w14:paraId="0DA49799"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1805</w:t>
            </w:r>
          </w:p>
        </w:tc>
        <w:tc>
          <w:tcPr>
            <w:tcW w:w="766" w:type="dxa"/>
            <w:shd w:val="clear" w:color="auto" w:fill="auto"/>
            <w:noWrap/>
            <w:vAlign w:val="bottom"/>
            <w:hideMark/>
          </w:tcPr>
          <w:p w14:paraId="7E588B7D"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2483</w:t>
            </w:r>
          </w:p>
        </w:tc>
        <w:tc>
          <w:tcPr>
            <w:tcW w:w="674" w:type="dxa"/>
            <w:shd w:val="clear" w:color="auto" w:fill="auto"/>
            <w:noWrap/>
            <w:vAlign w:val="bottom"/>
            <w:hideMark/>
          </w:tcPr>
          <w:p w14:paraId="25EC427B" w14:textId="77777777" w:rsidR="00103F2C" w:rsidRPr="00B8464F" w:rsidRDefault="00103F2C" w:rsidP="00866433">
            <w:pPr>
              <w:suppressAutoHyphens w:val="0"/>
              <w:spacing w:before="60" w:after="60" w:line="276" w:lineRule="auto"/>
              <w:jc w:val="center"/>
              <w:rPr>
                <w:rFonts w:ascii="Times New Roman" w:hAnsi="Times New Roman"/>
                <w:color w:val="000000"/>
                <w:highlight w:val="yellow"/>
                <w:lang w:val="en-US"/>
              </w:rPr>
            </w:pPr>
            <w:r w:rsidRPr="00B8464F">
              <w:rPr>
                <w:rFonts w:ascii="Times New Roman" w:hAnsi="Times New Roman"/>
                <w:color w:val="000000"/>
                <w:sz w:val="22"/>
              </w:rPr>
              <w:t>2733</w:t>
            </w:r>
          </w:p>
        </w:tc>
      </w:tr>
    </w:tbl>
    <w:p w14:paraId="0A98E9AB" w14:textId="77777777" w:rsidR="00103F2C" w:rsidRPr="000562BD" w:rsidRDefault="00103F2C" w:rsidP="00103F2C">
      <w:pPr>
        <w:spacing w:after="240"/>
        <w:ind w:left="-360"/>
        <w:rPr>
          <w:rFonts w:ascii="Times New Roman" w:hAnsi="Times New Roman"/>
          <w:i/>
          <w:noProof/>
          <w:sz w:val="20"/>
          <w:szCs w:val="20"/>
        </w:rPr>
      </w:pPr>
      <w:r w:rsidRPr="000562BD">
        <w:rPr>
          <w:rFonts w:ascii="Times New Roman" w:hAnsi="Times New Roman"/>
          <w:i/>
          <w:noProof/>
          <w:sz w:val="20"/>
          <w:szCs w:val="20"/>
        </w:rPr>
        <w:t xml:space="preserve">       Източник: Собствени изчисления на консултанта </w:t>
      </w:r>
    </w:p>
    <w:p w14:paraId="33E3695C" w14:textId="77777777" w:rsidR="00103F2C" w:rsidRDefault="00103F2C" w:rsidP="00103F2C">
      <w:pPr>
        <w:pStyle w:val="MoIBody"/>
        <w:rPr>
          <w:noProof/>
          <w:lang w:val="en-US"/>
        </w:rPr>
      </w:pPr>
      <w:r>
        <w:rPr>
          <w:noProof/>
        </w:rPr>
        <w:t>Тези стойности са използвани в прогнозата за приходите и разходите, като част от приходите и разходите за ДППИ, във връзка с таксите за приемане и обработване на отпадъци, резултат от корабоплавателната дейност за пристанище Варна.</w:t>
      </w:r>
    </w:p>
    <w:p w14:paraId="5931FF9F" w14:textId="1E58C711" w:rsidR="00842AAB" w:rsidRDefault="00842AAB" w:rsidP="003102D7">
      <w:pPr>
        <w:pStyle w:val="MoIBody"/>
        <w:rPr>
          <w:noProof/>
        </w:rPr>
      </w:pPr>
      <w:r>
        <w:rPr>
          <w:noProof/>
        </w:rPr>
        <w:t>За нужд</w:t>
      </w:r>
      <w:r w:rsidR="002846BD">
        <w:rPr>
          <w:noProof/>
        </w:rPr>
        <w:t>ите на Финансовия анализ по чл.</w:t>
      </w:r>
      <w:r w:rsidR="002846BD" w:rsidRPr="00103F2C">
        <w:rPr>
          <w:noProof/>
        </w:rPr>
        <w:t>56</w:t>
      </w:r>
      <w:r w:rsidR="00103F2C" w:rsidRPr="00103F2C">
        <w:rPr>
          <w:noProof/>
        </w:rPr>
        <w:t>б</w:t>
      </w:r>
      <w:r w:rsidR="002846BD" w:rsidRPr="00103F2C">
        <w:rPr>
          <w:noProof/>
        </w:rPr>
        <w:t xml:space="preserve"> </w:t>
      </w:r>
      <w:r w:rsidRPr="00103F2C">
        <w:rPr>
          <w:noProof/>
        </w:rPr>
        <w:t>,</w:t>
      </w:r>
      <w:r>
        <w:rPr>
          <w:noProof/>
        </w:rPr>
        <w:t xml:space="preserve"> при  сега действащата нормативна уредба, са необходими данни за броя кораби </w:t>
      </w:r>
      <w:r w:rsidR="00C254BE">
        <w:rPr>
          <w:noProof/>
        </w:rPr>
        <w:t>посетили пристанищата</w:t>
      </w:r>
      <w:r>
        <w:rPr>
          <w:noProof/>
        </w:rPr>
        <w:t xml:space="preserve">, защото </w:t>
      </w:r>
      <w:r w:rsidR="00C6742D">
        <w:rPr>
          <w:noProof/>
        </w:rPr>
        <w:t>индиректните такси</w:t>
      </w:r>
      <w:r>
        <w:rPr>
          <w:noProof/>
        </w:rPr>
        <w:t xml:space="preserve"> за обработка на от</w:t>
      </w:r>
      <w:r w:rsidR="00C6742D">
        <w:rPr>
          <w:noProof/>
        </w:rPr>
        <w:t>падъци са определени за всяко посещение и на практика това са приходите за ДППИ</w:t>
      </w:r>
      <w:r>
        <w:rPr>
          <w:noProof/>
        </w:rPr>
        <w:t>. С определянето</w:t>
      </w:r>
      <w:r w:rsidR="00C6742D">
        <w:rPr>
          <w:noProof/>
        </w:rPr>
        <w:t xml:space="preserve"> на прогнозите количества отпадъци</w:t>
      </w:r>
      <w:r>
        <w:rPr>
          <w:noProof/>
        </w:rPr>
        <w:t xml:space="preserve">, обаче се дава възможност за необходимите стъпки в посока за определяне на директна такса, на база определени количества от всеки вид отпадък, както и обхвата на договорите за предоставяне на услугата на Оператори. </w:t>
      </w:r>
    </w:p>
    <w:p w14:paraId="6E285CE3" w14:textId="7E8E445C" w:rsidR="003102D7" w:rsidRDefault="003102D7">
      <w:pPr>
        <w:suppressAutoHyphens w:val="0"/>
        <w:spacing w:after="0" w:line="240" w:lineRule="auto"/>
        <w:jc w:val="left"/>
        <w:rPr>
          <w:rFonts w:ascii="Times New Roman" w:hAnsi="Times New Roman"/>
          <w:color w:val="000000"/>
          <w:lang w:val="en-US"/>
        </w:rPr>
      </w:pPr>
    </w:p>
    <w:p w14:paraId="0CA7F3A4" w14:textId="6211EDFE" w:rsidR="006C1740" w:rsidRDefault="006C1740">
      <w:pPr>
        <w:suppressAutoHyphens w:val="0"/>
        <w:spacing w:after="0" w:line="240" w:lineRule="auto"/>
        <w:jc w:val="left"/>
        <w:rPr>
          <w:rFonts w:ascii="Times New Roman" w:hAnsi="Times New Roman"/>
          <w:color w:val="000000"/>
          <w:lang w:val="en-US"/>
        </w:rPr>
      </w:pPr>
      <w:bookmarkStart w:id="21" w:name="_Toc13831902"/>
      <w:r>
        <w:rPr>
          <w:rFonts w:ascii="Times New Roman" w:hAnsi="Times New Roman"/>
          <w:color w:val="000000"/>
          <w:lang w:val="en-US"/>
        </w:rPr>
        <w:br w:type="page"/>
      </w:r>
    </w:p>
    <w:p w14:paraId="6B96EB6F" w14:textId="77777777" w:rsidR="00990828" w:rsidRDefault="00990828" w:rsidP="00990828">
      <w:pPr>
        <w:pStyle w:val="Heading1"/>
      </w:pPr>
      <w:bookmarkStart w:id="22" w:name="_Toc13831908"/>
      <w:bookmarkStart w:id="23" w:name="_Toc43309115"/>
      <w:bookmarkEnd w:id="21"/>
      <w:r w:rsidRPr="00F84C77">
        <w:lastRenderedPageBreak/>
        <w:t>ФИНАНСОВ АНАЛИЗ</w:t>
      </w:r>
      <w:bookmarkEnd w:id="22"/>
      <w:bookmarkEnd w:id="23"/>
    </w:p>
    <w:p w14:paraId="0E6063FF" w14:textId="38C99F9D" w:rsidR="00942B8B" w:rsidRDefault="00D365FF" w:rsidP="00D365FF">
      <w:pPr>
        <w:pStyle w:val="MoIBody"/>
      </w:pPr>
      <w:r>
        <w:t xml:space="preserve">Целта на Финансовия анализ и </w:t>
      </w:r>
      <w:r w:rsidRPr="00D365FF">
        <w:t>да се пресметнат стойностите на индикаторите за</w:t>
      </w:r>
      <w:r>
        <w:t xml:space="preserve"> определяне на допустимите разходи и интензитета на помощта в </w:t>
      </w:r>
      <w:r w:rsidR="00D27DCE">
        <w:t>съответствие</w:t>
      </w:r>
      <w:r>
        <w:t xml:space="preserve"> с чл.56, пар.4 в от ОРГО. В него е казано, че </w:t>
      </w:r>
      <w:r w:rsidRPr="00D365FF">
        <w:t>размерът на помощта не може да надхвърля разликата от между допустимите разходи и оперативната печалба  от инвестицията</w:t>
      </w:r>
      <w:r>
        <w:t>.</w:t>
      </w:r>
    </w:p>
    <w:p w14:paraId="227C5F4F" w14:textId="553A85D3" w:rsidR="00D365FF" w:rsidRDefault="00D365FF" w:rsidP="00D365FF">
      <w:pPr>
        <w:pStyle w:val="MoIBody"/>
      </w:pPr>
      <w:r>
        <w:t>Това изисква определянето на:</w:t>
      </w:r>
    </w:p>
    <w:p w14:paraId="412CC9CB" w14:textId="50FDC426" w:rsidR="00D365FF" w:rsidRDefault="00D365FF" w:rsidP="00D365FF">
      <w:pPr>
        <w:pStyle w:val="MoIBody"/>
        <w:numPr>
          <w:ilvl w:val="0"/>
          <w:numId w:val="31"/>
        </w:numPr>
      </w:pPr>
      <w:r>
        <w:t>Допустимите разходи, чрез сконтиране в случай че се изплащат на части към дата на изготвяне на анализа</w:t>
      </w:r>
    </w:p>
    <w:p w14:paraId="077CBDAE" w14:textId="5B7DDD1D" w:rsidR="00D365FF" w:rsidRDefault="00D365FF" w:rsidP="00D365FF">
      <w:pPr>
        <w:pStyle w:val="MoIBody"/>
        <w:numPr>
          <w:ilvl w:val="0"/>
          <w:numId w:val="31"/>
        </w:numPr>
      </w:pPr>
      <w:r>
        <w:t xml:space="preserve">Приходи от инвестицията, определени към дата на изготвяне на анализа, чрез сконтирането им </w:t>
      </w:r>
    </w:p>
    <w:p w14:paraId="2501F370" w14:textId="28399A28" w:rsidR="00D365FF" w:rsidRDefault="00D365FF" w:rsidP="00D365FF">
      <w:pPr>
        <w:pStyle w:val="MoIBody"/>
        <w:numPr>
          <w:ilvl w:val="0"/>
          <w:numId w:val="31"/>
        </w:numPr>
      </w:pPr>
      <w:r>
        <w:t>Оперативни разходи за периода на експлоатация, определени към дата на изготвяне на анализа, чрез сконтирането им.</w:t>
      </w:r>
    </w:p>
    <w:p w14:paraId="4AEFC8A4" w14:textId="7F194194" w:rsidR="00D365FF" w:rsidRPr="00D365FF" w:rsidRDefault="00D365FF" w:rsidP="00D365FF">
      <w:pPr>
        <w:pStyle w:val="MoIBody"/>
        <w:numPr>
          <w:ilvl w:val="0"/>
          <w:numId w:val="31"/>
        </w:numPr>
      </w:pPr>
      <w:r>
        <w:t>Оперативна печалба, която представлява разликата между сконтираните приходите и разходи</w:t>
      </w:r>
    </w:p>
    <w:p w14:paraId="17D2EF8C" w14:textId="09A50014" w:rsidR="00990828" w:rsidRDefault="00463F81" w:rsidP="00990828">
      <w:pPr>
        <w:pStyle w:val="MoIBody"/>
      </w:pPr>
      <w:r>
        <w:t>При изготвянето на Финансовия анализ  са и</w:t>
      </w:r>
      <w:r w:rsidR="00990828">
        <w:t>зползвани следните основни документи:</w:t>
      </w:r>
    </w:p>
    <w:p w14:paraId="4EACCEB0" w14:textId="0AD3388C" w:rsidR="00463F81" w:rsidRDefault="00463F81" w:rsidP="00463F81">
      <w:pPr>
        <w:numPr>
          <w:ilvl w:val="0"/>
          <w:numId w:val="20"/>
        </w:numPr>
        <w:suppressAutoHyphens w:val="0"/>
        <w:autoSpaceDN/>
        <w:spacing w:after="0" w:line="276" w:lineRule="auto"/>
        <w:textAlignment w:val="auto"/>
        <w:rPr>
          <w:rFonts w:ascii="Times New Roman" w:hAnsi="Times New Roman"/>
        </w:rPr>
      </w:pPr>
      <w:r w:rsidRPr="00463F81">
        <w:rPr>
          <w:rFonts w:ascii="Times New Roman" w:hAnsi="Times New Roman"/>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p>
    <w:p w14:paraId="642D141F" w14:textId="2F4A3990" w:rsidR="00463F81" w:rsidRPr="00D365FF" w:rsidRDefault="00D365FF" w:rsidP="00D365FF">
      <w:pPr>
        <w:numPr>
          <w:ilvl w:val="0"/>
          <w:numId w:val="20"/>
        </w:numPr>
        <w:suppressAutoHyphens w:val="0"/>
        <w:autoSpaceDN/>
        <w:spacing w:after="0" w:line="276" w:lineRule="auto"/>
        <w:textAlignment w:val="auto"/>
        <w:rPr>
          <w:rFonts w:ascii="Times New Roman" w:hAnsi="Times New Roman"/>
        </w:rPr>
      </w:pPr>
      <w:r w:rsidRPr="00D365FF">
        <w:rPr>
          <w:rFonts w:ascii="Times New Roman" w:hAnsi="Times New Roman"/>
        </w:rPr>
        <w:t>ДИРЕКТИВА (ЕС) 2019/883 НА ЕВРОПЕЙСКИЯ ПАРЛАМЕНТ И НА СЪВЕТА от 17 април 2019 година, относно пристанищните приемни съоръжения за предаване на отпадъци от кораби,</w:t>
      </w:r>
    </w:p>
    <w:p w14:paraId="123C88D5" w14:textId="0D88A84A"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Регламент 1303/2013</w:t>
      </w:r>
      <w:r w:rsidR="00CB0563">
        <w:rPr>
          <w:rFonts w:ascii="Times New Roman" w:hAnsi="Times New Roman"/>
        </w:rPr>
        <w:t>;</w:t>
      </w:r>
    </w:p>
    <w:p w14:paraId="375A04FB" w14:textId="52CFD459"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Регламенти за прилагане 207/2015</w:t>
      </w:r>
      <w:r w:rsidR="00CB0563">
        <w:rPr>
          <w:rFonts w:ascii="Times New Roman" w:hAnsi="Times New Roman"/>
        </w:rPr>
        <w:t>;</w:t>
      </w:r>
    </w:p>
    <w:p w14:paraId="137DF477" w14:textId="0A123719"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Делегиран Регламент 480/2014</w:t>
      </w:r>
      <w:r w:rsidR="00CB0563">
        <w:rPr>
          <w:rFonts w:ascii="Times New Roman" w:hAnsi="Times New Roman"/>
        </w:rPr>
        <w:t>;</w:t>
      </w:r>
    </w:p>
    <w:p w14:paraId="5857A0CF" w14:textId="6A2F6A02"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ЗАКОН за управление на средствата от Европейските структурни и инвестиционни фондове</w:t>
      </w:r>
      <w:r w:rsidR="00CB0563">
        <w:rPr>
          <w:rFonts w:ascii="Times New Roman" w:hAnsi="Times New Roman"/>
        </w:rPr>
        <w:t>;</w:t>
      </w:r>
    </w:p>
    <w:p w14:paraId="34C0FC44" w14:textId="3802C317"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ПМС № 189</w:t>
      </w:r>
      <w:r w:rsidR="00CB0563">
        <w:rPr>
          <w:rFonts w:ascii="Times New Roman" w:hAnsi="Times New Roman"/>
        </w:rPr>
        <w:t>/2016.</w:t>
      </w:r>
      <w:r w:rsidRPr="00990828">
        <w:rPr>
          <w:rFonts w:ascii="Times New Roman" w:hAnsi="Times New Roman"/>
        </w:rPr>
        <w:t xml:space="preserve"> </w:t>
      </w:r>
    </w:p>
    <w:p w14:paraId="39826B36" w14:textId="77777777" w:rsidR="00990828" w:rsidRPr="005D066F" w:rsidRDefault="00990828" w:rsidP="005D066F">
      <w:pPr>
        <w:keepNext/>
        <w:keepLines/>
        <w:tabs>
          <w:tab w:val="left" w:pos="907"/>
        </w:tabs>
        <w:suppressAutoHyphens w:val="0"/>
        <w:autoSpaceDN/>
        <w:spacing w:before="120" w:after="120" w:line="240" w:lineRule="auto"/>
        <w:textAlignment w:val="auto"/>
        <w:outlineLvl w:val="1"/>
        <w:rPr>
          <w:b/>
          <w:vanish/>
        </w:rPr>
      </w:pPr>
      <w:bookmarkStart w:id="24" w:name="_Toc488234378"/>
      <w:bookmarkStart w:id="25" w:name="_Toc488426493"/>
      <w:bookmarkStart w:id="26" w:name="_Toc488426540"/>
      <w:bookmarkStart w:id="27" w:name="_Toc488663506"/>
      <w:bookmarkStart w:id="28" w:name="_Toc488663575"/>
      <w:bookmarkStart w:id="29" w:name="_Toc493617462"/>
      <w:bookmarkStart w:id="30" w:name="_Toc493617551"/>
      <w:bookmarkStart w:id="31" w:name="_Toc13045943"/>
      <w:bookmarkStart w:id="32" w:name="_Toc13831747"/>
      <w:bookmarkStart w:id="33" w:name="_Toc13831824"/>
      <w:bookmarkStart w:id="34" w:name="_Toc13831909"/>
      <w:bookmarkStart w:id="35" w:name="_Toc488234380"/>
      <w:bookmarkStart w:id="36" w:name="_Toc488426495"/>
      <w:bookmarkStart w:id="37" w:name="_Toc488426542"/>
      <w:bookmarkStart w:id="38" w:name="_Toc488663508"/>
      <w:bookmarkStart w:id="39" w:name="_Toc488663577"/>
      <w:bookmarkStart w:id="40" w:name="_Toc493617464"/>
      <w:bookmarkStart w:id="41" w:name="_Toc493617553"/>
      <w:bookmarkStart w:id="42" w:name="_Toc13045945"/>
      <w:bookmarkStart w:id="43" w:name="_Toc13831749"/>
      <w:bookmarkStart w:id="44" w:name="_Toc13831826"/>
      <w:bookmarkStart w:id="45" w:name="_Toc1383191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B57BDB9" w14:textId="77777777" w:rsidR="00990828" w:rsidRDefault="00990828" w:rsidP="00990828">
      <w:pPr>
        <w:pStyle w:val="Heading2"/>
      </w:pPr>
      <w:bookmarkStart w:id="46" w:name="_Toc13831912"/>
      <w:bookmarkStart w:id="47" w:name="_Toc43309116"/>
      <w:r>
        <w:t>Основни допускания</w:t>
      </w:r>
      <w:bookmarkEnd w:id="46"/>
      <w:bookmarkEnd w:id="47"/>
    </w:p>
    <w:p w14:paraId="50164A82" w14:textId="77777777" w:rsidR="00990828" w:rsidRPr="00D040A4" w:rsidRDefault="00990828" w:rsidP="00990828">
      <w:pPr>
        <w:pStyle w:val="MoIBody"/>
      </w:pPr>
      <w:r>
        <w:t>При изготвянето на финансовия анализ</w:t>
      </w:r>
      <w:r w:rsidRPr="00D040A4">
        <w:t xml:space="preserve"> са направени следните допускания:</w:t>
      </w:r>
    </w:p>
    <w:p w14:paraId="02353113" w14:textId="5D032691"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Базовата година е 2018 г.</w:t>
      </w:r>
      <w:r w:rsidR="00CB0563">
        <w:rPr>
          <w:rFonts w:ascii="Times New Roman" w:hAnsi="Times New Roman"/>
        </w:rPr>
        <w:t>;</w:t>
      </w:r>
    </w:p>
    <w:p w14:paraId="4DA86331" w14:textId="5CEB6104"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Първата година от прогнозния период е 2019 г.</w:t>
      </w:r>
      <w:r w:rsidR="00CB0563">
        <w:rPr>
          <w:rFonts w:ascii="Times New Roman" w:hAnsi="Times New Roman"/>
        </w:rPr>
        <w:t>;</w:t>
      </w:r>
    </w:p>
    <w:p w14:paraId="4FF23EF8" w14:textId="4CF5B636"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Референтният период е 25 години до 2043 г.</w:t>
      </w:r>
      <w:r w:rsidR="00CB0563">
        <w:rPr>
          <w:rFonts w:ascii="Times New Roman" w:hAnsi="Times New Roman"/>
        </w:rPr>
        <w:t>;</w:t>
      </w:r>
    </w:p>
    <w:p w14:paraId="1B669DB7" w14:textId="59A46209"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Използвана е реална дисконтова норма</w:t>
      </w:r>
      <w:r w:rsidR="002846BD">
        <w:rPr>
          <w:rFonts w:ascii="Times New Roman" w:hAnsi="Times New Roman"/>
        </w:rPr>
        <w:t xml:space="preserve">, в размер на   </w:t>
      </w:r>
      <w:r w:rsidR="002F16CD">
        <w:rPr>
          <w:rFonts w:ascii="Times New Roman" w:hAnsi="Times New Roman"/>
        </w:rPr>
        <w:t>1</w:t>
      </w:r>
      <w:r w:rsidR="002846BD">
        <w:rPr>
          <w:rFonts w:ascii="Times New Roman" w:hAnsi="Times New Roman"/>
        </w:rPr>
        <w:t>,0</w:t>
      </w:r>
      <w:r w:rsidRPr="00990828">
        <w:rPr>
          <w:rFonts w:ascii="Times New Roman" w:hAnsi="Times New Roman"/>
        </w:rPr>
        <w:t>%</w:t>
      </w:r>
      <w:r w:rsidR="00CB0563">
        <w:rPr>
          <w:rFonts w:ascii="Times New Roman" w:hAnsi="Times New Roman"/>
        </w:rPr>
        <w:t>;</w:t>
      </w:r>
    </w:p>
    <w:p w14:paraId="4ABD455B" w14:textId="2C930420"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Всички изчисления са в постоянни цени</w:t>
      </w:r>
      <w:r w:rsidR="00CB0563">
        <w:rPr>
          <w:rFonts w:ascii="Times New Roman" w:hAnsi="Times New Roman"/>
        </w:rPr>
        <w:t>;</w:t>
      </w:r>
      <w:r w:rsidRPr="00990828">
        <w:rPr>
          <w:rFonts w:ascii="Times New Roman" w:hAnsi="Times New Roman"/>
        </w:rPr>
        <w:t xml:space="preserve"> </w:t>
      </w:r>
    </w:p>
    <w:p w14:paraId="5A1A7FA9" w14:textId="2B79C476"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 xml:space="preserve">Приетият полезен живот е 10 години за </w:t>
      </w:r>
      <w:r w:rsidR="002846BD">
        <w:rPr>
          <w:rFonts w:ascii="Times New Roman" w:hAnsi="Times New Roman"/>
        </w:rPr>
        <w:t xml:space="preserve">ППС и СПРЕАЗ </w:t>
      </w:r>
      <w:r w:rsidRPr="00990828">
        <w:rPr>
          <w:rFonts w:ascii="Times New Roman" w:hAnsi="Times New Roman"/>
        </w:rPr>
        <w:t>при изчисляване на остатъчната стойност на активите</w:t>
      </w:r>
      <w:r w:rsidR="00CB0563">
        <w:rPr>
          <w:rFonts w:ascii="Times New Roman" w:hAnsi="Times New Roman"/>
        </w:rPr>
        <w:t>;</w:t>
      </w:r>
    </w:p>
    <w:p w14:paraId="45A05ACC" w14:textId="256C7BC6" w:rsidR="00990828" w:rsidRPr="00990828" w:rsidRDefault="00CB0563" w:rsidP="00F42352">
      <w:pPr>
        <w:numPr>
          <w:ilvl w:val="0"/>
          <w:numId w:val="20"/>
        </w:numPr>
        <w:suppressAutoHyphens w:val="0"/>
        <w:autoSpaceDN/>
        <w:spacing w:after="0" w:line="276" w:lineRule="auto"/>
        <w:textAlignment w:val="auto"/>
        <w:rPr>
          <w:rFonts w:ascii="Times New Roman" w:hAnsi="Times New Roman"/>
        </w:rPr>
      </w:pPr>
      <w:r>
        <w:rPr>
          <w:rFonts w:ascii="Times New Roman" w:hAnsi="Times New Roman"/>
        </w:rPr>
        <w:lastRenderedPageBreak/>
        <w:t>ДДС не е допустим</w:t>
      </w:r>
      <w:r w:rsidR="00990828" w:rsidRPr="00990828">
        <w:rPr>
          <w:rFonts w:ascii="Times New Roman" w:hAnsi="Times New Roman"/>
        </w:rPr>
        <w:t>, тъй като е възстановим разход за крайния бенефициент</w:t>
      </w:r>
      <w:r>
        <w:rPr>
          <w:rFonts w:ascii="Times New Roman" w:hAnsi="Times New Roman"/>
        </w:rPr>
        <w:t>.</w:t>
      </w:r>
    </w:p>
    <w:p w14:paraId="53FD37EB" w14:textId="7102CEAC" w:rsidR="00463F81" w:rsidRDefault="00990828" w:rsidP="00990828">
      <w:pPr>
        <w:pStyle w:val="MoIBody"/>
      </w:pPr>
      <w:r w:rsidRPr="00D040A4">
        <w:t>Финансовият анализ</w:t>
      </w:r>
      <w:r w:rsidR="00CB0563">
        <w:t xml:space="preserve"> е изготвен </w:t>
      </w:r>
      <w:r w:rsidR="00463F81">
        <w:t xml:space="preserve">по метода </w:t>
      </w:r>
      <w:r w:rsidR="00D365FF" w:rsidRPr="00D365FF">
        <w:t>на остатъчните исторически разходи</w:t>
      </w:r>
      <w:r w:rsidR="008047BB">
        <w:t>.</w:t>
      </w:r>
    </w:p>
    <w:p w14:paraId="0DCCB2C8" w14:textId="5188CAE5" w:rsidR="006F12D6" w:rsidRPr="00004886" w:rsidRDefault="006F12D6" w:rsidP="006F12D6">
      <w:pPr>
        <w:suppressAutoHyphens w:val="0"/>
        <w:autoSpaceDN/>
        <w:spacing w:line="259" w:lineRule="auto"/>
        <w:jc w:val="left"/>
        <w:textAlignment w:val="auto"/>
        <w:rPr>
          <w:rFonts w:ascii="Times New Roman" w:eastAsiaTheme="minorHAnsi" w:hAnsi="Times New Roman"/>
          <w:b/>
          <w:szCs w:val="24"/>
        </w:rPr>
      </w:pPr>
      <w:r>
        <w:rPr>
          <w:rFonts w:ascii="Times New Roman" w:eastAsiaTheme="minorHAnsi" w:hAnsi="Times New Roman"/>
          <w:b/>
          <w:szCs w:val="24"/>
        </w:rPr>
        <w:t>Избор на финансова дисконтова  норма</w:t>
      </w:r>
    </w:p>
    <w:p w14:paraId="00F34979"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В икономическата литература има описано много и различни начини  за определяне на дисконтовия процент, който се прилага за определяне на Нетната настояща стойност. Изборът на най-подходящ подход зависи от целта, обекта, хоризонта, рисковете, наличната информация и други фактори, които всеки консултант преценява предварително и мотивира избора на такъв процент. </w:t>
      </w:r>
    </w:p>
    <w:p w14:paraId="10565DE2"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За избора на подходяща дисконтова норма е  извършен предварителен анализ за приложимост на различните методи и подходи за определяне на дисконтовия процент, включително:</w:t>
      </w:r>
    </w:p>
    <w:p w14:paraId="5C5C600C" w14:textId="77777777" w:rsidR="006F12D6" w:rsidRPr="00004886" w:rsidRDefault="006F12D6" w:rsidP="006F12D6">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A Refresher on Net Present Value, FINANCE &amp; ACCOUNTING of Harvard Business Review</w:t>
      </w:r>
      <w:r w:rsidRPr="00004886">
        <w:rPr>
          <w:rFonts w:ascii="Times New Roman" w:eastAsiaTheme="minorHAnsi" w:hAnsi="Times New Roman"/>
          <w:szCs w:val="24"/>
          <w:vertAlign w:val="superscript"/>
        </w:rPr>
        <w:footnoteReference w:id="8"/>
      </w:r>
      <w:r w:rsidRPr="00004886">
        <w:rPr>
          <w:rFonts w:ascii="Times New Roman" w:eastAsiaTheme="minorHAnsi" w:hAnsi="Times New Roman"/>
          <w:szCs w:val="24"/>
        </w:rPr>
        <w:t xml:space="preserve">, </w:t>
      </w:r>
    </w:p>
    <w:p w14:paraId="5EDD937F" w14:textId="77777777" w:rsidR="006F12D6" w:rsidRPr="00004886" w:rsidRDefault="006F12D6" w:rsidP="006F12D6">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lang w:val="en-US"/>
        </w:rPr>
        <w:t>How to find discount rate to determine NPV</w:t>
      </w:r>
      <w:r w:rsidRPr="00004886">
        <w:rPr>
          <w:rFonts w:ascii="Times New Roman" w:eastAsiaTheme="minorHAnsi" w:hAnsi="Times New Roman"/>
          <w:szCs w:val="24"/>
          <w:vertAlign w:val="superscript"/>
          <w:lang w:val="en-US"/>
        </w:rPr>
        <w:footnoteReference w:id="9"/>
      </w:r>
    </w:p>
    <w:p w14:paraId="75705D47" w14:textId="77777777" w:rsidR="006F12D6" w:rsidRPr="00004886" w:rsidRDefault="006F12D6" w:rsidP="006F12D6">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Discount Rate, CFI</w:t>
      </w:r>
      <w:r w:rsidRPr="00004886">
        <w:rPr>
          <w:rFonts w:ascii="Times New Roman" w:eastAsiaTheme="minorHAnsi" w:hAnsi="Times New Roman"/>
          <w:szCs w:val="24"/>
          <w:vertAlign w:val="superscript"/>
        </w:rPr>
        <w:footnoteReference w:id="10"/>
      </w:r>
      <w:r w:rsidRPr="00004886">
        <w:rPr>
          <w:rFonts w:ascii="Times New Roman" w:eastAsiaTheme="minorHAnsi" w:hAnsi="Times New Roman"/>
          <w:szCs w:val="24"/>
          <w:lang w:val="en-US"/>
        </w:rPr>
        <w:t xml:space="preserve"> </w:t>
      </w:r>
    </w:p>
    <w:p w14:paraId="72B76D71" w14:textId="77777777" w:rsidR="006F12D6" w:rsidRPr="00004886" w:rsidRDefault="006F12D6" w:rsidP="006F12D6">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lang w:val="en-US"/>
        </w:rPr>
        <w:t xml:space="preserve">Annex I </w:t>
      </w:r>
      <w:r w:rsidRPr="00004886">
        <w:rPr>
          <w:rFonts w:ascii="Times New Roman" w:eastAsiaTheme="minorHAnsi" w:hAnsi="Times New Roman"/>
          <w:szCs w:val="24"/>
        </w:rPr>
        <w:t xml:space="preserve"> </w:t>
      </w:r>
      <w:r w:rsidRPr="00004886">
        <w:rPr>
          <w:rFonts w:ascii="Times New Roman" w:eastAsiaTheme="minorHAnsi" w:hAnsi="Times New Roman"/>
          <w:szCs w:val="24"/>
          <w:lang w:val="en-US"/>
        </w:rPr>
        <w:t xml:space="preserve"> The financial discounting rate</w:t>
      </w:r>
      <w:r w:rsidRPr="00004886">
        <w:rPr>
          <w:rFonts w:ascii="Times New Roman" w:eastAsiaTheme="minorHAnsi" w:hAnsi="Times New Roman"/>
          <w:szCs w:val="24"/>
        </w:rPr>
        <w:t xml:space="preserve">  to CBA Guide, 2014</w:t>
      </w:r>
    </w:p>
    <w:p w14:paraId="01EE839D" w14:textId="77777777" w:rsidR="006F12D6" w:rsidRPr="00004886" w:rsidRDefault="006F12D6" w:rsidP="006F12D6">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 xml:space="preserve">Референтен лихвен процент за България в сила от 01.01.2020г. и писмо на ЕК относно </w:t>
      </w:r>
      <w:r w:rsidRPr="00004886">
        <w:rPr>
          <w:rFonts w:ascii="Times New Roman" w:eastAsiaTheme="minorHAnsi" w:hAnsi="Times New Roman"/>
          <w:szCs w:val="24"/>
          <w:lang w:val="en-US"/>
        </w:rPr>
        <w:t>Референтни ставки, сконтови лихвени проценти и лихвени проценти за възстановяване на държавни помощи</w:t>
      </w:r>
      <w:r w:rsidRPr="00004886">
        <w:rPr>
          <w:rFonts w:ascii="Times New Roman" w:eastAsiaTheme="minorHAnsi" w:hAnsi="Times New Roman"/>
          <w:szCs w:val="24"/>
        </w:rPr>
        <w:t xml:space="preserve"> от 9.12.2019г.</w:t>
      </w:r>
    </w:p>
    <w:p w14:paraId="363BBF61" w14:textId="77777777" w:rsidR="006F12D6" w:rsidRDefault="006F12D6" w:rsidP="006F12D6">
      <w:pPr>
        <w:suppressAutoHyphens w:val="0"/>
        <w:autoSpaceDN/>
        <w:spacing w:line="259" w:lineRule="auto"/>
        <w:textAlignment w:val="auto"/>
        <w:rPr>
          <w:rFonts w:ascii="Times New Roman" w:eastAsiaTheme="minorHAnsi" w:hAnsi="Times New Roman"/>
          <w:szCs w:val="24"/>
        </w:rPr>
      </w:pPr>
    </w:p>
    <w:p w14:paraId="2D29BF90"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Препоръчителната за държавите членки на Европейски съюз дисконтова норма в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е свързана с прилагането при големи инвестиционни проекти на стойност над 50 млн. евро, базирайки се на дългосрочни унифицирани допускания и исторически данни за държавите членки. Тази дисконтова норма успешно е приложена при изготвянето на АРП, неразделна част от Формуляра за кандидатстване по проекта и по този начин са спазени всички изисквания и указания на УО на ОПТТИ.</w:t>
      </w:r>
    </w:p>
    <w:p w14:paraId="35A6C131"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Тъй като проект BG16M1OP001-4.001-0015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 не отговаря на определението за „голям проект“, както и на основание, че изготвяният Финансов анализ не съответства на изискванията за такъв по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по структура и съдържание, а е изготвен за нуждата от определяне на размера на интензитета на държавните помощи, са използвани основни принципи от документа, но са отчетени и разликите в двата вида финансови анализи, а именно:</w:t>
      </w:r>
    </w:p>
    <w:p w14:paraId="594E5263" w14:textId="77777777" w:rsidR="006F12D6" w:rsidRPr="00004886" w:rsidRDefault="006F12D6" w:rsidP="006F12D6">
      <w:pPr>
        <w:numPr>
          <w:ilvl w:val="0"/>
          <w:numId w:val="35"/>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lastRenderedPageBreak/>
        <w:t>Различните парични потоци в двата анализа</w:t>
      </w:r>
    </w:p>
    <w:p w14:paraId="2CBB74C9" w14:textId="77777777" w:rsidR="006F12D6" w:rsidRPr="00004886" w:rsidRDefault="006F12D6" w:rsidP="006F12D6">
      <w:pPr>
        <w:numPr>
          <w:ilvl w:val="0"/>
          <w:numId w:val="35"/>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Необходимостта от различен размер на дисконтовата норма</w:t>
      </w:r>
    </w:p>
    <w:p w14:paraId="2E7C0E2D"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В Анекс </w:t>
      </w:r>
      <w:r w:rsidRPr="00004886">
        <w:rPr>
          <w:rFonts w:ascii="Times New Roman" w:eastAsiaTheme="minorHAnsi" w:hAnsi="Times New Roman"/>
          <w:szCs w:val="24"/>
          <w:lang w:val="en-US"/>
        </w:rPr>
        <w:t>I</w:t>
      </w:r>
      <w:r w:rsidRPr="00004886">
        <w:rPr>
          <w:rFonts w:ascii="Times New Roman" w:eastAsiaTheme="minorHAnsi" w:hAnsi="Times New Roman"/>
          <w:szCs w:val="24"/>
        </w:rPr>
        <w:t xml:space="preserve"> към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са описани методите и подходите за определяне на финансовата дисконтова норма, като  са  посочени три основни подхода. За нуждите на Финансовите анализи във връзка с Държавните помощи по проекта е използван третия</w:t>
      </w:r>
      <w:r w:rsidRPr="00004886">
        <w:rPr>
          <w:rFonts w:ascii="Times New Roman" w:eastAsiaTheme="minorHAnsi" w:hAnsi="Times New Roman"/>
          <w:szCs w:val="24"/>
          <w:lang w:val="en-US"/>
        </w:rPr>
        <w:t>j</w:t>
      </w:r>
      <w:r w:rsidRPr="00004886">
        <w:rPr>
          <w:rFonts w:ascii="Times New Roman" w:eastAsiaTheme="minorHAnsi" w:hAnsi="Times New Roman"/>
          <w:szCs w:val="24"/>
        </w:rPr>
        <w:t xml:space="preserve"> препоръчван подход, съгласно приложението, а именно:</w:t>
      </w:r>
    </w:p>
    <w:p w14:paraId="68388EF1"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Използване на специфичен лихвен процент или процент на възвръщаемост от добре утвърден емитент на ценни книжа в широко търгувана валута и след това се прилага мултипликатор към този минимален показател. Предвид задължителното условие да се отчита моментното състояние към дата на изготвяне на всеки финансов анализ и влиянието на кризата от </w:t>
      </w:r>
      <w:r w:rsidRPr="00004886">
        <w:rPr>
          <w:rFonts w:ascii="Times New Roman" w:eastAsiaTheme="minorHAnsi" w:hAnsi="Times New Roman"/>
          <w:szCs w:val="24"/>
          <w:lang w:val="en-US"/>
        </w:rPr>
        <w:t>COVID 19</w:t>
      </w:r>
      <w:r w:rsidRPr="00004886">
        <w:rPr>
          <w:rFonts w:ascii="Times New Roman" w:eastAsiaTheme="minorHAnsi" w:hAnsi="Times New Roman"/>
          <w:szCs w:val="24"/>
        </w:rPr>
        <w:t>, този подход е най-подходящ за целите на конкретния анализ.</w:t>
      </w:r>
    </w:p>
    <w:p w14:paraId="5CD08F09"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За целта са използвани данни от два утвърдени емитента, за Българския и Европейския пазар. В използването на тази информация се изисква да се анализират данни от средносрочни и дългосрочни емисии на държавни ценни книжа. Взети са данните на Министерство на  финансите за дългосрочни облигации с 20 и 10 години срок</w:t>
      </w:r>
      <w:r w:rsidRPr="00004886">
        <w:rPr>
          <w:rFonts w:ascii="Times New Roman" w:eastAsiaTheme="minorHAnsi" w:hAnsi="Times New Roman"/>
          <w:szCs w:val="24"/>
          <w:vertAlign w:val="superscript"/>
        </w:rPr>
        <w:footnoteReference w:id="11"/>
      </w:r>
      <w:r w:rsidRPr="00004886">
        <w:rPr>
          <w:rFonts w:ascii="Times New Roman" w:eastAsiaTheme="minorHAnsi" w:hAnsi="Times New Roman"/>
          <w:szCs w:val="24"/>
        </w:rPr>
        <w:t xml:space="preserve">  и данните  за Германски средносрочни ЦК  German BOBL</w:t>
      </w:r>
      <w:r w:rsidRPr="00004886">
        <w:rPr>
          <w:rFonts w:ascii="Times New Roman" w:eastAsiaTheme="minorHAnsi" w:hAnsi="Times New Roman"/>
          <w:szCs w:val="24"/>
          <w:vertAlign w:val="superscript"/>
        </w:rPr>
        <w:footnoteReference w:id="12"/>
      </w:r>
      <w:r w:rsidRPr="00004886">
        <w:rPr>
          <w:rFonts w:ascii="Times New Roman" w:eastAsiaTheme="minorHAnsi" w:hAnsi="Times New Roman"/>
          <w:szCs w:val="24"/>
        </w:rPr>
        <w:t>.</w:t>
      </w:r>
    </w:p>
    <w:tbl>
      <w:tblPr>
        <w:tblW w:w="5240" w:type="dxa"/>
        <w:tblLook w:val="04A0" w:firstRow="1" w:lastRow="0" w:firstColumn="1" w:lastColumn="0" w:noHBand="0" w:noVBand="1"/>
      </w:tblPr>
      <w:tblGrid>
        <w:gridCol w:w="3964"/>
        <w:gridCol w:w="1276"/>
      </w:tblGrid>
      <w:tr w:rsidR="006F12D6" w:rsidRPr="00004886" w14:paraId="16B10304" w14:textId="77777777" w:rsidTr="00004886">
        <w:trPr>
          <w:trHeight w:val="292"/>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C4428" w14:textId="77777777" w:rsidR="006F12D6" w:rsidRPr="00004886" w:rsidRDefault="006F12D6" w:rsidP="00004886">
            <w:pPr>
              <w:suppressAutoHyphens w:val="0"/>
              <w:autoSpaceDN/>
              <w:spacing w:after="0" w:line="240" w:lineRule="auto"/>
              <w:jc w:val="center"/>
              <w:textAlignment w:val="auto"/>
              <w:rPr>
                <w:rFonts w:ascii="Times New Roman" w:eastAsia="Times New Roman" w:hAnsi="Times New Roman"/>
                <w:b/>
                <w:color w:val="000000"/>
                <w:szCs w:val="24"/>
              </w:rPr>
            </w:pPr>
            <w:r w:rsidRPr="00004886">
              <w:rPr>
                <w:rFonts w:ascii="Times New Roman" w:eastAsia="Times New Roman" w:hAnsi="Times New Roman"/>
                <w:b/>
                <w:color w:val="000000"/>
                <w:szCs w:val="24"/>
              </w:rPr>
              <w:t>Източници на информация</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99F7DFD" w14:textId="77777777" w:rsidR="006F12D6" w:rsidRPr="00004886" w:rsidRDefault="006F12D6" w:rsidP="00004886">
            <w:pPr>
              <w:suppressAutoHyphens w:val="0"/>
              <w:autoSpaceDN/>
              <w:spacing w:after="0" w:line="240" w:lineRule="auto"/>
              <w:jc w:val="center"/>
              <w:textAlignment w:val="auto"/>
              <w:rPr>
                <w:rFonts w:ascii="Times New Roman" w:eastAsia="Times New Roman" w:hAnsi="Times New Roman"/>
                <w:b/>
                <w:color w:val="000000"/>
                <w:szCs w:val="24"/>
              </w:rPr>
            </w:pPr>
            <w:r w:rsidRPr="00004886">
              <w:rPr>
                <w:rFonts w:ascii="Times New Roman" w:eastAsia="Times New Roman" w:hAnsi="Times New Roman"/>
                <w:b/>
                <w:color w:val="000000"/>
                <w:szCs w:val="24"/>
              </w:rPr>
              <w:t>Стойност</w:t>
            </w:r>
          </w:p>
        </w:tc>
      </w:tr>
      <w:tr w:rsidR="006F12D6" w:rsidRPr="00004886" w14:paraId="67CE9A68" w14:textId="77777777" w:rsidTr="00004886">
        <w:trPr>
          <w:trHeight w:val="292"/>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D7B75" w14:textId="77777777" w:rsidR="006F12D6" w:rsidRPr="00004886" w:rsidRDefault="006F12D6" w:rsidP="00004886">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Дългосрочни ДЦК</w:t>
            </w:r>
            <w:r w:rsidRPr="00004886">
              <w:rPr>
                <w:rFonts w:ascii="Times New Roman" w:eastAsia="Times New Roman" w:hAnsi="Times New Roman"/>
                <w:color w:val="000000"/>
                <w:szCs w:val="24"/>
              </w:rPr>
              <w:t>, България</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9060A87" w14:textId="77777777" w:rsidR="006F12D6" w:rsidRPr="00004886" w:rsidRDefault="006F12D6" w:rsidP="00004886">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1,60%</w:t>
            </w:r>
          </w:p>
        </w:tc>
      </w:tr>
      <w:tr w:rsidR="006F12D6" w:rsidRPr="00004886" w14:paraId="4B16510A" w14:textId="77777777" w:rsidTr="00004886">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7C067EEA" w14:textId="77777777" w:rsidR="006F12D6" w:rsidRPr="00004886" w:rsidRDefault="006F12D6" w:rsidP="00004886">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Средно срочни ДЦК</w:t>
            </w:r>
            <w:r w:rsidRPr="00004886">
              <w:rPr>
                <w:rFonts w:ascii="Times New Roman" w:eastAsia="Times New Roman" w:hAnsi="Times New Roman"/>
                <w:color w:val="000000"/>
                <w:szCs w:val="24"/>
              </w:rPr>
              <w:t>, България</w:t>
            </w:r>
          </w:p>
        </w:tc>
        <w:tc>
          <w:tcPr>
            <w:tcW w:w="1276" w:type="dxa"/>
            <w:tcBorders>
              <w:top w:val="nil"/>
              <w:left w:val="nil"/>
              <w:bottom w:val="single" w:sz="4" w:space="0" w:color="auto"/>
              <w:right w:val="single" w:sz="4" w:space="0" w:color="auto"/>
            </w:tcBorders>
            <w:shd w:val="clear" w:color="auto" w:fill="auto"/>
            <w:noWrap/>
            <w:vAlign w:val="bottom"/>
            <w:hideMark/>
          </w:tcPr>
          <w:p w14:paraId="203FCFDF" w14:textId="77777777" w:rsidR="006F12D6" w:rsidRPr="00004886" w:rsidRDefault="006F12D6" w:rsidP="00004886">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0,41%</w:t>
            </w:r>
          </w:p>
        </w:tc>
      </w:tr>
      <w:tr w:rsidR="006F12D6" w:rsidRPr="00004886" w14:paraId="2F8399D4" w14:textId="77777777" w:rsidTr="00004886">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22FBADC" w14:textId="77777777" w:rsidR="006F12D6" w:rsidRPr="00004886" w:rsidRDefault="006F12D6" w:rsidP="00004886">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German BOBL</w:t>
            </w:r>
            <w:r w:rsidRPr="00004886">
              <w:rPr>
                <w:rFonts w:ascii="Times New Roman" w:eastAsia="Times New Roman" w:hAnsi="Times New Roman"/>
                <w:color w:val="000000"/>
                <w:szCs w:val="24"/>
              </w:rPr>
              <w:t>р Германия</w:t>
            </w:r>
          </w:p>
        </w:tc>
        <w:tc>
          <w:tcPr>
            <w:tcW w:w="1276" w:type="dxa"/>
            <w:tcBorders>
              <w:top w:val="nil"/>
              <w:left w:val="nil"/>
              <w:bottom w:val="single" w:sz="4" w:space="0" w:color="auto"/>
              <w:right w:val="single" w:sz="4" w:space="0" w:color="auto"/>
            </w:tcBorders>
            <w:shd w:val="clear" w:color="auto" w:fill="auto"/>
            <w:noWrap/>
            <w:vAlign w:val="bottom"/>
            <w:hideMark/>
          </w:tcPr>
          <w:p w14:paraId="6C2055AC" w14:textId="77777777" w:rsidR="006F12D6" w:rsidRPr="00004886" w:rsidRDefault="006F12D6" w:rsidP="00004886">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0,74%</w:t>
            </w:r>
          </w:p>
        </w:tc>
      </w:tr>
      <w:tr w:rsidR="006F12D6" w:rsidRPr="00004886" w14:paraId="0F37E04F" w14:textId="77777777" w:rsidTr="00004886">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6B114AF" w14:textId="77777777" w:rsidR="006F12D6" w:rsidRPr="00004886" w:rsidRDefault="006F12D6" w:rsidP="00004886">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Референтен лихвен процент</w:t>
            </w:r>
            <w:r w:rsidRPr="00004886">
              <w:rPr>
                <w:rFonts w:ascii="Times New Roman" w:eastAsia="Times New Roman" w:hAnsi="Times New Roman"/>
                <w:color w:val="000000"/>
                <w:szCs w:val="24"/>
              </w:rPr>
              <w:t>, България</w:t>
            </w:r>
          </w:p>
        </w:tc>
        <w:tc>
          <w:tcPr>
            <w:tcW w:w="1276" w:type="dxa"/>
            <w:tcBorders>
              <w:top w:val="nil"/>
              <w:left w:val="nil"/>
              <w:bottom w:val="single" w:sz="4" w:space="0" w:color="auto"/>
              <w:right w:val="single" w:sz="4" w:space="0" w:color="auto"/>
            </w:tcBorders>
            <w:shd w:val="clear" w:color="auto" w:fill="auto"/>
            <w:noWrap/>
            <w:vAlign w:val="bottom"/>
            <w:hideMark/>
          </w:tcPr>
          <w:p w14:paraId="32736008" w14:textId="77777777" w:rsidR="006F12D6" w:rsidRPr="00004886" w:rsidRDefault="006F12D6" w:rsidP="00004886">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1,00%</w:t>
            </w:r>
          </w:p>
        </w:tc>
      </w:tr>
      <w:tr w:rsidR="006F12D6" w:rsidRPr="00004886" w14:paraId="452B11BF" w14:textId="77777777" w:rsidTr="00004886">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DA50286" w14:textId="77777777" w:rsidR="006F12D6" w:rsidRPr="00004886" w:rsidRDefault="006F12D6" w:rsidP="00004886">
            <w:pPr>
              <w:suppressAutoHyphens w:val="0"/>
              <w:autoSpaceDN/>
              <w:spacing w:after="0" w:line="240" w:lineRule="auto"/>
              <w:jc w:val="left"/>
              <w:textAlignment w:val="auto"/>
              <w:rPr>
                <w:rFonts w:ascii="Times New Roman" w:eastAsia="Times New Roman" w:hAnsi="Times New Roman"/>
                <w:b/>
                <w:bCs/>
                <w:color w:val="000000"/>
                <w:szCs w:val="24"/>
                <w:lang w:val="en-US"/>
              </w:rPr>
            </w:pPr>
            <w:r w:rsidRPr="00004886">
              <w:rPr>
                <w:rFonts w:ascii="Times New Roman" w:eastAsia="Times New Roman" w:hAnsi="Times New Roman"/>
                <w:b/>
                <w:bCs/>
                <w:color w:val="000000"/>
                <w:szCs w:val="24"/>
                <w:lang w:val="en-US"/>
              </w:rPr>
              <w:t>Средно аритметична стойност</w:t>
            </w:r>
          </w:p>
        </w:tc>
        <w:tc>
          <w:tcPr>
            <w:tcW w:w="1276" w:type="dxa"/>
            <w:tcBorders>
              <w:top w:val="nil"/>
              <w:left w:val="nil"/>
              <w:bottom w:val="single" w:sz="4" w:space="0" w:color="auto"/>
              <w:right w:val="single" w:sz="4" w:space="0" w:color="auto"/>
            </w:tcBorders>
            <w:shd w:val="clear" w:color="auto" w:fill="auto"/>
            <w:noWrap/>
            <w:vAlign w:val="bottom"/>
            <w:hideMark/>
          </w:tcPr>
          <w:p w14:paraId="6E5EC7FC" w14:textId="77777777" w:rsidR="006F12D6" w:rsidRPr="00004886" w:rsidRDefault="006F12D6" w:rsidP="00004886">
            <w:pPr>
              <w:suppressAutoHyphens w:val="0"/>
              <w:autoSpaceDN/>
              <w:spacing w:after="0" w:line="240" w:lineRule="auto"/>
              <w:jc w:val="right"/>
              <w:textAlignment w:val="auto"/>
              <w:rPr>
                <w:rFonts w:ascii="Times New Roman" w:eastAsia="Times New Roman" w:hAnsi="Times New Roman"/>
                <w:b/>
                <w:bCs/>
                <w:color w:val="000000"/>
                <w:szCs w:val="24"/>
                <w:lang w:val="en-US"/>
              </w:rPr>
            </w:pPr>
            <w:r w:rsidRPr="00004886">
              <w:rPr>
                <w:rFonts w:ascii="Times New Roman" w:eastAsia="Times New Roman" w:hAnsi="Times New Roman"/>
                <w:b/>
                <w:bCs/>
                <w:color w:val="000000"/>
                <w:szCs w:val="24"/>
                <w:lang w:val="en-US"/>
              </w:rPr>
              <w:t>0,94%</w:t>
            </w:r>
          </w:p>
        </w:tc>
      </w:tr>
    </w:tbl>
    <w:p w14:paraId="2054A853"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p>
    <w:p w14:paraId="6ACA4D1E" w14:textId="77777777" w:rsidR="006F12D6" w:rsidRPr="00004886" w:rsidRDefault="006F12D6" w:rsidP="006F12D6">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Стойността на използваната </w:t>
      </w:r>
      <w:r w:rsidRPr="00004886">
        <w:rPr>
          <w:rFonts w:ascii="Times New Roman" w:eastAsiaTheme="minorHAnsi" w:hAnsi="Times New Roman"/>
          <w:b/>
          <w:szCs w:val="24"/>
        </w:rPr>
        <w:t>дисконтова норма е определена на 1%,</w:t>
      </w:r>
      <w:r w:rsidRPr="00004886">
        <w:rPr>
          <w:rFonts w:ascii="Times New Roman" w:eastAsiaTheme="minorHAnsi" w:hAnsi="Times New Roman"/>
          <w:szCs w:val="24"/>
        </w:rPr>
        <w:t xml:space="preserve"> в номинална стойност, защото при разчетите във Финансовия анализ  са използвани постоянни цени.</w:t>
      </w:r>
    </w:p>
    <w:p w14:paraId="1CF48580" w14:textId="77777777" w:rsidR="006F12D6" w:rsidRDefault="006F12D6" w:rsidP="00990828">
      <w:pPr>
        <w:pStyle w:val="A2"/>
        <w:numPr>
          <w:ilvl w:val="0"/>
          <w:numId w:val="0"/>
        </w:numPr>
        <w:ind w:left="78"/>
        <w:rPr>
          <w:szCs w:val="24"/>
        </w:rPr>
      </w:pPr>
    </w:p>
    <w:p w14:paraId="7FC7B6B4" w14:textId="77777777" w:rsidR="00990828" w:rsidRPr="00F84C77" w:rsidRDefault="00990828" w:rsidP="00990828">
      <w:pPr>
        <w:pStyle w:val="Heading2"/>
      </w:pPr>
      <w:bookmarkStart w:id="48" w:name="_Toc13831913"/>
      <w:bookmarkStart w:id="49" w:name="_Toc43309117"/>
      <w:r w:rsidRPr="00F84C77">
        <w:t xml:space="preserve">Методология за </w:t>
      </w:r>
      <w:r>
        <w:t>изготвяне на финансовия анализ</w:t>
      </w:r>
      <w:bookmarkEnd w:id="48"/>
      <w:bookmarkEnd w:id="49"/>
    </w:p>
    <w:p w14:paraId="00619810" w14:textId="42AB5AE3" w:rsidR="008047BB" w:rsidRDefault="008047BB" w:rsidP="00990828">
      <w:pPr>
        <w:pStyle w:val="MoIBody"/>
      </w:pPr>
      <w:r>
        <w:t>В повечето случаи за определяне на финансовите резултати от дадена  инвестиция се използва диференциалния метод. В случая, обаче този метод би изкривил резултатите при определяне на основните параметри- приходи ,</w:t>
      </w:r>
      <w:r w:rsidR="003670AE">
        <w:t xml:space="preserve"> разходи и оперативна печа</w:t>
      </w:r>
      <w:r>
        <w:t>лба, защот</w:t>
      </w:r>
      <w:r w:rsidR="003670AE">
        <w:t>о</w:t>
      </w:r>
      <w:r>
        <w:t xml:space="preserve"> при него се взимат предвид, не реални парични потоци, а разликата  в стойностите им между сценария без проект и сценария с проект.</w:t>
      </w:r>
    </w:p>
    <w:p w14:paraId="09451F6B" w14:textId="23E56B51" w:rsidR="008047BB" w:rsidRDefault="008047BB" w:rsidP="00990828">
      <w:pPr>
        <w:pStyle w:val="MoIBody"/>
      </w:pPr>
      <w:r>
        <w:t xml:space="preserve">За нуждите на този анализ </w:t>
      </w:r>
      <w:r w:rsidR="00D27DCE">
        <w:t>подходящият</w:t>
      </w:r>
      <w:r>
        <w:t xml:space="preserve"> метод е Метода </w:t>
      </w:r>
      <w:r w:rsidRPr="00D365FF">
        <w:t>на остатъчните исторически разходи</w:t>
      </w:r>
      <w:r>
        <w:t xml:space="preserve">. </w:t>
      </w:r>
    </w:p>
    <w:p w14:paraId="0DDCBE04" w14:textId="44B499C4" w:rsidR="008047BB" w:rsidRDefault="008047BB" w:rsidP="00990828">
      <w:pPr>
        <w:pStyle w:val="MoIBody"/>
      </w:pPr>
      <w:r>
        <w:lastRenderedPageBreak/>
        <w:t>При този метод определянето на търсените параметри се извършва на база прогнозите за приходи и разходи, при реализация на планираната инвестиция.</w:t>
      </w:r>
    </w:p>
    <w:p w14:paraId="4B22E6B8" w14:textId="061ED64E" w:rsidR="00990828" w:rsidRDefault="008047BB" w:rsidP="00990828">
      <w:pPr>
        <w:pStyle w:val="MoIBody"/>
      </w:pPr>
      <w:r>
        <w:t>Компонентите на Финансовия анализ</w:t>
      </w:r>
      <w:r w:rsidR="00990828">
        <w:t xml:space="preserve"> са:</w:t>
      </w:r>
    </w:p>
    <w:p w14:paraId="14F9F823" w14:textId="646BDF77" w:rsidR="00990828" w:rsidRPr="008047BB" w:rsidRDefault="008047BB" w:rsidP="008047BB">
      <w:pPr>
        <w:pStyle w:val="ListParagraph"/>
        <w:numPr>
          <w:ilvl w:val="0"/>
          <w:numId w:val="34"/>
        </w:numPr>
        <w:rPr>
          <w:rFonts w:ascii="Times New Roman" w:hAnsi="Times New Roman"/>
        </w:rPr>
      </w:pPr>
      <w:r w:rsidRPr="008047BB">
        <w:rPr>
          <w:rFonts w:ascii="Times New Roman" w:hAnsi="Times New Roman"/>
        </w:rPr>
        <w:t>Определяне на допустимите разходи</w:t>
      </w:r>
      <w:r w:rsidR="00CB0563" w:rsidRPr="008047BB">
        <w:rPr>
          <w:rFonts w:ascii="Times New Roman" w:hAnsi="Times New Roman"/>
        </w:rPr>
        <w:t>;</w:t>
      </w:r>
    </w:p>
    <w:p w14:paraId="54B121A4" w14:textId="2C3BFA4F" w:rsidR="00990828" w:rsidRPr="008047BB" w:rsidRDefault="008047BB" w:rsidP="008047BB">
      <w:pPr>
        <w:pStyle w:val="ListParagraph"/>
        <w:numPr>
          <w:ilvl w:val="0"/>
          <w:numId w:val="34"/>
        </w:numPr>
        <w:rPr>
          <w:rFonts w:ascii="Times New Roman" w:hAnsi="Times New Roman"/>
        </w:rPr>
      </w:pPr>
      <w:r w:rsidRPr="008047BB">
        <w:rPr>
          <w:rFonts w:ascii="Times New Roman" w:hAnsi="Times New Roman"/>
        </w:rPr>
        <w:t>Определяне на оперативните приходи</w:t>
      </w:r>
      <w:r w:rsidR="00CB0563" w:rsidRPr="008047BB">
        <w:rPr>
          <w:rFonts w:ascii="Times New Roman" w:hAnsi="Times New Roman"/>
        </w:rPr>
        <w:t>;</w:t>
      </w:r>
    </w:p>
    <w:p w14:paraId="1901BD7F" w14:textId="1DCFED3C" w:rsidR="008047BB" w:rsidRPr="008047BB" w:rsidRDefault="008047BB" w:rsidP="008047BB">
      <w:pPr>
        <w:pStyle w:val="ListParagraph"/>
        <w:numPr>
          <w:ilvl w:val="0"/>
          <w:numId w:val="34"/>
        </w:numPr>
        <w:spacing w:after="240"/>
        <w:rPr>
          <w:rFonts w:ascii="Times New Roman" w:hAnsi="Times New Roman"/>
        </w:rPr>
      </w:pPr>
      <w:r w:rsidRPr="008047BB">
        <w:rPr>
          <w:rFonts w:ascii="Times New Roman" w:hAnsi="Times New Roman"/>
        </w:rPr>
        <w:t>Определяне на оперативните разходи;</w:t>
      </w:r>
    </w:p>
    <w:p w14:paraId="5DC7E056" w14:textId="0EFFA3D7" w:rsidR="008047BB" w:rsidRPr="008047BB" w:rsidRDefault="008047BB" w:rsidP="008047BB">
      <w:pPr>
        <w:pStyle w:val="ListParagraph"/>
        <w:numPr>
          <w:ilvl w:val="0"/>
          <w:numId w:val="34"/>
        </w:numPr>
        <w:spacing w:after="240"/>
        <w:rPr>
          <w:rFonts w:ascii="Times New Roman" w:hAnsi="Times New Roman"/>
        </w:rPr>
      </w:pPr>
      <w:r>
        <w:rPr>
          <w:rFonts w:ascii="Times New Roman" w:hAnsi="Times New Roman"/>
        </w:rPr>
        <w:t>Определяне на оперативната печалба и интензитета на помощта</w:t>
      </w:r>
    </w:p>
    <w:p w14:paraId="6223E63E" w14:textId="34C035EF" w:rsidR="00995353" w:rsidRDefault="007D7F7D" w:rsidP="007D7F7D">
      <w:pPr>
        <w:pStyle w:val="MoIBody"/>
      </w:pPr>
      <w:r>
        <w:t>При изготвяне на Финансовия анализ са спазвани следните стъпки:</w:t>
      </w:r>
    </w:p>
    <w:p w14:paraId="04B5A38E" w14:textId="6E89E6D1" w:rsidR="00220D9C" w:rsidRDefault="00220D9C" w:rsidP="00220D9C">
      <w:pPr>
        <w:pStyle w:val="MoIBody"/>
        <w:ind w:left="567"/>
      </w:pPr>
      <w:r>
        <w:t>Стъпка 1: Определяне размера на сконтираните инвестиционни разходи:</w:t>
      </w:r>
    </w:p>
    <w:p w14:paraId="4D1EF9CC" w14:textId="2D400301" w:rsidR="00220D9C" w:rsidRDefault="00220D9C" w:rsidP="00220D9C">
      <w:pPr>
        <w:pStyle w:val="MoIBody"/>
      </w:pPr>
      <w:r>
        <w:t>Инвестиционните разходи ще бъдат заплащани в периода 2020-2023г. и затова тя</w:t>
      </w:r>
      <w:r w:rsidR="003670AE">
        <w:t>хната стойност към днешна дата е</w:t>
      </w:r>
      <w:r>
        <w:t xml:space="preserve"> сконтирана.</w:t>
      </w:r>
    </w:p>
    <w:p w14:paraId="449BAA50" w14:textId="38BDCB60" w:rsidR="00990828" w:rsidRDefault="00220D9C" w:rsidP="00990828">
      <w:pPr>
        <w:pStyle w:val="MoIBody"/>
        <w:ind w:left="567"/>
      </w:pPr>
      <w:r>
        <w:t>Стъпка 2</w:t>
      </w:r>
      <w:r w:rsidR="007D7F7D">
        <w:t>: Определяне размера на сконтираните оперативни приходи</w:t>
      </w:r>
      <w:r w:rsidR="00990828">
        <w:t>:</w:t>
      </w:r>
    </w:p>
    <w:p w14:paraId="2A08EE2B" w14:textId="74599269" w:rsidR="007D7F7D" w:rsidRPr="00872DA4" w:rsidRDefault="007D7F7D" w:rsidP="00872DA4">
      <w:pPr>
        <w:pStyle w:val="MoIBody"/>
      </w:pPr>
      <w:r>
        <w:t xml:space="preserve">Оперативните приходи са определени на база очаквани приходи от такси за обработка на </w:t>
      </w:r>
      <w:r w:rsidR="00D27DCE">
        <w:t>отпадъците</w:t>
      </w:r>
      <w:r>
        <w:t xml:space="preserve"> в </w:t>
      </w:r>
      <w:r w:rsidR="00BB50F8">
        <w:t>морски</w:t>
      </w:r>
      <w:r>
        <w:t>те пристанища</w:t>
      </w:r>
      <w:r w:rsidR="00872DA4">
        <w:t xml:space="preserve"> за периода на прогнозата и са сконтирани към днешна дата</w:t>
      </w:r>
    </w:p>
    <w:p w14:paraId="550499C4" w14:textId="66C0E707" w:rsidR="00220D9C" w:rsidRDefault="00220D9C" w:rsidP="00220D9C">
      <w:pPr>
        <w:pStyle w:val="MoIBody"/>
        <w:ind w:left="567"/>
      </w:pPr>
      <w:r>
        <w:t>Стъпка 3: Определяне размера на сконтираните оперативни разходи:</w:t>
      </w:r>
    </w:p>
    <w:p w14:paraId="2C8BDFBA" w14:textId="748F4C2F" w:rsidR="00220D9C" w:rsidRPr="00872DA4" w:rsidRDefault="00220D9C" w:rsidP="00220D9C">
      <w:pPr>
        <w:pStyle w:val="MoIBody"/>
      </w:pPr>
      <w:r>
        <w:t xml:space="preserve">Оперативните разходи са определени на база очаквани разходи за </w:t>
      </w:r>
      <w:r w:rsidRPr="00220D9C">
        <w:t>персонал, материали, услуги, възложени на подизпълнители, комуникации, енергия, поддръжка, разходи за наем и управление</w:t>
      </w:r>
      <w:r>
        <w:t xml:space="preserve">, необходимо за изпълнение на дейностите за обработка на </w:t>
      </w:r>
      <w:r w:rsidR="00D27DCE">
        <w:t>отпадъците</w:t>
      </w:r>
      <w:r>
        <w:t xml:space="preserve"> в </w:t>
      </w:r>
      <w:r w:rsidR="00BB50F8">
        <w:t>морски</w:t>
      </w:r>
      <w:r>
        <w:t>те пристанища за периода на прогнозата и са сконтирани към днешна дата.</w:t>
      </w:r>
    </w:p>
    <w:p w14:paraId="4D2E5B9C" w14:textId="79A67F28" w:rsidR="00220D9C" w:rsidRDefault="00220D9C" w:rsidP="00220D9C">
      <w:pPr>
        <w:pStyle w:val="MoIBody"/>
        <w:ind w:left="567"/>
      </w:pPr>
      <w:r>
        <w:t>Стъпка 4: Определяне размера на оперативната печалба:</w:t>
      </w:r>
    </w:p>
    <w:p w14:paraId="1E34BEB4" w14:textId="4B292E54" w:rsidR="005D066F" w:rsidRDefault="00220D9C" w:rsidP="00220D9C">
      <w:pPr>
        <w:pStyle w:val="MoIBody"/>
      </w:pPr>
      <w:r>
        <w:t xml:space="preserve">Разликата между </w:t>
      </w:r>
      <w:r w:rsidRPr="00220D9C">
        <w:t>сконтираните приходи и сконтираните оперативни разходи през съответния живот на инвестицията</w:t>
      </w:r>
      <w:r>
        <w:t xml:space="preserve"> .</w:t>
      </w:r>
    </w:p>
    <w:p w14:paraId="05E3321F" w14:textId="4AE45EB2" w:rsidR="00220D9C" w:rsidRDefault="00220D9C" w:rsidP="00FC0229">
      <w:pPr>
        <w:pStyle w:val="MoIBody"/>
        <w:jc w:val="center"/>
      </w:pPr>
      <w:r>
        <w:t>ОПч = СП –СР, където</w:t>
      </w:r>
    </w:p>
    <w:p w14:paraId="424255E4" w14:textId="46AD0517" w:rsidR="00220D9C" w:rsidRDefault="00FC0229" w:rsidP="00220D9C">
      <w:pPr>
        <w:pStyle w:val="MoIBody"/>
      </w:pPr>
      <w:r>
        <w:t xml:space="preserve">ОПч е </w:t>
      </w:r>
      <w:r w:rsidR="00220D9C">
        <w:t xml:space="preserve"> стойност на оперативната печалба</w:t>
      </w:r>
    </w:p>
    <w:p w14:paraId="76A91300" w14:textId="72EC4543" w:rsidR="00FC0229" w:rsidRDefault="00FC0229" w:rsidP="00220D9C">
      <w:pPr>
        <w:pStyle w:val="MoIBody"/>
      </w:pPr>
      <w:r>
        <w:t>СП е стойността на сконтираните приходи към дата на анализа</w:t>
      </w:r>
    </w:p>
    <w:p w14:paraId="6D29FD7E" w14:textId="41F92563" w:rsidR="00FC0229" w:rsidRDefault="00FC0229" w:rsidP="00220D9C">
      <w:pPr>
        <w:pStyle w:val="MoIBody"/>
      </w:pPr>
      <w:r>
        <w:t>СР е стойността на сконтираните разходи към дата на анализа</w:t>
      </w:r>
    </w:p>
    <w:p w14:paraId="3611C24F" w14:textId="77777777" w:rsidR="00220D9C" w:rsidRDefault="00220D9C" w:rsidP="00220D9C">
      <w:pPr>
        <w:pStyle w:val="MoIBody"/>
      </w:pPr>
    </w:p>
    <w:p w14:paraId="1A3CBBF1" w14:textId="409259A2" w:rsidR="00220D9C" w:rsidRDefault="00220D9C" w:rsidP="00220D9C">
      <w:pPr>
        <w:pStyle w:val="MoIBody"/>
        <w:ind w:left="567"/>
      </w:pPr>
      <w:r>
        <w:t>Стъпка 5: Определяне размера на допустимите разходи по ОРГО:</w:t>
      </w:r>
    </w:p>
    <w:p w14:paraId="7265B0DA" w14:textId="688D711A" w:rsidR="00220D9C" w:rsidRDefault="00220D9C" w:rsidP="00220D9C">
      <w:pPr>
        <w:pStyle w:val="MoIBody"/>
      </w:pPr>
      <w:r>
        <w:t>За определяне на допустимите разходи по ОРГО е използвана формулата</w:t>
      </w:r>
    </w:p>
    <w:p w14:paraId="1538E59D" w14:textId="4DE6608D" w:rsidR="00220D9C" w:rsidRDefault="00220D9C" w:rsidP="00FC0229">
      <w:pPr>
        <w:pStyle w:val="MoIBody"/>
        <w:jc w:val="center"/>
      </w:pPr>
      <w:r>
        <w:t>ДР≤ ИР- ОПч, където</w:t>
      </w:r>
    </w:p>
    <w:p w14:paraId="1A12ED32" w14:textId="35B53B22" w:rsidR="00220D9C" w:rsidRDefault="00220D9C" w:rsidP="00220D9C">
      <w:pPr>
        <w:pStyle w:val="MoIBody"/>
      </w:pPr>
      <w:r>
        <w:t>ДР са допустимите разходи по ОРГО</w:t>
      </w:r>
    </w:p>
    <w:p w14:paraId="04AA68B0" w14:textId="73103B64" w:rsidR="00220D9C" w:rsidRDefault="00220D9C" w:rsidP="00220D9C">
      <w:pPr>
        <w:pStyle w:val="MoIBody"/>
      </w:pPr>
      <w:r>
        <w:lastRenderedPageBreak/>
        <w:t>ИР са общите сконтирани инвестиционни разходи</w:t>
      </w:r>
    </w:p>
    <w:p w14:paraId="50C3660F" w14:textId="3092BE0D" w:rsidR="00220D9C" w:rsidRDefault="00220D9C" w:rsidP="00220D9C">
      <w:pPr>
        <w:pStyle w:val="MoIBody"/>
      </w:pPr>
      <w:r>
        <w:t>ОПч е определената стойност на оперативната печалба</w:t>
      </w:r>
    </w:p>
    <w:p w14:paraId="2728D3BF" w14:textId="77777777" w:rsidR="00220D9C" w:rsidRDefault="00220D9C" w:rsidP="00220D9C">
      <w:pPr>
        <w:pStyle w:val="MoIBody"/>
      </w:pPr>
    </w:p>
    <w:p w14:paraId="70D90AB6" w14:textId="26CE9658" w:rsidR="00990828" w:rsidRDefault="00FC0229" w:rsidP="00FC0229">
      <w:pPr>
        <w:pStyle w:val="MoIBody"/>
        <w:ind w:left="567"/>
      </w:pPr>
      <w:r>
        <w:t>Стъпка 6</w:t>
      </w:r>
      <w:r w:rsidR="00990828">
        <w:t xml:space="preserve">: </w:t>
      </w:r>
      <w:r>
        <w:t>Определяне на интензитета на помощта</w:t>
      </w:r>
    </w:p>
    <w:p w14:paraId="5E6A69E9" w14:textId="1EDF1883" w:rsidR="00FC0229" w:rsidRDefault="00FC0229" w:rsidP="00FC0229">
      <w:pPr>
        <w:pStyle w:val="MoIBody"/>
      </w:pPr>
      <w:r>
        <w:t>Интензитета на помощта се оп</w:t>
      </w:r>
      <w:r w:rsidR="003670AE">
        <w:t>ределя на база делът на допустим</w:t>
      </w:r>
      <w:r>
        <w:t xml:space="preserve">ите разходи по ОРГО спрямо общия размер на инвестициите </w:t>
      </w:r>
    </w:p>
    <w:p w14:paraId="45D13C38" w14:textId="197F7DF6" w:rsidR="00CB0563" w:rsidRDefault="00FC0229" w:rsidP="00990828">
      <w:pPr>
        <w:pStyle w:val="MoIBody"/>
        <w:ind w:left="567"/>
      </w:pPr>
      <w:r>
        <w:t xml:space="preserve">ИП = </w:t>
      </w:r>
      <w:r>
        <w:rPr>
          <w:lang w:val="en-US"/>
        </w:rPr>
        <w:t>(</w:t>
      </w:r>
      <w:r>
        <w:t>ДР/ИР</w:t>
      </w:r>
      <w:r>
        <w:rPr>
          <w:lang w:val="en-US"/>
        </w:rPr>
        <w:t>)*100%</w:t>
      </w:r>
      <w:r>
        <w:t>, където</w:t>
      </w:r>
    </w:p>
    <w:p w14:paraId="4B10036F" w14:textId="34756CEC" w:rsidR="00FC0229" w:rsidRPr="00FC0229" w:rsidRDefault="00FC0229" w:rsidP="00990828">
      <w:pPr>
        <w:pStyle w:val="MoIBody"/>
        <w:ind w:left="567"/>
      </w:pPr>
      <w:r>
        <w:t>ИП е интензитет на помощта определен в проценти</w:t>
      </w:r>
    </w:p>
    <w:p w14:paraId="1CB9F85A" w14:textId="77777777" w:rsidR="00FC0229" w:rsidRDefault="00FC0229" w:rsidP="00990828">
      <w:pPr>
        <w:pStyle w:val="MoIBody"/>
        <w:ind w:left="567"/>
      </w:pPr>
    </w:p>
    <w:p w14:paraId="4385E5B1" w14:textId="19E4436D" w:rsidR="00CB0563" w:rsidRDefault="00990828" w:rsidP="00990828">
      <w:pPr>
        <w:pStyle w:val="MoIBody"/>
      </w:pPr>
      <w:r>
        <w:t>Като основен инструмент при изготвянето на финансовия анализ, Консултантът използва FAST</w:t>
      </w:r>
      <w:r w:rsidR="00CB0563">
        <w:t xml:space="preserve"> </w:t>
      </w:r>
      <w:r>
        <w:t>(Flexible, Appropriate, Structured and Transparent) Financial Model, разработен за спецификата на транспортни проекти, като той отчита изискваният</w:t>
      </w:r>
      <w:r w:rsidR="003670AE">
        <w:t>а за прилагане на посочения</w:t>
      </w:r>
      <w:r>
        <w:t xml:space="preserve"> метод и специфичните изисквания на този проект. </w:t>
      </w:r>
    </w:p>
    <w:p w14:paraId="2ABC7126" w14:textId="73D361EE" w:rsidR="00990828" w:rsidRDefault="00990828" w:rsidP="00990828">
      <w:pPr>
        <w:pStyle w:val="MoIBody"/>
      </w:pPr>
      <w:r>
        <w:t xml:space="preserve">Моделът с всички подробни изчисления и приложен към доклада, като Приложение </w:t>
      </w:r>
      <w:r w:rsidR="006F12D6">
        <w:t>2</w:t>
      </w:r>
      <w:r>
        <w:t>.</w:t>
      </w:r>
    </w:p>
    <w:p w14:paraId="2C7B93E9" w14:textId="77777777" w:rsidR="00990828" w:rsidRDefault="00990828" w:rsidP="00990828">
      <w:pPr>
        <w:pStyle w:val="MoIBody"/>
      </w:pPr>
      <w:r>
        <w:t>Всички цени в настоящия доклад са в български лева.</w:t>
      </w:r>
    </w:p>
    <w:p w14:paraId="1BE61934" w14:textId="61DD4B3C" w:rsidR="00990828" w:rsidRPr="00F84C77" w:rsidRDefault="00990828" w:rsidP="00990828">
      <w:pPr>
        <w:pStyle w:val="MoIBody"/>
      </w:pPr>
      <w:r w:rsidRPr="00AA33A1">
        <w:rPr>
          <w:b/>
        </w:rPr>
        <w:t>Прогнозният период</w:t>
      </w:r>
      <w:r w:rsidRPr="00AA33A1">
        <w:rPr>
          <w:vertAlign w:val="superscript"/>
        </w:rPr>
        <w:footnoteReference w:id="13"/>
      </w:r>
      <w:r w:rsidRPr="00AA33A1">
        <w:t xml:space="preserve"> е определен принципно на </w:t>
      </w:r>
      <w:r>
        <w:t>25</w:t>
      </w:r>
      <w:r w:rsidRPr="00AA33A1">
        <w:t xml:space="preserve"> </w:t>
      </w:r>
      <w:r>
        <w:t>г., за  сектор пристанища</w:t>
      </w:r>
      <w:r w:rsidRPr="00AA33A1">
        <w:t>, вкл. периода на изгр</w:t>
      </w:r>
      <w:r w:rsidR="00CB0563">
        <w:t>аждане и пускане в експлоатация</w:t>
      </w:r>
      <w:r w:rsidRPr="00AA33A1">
        <w:t>.</w:t>
      </w:r>
      <w:r w:rsidRPr="00F84C77">
        <w:t xml:space="preserve"> Съгласно указанията от Възложителя периодът за внедряване и изграждане трябва да приключи до края на 20</w:t>
      </w:r>
      <w:r>
        <w:rPr>
          <w:lang w:val="en-US"/>
        </w:rPr>
        <w:t>2</w:t>
      </w:r>
      <w:r w:rsidR="008928BA">
        <w:rPr>
          <w:lang w:val="en-US"/>
        </w:rPr>
        <w:t>3</w:t>
      </w:r>
      <w:r w:rsidR="00CB0563">
        <w:t xml:space="preserve"> </w:t>
      </w:r>
      <w:r w:rsidRPr="00F84C77">
        <w:t>г.</w:t>
      </w:r>
    </w:p>
    <w:p w14:paraId="423181A1" w14:textId="151C3493" w:rsidR="00990828" w:rsidRPr="00F84C77" w:rsidRDefault="00FC0229" w:rsidP="00990828">
      <w:pPr>
        <w:pStyle w:val="Heading2"/>
      </w:pPr>
      <w:bookmarkStart w:id="50" w:name="_Toc43309118"/>
      <w:bookmarkStart w:id="51" w:name="_Toc13831914"/>
      <w:r>
        <w:t xml:space="preserve">Определяне на </w:t>
      </w:r>
      <w:r w:rsidR="00990828" w:rsidRPr="00F84C77">
        <w:t xml:space="preserve"> инвестиционни разходи </w:t>
      </w:r>
      <w:r>
        <w:t xml:space="preserve">по ОРГО за  </w:t>
      </w:r>
      <w:r w:rsidR="00BB50F8">
        <w:t>морски</w:t>
      </w:r>
      <w:r>
        <w:t xml:space="preserve"> пристанища</w:t>
      </w:r>
      <w:bookmarkEnd w:id="50"/>
      <w:r>
        <w:t xml:space="preserve"> </w:t>
      </w:r>
      <w:bookmarkEnd w:id="51"/>
      <w:r w:rsidR="00990828" w:rsidRPr="00F84C77">
        <w:t xml:space="preserve"> </w:t>
      </w:r>
    </w:p>
    <w:p w14:paraId="6B57B72D" w14:textId="0A12D786" w:rsidR="004202E9" w:rsidRDefault="00990828" w:rsidP="00990828">
      <w:pPr>
        <w:pStyle w:val="MoIBody"/>
      </w:pPr>
      <w:r w:rsidRPr="00D040A4">
        <w:t xml:space="preserve">Общият размер на инвестиционните разходи е определен на база </w:t>
      </w:r>
      <w:r w:rsidR="004202E9">
        <w:t xml:space="preserve">стойностите от </w:t>
      </w:r>
      <w:r w:rsidR="00D27DCE">
        <w:t>пред проектното</w:t>
      </w:r>
      <w:r w:rsidR="004202E9">
        <w:t xml:space="preserve"> проучване за да има сравнимост с резултатите от АРП и данните във ФК. </w:t>
      </w:r>
    </w:p>
    <w:p w14:paraId="650F0C21" w14:textId="78DD8909" w:rsidR="004202E9" w:rsidRDefault="004202E9" w:rsidP="00990828">
      <w:pPr>
        <w:pStyle w:val="MoIBody"/>
      </w:pPr>
      <w:r>
        <w:t xml:space="preserve">Разпределението на плащанията е определено на база  договорите за ППС и СПРЕАЗ за </w:t>
      </w:r>
      <w:r w:rsidR="00BB50F8">
        <w:t>морски</w:t>
      </w:r>
      <w:r>
        <w:t xml:space="preserve"> пристанища.</w:t>
      </w:r>
    </w:p>
    <w:p w14:paraId="181A1852" w14:textId="77777777" w:rsidR="004202E9" w:rsidRDefault="004202E9" w:rsidP="00990828">
      <w:pPr>
        <w:pStyle w:val="MoIBody"/>
        <w:sectPr w:rsidR="004202E9" w:rsidSect="00C66077">
          <w:headerReference w:type="default" r:id="rId19"/>
          <w:pgSz w:w="11906" w:h="16838"/>
          <w:pgMar w:top="1418" w:right="1133" w:bottom="2268" w:left="1418" w:header="284" w:footer="517" w:gutter="0"/>
          <w:cols w:space="708"/>
        </w:sectPr>
      </w:pPr>
      <w:r>
        <w:t xml:space="preserve"> </w:t>
      </w:r>
    </w:p>
    <w:p w14:paraId="716A951A" w14:textId="37E81533" w:rsidR="00990828" w:rsidRDefault="00990828" w:rsidP="00990828">
      <w:pPr>
        <w:pStyle w:val="MoIBody"/>
        <w:rPr>
          <w:b/>
          <w:noProof/>
        </w:rPr>
      </w:pPr>
    </w:p>
    <w:p w14:paraId="5D821A58" w14:textId="797E58F4" w:rsidR="00132696" w:rsidRDefault="00132696" w:rsidP="00990828">
      <w:pPr>
        <w:pStyle w:val="MoIBody"/>
        <w:rPr>
          <w:b/>
          <w:noProof/>
        </w:rPr>
      </w:pPr>
    </w:p>
    <w:p w14:paraId="7F277608" w14:textId="77777777" w:rsidR="00132696" w:rsidRDefault="00132696" w:rsidP="00990828">
      <w:pPr>
        <w:pStyle w:val="MoIBody"/>
        <w:rPr>
          <w:b/>
          <w:noProof/>
        </w:rPr>
      </w:pPr>
    </w:p>
    <w:p w14:paraId="20E6FFAE" w14:textId="38B57B54" w:rsidR="00990828" w:rsidRDefault="004202E9" w:rsidP="00990828">
      <w:pPr>
        <w:suppressAutoHyphens w:val="0"/>
        <w:spacing w:before="240" w:after="0" w:line="360" w:lineRule="auto"/>
        <w:rPr>
          <w:rFonts w:ascii="Times New Roman" w:hAnsi="Times New Roman"/>
          <w:b/>
          <w:bCs/>
          <w:smallCaps/>
          <w:color w:val="4F81BD"/>
          <w:sz w:val="22"/>
        </w:rPr>
      </w:pPr>
      <w:bookmarkStart w:id="52" w:name="_Toc491684105"/>
      <w:bookmarkStart w:id="53" w:name="_Toc497819681"/>
      <w:r w:rsidRPr="00FA7EA4">
        <w:rPr>
          <w:rFonts w:ascii="Times New Roman" w:hAnsi="Times New Roman"/>
          <w:b/>
          <w:bCs/>
          <w:smallCaps/>
          <w:color w:val="4F81BD"/>
          <w:sz w:val="22"/>
        </w:rPr>
        <w:t>Таблица 5</w:t>
      </w:r>
      <w:r w:rsidRPr="00FA7EA4">
        <w:rPr>
          <w:rFonts w:ascii="Times New Roman" w:hAnsi="Times New Roman"/>
          <w:b/>
          <w:bCs/>
          <w:smallCaps/>
          <w:color w:val="4F81BD"/>
          <w:sz w:val="22"/>
        </w:rPr>
        <w:noBreakHyphen/>
        <w:t>1: Сконтирани и</w:t>
      </w:r>
      <w:r w:rsidR="00990828" w:rsidRPr="00FA7EA4">
        <w:rPr>
          <w:rFonts w:ascii="Times New Roman" w:hAnsi="Times New Roman"/>
          <w:b/>
          <w:bCs/>
          <w:smallCaps/>
          <w:color w:val="4F81BD"/>
          <w:sz w:val="22"/>
        </w:rPr>
        <w:t xml:space="preserve">нвестиционни разходи за </w:t>
      </w:r>
      <w:bookmarkEnd w:id="52"/>
      <w:bookmarkEnd w:id="53"/>
      <w:r w:rsidR="00BB50F8" w:rsidRPr="00FA7EA4">
        <w:rPr>
          <w:rFonts w:ascii="Times New Roman" w:hAnsi="Times New Roman"/>
          <w:b/>
          <w:bCs/>
          <w:smallCaps/>
          <w:color w:val="4F81BD"/>
          <w:sz w:val="22"/>
        </w:rPr>
        <w:t>морски</w:t>
      </w:r>
      <w:r w:rsidR="00823F63" w:rsidRPr="00FA7EA4">
        <w:rPr>
          <w:rFonts w:ascii="Times New Roman" w:hAnsi="Times New Roman"/>
          <w:b/>
          <w:bCs/>
          <w:smallCaps/>
          <w:color w:val="4F81BD"/>
          <w:sz w:val="22"/>
        </w:rPr>
        <w:t>те пристанища</w:t>
      </w:r>
      <w:r w:rsidR="00990828" w:rsidRPr="00FA7EA4">
        <w:rPr>
          <w:rFonts w:ascii="Times New Roman" w:hAnsi="Times New Roman"/>
          <w:b/>
          <w:bCs/>
          <w:smallCaps/>
          <w:color w:val="4F81BD"/>
          <w:sz w:val="22"/>
        </w:rPr>
        <w:t xml:space="preserve"> </w:t>
      </w:r>
      <w:r w:rsidRPr="00FA7EA4">
        <w:rPr>
          <w:rFonts w:ascii="Times New Roman" w:hAnsi="Times New Roman"/>
          <w:b/>
          <w:bCs/>
          <w:smallCaps/>
          <w:color w:val="4F81BD"/>
          <w:sz w:val="22"/>
        </w:rPr>
        <w:t xml:space="preserve"> по ОРГО</w:t>
      </w:r>
    </w:p>
    <w:p w14:paraId="7B3BBA00" w14:textId="2E52AC15" w:rsidR="008928BA" w:rsidRDefault="008928BA">
      <w:pPr>
        <w:suppressAutoHyphens w:val="0"/>
        <w:spacing w:after="0" w:line="240" w:lineRule="auto"/>
        <w:jc w:val="left"/>
        <w:rPr>
          <w:rFonts w:ascii="Times New Roman" w:hAnsi="Times New Roman"/>
          <w:b/>
          <w:bCs/>
          <w:smallCaps/>
          <w:color w:val="4F81BD"/>
          <w:sz w:val="22"/>
        </w:rPr>
      </w:pPr>
    </w:p>
    <w:p w14:paraId="65E6492D" w14:textId="6436204D" w:rsidR="004202E9" w:rsidRDefault="004202E9" w:rsidP="00990828">
      <w:pPr>
        <w:rPr>
          <w:rFonts w:ascii="Times New Roman" w:hAnsi="Times New Roman"/>
          <w:b/>
          <w:lang w:val="en-US"/>
        </w:rPr>
      </w:pPr>
    </w:p>
    <w:tbl>
      <w:tblPr>
        <w:tblW w:w="1346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92"/>
        <w:gridCol w:w="1400"/>
        <w:gridCol w:w="1540"/>
        <w:gridCol w:w="1680"/>
        <w:gridCol w:w="656"/>
        <w:gridCol w:w="1418"/>
        <w:gridCol w:w="1417"/>
        <w:gridCol w:w="1418"/>
        <w:gridCol w:w="1275"/>
      </w:tblGrid>
      <w:tr w:rsidR="00FA7EA4" w:rsidRPr="0073082B" w14:paraId="5E31F21B" w14:textId="77777777" w:rsidTr="00FA7EA4">
        <w:trPr>
          <w:trHeight w:val="892"/>
        </w:trPr>
        <w:tc>
          <w:tcPr>
            <w:tcW w:w="1343" w:type="dxa"/>
            <w:shd w:val="clear" w:color="000000" w:fill="FFFFFF"/>
            <w:noWrap/>
            <w:vAlign w:val="center"/>
            <w:hideMark/>
          </w:tcPr>
          <w:p w14:paraId="1098F345" w14:textId="77777777" w:rsidR="0073082B" w:rsidRPr="00FA7EA4" w:rsidRDefault="0073082B" w:rsidP="0073082B">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Вид оборудване</w:t>
            </w:r>
          </w:p>
        </w:tc>
        <w:tc>
          <w:tcPr>
            <w:tcW w:w="1392" w:type="dxa"/>
            <w:shd w:val="clear" w:color="000000" w:fill="FFFFFF"/>
            <w:noWrap/>
            <w:vAlign w:val="center"/>
            <w:hideMark/>
          </w:tcPr>
          <w:p w14:paraId="56B9652C" w14:textId="77777777" w:rsidR="0073082B" w:rsidRPr="00FA7EA4" w:rsidRDefault="0073082B" w:rsidP="0073082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Количество</w:t>
            </w:r>
          </w:p>
        </w:tc>
        <w:tc>
          <w:tcPr>
            <w:tcW w:w="1400" w:type="dxa"/>
            <w:shd w:val="clear" w:color="000000" w:fill="FFFFFF"/>
            <w:vAlign w:val="center"/>
            <w:hideMark/>
          </w:tcPr>
          <w:p w14:paraId="216B3149" w14:textId="77777777" w:rsidR="0073082B" w:rsidRPr="00FA7EA4" w:rsidRDefault="0073082B" w:rsidP="0073082B">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Единична цена без ДДС (лв)</w:t>
            </w:r>
          </w:p>
        </w:tc>
        <w:tc>
          <w:tcPr>
            <w:tcW w:w="1540" w:type="dxa"/>
            <w:shd w:val="clear" w:color="000000" w:fill="FFFFFF"/>
            <w:vAlign w:val="center"/>
            <w:hideMark/>
          </w:tcPr>
          <w:p w14:paraId="284E915E" w14:textId="77777777" w:rsidR="0073082B" w:rsidRPr="00FA7EA4" w:rsidRDefault="0073082B" w:rsidP="0073082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Обща стойност без ДДС (лв)</w:t>
            </w:r>
          </w:p>
        </w:tc>
        <w:tc>
          <w:tcPr>
            <w:tcW w:w="1680" w:type="dxa"/>
            <w:shd w:val="clear" w:color="000000" w:fill="FFFFFF"/>
            <w:vAlign w:val="bottom"/>
            <w:hideMark/>
          </w:tcPr>
          <w:p w14:paraId="692B8070" w14:textId="77777777" w:rsidR="0073082B" w:rsidRPr="00FA7EA4" w:rsidRDefault="0073082B" w:rsidP="0073082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дисконтирана стойност на помощта</w:t>
            </w:r>
          </w:p>
        </w:tc>
        <w:tc>
          <w:tcPr>
            <w:tcW w:w="583" w:type="dxa"/>
            <w:shd w:val="clear" w:color="000000" w:fill="FFFFFF"/>
            <w:noWrap/>
            <w:vAlign w:val="center"/>
            <w:hideMark/>
          </w:tcPr>
          <w:p w14:paraId="44EB38DB"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2019</w:t>
            </w:r>
          </w:p>
        </w:tc>
        <w:tc>
          <w:tcPr>
            <w:tcW w:w="1418" w:type="dxa"/>
            <w:shd w:val="clear" w:color="000000" w:fill="FFFFFF"/>
            <w:noWrap/>
            <w:vAlign w:val="center"/>
            <w:hideMark/>
          </w:tcPr>
          <w:p w14:paraId="0EF1002E"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2020</w:t>
            </w:r>
          </w:p>
        </w:tc>
        <w:tc>
          <w:tcPr>
            <w:tcW w:w="1417" w:type="dxa"/>
            <w:shd w:val="clear" w:color="000000" w:fill="FFFFFF"/>
            <w:noWrap/>
            <w:vAlign w:val="center"/>
            <w:hideMark/>
          </w:tcPr>
          <w:p w14:paraId="4EA09749"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2021</w:t>
            </w:r>
          </w:p>
        </w:tc>
        <w:tc>
          <w:tcPr>
            <w:tcW w:w="1418" w:type="dxa"/>
            <w:shd w:val="clear" w:color="000000" w:fill="FFFFFF"/>
            <w:noWrap/>
            <w:vAlign w:val="center"/>
            <w:hideMark/>
          </w:tcPr>
          <w:p w14:paraId="01D8BCAA"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2022</w:t>
            </w:r>
          </w:p>
        </w:tc>
        <w:tc>
          <w:tcPr>
            <w:tcW w:w="1275" w:type="dxa"/>
            <w:shd w:val="clear" w:color="000000" w:fill="FFFFFF"/>
            <w:noWrap/>
            <w:vAlign w:val="center"/>
            <w:hideMark/>
          </w:tcPr>
          <w:p w14:paraId="72CA83DF"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2023</w:t>
            </w:r>
          </w:p>
        </w:tc>
      </w:tr>
      <w:tr w:rsidR="00FA7EA4" w:rsidRPr="0073082B" w14:paraId="3C7A57A6" w14:textId="77777777" w:rsidTr="00FA7EA4">
        <w:trPr>
          <w:trHeight w:val="292"/>
        </w:trPr>
        <w:tc>
          <w:tcPr>
            <w:tcW w:w="1343" w:type="dxa"/>
            <w:shd w:val="clear" w:color="000000" w:fill="FFFFFF"/>
            <w:noWrap/>
            <w:vAlign w:val="center"/>
            <w:hideMark/>
          </w:tcPr>
          <w:p w14:paraId="3D21DC89" w14:textId="77777777" w:rsidR="0073082B" w:rsidRPr="00FA7EA4" w:rsidRDefault="0073082B" w:rsidP="0073082B">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СПРЕАЗ</w:t>
            </w:r>
          </w:p>
        </w:tc>
        <w:tc>
          <w:tcPr>
            <w:tcW w:w="1392" w:type="dxa"/>
            <w:shd w:val="clear" w:color="000000" w:fill="FFFFFF"/>
            <w:noWrap/>
            <w:vAlign w:val="center"/>
            <w:hideMark/>
          </w:tcPr>
          <w:p w14:paraId="57164EBB" w14:textId="77777777" w:rsidR="0073082B" w:rsidRPr="00FA7EA4" w:rsidRDefault="0073082B" w:rsidP="0073082B">
            <w:pPr>
              <w:suppressAutoHyphens w:val="0"/>
              <w:autoSpaceDN/>
              <w:spacing w:after="0" w:line="240" w:lineRule="auto"/>
              <w:jc w:val="center"/>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w:t>
            </w:r>
          </w:p>
        </w:tc>
        <w:tc>
          <w:tcPr>
            <w:tcW w:w="1400" w:type="dxa"/>
            <w:shd w:val="clear" w:color="000000" w:fill="FFFFFF"/>
            <w:noWrap/>
            <w:vAlign w:val="center"/>
            <w:hideMark/>
          </w:tcPr>
          <w:p w14:paraId="0DD74968"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4 971 500,00</w:t>
            </w:r>
          </w:p>
        </w:tc>
        <w:tc>
          <w:tcPr>
            <w:tcW w:w="1540" w:type="dxa"/>
            <w:shd w:val="clear" w:color="000000" w:fill="FFFFFF"/>
            <w:noWrap/>
            <w:vAlign w:val="center"/>
            <w:hideMark/>
          </w:tcPr>
          <w:p w14:paraId="1727DCB9"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4 971 500,00</w:t>
            </w:r>
          </w:p>
        </w:tc>
        <w:tc>
          <w:tcPr>
            <w:tcW w:w="1680" w:type="dxa"/>
            <w:shd w:val="clear" w:color="000000" w:fill="FFFFFF"/>
            <w:noWrap/>
            <w:vAlign w:val="bottom"/>
            <w:hideMark/>
          </w:tcPr>
          <w:p w14:paraId="6F4B52B0"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4 813 156,75    </w:t>
            </w:r>
          </w:p>
        </w:tc>
        <w:tc>
          <w:tcPr>
            <w:tcW w:w="583" w:type="dxa"/>
            <w:shd w:val="clear" w:color="000000" w:fill="FFFFFF"/>
            <w:noWrap/>
            <w:vAlign w:val="bottom"/>
            <w:hideMark/>
          </w:tcPr>
          <w:p w14:paraId="37B00D98"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0</w:t>
            </w:r>
          </w:p>
        </w:tc>
        <w:tc>
          <w:tcPr>
            <w:tcW w:w="1418" w:type="dxa"/>
            <w:shd w:val="clear" w:color="000000" w:fill="FFFFFF"/>
            <w:noWrap/>
            <w:vAlign w:val="bottom"/>
            <w:hideMark/>
          </w:tcPr>
          <w:p w14:paraId="78064A2B"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1 491 450,00</w:t>
            </w:r>
          </w:p>
        </w:tc>
        <w:tc>
          <w:tcPr>
            <w:tcW w:w="1417" w:type="dxa"/>
            <w:shd w:val="clear" w:color="000000" w:fill="FFFFFF"/>
            <w:noWrap/>
            <w:vAlign w:val="bottom"/>
            <w:hideMark/>
          </w:tcPr>
          <w:p w14:paraId="24585E8A"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1 203 434,40</w:t>
            </w:r>
          </w:p>
        </w:tc>
        <w:tc>
          <w:tcPr>
            <w:tcW w:w="1418" w:type="dxa"/>
            <w:shd w:val="clear" w:color="000000" w:fill="FFFFFF"/>
            <w:noWrap/>
            <w:vAlign w:val="bottom"/>
            <w:hideMark/>
          </w:tcPr>
          <w:p w14:paraId="6D2FA4FA"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1 779 465,60</w:t>
            </w:r>
          </w:p>
        </w:tc>
        <w:tc>
          <w:tcPr>
            <w:tcW w:w="1275" w:type="dxa"/>
            <w:shd w:val="clear" w:color="000000" w:fill="FFFFFF"/>
            <w:noWrap/>
            <w:vAlign w:val="bottom"/>
            <w:hideMark/>
          </w:tcPr>
          <w:p w14:paraId="57D90AA6"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497 150,00</w:t>
            </w:r>
          </w:p>
        </w:tc>
      </w:tr>
      <w:tr w:rsidR="00FA7EA4" w:rsidRPr="0073082B" w14:paraId="7CACB8B7" w14:textId="77777777" w:rsidTr="00FA7EA4">
        <w:trPr>
          <w:trHeight w:val="300"/>
        </w:trPr>
        <w:tc>
          <w:tcPr>
            <w:tcW w:w="1343" w:type="dxa"/>
            <w:shd w:val="clear" w:color="000000" w:fill="FFFFFF"/>
            <w:noWrap/>
            <w:vAlign w:val="bottom"/>
            <w:hideMark/>
          </w:tcPr>
          <w:p w14:paraId="3C8150E0" w14:textId="77777777" w:rsidR="0073082B" w:rsidRPr="00FA7EA4" w:rsidRDefault="0073082B" w:rsidP="0073082B">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ППС</w:t>
            </w:r>
          </w:p>
        </w:tc>
        <w:tc>
          <w:tcPr>
            <w:tcW w:w="1392" w:type="dxa"/>
            <w:shd w:val="clear" w:color="000000" w:fill="FFFFFF"/>
            <w:noWrap/>
            <w:vAlign w:val="bottom"/>
            <w:hideMark/>
          </w:tcPr>
          <w:p w14:paraId="4808657C" w14:textId="77777777" w:rsidR="0073082B" w:rsidRPr="00FA7EA4" w:rsidRDefault="0073082B" w:rsidP="0073082B">
            <w:pPr>
              <w:suppressAutoHyphens w:val="0"/>
              <w:autoSpaceDN/>
              <w:spacing w:after="0" w:line="240" w:lineRule="auto"/>
              <w:jc w:val="center"/>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2</w:t>
            </w:r>
          </w:p>
        </w:tc>
        <w:tc>
          <w:tcPr>
            <w:tcW w:w="1400" w:type="dxa"/>
            <w:shd w:val="clear" w:color="000000" w:fill="FFFFFF"/>
            <w:noWrap/>
            <w:vAlign w:val="bottom"/>
            <w:hideMark/>
          </w:tcPr>
          <w:p w14:paraId="052A2429"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13 000,00</w:t>
            </w:r>
          </w:p>
        </w:tc>
        <w:tc>
          <w:tcPr>
            <w:tcW w:w="1540" w:type="dxa"/>
            <w:shd w:val="clear" w:color="000000" w:fill="FFFFFF"/>
            <w:noWrap/>
            <w:vAlign w:val="center"/>
            <w:hideMark/>
          </w:tcPr>
          <w:p w14:paraId="3CB9F1C4"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26 000,00</w:t>
            </w:r>
          </w:p>
        </w:tc>
        <w:tc>
          <w:tcPr>
            <w:tcW w:w="1680" w:type="dxa"/>
            <w:shd w:val="clear" w:color="000000" w:fill="FFFFFF"/>
            <w:noWrap/>
            <w:vAlign w:val="bottom"/>
            <w:hideMark/>
          </w:tcPr>
          <w:p w14:paraId="447CC0DF"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25 136,15    </w:t>
            </w:r>
          </w:p>
        </w:tc>
        <w:tc>
          <w:tcPr>
            <w:tcW w:w="583" w:type="dxa"/>
            <w:shd w:val="clear" w:color="000000" w:fill="FFFFFF"/>
            <w:noWrap/>
            <w:vAlign w:val="bottom"/>
            <w:hideMark/>
          </w:tcPr>
          <w:p w14:paraId="01000E98"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0</w:t>
            </w:r>
          </w:p>
        </w:tc>
        <w:tc>
          <w:tcPr>
            <w:tcW w:w="1418" w:type="dxa"/>
            <w:shd w:val="clear" w:color="000000" w:fill="FFFFFF"/>
            <w:noWrap/>
            <w:vAlign w:val="bottom"/>
            <w:hideMark/>
          </w:tcPr>
          <w:p w14:paraId="7A3CA00D"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7800</w:t>
            </w:r>
          </w:p>
        </w:tc>
        <w:tc>
          <w:tcPr>
            <w:tcW w:w="1417" w:type="dxa"/>
            <w:shd w:val="clear" w:color="000000" w:fill="FFFFFF"/>
            <w:noWrap/>
            <w:vAlign w:val="bottom"/>
            <w:hideMark/>
          </w:tcPr>
          <w:p w14:paraId="02D513D4"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0</w:t>
            </w:r>
          </w:p>
        </w:tc>
        <w:tc>
          <w:tcPr>
            <w:tcW w:w="1418" w:type="dxa"/>
            <w:shd w:val="clear" w:color="000000" w:fill="FFFFFF"/>
            <w:noWrap/>
            <w:vAlign w:val="bottom"/>
            <w:hideMark/>
          </w:tcPr>
          <w:p w14:paraId="436669D5"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18200</w:t>
            </w:r>
          </w:p>
        </w:tc>
        <w:tc>
          <w:tcPr>
            <w:tcW w:w="1275" w:type="dxa"/>
            <w:shd w:val="clear" w:color="000000" w:fill="FFFFFF"/>
            <w:noWrap/>
            <w:vAlign w:val="bottom"/>
            <w:hideMark/>
          </w:tcPr>
          <w:p w14:paraId="4AF6E49A" w14:textId="77777777" w:rsidR="0073082B" w:rsidRPr="00FA7EA4" w:rsidRDefault="0073082B" w:rsidP="0073082B">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0</w:t>
            </w:r>
          </w:p>
        </w:tc>
      </w:tr>
    </w:tbl>
    <w:p w14:paraId="0B8212A7" w14:textId="77777777" w:rsidR="0073082B" w:rsidRDefault="0073082B" w:rsidP="00990828">
      <w:pPr>
        <w:rPr>
          <w:rFonts w:ascii="Times New Roman" w:hAnsi="Times New Roman"/>
          <w:b/>
          <w:lang w:val="en-US"/>
        </w:rPr>
        <w:sectPr w:rsidR="0073082B" w:rsidSect="004202E9">
          <w:pgSz w:w="16838" w:h="11906" w:orient="landscape"/>
          <w:pgMar w:top="1418" w:right="1418" w:bottom="1134" w:left="2268" w:header="284" w:footer="516" w:gutter="0"/>
          <w:cols w:space="708"/>
        </w:sectPr>
      </w:pPr>
    </w:p>
    <w:p w14:paraId="03C81BA3" w14:textId="350D9A54" w:rsidR="00711EDC" w:rsidRPr="001437CC" w:rsidRDefault="00711EDC" w:rsidP="00990828">
      <w:pPr>
        <w:rPr>
          <w:rFonts w:ascii="Times New Roman" w:hAnsi="Times New Roman"/>
          <w:b/>
          <w:lang w:val="en-US"/>
        </w:rPr>
      </w:pPr>
    </w:p>
    <w:p w14:paraId="2ED8E7AD" w14:textId="77777777" w:rsidR="00990828" w:rsidRPr="00F63CA1" w:rsidRDefault="00990828" w:rsidP="00990828">
      <w:pPr>
        <w:pStyle w:val="Heading2"/>
      </w:pPr>
      <w:bookmarkStart w:id="54" w:name="_Toc13831915"/>
      <w:bookmarkStart w:id="55" w:name="_Toc43309119"/>
      <w:r w:rsidRPr="00F63CA1">
        <w:t>Остатъчна стойност на активите</w:t>
      </w:r>
      <w:bookmarkEnd w:id="54"/>
      <w:bookmarkEnd w:id="55"/>
      <w:r w:rsidRPr="00F63CA1">
        <w:t xml:space="preserve"> </w:t>
      </w:r>
    </w:p>
    <w:p w14:paraId="6CF96770" w14:textId="33195719" w:rsidR="004202E9" w:rsidRDefault="004202E9" w:rsidP="00990828">
      <w:pPr>
        <w:pStyle w:val="MoIBody"/>
      </w:pPr>
      <w:r>
        <w:t xml:space="preserve">Остатъчната стойност на активите участва единствено при определяне на </w:t>
      </w:r>
      <w:r w:rsidR="00D27DCE">
        <w:t>финансовите</w:t>
      </w:r>
      <w:r>
        <w:t xml:space="preserve"> показатели ННС и ВНВ.</w:t>
      </w:r>
    </w:p>
    <w:p w14:paraId="6F752C66" w14:textId="5FC04D18" w:rsidR="004202E9" w:rsidRDefault="004202E9" w:rsidP="00990828">
      <w:pPr>
        <w:pStyle w:val="MoIBody"/>
      </w:pPr>
      <w:r>
        <w:t xml:space="preserve">Нейната стойност е определена на база прогнозния живот на активите, необходимостта от подмяна на съоръженията в рамките на прогнозния период и е дисконтирана към днешна дата. </w:t>
      </w:r>
    </w:p>
    <w:p w14:paraId="494630CB" w14:textId="17F15785" w:rsidR="00990828" w:rsidRDefault="00990828" w:rsidP="00990828">
      <w:pPr>
        <w:pStyle w:val="MoIBody"/>
        <w:rPr>
          <w:lang w:val="en-US"/>
        </w:rPr>
      </w:pPr>
      <w:r w:rsidRPr="006C767D">
        <w:t>Получена</w:t>
      </w:r>
      <w:r w:rsidR="004202E9">
        <w:t>та Остатъчна стойност за инвес</w:t>
      </w:r>
      <w:r w:rsidR="008E7843">
        <w:t>т</w:t>
      </w:r>
      <w:r w:rsidR="004202E9">
        <w:t xml:space="preserve">ициите в </w:t>
      </w:r>
      <w:r w:rsidR="00BB50F8">
        <w:t>морски</w:t>
      </w:r>
      <w:r w:rsidR="004202E9">
        <w:t xml:space="preserve"> пристанища</w:t>
      </w:r>
      <w:r w:rsidRPr="006C767D">
        <w:t xml:space="preserve"> е представена в следващата таблица</w:t>
      </w:r>
      <w:r w:rsidRPr="003E6EBA">
        <w:rPr>
          <w:lang w:val="en-US"/>
        </w:rPr>
        <w:t>:</w:t>
      </w:r>
    </w:p>
    <w:p w14:paraId="115159E6" w14:textId="0F8A45B7" w:rsidR="00990828" w:rsidRPr="00990828" w:rsidRDefault="004202E9" w:rsidP="00990828">
      <w:pPr>
        <w:suppressAutoHyphens w:val="0"/>
        <w:spacing w:before="240" w:after="0" w:line="360" w:lineRule="auto"/>
        <w:rPr>
          <w:rFonts w:ascii="Times New Roman" w:hAnsi="Times New Roman"/>
          <w:b/>
          <w:bCs/>
          <w:smallCaps/>
          <w:color w:val="4F81BD"/>
          <w:sz w:val="22"/>
        </w:rPr>
      </w:pPr>
      <w:bookmarkStart w:id="56" w:name="_Toc492385751"/>
      <w:bookmarkStart w:id="57" w:name="_Toc497819683"/>
      <w:r>
        <w:rPr>
          <w:rFonts w:ascii="Times New Roman" w:hAnsi="Times New Roman"/>
          <w:b/>
          <w:bCs/>
          <w:smallCaps/>
          <w:color w:val="4F81BD"/>
          <w:sz w:val="22"/>
        </w:rPr>
        <w:t>Таблица 5</w:t>
      </w:r>
      <w:r>
        <w:rPr>
          <w:rFonts w:ascii="Times New Roman" w:hAnsi="Times New Roman"/>
          <w:b/>
          <w:bCs/>
          <w:smallCaps/>
          <w:color w:val="4F81BD"/>
          <w:sz w:val="22"/>
        </w:rPr>
        <w:noBreakHyphen/>
        <w:t>2</w:t>
      </w:r>
      <w:r w:rsidR="00990828" w:rsidRPr="00990828">
        <w:rPr>
          <w:rFonts w:ascii="Times New Roman" w:hAnsi="Times New Roman"/>
          <w:b/>
          <w:bCs/>
          <w:smallCaps/>
          <w:color w:val="4F81BD"/>
          <w:sz w:val="22"/>
        </w:rPr>
        <w:t>: Остатъчна стойност в лв</w:t>
      </w:r>
      <w:bookmarkEnd w:id="56"/>
      <w:bookmarkEnd w:id="57"/>
    </w:p>
    <w:tbl>
      <w:tblPr>
        <w:tblW w:w="6807"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954"/>
        <w:gridCol w:w="1694"/>
      </w:tblGrid>
      <w:tr w:rsidR="00990828" w:rsidRPr="00990828" w14:paraId="6FDC09CD" w14:textId="77777777" w:rsidTr="00A251D9">
        <w:trPr>
          <w:trHeight w:val="765"/>
        </w:trPr>
        <w:tc>
          <w:tcPr>
            <w:tcW w:w="3159" w:type="dxa"/>
            <w:shd w:val="clear" w:color="auto" w:fill="BFBFBF" w:themeFill="background1" w:themeFillShade="BF"/>
            <w:vAlign w:val="center"/>
            <w:hideMark/>
          </w:tcPr>
          <w:p w14:paraId="78F27F5A" w14:textId="77777777" w:rsidR="00990828" w:rsidRPr="00990828" w:rsidRDefault="00990828" w:rsidP="00711EDC">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954" w:type="dxa"/>
            <w:shd w:val="clear" w:color="auto" w:fill="BFBFBF" w:themeFill="background1" w:themeFillShade="BF"/>
            <w:vAlign w:val="center"/>
            <w:hideMark/>
          </w:tcPr>
          <w:p w14:paraId="0A0CA5BF" w14:textId="77777777" w:rsidR="00990828" w:rsidRPr="00990828" w:rsidRDefault="00990828" w:rsidP="00711EDC">
            <w:pPr>
              <w:spacing w:before="60" w:after="60" w:line="240" w:lineRule="auto"/>
              <w:jc w:val="center"/>
              <w:rPr>
                <w:rFonts w:ascii="Times New Roman" w:hAnsi="Times New Roman"/>
                <w:b/>
                <w:bCs/>
                <w:color w:val="000000"/>
              </w:rPr>
            </w:pPr>
            <w:r w:rsidRPr="00990828">
              <w:rPr>
                <w:rFonts w:ascii="Times New Roman" w:hAnsi="Times New Roman"/>
                <w:b/>
                <w:bCs/>
                <w:color w:val="000000"/>
                <w:sz w:val="22"/>
              </w:rPr>
              <w:t>Недисконтирана стойност</w:t>
            </w:r>
          </w:p>
        </w:tc>
        <w:tc>
          <w:tcPr>
            <w:tcW w:w="1694" w:type="dxa"/>
            <w:shd w:val="clear" w:color="auto" w:fill="BFBFBF" w:themeFill="background1" w:themeFillShade="BF"/>
            <w:vAlign w:val="center"/>
            <w:hideMark/>
          </w:tcPr>
          <w:p w14:paraId="223F4237" w14:textId="77777777" w:rsidR="00990828" w:rsidRPr="00990828" w:rsidRDefault="00990828" w:rsidP="00711EDC">
            <w:pPr>
              <w:spacing w:before="60" w:after="60" w:line="240" w:lineRule="auto"/>
              <w:jc w:val="center"/>
              <w:rPr>
                <w:rFonts w:ascii="Times New Roman" w:hAnsi="Times New Roman"/>
                <w:b/>
                <w:bCs/>
                <w:color w:val="000000"/>
              </w:rPr>
            </w:pPr>
            <w:r w:rsidRPr="00990828">
              <w:rPr>
                <w:rFonts w:ascii="Times New Roman" w:hAnsi="Times New Roman"/>
                <w:b/>
                <w:bCs/>
                <w:color w:val="000000"/>
                <w:sz w:val="22"/>
              </w:rPr>
              <w:t>Дисконтиранастойност</w:t>
            </w:r>
          </w:p>
        </w:tc>
      </w:tr>
      <w:tr w:rsidR="00990828" w:rsidRPr="00990828" w14:paraId="7A76BEB3" w14:textId="77777777" w:rsidTr="00A251D9">
        <w:trPr>
          <w:trHeight w:val="255"/>
        </w:trPr>
        <w:tc>
          <w:tcPr>
            <w:tcW w:w="3159" w:type="dxa"/>
            <w:shd w:val="clear" w:color="auto" w:fill="auto"/>
            <w:vAlign w:val="center"/>
            <w:hideMark/>
          </w:tcPr>
          <w:p w14:paraId="6770E4CC" w14:textId="77777777" w:rsidR="00990828" w:rsidRPr="00990828" w:rsidRDefault="00990828" w:rsidP="00711EDC">
            <w:pPr>
              <w:spacing w:before="60" w:after="60" w:line="240" w:lineRule="auto"/>
              <w:rPr>
                <w:rFonts w:ascii="Times New Roman" w:hAnsi="Times New Roman"/>
                <w:color w:val="000000"/>
              </w:rPr>
            </w:pPr>
            <w:r w:rsidRPr="00990828">
              <w:rPr>
                <w:rFonts w:ascii="Times New Roman" w:hAnsi="Times New Roman"/>
                <w:color w:val="000000"/>
                <w:sz w:val="22"/>
              </w:rPr>
              <w:t>Остатъчна стойност</w:t>
            </w:r>
          </w:p>
        </w:tc>
        <w:tc>
          <w:tcPr>
            <w:tcW w:w="1954" w:type="dxa"/>
            <w:shd w:val="clear" w:color="auto" w:fill="auto"/>
            <w:vAlign w:val="bottom"/>
          </w:tcPr>
          <w:p w14:paraId="71065287" w14:textId="390011F3" w:rsidR="00990828" w:rsidRPr="00990828" w:rsidRDefault="008E7843" w:rsidP="00711EDC">
            <w:pPr>
              <w:spacing w:before="60" w:after="60" w:line="240" w:lineRule="auto"/>
              <w:jc w:val="right"/>
              <w:rPr>
                <w:rFonts w:ascii="Times New Roman" w:hAnsi="Times New Roman"/>
                <w:color w:val="000000"/>
                <w:lang w:val="en-US"/>
              </w:rPr>
            </w:pPr>
            <w:r>
              <w:rPr>
                <w:rFonts w:ascii="Times New Roman" w:hAnsi="Times New Roman"/>
                <w:color w:val="000000"/>
                <w:lang w:val="en-US"/>
              </w:rPr>
              <w:t>499 7</w:t>
            </w:r>
            <w:r w:rsidR="00C6167F">
              <w:rPr>
                <w:rFonts w:ascii="Times New Roman" w:hAnsi="Times New Roman"/>
                <w:color w:val="000000"/>
                <w:lang w:val="en-US"/>
              </w:rPr>
              <w:t>50</w:t>
            </w:r>
          </w:p>
        </w:tc>
        <w:tc>
          <w:tcPr>
            <w:tcW w:w="1694" w:type="dxa"/>
            <w:shd w:val="clear" w:color="auto" w:fill="auto"/>
            <w:vAlign w:val="bottom"/>
          </w:tcPr>
          <w:p w14:paraId="1A98FEE1" w14:textId="07A61919" w:rsidR="00990828" w:rsidRPr="00990828" w:rsidRDefault="008E7843" w:rsidP="00711EDC">
            <w:pPr>
              <w:spacing w:before="60" w:after="60" w:line="240" w:lineRule="auto"/>
              <w:jc w:val="right"/>
              <w:rPr>
                <w:rFonts w:ascii="Times New Roman" w:hAnsi="Times New Roman"/>
                <w:color w:val="000000"/>
                <w:lang w:val="en-US"/>
              </w:rPr>
            </w:pPr>
            <w:r>
              <w:rPr>
                <w:rFonts w:ascii="Times New Roman" w:hAnsi="Times New Roman"/>
                <w:color w:val="000000"/>
                <w:lang w:val="en-US"/>
              </w:rPr>
              <w:t>499 7</w:t>
            </w:r>
            <w:r w:rsidR="00C6167F">
              <w:rPr>
                <w:rFonts w:ascii="Times New Roman" w:hAnsi="Times New Roman"/>
                <w:color w:val="000000"/>
                <w:lang w:val="en-US"/>
              </w:rPr>
              <w:t>50</w:t>
            </w:r>
          </w:p>
        </w:tc>
      </w:tr>
    </w:tbl>
    <w:p w14:paraId="506AEEB6" w14:textId="77777777" w:rsidR="00F20B5D" w:rsidRDefault="00F20B5D" w:rsidP="00995353">
      <w:pPr>
        <w:pStyle w:val="MoIBody"/>
      </w:pPr>
      <w:bookmarkStart w:id="58" w:name="_Toc13831916"/>
    </w:p>
    <w:p w14:paraId="387EC560" w14:textId="77777777" w:rsidR="00711EDC" w:rsidRPr="00F84C77" w:rsidRDefault="00711EDC" w:rsidP="00711EDC">
      <w:pPr>
        <w:pStyle w:val="Heading2"/>
      </w:pPr>
      <w:bookmarkStart w:id="59" w:name="_Toc43309120"/>
      <w:r w:rsidRPr="00F84C77">
        <w:t>Разходи за експлоатация и поддръжка</w:t>
      </w:r>
      <w:bookmarkEnd w:id="58"/>
      <w:bookmarkEnd w:id="59"/>
    </w:p>
    <w:p w14:paraId="7B0B9DD9" w14:textId="1C274A28" w:rsidR="004202E9" w:rsidRDefault="004202E9" w:rsidP="00711EDC">
      <w:pPr>
        <w:pStyle w:val="MoIBody"/>
      </w:pPr>
      <w:r>
        <w:t>За определяне размера на оперативните разходи са използвани данни и разчети от Доклада за АРП.</w:t>
      </w:r>
    </w:p>
    <w:p w14:paraId="20DE078F" w14:textId="19FF2E99" w:rsidR="004202E9" w:rsidRDefault="008E7843" w:rsidP="00711EDC">
      <w:pPr>
        <w:pStyle w:val="MoIBody"/>
      </w:pPr>
      <w:r>
        <w:t xml:space="preserve">Тъй като до тази  дейност </w:t>
      </w:r>
      <w:r w:rsidR="00147C13">
        <w:t xml:space="preserve"> е изпълнявана </w:t>
      </w:r>
      <w:r>
        <w:t xml:space="preserve">само </w:t>
      </w:r>
      <w:r w:rsidR="00147C13">
        <w:t xml:space="preserve">на </w:t>
      </w:r>
      <w:r w:rsidR="00BB50F8">
        <w:t>морски</w:t>
      </w:r>
      <w:r w:rsidR="00147C13">
        <w:t xml:space="preserve">те пристанища и </w:t>
      </w:r>
      <w:r>
        <w:t xml:space="preserve">има </w:t>
      </w:r>
      <w:r w:rsidR="00147C13">
        <w:t xml:space="preserve">исторически данни </w:t>
      </w:r>
      <w:r>
        <w:t xml:space="preserve">за разходите </w:t>
      </w:r>
      <w:r w:rsidR="00147C13">
        <w:t>са направени следните допускания:</w:t>
      </w:r>
    </w:p>
    <w:p w14:paraId="50D1C821" w14:textId="5A9C7E23" w:rsidR="008E7843" w:rsidRDefault="00147C13" w:rsidP="00C6167F">
      <w:pPr>
        <w:pStyle w:val="MoIBody"/>
        <w:numPr>
          <w:ilvl w:val="0"/>
          <w:numId w:val="31"/>
        </w:numPr>
      </w:pPr>
      <w:r>
        <w:t xml:space="preserve">Всички </w:t>
      </w:r>
      <w:r w:rsidR="008E7843">
        <w:t xml:space="preserve">преки  разходи, отчитани до момента запазват стойността си, защото </w:t>
      </w:r>
      <w:r w:rsidR="00D27DCE">
        <w:t>обхващат</w:t>
      </w:r>
      <w:r w:rsidR="008E7843">
        <w:t xml:space="preserve"> само морските пристанища</w:t>
      </w:r>
    </w:p>
    <w:p w14:paraId="1D9C650E" w14:textId="273CD7B3" w:rsidR="00147C13" w:rsidRDefault="00147C13" w:rsidP="00C6167F">
      <w:pPr>
        <w:pStyle w:val="MoIBody"/>
        <w:numPr>
          <w:ilvl w:val="0"/>
          <w:numId w:val="31"/>
        </w:numPr>
      </w:pPr>
      <w:r>
        <w:t xml:space="preserve">непреки административни разходи, които възникват в резултат на управлението на системата в пристанището към момента са поемани от морските пристанища, но административния капацитет след проекта ще бъде споделян с </w:t>
      </w:r>
      <w:r w:rsidR="008E7843">
        <w:t>речните</w:t>
      </w:r>
      <w:r>
        <w:t xml:space="preserve"> пристанища, т.е. в преките разходи за </w:t>
      </w:r>
      <w:r w:rsidR="00BB50F8">
        <w:t>морски</w:t>
      </w:r>
      <w:r>
        <w:t>те пристанища ще се поемат половината от общите преки разходи</w:t>
      </w:r>
    </w:p>
    <w:p w14:paraId="1063910A" w14:textId="08907C0D" w:rsidR="00612097" w:rsidRDefault="00612097" w:rsidP="00C6167F">
      <w:pPr>
        <w:pStyle w:val="MoIBody"/>
        <w:numPr>
          <w:ilvl w:val="0"/>
          <w:numId w:val="31"/>
        </w:numPr>
      </w:pPr>
      <w:r>
        <w:t>Тъй като няма аналитична отчетност  за отделните елементи на оперативните разходи е използвана общата им стойност, отчитана в ОПР на ДППИ под формата на разходите за обработка на отпадъци</w:t>
      </w:r>
    </w:p>
    <w:p w14:paraId="0BD2F676" w14:textId="77777777" w:rsidR="004202E9" w:rsidRDefault="004202E9" w:rsidP="00711EDC">
      <w:pPr>
        <w:pStyle w:val="MoIBody"/>
      </w:pPr>
    </w:p>
    <w:p w14:paraId="7266C086" w14:textId="569E23DF" w:rsidR="00711EDC" w:rsidRDefault="00711EDC" w:rsidP="00711EDC">
      <w:pPr>
        <w:pStyle w:val="MoIBody"/>
      </w:pPr>
      <w:r w:rsidRPr="00F84C77">
        <w:t>Общият размер на прогнозните оперативни разходи се определя за всяка годин</w:t>
      </w:r>
      <w:r>
        <w:t>а от прогнозния период. При прогнозата</w:t>
      </w:r>
      <w:r w:rsidRPr="00F84C77">
        <w:t xml:space="preserve"> са използвани постоянни цени.</w:t>
      </w:r>
    </w:p>
    <w:p w14:paraId="38DBBD34" w14:textId="530755BE" w:rsidR="00711EDC" w:rsidRDefault="00711EDC" w:rsidP="00711EDC">
      <w:pPr>
        <w:pStyle w:val="MoIBody"/>
      </w:pPr>
      <w:r>
        <w:lastRenderedPageBreak/>
        <w:t>На следващата фаза на анализа са определени</w:t>
      </w:r>
      <w:r w:rsidR="00132696">
        <w:t xml:space="preserve"> единичните стойности на прогнозираните разходи </w:t>
      </w:r>
      <w:r>
        <w:t>.</w:t>
      </w:r>
    </w:p>
    <w:p w14:paraId="60F64590" w14:textId="0FEACCEE" w:rsidR="00711EDC" w:rsidRPr="00280280" w:rsidRDefault="00132696" w:rsidP="00711EDC">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3</w:t>
      </w:r>
      <w:r w:rsidR="00711EDC" w:rsidRPr="00711EDC">
        <w:rPr>
          <w:rFonts w:ascii="Times New Roman" w:hAnsi="Times New Roman"/>
          <w:b/>
          <w:bCs/>
          <w:smallCaps/>
          <w:color w:val="4F81BD"/>
          <w:sz w:val="22"/>
        </w:rPr>
        <w:t>: Е</w:t>
      </w:r>
      <w:r>
        <w:rPr>
          <w:rFonts w:ascii="Times New Roman" w:hAnsi="Times New Roman"/>
          <w:b/>
          <w:bCs/>
          <w:smallCaps/>
          <w:color w:val="4F81BD"/>
          <w:sz w:val="22"/>
        </w:rPr>
        <w:t>динична стойност на оперативните</w:t>
      </w:r>
      <w:r w:rsidR="00711EDC" w:rsidRPr="00711EDC">
        <w:rPr>
          <w:rFonts w:ascii="Times New Roman" w:hAnsi="Times New Roman"/>
          <w:b/>
          <w:bCs/>
          <w:smallCaps/>
          <w:color w:val="4F81BD"/>
          <w:sz w:val="22"/>
        </w:rPr>
        <w:t xml:space="preserve"> разходи</w:t>
      </w:r>
      <w:r w:rsidR="00280280">
        <w:rPr>
          <w:rFonts w:ascii="Times New Roman" w:hAnsi="Times New Roman"/>
          <w:b/>
          <w:bCs/>
          <w:smallCaps/>
          <w:color w:val="4F81BD"/>
          <w:sz w:val="22"/>
          <w:lang w:val="en-US"/>
        </w:rPr>
        <w:t xml:space="preserve"> </w:t>
      </w:r>
      <w:r w:rsidR="00280280">
        <w:rPr>
          <w:rFonts w:ascii="Times New Roman" w:hAnsi="Times New Roman"/>
          <w:b/>
          <w:bCs/>
          <w:smallCaps/>
          <w:color w:val="4F81BD"/>
          <w:sz w:val="22"/>
        </w:rPr>
        <w:t>в лв.</w:t>
      </w:r>
    </w:p>
    <w:tbl>
      <w:tblPr>
        <w:tblW w:w="5681"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980"/>
        <w:gridCol w:w="1701"/>
      </w:tblGrid>
      <w:tr w:rsidR="00280280" w:rsidRPr="00711EDC" w14:paraId="1559B227" w14:textId="477D5F64" w:rsidTr="00280280">
        <w:trPr>
          <w:trHeight w:val="221"/>
        </w:trPr>
        <w:tc>
          <w:tcPr>
            <w:tcW w:w="3980" w:type="dxa"/>
            <w:shd w:val="clear" w:color="auto" w:fill="BFBFBF" w:themeFill="background1" w:themeFillShade="BF"/>
            <w:vAlign w:val="bottom"/>
          </w:tcPr>
          <w:p w14:paraId="62D77EB3" w14:textId="2DD1FF06" w:rsidR="00280280" w:rsidRPr="00711EDC" w:rsidRDefault="00280280" w:rsidP="00132696">
            <w:pPr>
              <w:suppressAutoHyphens w:val="0"/>
              <w:spacing w:after="0" w:line="240" w:lineRule="auto"/>
              <w:rPr>
                <w:rFonts w:ascii="Times New Roman" w:hAnsi="Times New Roman"/>
                <w:b/>
                <w:color w:val="000000"/>
              </w:rPr>
            </w:pPr>
            <w:r w:rsidRPr="00711EDC">
              <w:rPr>
                <w:rFonts w:ascii="Times New Roman" w:hAnsi="Times New Roman"/>
                <w:b/>
                <w:color w:val="000000"/>
                <w:sz w:val="22"/>
              </w:rPr>
              <w:t>Ед</w:t>
            </w:r>
            <w:r>
              <w:rPr>
                <w:rFonts w:ascii="Times New Roman" w:hAnsi="Times New Roman"/>
                <w:b/>
                <w:color w:val="000000"/>
                <w:sz w:val="22"/>
              </w:rPr>
              <w:t>инични стойности на оперативните</w:t>
            </w:r>
            <w:r w:rsidRPr="00711EDC">
              <w:rPr>
                <w:rFonts w:ascii="Times New Roman" w:hAnsi="Times New Roman"/>
                <w:b/>
                <w:color w:val="000000"/>
                <w:sz w:val="22"/>
              </w:rPr>
              <w:t xml:space="preserve"> разходи </w:t>
            </w:r>
          </w:p>
        </w:tc>
        <w:tc>
          <w:tcPr>
            <w:tcW w:w="1701" w:type="dxa"/>
            <w:shd w:val="clear" w:color="auto" w:fill="BFBFBF" w:themeFill="background1" w:themeFillShade="BF"/>
            <w:noWrap/>
            <w:vAlign w:val="bottom"/>
          </w:tcPr>
          <w:p w14:paraId="00248D9F" w14:textId="7B3BD53F" w:rsidR="00280280" w:rsidRPr="00711EDC" w:rsidRDefault="00280280" w:rsidP="00132696">
            <w:pPr>
              <w:suppressAutoHyphens w:val="0"/>
              <w:spacing w:after="0" w:line="240" w:lineRule="auto"/>
              <w:jc w:val="center"/>
              <w:rPr>
                <w:rFonts w:ascii="Times New Roman" w:hAnsi="Times New Roman"/>
                <w:b/>
                <w:color w:val="000000"/>
              </w:rPr>
            </w:pPr>
            <w:r w:rsidRPr="00280280">
              <w:rPr>
                <w:rFonts w:ascii="Times New Roman" w:hAnsi="Times New Roman"/>
                <w:b/>
                <w:color w:val="000000"/>
                <w:sz w:val="22"/>
              </w:rPr>
              <w:t>Стойност за морски пристанища</w:t>
            </w:r>
          </w:p>
        </w:tc>
      </w:tr>
      <w:tr w:rsidR="00280280" w:rsidRPr="00711EDC" w14:paraId="4380EDE4" w14:textId="28331089" w:rsidTr="00280280">
        <w:trPr>
          <w:trHeight w:val="226"/>
        </w:trPr>
        <w:tc>
          <w:tcPr>
            <w:tcW w:w="3980" w:type="dxa"/>
            <w:shd w:val="clear" w:color="auto" w:fill="auto"/>
            <w:vAlign w:val="bottom"/>
            <w:hideMark/>
          </w:tcPr>
          <w:p w14:paraId="2D144E26" w14:textId="1E1DE097" w:rsidR="00280280" w:rsidRPr="00280280" w:rsidRDefault="00280280" w:rsidP="00280280">
            <w:pPr>
              <w:suppressAutoHyphens w:val="0"/>
              <w:spacing w:after="0" w:line="240" w:lineRule="auto"/>
              <w:rPr>
                <w:rFonts w:ascii="Times New Roman" w:hAnsi="Times New Roman"/>
                <w:color w:val="000000"/>
                <w:szCs w:val="24"/>
              </w:rPr>
            </w:pPr>
            <w:r>
              <w:rPr>
                <w:rFonts w:ascii="Times New Roman" w:hAnsi="Times New Roman"/>
                <w:color w:val="000000"/>
                <w:szCs w:val="24"/>
              </w:rPr>
              <w:t>30% п</w:t>
            </w:r>
            <w:r w:rsidRPr="00135689">
              <w:rPr>
                <w:rFonts w:ascii="Times New Roman" w:hAnsi="Times New Roman"/>
                <w:color w:val="000000"/>
                <w:szCs w:val="24"/>
                <w:lang w:val="en-US"/>
              </w:rPr>
              <w:t xml:space="preserve">реки </w:t>
            </w:r>
            <w:r>
              <w:rPr>
                <w:rFonts w:ascii="Times New Roman" w:hAnsi="Times New Roman"/>
                <w:color w:val="000000"/>
                <w:szCs w:val="24"/>
                <w:lang w:val="en-US"/>
              </w:rPr>
              <w:t xml:space="preserve">+ </w:t>
            </w:r>
            <w:r>
              <w:rPr>
                <w:rFonts w:ascii="Times New Roman" w:hAnsi="Times New Roman"/>
                <w:color w:val="000000"/>
                <w:szCs w:val="24"/>
              </w:rPr>
              <w:t xml:space="preserve">пълни непреки </w:t>
            </w:r>
            <w:r w:rsidRPr="00135689">
              <w:rPr>
                <w:rFonts w:ascii="Times New Roman" w:hAnsi="Times New Roman"/>
                <w:color w:val="000000"/>
                <w:szCs w:val="24"/>
                <w:lang w:val="en-US"/>
              </w:rPr>
              <w:t xml:space="preserve">разходи </w:t>
            </w:r>
          </w:p>
        </w:tc>
        <w:tc>
          <w:tcPr>
            <w:tcW w:w="1701" w:type="dxa"/>
            <w:shd w:val="clear" w:color="000000" w:fill="FFFFFF"/>
            <w:noWrap/>
            <w:hideMark/>
          </w:tcPr>
          <w:p w14:paraId="7F06D0B0" w14:textId="1F40E1CF" w:rsidR="00280280" w:rsidRPr="004F0241" w:rsidRDefault="00280280" w:rsidP="00132696">
            <w:pPr>
              <w:suppressAutoHyphens w:val="0"/>
              <w:spacing w:after="0" w:line="240" w:lineRule="auto"/>
              <w:jc w:val="right"/>
              <w:rPr>
                <w:rFonts w:ascii="Times New Roman" w:hAnsi="Times New Roman"/>
                <w:color w:val="000000"/>
                <w:lang w:val="en-US"/>
              </w:rPr>
            </w:pPr>
            <w:r>
              <w:rPr>
                <w:rFonts w:ascii="Times New Roman" w:hAnsi="Times New Roman"/>
              </w:rPr>
              <w:t>1</w:t>
            </w:r>
            <w:r>
              <w:rPr>
                <w:rFonts w:ascii="Times New Roman" w:hAnsi="Times New Roman"/>
                <w:lang w:val="en-US"/>
              </w:rPr>
              <w:t xml:space="preserve"> </w:t>
            </w:r>
            <w:r>
              <w:rPr>
                <w:rFonts w:ascii="Times New Roman" w:hAnsi="Times New Roman"/>
              </w:rPr>
              <w:t>437</w:t>
            </w:r>
            <w:r>
              <w:rPr>
                <w:rFonts w:ascii="Times New Roman" w:hAnsi="Times New Roman"/>
                <w:lang w:val="en-US"/>
              </w:rPr>
              <w:t xml:space="preserve"> </w:t>
            </w:r>
            <w:r>
              <w:rPr>
                <w:rFonts w:ascii="Times New Roman" w:hAnsi="Times New Roman"/>
              </w:rPr>
              <w:t>633</w:t>
            </w:r>
          </w:p>
        </w:tc>
      </w:tr>
      <w:tr w:rsidR="00280280" w:rsidRPr="00711EDC" w14:paraId="0C4F101D" w14:textId="1AF15D9C" w:rsidTr="00280280">
        <w:trPr>
          <w:trHeight w:val="357"/>
        </w:trPr>
        <w:tc>
          <w:tcPr>
            <w:tcW w:w="3980" w:type="dxa"/>
            <w:shd w:val="clear" w:color="auto" w:fill="auto"/>
            <w:vAlign w:val="bottom"/>
            <w:hideMark/>
          </w:tcPr>
          <w:p w14:paraId="44332AB4" w14:textId="099A126A" w:rsidR="00280280" w:rsidRPr="00135689" w:rsidRDefault="00280280" w:rsidP="00280280">
            <w:pPr>
              <w:suppressAutoHyphens w:val="0"/>
              <w:spacing w:after="0" w:line="240" w:lineRule="auto"/>
              <w:rPr>
                <w:rFonts w:ascii="Times New Roman" w:hAnsi="Times New Roman"/>
                <w:color w:val="000000"/>
                <w:szCs w:val="24"/>
              </w:rPr>
            </w:pPr>
            <w:r>
              <w:rPr>
                <w:rFonts w:ascii="Times New Roman" w:hAnsi="Times New Roman"/>
                <w:color w:val="000000"/>
                <w:szCs w:val="24"/>
              </w:rPr>
              <w:t xml:space="preserve">Брой посещения </w:t>
            </w:r>
            <w:r w:rsidRPr="00135689">
              <w:rPr>
                <w:rFonts w:ascii="Times New Roman" w:hAnsi="Times New Roman"/>
                <w:color w:val="000000"/>
                <w:szCs w:val="24"/>
              </w:rPr>
              <w:t xml:space="preserve"> </w:t>
            </w:r>
          </w:p>
        </w:tc>
        <w:tc>
          <w:tcPr>
            <w:tcW w:w="1701" w:type="dxa"/>
            <w:shd w:val="clear" w:color="auto" w:fill="auto"/>
            <w:noWrap/>
            <w:hideMark/>
          </w:tcPr>
          <w:p w14:paraId="79FA2449" w14:textId="745D80F3" w:rsidR="00280280" w:rsidRPr="004F0241" w:rsidRDefault="00280280" w:rsidP="00132696">
            <w:pPr>
              <w:suppressAutoHyphens w:val="0"/>
              <w:spacing w:after="0" w:line="240" w:lineRule="auto"/>
              <w:jc w:val="right"/>
              <w:rPr>
                <w:rFonts w:ascii="Times New Roman" w:hAnsi="Times New Roman"/>
                <w:color w:val="000000"/>
                <w:lang w:val="en-US"/>
              </w:rPr>
            </w:pPr>
            <w:r>
              <w:rPr>
                <w:rFonts w:ascii="Times New Roman" w:hAnsi="Times New Roman"/>
                <w:color w:val="000000"/>
                <w:lang w:val="en-US"/>
              </w:rPr>
              <w:t>2 649</w:t>
            </w:r>
          </w:p>
        </w:tc>
      </w:tr>
      <w:tr w:rsidR="00280280" w:rsidRPr="00711EDC" w14:paraId="55F8C765" w14:textId="77777777" w:rsidTr="00280280">
        <w:trPr>
          <w:trHeight w:val="257"/>
        </w:trPr>
        <w:tc>
          <w:tcPr>
            <w:tcW w:w="3980" w:type="dxa"/>
            <w:shd w:val="clear" w:color="auto" w:fill="auto"/>
            <w:vAlign w:val="bottom"/>
          </w:tcPr>
          <w:p w14:paraId="1A7183D3" w14:textId="1A6CCDEF" w:rsidR="00280280" w:rsidRPr="00135689" w:rsidRDefault="00280280" w:rsidP="00132696">
            <w:pPr>
              <w:suppressAutoHyphens w:val="0"/>
              <w:spacing w:after="0" w:line="240" w:lineRule="auto"/>
              <w:rPr>
                <w:rFonts w:ascii="Times New Roman" w:hAnsi="Times New Roman"/>
                <w:color w:val="000000"/>
                <w:szCs w:val="24"/>
              </w:rPr>
            </w:pPr>
            <w:r w:rsidRPr="00135689">
              <w:rPr>
                <w:rFonts w:ascii="Times New Roman" w:hAnsi="Times New Roman"/>
                <w:color w:val="000000"/>
                <w:szCs w:val="24"/>
              </w:rPr>
              <w:t>Общо разходи за едно посещение</w:t>
            </w:r>
          </w:p>
        </w:tc>
        <w:tc>
          <w:tcPr>
            <w:tcW w:w="1701" w:type="dxa"/>
            <w:shd w:val="clear" w:color="auto" w:fill="auto"/>
            <w:noWrap/>
          </w:tcPr>
          <w:p w14:paraId="0FDAEB74" w14:textId="6A657B51" w:rsidR="00280280" w:rsidRPr="00132696" w:rsidRDefault="00280280" w:rsidP="00132696">
            <w:pPr>
              <w:suppressAutoHyphens w:val="0"/>
              <w:spacing w:after="0" w:line="240" w:lineRule="auto"/>
              <w:jc w:val="right"/>
              <w:rPr>
                <w:rFonts w:ascii="Times New Roman" w:hAnsi="Times New Roman"/>
                <w:color w:val="000000"/>
                <w:lang w:val="en-US"/>
              </w:rPr>
            </w:pPr>
            <w:r>
              <w:rPr>
                <w:rFonts w:ascii="Times New Roman" w:hAnsi="Times New Roman"/>
                <w:color w:val="000000"/>
                <w:lang w:val="en-US"/>
              </w:rPr>
              <w:t>521,23</w:t>
            </w:r>
          </w:p>
        </w:tc>
      </w:tr>
    </w:tbl>
    <w:p w14:paraId="1B1A4EC2" w14:textId="77777777" w:rsidR="00B62E4D" w:rsidRPr="00280280" w:rsidRDefault="00B62E4D" w:rsidP="00711EDC">
      <w:pPr>
        <w:pStyle w:val="MoIBody"/>
        <w:rPr>
          <w:lang w:val="en-US"/>
        </w:rPr>
      </w:pPr>
    </w:p>
    <w:p w14:paraId="658C773F" w14:textId="5AD3D8C8" w:rsidR="00132696" w:rsidRDefault="00711EDC" w:rsidP="00711EDC">
      <w:pPr>
        <w:pStyle w:val="MoIBody"/>
      </w:pPr>
      <w:r>
        <w:t xml:space="preserve">На база единичните стойности и прогнозата за очакваните посещения </w:t>
      </w:r>
      <w:r w:rsidR="00132696">
        <w:t xml:space="preserve">в </w:t>
      </w:r>
      <w:r w:rsidR="00BB50F8">
        <w:t>морски</w:t>
      </w:r>
      <w:r w:rsidR="00132696">
        <w:t xml:space="preserve">те пристанища </w:t>
      </w:r>
      <w:r>
        <w:t>е изготвена прог</w:t>
      </w:r>
      <w:r w:rsidR="00132696">
        <w:t>ноза за разходите за прогнозния</w:t>
      </w:r>
      <w:r>
        <w:t xml:space="preserve"> период</w:t>
      </w:r>
      <w:r w:rsidR="00132696">
        <w:t xml:space="preserve"> и са сконтирани към дата на изготвяне на анализа. </w:t>
      </w:r>
    </w:p>
    <w:p w14:paraId="57892594" w14:textId="4CDE0E3D" w:rsidR="00135689" w:rsidRPr="00990828" w:rsidRDefault="00135689" w:rsidP="00135689">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 xml:space="preserve">4: Сконтирани оперативни разходи </w:t>
      </w:r>
      <w:r w:rsidRPr="00990828">
        <w:rPr>
          <w:rFonts w:ascii="Times New Roman" w:hAnsi="Times New Roman"/>
          <w:b/>
          <w:bCs/>
          <w:smallCaps/>
          <w:color w:val="4F81BD"/>
          <w:sz w:val="22"/>
        </w:rPr>
        <w:t xml:space="preserve"> в лв</w:t>
      </w:r>
    </w:p>
    <w:tbl>
      <w:tblPr>
        <w:tblW w:w="4853"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694"/>
      </w:tblGrid>
      <w:tr w:rsidR="00135689" w:rsidRPr="00990828" w14:paraId="62EA2358" w14:textId="77777777" w:rsidTr="00FA7EA4">
        <w:trPr>
          <w:trHeight w:val="434"/>
        </w:trPr>
        <w:tc>
          <w:tcPr>
            <w:tcW w:w="3159" w:type="dxa"/>
            <w:shd w:val="clear" w:color="auto" w:fill="BFBFBF" w:themeFill="background1" w:themeFillShade="BF"/>
            <w:vAlign w:val="center"/>
            <w:hideMark/>
          </w:tcPr>
          <w:p w14:paraId="43738C16" w14:textId="77777777" w:rsidR="00135689" w:rsidRPr="00990828" w:rsidRDefault="00135689" w:rsidP="00C6167F">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694" w:type="dxa"/>
            <w:shd w:val="clear" w:color="auto" w:fill="BFBFBF" w:themeFill="background1" w:themeFillShade="BF"/>
            <w:vAlign w:val="center"/>
            <w:hideMark/>
          </w:tcPr>
          <w:p w14:paraId="0DB13926" w14:textId="739EC764" w:rsidR="00135689" w:rsidRPr="00990828" w:rsidRDefault="00135689" w:rsidP="00C6167F">
            <w:pPr>
              <w:spacing w:before="60" w:after="60" w:line="240" w:lineRule="auto"/>
              <w:jc w:val="center"/>
              <w:rPr>
                <w:rFonts w:ascii="Times New Roman" w:hAnsi="Times New Roman"/>
                <w:b/>
                <w:bCs/>
                <w:color w:val="000000"/>
              </w:rPr>
            </w:pPr>
            <w:r>
              <w:rPr>
                <w:rFonts w:ascii="Times New Roman" w:hAnsi="Times New Roman"/>
                <w:b/>
                <w:bCs/>
                <w:color w:val="000000"/>
                <w:sz w:val="22"/>
              </w:rPr>
              <w:t xml:space="preserve">Сконтирана </w:t>
            </w:r>
            <w:r w:rsidRPr="00990828">
              <w:rPr>
                <w:rFonts w:ascii="Times New Roman" w:hAnsi="Times New Roman"/>
                <w:b/>
                <w:bCs/>
                <w:color w:val="000000"/>
                <w:sz w:val="22"/>
              </w:rPr>
              <w:t>стойност</w:t>
            </w:r>
          </w:p>
        </w:tc>
      </w:tr>
      <w:tr w:rsidR="00135689" w:rsidRPr="00990828" w14:paraId="610C8733" w14:textId="77777777" w:rsidTr="00FA7EA4">
        <w:trPr>
          <w:trHeight w:val="367"/>
        </w:trPr>
        <w:tc>
          <w:tcPr>
            <w:tcW w:w="3159" w:type="dxa"/>
            <w:shd w:val="clear" w:color="auto" w:fill="auto"/>
            <w:vAlign w:val="center"/>
            <w:hideMark/>
          </w:tcPr>
          <w:p w14:paraId="4B5ADE2E" w14:textId="0870382A" w:rsidR="00135689" w:rsidRPr="00990828" w:rsidRDefault="00135689" w:rsidP="00C6167F">
            <w:pPr>
              <w:spacing w:before="60" w:after="60" w:line="240" w:lineRule="auto"/>
              <w:rPr>
                <w:rFonts w:ascii="Times New Roman" w:hAnsi="Times New Roman"/>
                <w:color w:val="000000"/>
              </w:rPr>
            </w:pPr>
            <w:r>
              <w:rPr>
                <w:rFonts w:ascii="Times New Roman" w:hAnsi="Times New Roman"/>
                <w:color w:val="000000"/>
                <w:sz w:val="22"/>
              </w:rPr>
              <w:t>Оперативни разходи</w:t>
            </w:r>
          </w:p>
        </w:tc>
        <w:tc>
          <w:tcPr>
            <w:tcW w:w="1694" w:type="dxa"/>
            <w:shd w:val="clear" w:color="auto" w:fill="auto"/>
            <w:vAlign w:val="bottom"/>
          </w:tcPr>
          <w:p w14:paraId="34ECD5F1" w14:textId="77777777" w:rsidR="00DB4479" w:rsidRDefault="00DB4479" w:rsidP="00C6167F">
            <w:pPr>
              <w:spacing w:before="60" w:after="60" w:line="240" w:lineRule="auto"/>
              <w:jc w:val="right"/>
              <w:rPr>
                <w:rFonts w:ascii="Times New Roman" w:hAnsi="Times New Roman"/>
                <w:color w:val="000000"/>
                <w:lang w:val="en-US"/>
              </w:rPr>
            </w:pPr>
            <w:r w:rsidRPr="00DB4479">
              <w:rPr>
                <w:rFonts w:ascii="Times New Roman" w:hAnsi="Times New Roman"/>
                <w:color w:val="000000"/>
                <w:lang w:val="en-US"/>
              </w:rPr>
              <w:t>57 240 390</w:t>
            </w:r>
            <w:r>
              <w:rPr>
                <w:rFonts w:ascii="Times New Roman" w:hAnsi="Times New Roman"/>
                <w:color w:val="000000"/>
                <w:lang w:val="en-US"/>
              </w:rPr>
              <w:t xml:space="preserve"> </w:t>
            </w:r>
          </w:p>
          <w:p w14:paraId="41B1E78B" w14:textId="0F60E904" w:rsidR="00135689" w:rsidRPr="00990828" w:rsidRDefault="00135689" w:rsidP="00C6167F">
            <w:pPr>
              <w:spacing w:before="60" w:after="60" w:line="240" w:lineRule="auto"/>
              <w:jc w:val="right"/>
              <w:rPr>
                <w:rFonts w:ascii="Times New Roman" w:hAnsi="Times New Roman"/>
                <w:color w:val="000000"/>
                <w:lang w:val="en-US"/>
              </w:rPr>
            </w:pPr>
          </w:p>
        </w:tc>
      </w:tr>
    </w:tbl>
    <w:p w14:paraId="2A7B0ED7" w14:textId="77777777" w:rsidR="00995353" w:rsidRPr="00825DA4" w:rsidRDefault="00995353" w:rsidP="00711EDC">
      <w:pPr>
        <w:pStyle w:val="MoIBody"/>
        <w:rPr>
          <w:lang w:val="en-US"/>
        </w:rPr>
      </w:pPr>
    </w:p>
    <w:p w14:paraId="3629C919" w14:textId="0E149BE8" w:rsidR="00711EDC" w:rsidRDefault="00135689" w:rsidP="00711EDC">
      <w:pPr>
        <w:pStyle w:val="MoIBody"/>
        <w:rPr>
          <w:lang w:val="en-US"/>
        </w:rPr>
      </w:pPr>
      <w:r>
        <w:t>Тази стойност е използвана</w:t>
      </w:r>
      <w:r w:rsidR="00711EDC">
        <w:t xml:space="preserve"> при прогнозата на паричните потоци и опре</w:t>
      </w:r>
      <w:r>
        <w:t>деляне на оперативната печалба</w:t>
      </w:r>
      <w:r w:rsidR="00711EDC">
        <w:t>.</w:t>
      </w:r>
    </w:p>
    <w:p w14:paraId="7C14A14A" w14:textId="6BB3B8E3" w:rsidR="00543ADA" w:rsidRPr="00135689" w:rsidRDefault="00135689" w:rsidP="00711EDC">
      <w:pPr>
        <w:pStyle w:val="MoIBody"/>
      </w:pPr>
      <w:r>
        <w:t xml:space="preserve">Подробните разчети са представени в </w:t>
      </w:r>
      <w:r w:rsidRPr="00280280">
        <w:t>Приложение 1.</w:t>
      </w:r>
    </w:p>
    <w:p w14:paraId="3E7C9296" w14:textId="77777777" w:rsidR="00543ADA" w:rsidRPr="00CF46D1" w:rsidRDefault="00543ADA" w:rsidP="00543ADA">
      <w:pPr>
        <w:pStyle w:val="Heading2"/>
      </w:pPr>
      <w:bookmarkStart w:id="60" w:name="_Toc13831917"/>
      <w:bookmarkStart w:id="61" w:name="_Toc43309121"/>
      <w:r>
        <w:t>Приходи от дейността</w:t>
      </w:r>
      <w:bookmarkEnd w:id="60"/>
      <w:bookmarkEnd w:id="61"/>
      <w:r>
        <w:t xml:space="preserve"> </w:t>
      </w:r>
    </w:p>
    <w:p w14:paraId="3104BFF8" w14:textId="0C3F34AC" w:rsidR="009E55A5" w:rsidRDefault="009E55A5" w:rsidP="00543ADA">
      <w:pPr>
        <w:pStyle w:val="MoIBody"/>
      </w:pPr>
      <w:r>
        <w:t>Също както при раз</w:t>
      </w:r>
      <w:r w:rsidR="00280280">
        <w:t xml:space="preserve">ходите, </w:t>
      </w:r>
      <w:r>
        <w:t xml:space="preserve"> исторически данни за приходите </w:t>
      </w:r>
      <w:r w:rsidR="00280280">
        <w:t>в отчета на ДППИ са само за</w:t>
      </w:r>
      <w:r>
        <w:t xml:space="preserve"> </w:t>
      </w:r>
      <w:r w:rsidR="00BB50F8">
        <w:t>морски</w:t>
      </w:r>
      <w:r>
        <w:t xml:space="preserve">те пристанища, защото към момента </w:t>
      </w:r>
      <w:r w:rsidR="00280280">
        <w:t xml:space="preserve">речните пристанища </w:t>
      </w:r>
      <w:r>
        <w:t xml:space="preserve"> не събират такива</w:t>
      </w:r>
      <w:r w:rsidR="004849AB">
        <w:t xml:space="preserve"> и те са използвани в разчетите</w:t>
      </w:r>
      <w:r>
        <w:t>. За</w:t>
      </w:r>
      <w:r w:rsidR="00280280">
        <w:t xml:space="preserve"> </w:t>
      </w:r>
      <w:r>
        <w:t xml:space="preserve"> определяне прогнозата от приходите са направени някои допускания:</w:t>
      </w:r>
    </w:p>
    <w:p w14:paraId="025EFF57" w14:textId="21E953BE" w:rsidR="009E55A5" w:rsidRDefault="00280280" w:rsidP="009E55A5">
      <w:pPr>
        <w:pStyle w:val="MoIBody"/>
        <w:numPr>
          <w:ilvl w:val="0"/>
          <w:numId w:val="31"/>
        </w:numPr>
      </w:pPr>
      <w:r>
        <w:t xml:space="preserve">Размерът на таксите е определен </w:t>
      </w:r>
      <w:r w:rsidR="009E55A5">
        <w:t xml:space="preserve"> на база</w:t>
      </w:r>
      <w:r>
        <w:t xml:space="preserve"> пълно покриване на съответната част от </w:t>
      </w:r>
      <w:r w:rsidR="009E55A5">
        <w:t xml:space="preserve"> непреки</w:t>
      </w:r>
      <w:r>
        <w:t>те</w:t>
      </w:r>
      <w:r w:rsidR="009E55A5">
        <w:t xml:space="preserve"> разходи и минимум 30% от преките разходи, в съответствие</w:t>
      </w:r>
      <w:r w:rsidR="00F11E64" w:rsidRPr="00F11E64">
        <w:t xml:space="preserve"> </w:t>
      </w:r>
      <w:r w:rsidR="00F11E64">
        <w:t xml:space="preserve">с чл.8, т.2, б) и </w:t>
      </w:r>
      <w:r w:rsidR="009E55A5">
        <w:t xml:space="preserve"> с Приложение 4 на Директивата</w:t>
      </w:r>
    </w:p>
    <w:p w14:paraId="0F3E6124" w14:textId="770DFF1C" w:rsidR="004849AB" w:rsidRDefault="004849AB" w:rsidP="009E55A5">
      <w:pPr>
        <w:pStyle w:val="MoIBody"/>
        <w:numPr>
          <w:ilvl w:val="0"/>
          <w:numId w:val="31"/>
        </w:numPr>
      </w:pPr>
      <w:r>
        <w:t>Размерът на преките разходи е определен на база последните сключени договори с оператори за двете пристанища и съответните количества товари за обработка на отпадъците</w:t>
      </w:r>
    </w:p>
    <w:p w14:paraId="55D42313" w14:textId="6BE743C5" w:rsidR="00280280" w:rsidRDefault="009E55A5" w:rsidP="009E55A5">
      <w:pPr>
        <w:pStyle w:val="MoIBody"/>
        <w:numPr>
          <w:ilvl w:val="0"/>
          <w:numId w:val="31"/>
        </w:numPr>
      </w:pPr>
      <w:r>
        <w:t xml:space="preserve">Единичната стойност ще е  в съответствие с параметри за тонаж, дължина, време за престой др. фактори, които не могат да бъдат </w:t>
      </w:r>
      <w:r w:rsidR="00D27DCE">
        <w:t>реалистично</w:t>
      </w:r>
      <w:r>
        <w:t xml:space="preserve"> прогнозирани на този </w:t>
      </w:r>
      <w:r>
        <w:lastRenderedPageBreak/>
        <w:t xml:space="preserve">етап, но  средната стойност на приходите от едно посещение може </w:t>
      </w:r>
      <w:r w:rsidR="00280280">
        <w:t>да се прогнозира и на база прогнозата за броя посещения да се опред</w:t>
      </w:r>
      <w:r w:rsidR="004849AB">
        <w:t>е</w:t>
      </w:r>
      <w:r w:rsidR="00280280">
        <w:t>ли общият размер на приходите</w:t>
      </w:r>
    </w:p>
    <w:p w14:paraId="4DF507BA" w14:textId="3BE467BF" w:rsidR="00995353" w:rsidRDefault="009E55A5" w:rsidP="00543ADA">
      <w:pPr>
        <w:pStyle w:val="MoIBody"/>
      </w:pPr>
      <w:r>
        <w:t>Историческите данни показват, че приходите за едно посещение на кораб в морските пр</w:t>
      </w:r>
      <w:r w:rsidR="00280280">
        <w:t>истанища е незначително по-висок</w:t>
      </w:r>
      <w:r>
        <w:t xml:space="preserve"> от разходите за едно посещение, т.е. ДППИ </w:t>
      </w:r>
      <w:r w:rsidR="00280280">
        <w:t xml:space="preserve">може да се наложи да </w:t>
      </w:r>
      <w:r>
        <w:t>допълва недостига на средства за реализацията на тази дейност с приходи от други дейности и/или със средства от Държавния бюджет</w:t>
      </w:r>
      <w:r w:rsidR="00280280">
        <w:t>, ако посещенията на корабите са по-малък брой от прогнозираните</w:t>
      </w:r>
      <w:r>
        <w:t xml:space="preserve">. </w:t>
      </w:r>
    </w:p>
    <w:p w14:paraId="65B50DD8" w14:textId="7CC647E3" w:rsidR="00073AE7" w:rsidRPr="00711EDC" w:rsidRDefault="00073AE7" w:rsidP="00073AE7">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5</w:t>
      </w:r>
      <w:r w:rsidRPr="00711EDC">
        <w:rPr>
          <w:rFonts w:ascii="Times New Roman" w:hAnsi="Times New Roman"/>
          <w:b/>
          <w:bCs/>
          <w:smallCaps/>
          <w:color w:val="4F81BD"/>
          <w:sz w:val="22"/>
        </w:rPr>
        <w:t>: Е</w:t>
      </w:r>
      <w:r>
        <w:rPr>
          <w:rFonts w:ascii="Times New Roman" w:hAnsi="Times New Roman"/>
          <w:b/>
          <w:bCs/>
          <w:smallCaps/>
          <w:color w:val="4F81BD"/>
          <w:sz w:val="22"/>
        </w:rPr>
        <w:t>динична стойност на оперативните приходи</w:t>
      </w:r>
    </w:p>
    <w:tbl>
      <w:tblPr>
        <w:tblW w:w="6248"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980"/>
        <w:gridCol w:w="2268"/>
      </w:tblGrid>
      <w:tr w:rsidR="00185DA3" w:rsidRPr="00711EDC" w14:paraId="08BC93D5" w14:textId="77777777" w:rsidTr="00185DA3">
        <w:trPr>
          <w:trHeight w:val="221"/>
        </w:trPr>
        <w:tc>
          <w:tcPr>
            <w:tcW w:w="3980" w:type="dxa"/>
            <w:shd w:val="clear" w:color="auto" w:fill="BFBFBF" w:themeFill="background1" w:themeFillShade="BF"/>
            <w:vAlign w:val="bottom"/>
          </w:tcPr>
          <w:p w14:paraId="308CAE49" w14:textId="6C5B5F0B" w:rsidR="00185DA3" w:rsidRPr="00711EDC" w:rsidRDefault="00185DA3" w:rsidP="00C6167F">
            <w:pPr>
              <w:suppressAutoHyphens w:val="0"/>
              <w:spacing w:after="0" w:line="240" w:lineRule="auto"/>
              <w:rPr>
                <w:rFonts w:ascii="Times New Roman" w:hAnsi="Times New Roman"/>
                <w:b/>
                <w:color w:val="000000"/>
              </w:rPr>
            </w:pPr>
            <w:r w:rsidRPr="00711EDC">
              <w:rPr>
                <w:rFonts w:ascii="Times New Roman" w:hAnsi="Times New Roman"/>
                <w:b/>
                <w:color w:val="000000"/>
                <w:sz w:val="22"/>
              </w:rPr>
              <w:t>Ед</w:t>
            </w:r>
            <w:r>
              <w:rPr>
                <w:rFonts w:ascii="Times New Roman" w:hAnsi="Times New Roman"/>
                <w:b/>
                <w:color w:val="000000"/>
                <w:sz w:val="22"/>
              </w:rPr>
              <w:t>инични стойности на оперативните при</w:t>
            </w:r>
            <w:r w:rsidRPr="00711EDC">
              <w:rPr>
                <w:rFonts w:ascii="Times New Roman" w:hAnsi="Times New Roman"/>
                <w:b/>
                <w:color w:val="000000"/>
                <w:sz w:val="22"/>
              </w:rPr>
              <w:t xml:space="preserve">ходи </w:t>
            </w:r>
          </w:p>
        </w:tc>
        <w:tc>
          <w:tcPr>
            <w:tcW w:w="2268" w:type="dxa"/>
            <w:shd w:val="clear" w:color="auto" w:fill="BFBFBF" w:themeFill="background1" w:themeFillShade="BF"/>
            <w:noWrap/>
            <w:vAlign w:val="bottom"/>
          </w:tcPr>
          <w:p w14:paraId="2006E1B7" w14:textId="2F0D3CD8" w:rsidR="00185DA3" w:rsidRPr="00711EDC" w:rsidRDefault="00185DA3" w:rsidP="00C6167F">
            <w:pPr>
              <w:suppressAutoHyphens w:val="0"/>
              <w:spacing w:after="0" w:line="240" w:lineRule="auto"/>
              <w:jc w:val="center"/>
              <w:rPr>
                <w:rFonts w:ascii="Times New Roman" w:hAnsi="Times New Roman"/>
                <w:b/>
                <w:color w:val="000000"/>
              </w:rPr>
            </w:pPr>
            <w:r>
              <w:rPr>
                <w:rFonts w:ascii="Times New Roman" w:hAnsi="Times New Roman"/>
                <w:b/>
                <w:color w:val="000000"/>
                <w:sz w:val="22"/>
              </w:rPr>
              <w:t>Стойност за морски пристанища</w:t>
            </w:r>
          </w:p>
        </w:tc>
      </w:tr>
      <w:tr w:rsidR="00185DA3" w:rsidRPr="00711EDC" w14:paraId="5871D20E" w14:textId="77777777" w:rsidTr="00185DA3">
        <w:trPr>
          <w:trHeight w:val="226"/>
        </w:trPr>
        <w:tc>
          <w:tcPr>
            <w:tcW w:w="3980" w:type="dxa"/>
            <w:shd w:val="clear" w:color="auto" w:fill="auto"/>
            <w:vAlign w:val="bottom"/>
            <w:hideMark/>
          </w:tcPr>
          <w:p w14:paraId="457FFA77" w14:textId="3F708D9C" w:rsidR="00185DA3" w:rsidRPr="00135689" w:rsidRDefault="00185DA3" w:rsidP="00073AE7">
            <w:pPr>
              <w:suppressAutoHyphens w:val="0"/>
              <w:spacing w:after="0" w:line="240" w:lineRule="auto"/>
              <w:rPr>
                <w:rFonts w:ascii="Times New Roman" w:hAnsi="Times New Roman"/>
                <w:color w:val="000000"/>
                <w:szCs w:val="24"/>
                <w:lang w:val="en-US"/>
              </w:rPr>
            </w:pPr>
            <w:r>
              <w:rPr>
                <w:rFonts w:ascii="Times New Roman" w:hAnsi="Times New Roman"/>
                <w:color w:val="000000"/>
                <w:szCs w:val="24"/>
                <w:lang w:val="en-US"/>
              </w:rPr>
              <w:t>Приходи от едно посещение на кораб  в пристанище</w:t>
            </w:r>
            <w:r w:rsidRPr="00135689">
              <w:rPr>
                <w:rFonts w:ascii="Times New Roman" w:hAnsi="Times New Roman"/>
                <w:color w:val="000000"/>
                <w:szCs w:val="24"/>
                <w:lang w:val="en-US"/>
              </w:rPr>
              <w:t xml:space="preserve"> </w:t>
            </w:r>
          </w:p>
        </w:tc>
        <w:tc>
          <w:tcPr>
            <w:tcW w:w="2268" w:type="dxa"/>
            <w:shd w:val="clear" w:color="000000" w:fill="FFFFFF"/>
            <w:noWrap/>
            <w:hideMark/>
          </w:tcPr>
          <w:p w14:paraId="59B887E3" w14:textId="30EF5AEB" w:rsidR="00185DA3" w:rsidRPr="00073AE7" w:rsidRDefault="00185DA3" w:rsidP="00073AE7">
            <w:pPr>
              <w:suppressAutoHyphens w:val="0"/>
              <w:spacing w:after="0" w:line="240" w:lineRule="auto"/>
              <w:jc w:val="right"/>
              <w:rPr>
                <w:rFonts w:ascii="Times New Roman" w:hAnsi="Times New Roman"/>
                <w:color w:val="000000"/>
                <w:lang w:val="en-US"/>
              </w:rPr>
            </w:pPr>
            <w:r w:rsidRPr="00073AE7">
              <w:rPr>
                <w:rFonts w:ascii="Times New Roman" w:hAnsi="Times New Roman"/>
              </w:rPr>
              <w:t>521,23</w:t>
            </w:r>
          </w:p>
        </w:tc>
      </w:tr>
    </w:tbl>
    <w:p w14:paraId="1B696145" w14:textId="15018AC8" w:rsidR="004A6E56" w:rsidRDefault="00073AE7" w:rsidP="00543ADA">
      <w:pPr>
        <w:pStyle w:val="MoIBody"/>
      </w:pPr>
      <w:r>
        <w:t xml:space="preserve">След определяне на единичната стойност на приходите от едно посещение и на база прогнозата за броя посещения на кораби в </w:t>
      </w:r>
      <w:r w:rsidR="00BB50F8">
        <w:t>морски</w:t>
      </w:r>
      <w:r>
        <w:t>те пристанища са определени прогнозните приходи за целия период.</w:t>
      </w:r>
    </w:p>
    <w:p w14:paraId="4D1B76E8" w14:textId="6BCF5A55" w:rsidR="00F11E64" w:rsidRPr="00990828" w:rsidRDefault="00F11E64" w:rsidP="00F11E64">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 xml:space="preserve">6: Сконтирани оперативни приходи </w:t>
      </w:r>
      <w:r w:rsidRPr="00990828">
        <w:rPr>
          <w:rFonts w:ascii="Times New Roman" w:hAnsi="Times New Roman"/>
          <w:b/>
          <w:bCs/>
          <w:smallCaps/>
          <w:color w:val="4F81BD"/>
          <w:sz w:val="22"/>
        </w:rPr>
        <w:t xml:space="preserve"> в лв</w:t>
      </w:r>
    </w:p>
    <w:tbl>
      <w:tblPr>
        <w:tblW w:w="4853"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694"/>
      </w:tblGrid>
      <w:tr w:rsidR="00F11E64" w:rsidRPr="00990828" w14:paraId="605EFDC1" w14:textId="77777777" w:rsidTr="00C6167F">
        <w:trPr>
          <w:trHeight w:val="765"/>
        </w:trPr>
        <w:tc>
          <w:tcPr>
            <w:tcW w:w="3159" w:type="dxa"/>
            <w:shd w:val="clear" w:color="auto" w:fill="BFBFBF" w:themeFill="background1" w:themeFillShade="BF"/>
            <w:vAlign w:val="center"/>
            <w:hideMark/>
          </w:tcPr>
          <w:p w14:paraId="31AD8E41" w14:textId="77777777" w:rsidR="00F11E64" w:rsidRPr="00990828" w:rsidRDefault="00F11E64" w:rsidP="00C6167F">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694" w:type="dxa"/>
            <w:shd w:val="clear" w:color="auto" w:fill="BFBFBF" w:themeFill="background1" w:themeFillShade="BF"/>
            <w:vAlign w:val="center"/>
            <w:hideMark/>
          </w:tcPr>
          <w:p w14:paraId="6A3723A2" w14:textId="77777777" w:rsidR="00F11E64" w:rsidRPr="00990828" w:rsidRDefault="00F11E64" w:rsidP="00C6167F">
            <w:pPr>
              <w:spacing w:before="60" w:after="60" w:line="240" w:lineRule="auto"/>
              <w:jc w:val="center"/>
              <w:rPr>
                <w:rFonts w:ascii="Times New Roman" w:hAnsi="Times New Roman"/>
                <w:b/>
                <w:bCs/>
                <w:color w:val="000000"/>
              </w:rPr>
            </w:pPr>
            <w:r>
              <w:rPr>
                <w:rFonts w:ascii="Times New Roman" w:hAnsi="Times New Roman"/>
                <w:b/>
                <w:bCs/>
                <w:color w:val="000000"/>
                <w:sz w:val="22"/>
              </w:rPr>
              <w:t xml:space="preserve">Сконтирана </w:t>
            </w:r>
            <w:r w:rsidRPr="00990828">
              <w:rPr>
                <w:rFonts w:ascii="Times New Roman" w:hAnsi="Times New Roman"/>
                <w:b/>
                <w:bCs/>
                <w:color w:val="000000"/>
                <w:sz w:val="22"/>
              </w:rPr>
              <w:t>стойност</w:t>
            </w:r>
          </w:p>
        </w:tc>
      </w:tr>
      <w:tr w:rsidR="00F11E64" w:rsidRPr="00990828" w14:paraId="6EDBE10F" w14:textId="77777777" w:rsidTr="00C6167F">
        <w:trPr>
          <w:trHeight w:val="255"/>
        </w:trPr>
        <w:tc>
          <w:tcPr>
            <w:tcW w:w="3159" w:type="dxa"/>
            <w:shd w:val="clear" w:color="auto" w:fill="auto"/>
            <w:vAlign w:val="center"/>
            <w:hideMark/>
          </w:tcPr>
          <w:p w14:paraId="3739B147" w14:textId="4C248496" w:rsidR="00F11E64" w:rsidRPr="00990828" w:rsidRDefault="00F11E64" w:rsidP="00C6167F">
            <w:pPr>
              <w:spacing w:before="60" w:after="60" w:line="240" w:lineRule="auto"/>
              <w:rPr>
                <w:rFonts w:ascii="Times New Roman" w:hAnsi="Times New Roman"/>
                <w:color w:val="000000"/>
              </w:rPr>
            </w:pPr>
            <w:r>
              <w:rPr>
                <w:rFonts w:ascii="Times New Roman" w:hAnsi="Times New Roman"/>
                <w:color w:val="000000"/>
                <w:sz w:val="22"/>
              </w:rPr>
              <w:t>Оперативни приходи</w:t>
            </w:r>
          </w:p>
        </w:tc>
        <w:tc>
          <w:tcPr>
            <w:tcW w:w="1694" w:type="dxa"/>
            <w:shd w:val="clear" w:color="auto" w:fill="auto"/>
            <w:vAlign w:val="bottom"/>
          </w:tcPr>
          <w:p w14:paraId="2738692C" w14:textId="77777777" w:rsidR="00DB4479" w:rsidRDefault="00DB4479" w:rsidP="00C6167F">
            <w:pPr>
              <w:spacing w:before="60" w:after="60" w:line="240" w:lineRule="auto"/>
              <w:jc w:val="right"/>
              <w:rPr>
                <w:rFonts w:ascii="Times New Roman" w:hAnsi="Times New Roman"/>
                <w:color w:val="000000"/>
                <w:lang w:val="en-US"/>
              </w:rPr>
            </w:pPr>
            <w:r w:rsidRPr="00DB4479">
              <w:rPr>
                <w:rFonts w:ascii="Times New Roman" w:hAnsi="Times New Roman"/>
                <w:color w:val="000000"/>
                <w:lang w:val="en-US"/>
              </w:rPr>
              <w:t>57 241 717</w:t>
            </w:r>
          </w:p>
          <w:p w14:paraId="3B52B44E" w14:textId="13D7F42E" w:rsidR="00F11E64" w:rsidRPr="00990828" w:rsidRDefault="00F11E64" w:rsidP="00C6167F">
            <w:pPr>
              <w:spacing w:before="60" w:after="60" w:line="240" w:lineRule="auto"/>
              <w:jc w:val="right"/>
              <w:rPr>
                <w:rFonts w:ascii="Times New Roman" w:hAnsi="Times New Roman"/>
                <w:color w:val="000000"/>
                <w:lang w:val="en-US"/>
              </w:rPr>
            </w:pPr>
          </w:p>
        </w:tc>
      </w:tr>
    </w:tbl>
    <w:p w14:paraId="70FCB9CA" w14:textId="0B1326BA" w:rsidR="004A6E56" w:rsidRDefault="004A6E56" w:rsidP="00543ADA">
      <w:pPr>
        <w:pStyle w:val="MoIBody"/>
      </w:pPr>
    </w:p>
    <w:p w14:paraId="2B9A4E1A" w14:textId="77777777" w:rsidR="00F11E64" w:rsidRDefault="00F11E64" w:rsidP="00F11E64">
      <w:pPr>
        <w:pStyle w:val="MoIBody"/>
        <w:rPr>
          <w:lang w:val="en-US"/>
        </w:rPr>
      </w:pPr>
      <w:r>
        <w:t>Тази стойност е използвана при прогнозата на паричните потоци и определяне на оперативната печалба.</w:t>
      </w:r>
    </w:p>
    <w:p w14:paraId="59B2F8BD" w14:textId="77777777" w:rsidR="00F11E64" w:rsidRPr="00135689" w:rsidRDefault="00F11E64" w:rsidP="00F11E64">
      <w:pPr>
        <w:pStyle w:val="MoIBody"/>
      </w:pPr>
      <w:r>
        <w:t xml:space="preserve">Подробните разчети са представени в </w:t>
      </w:r>
      <w:r w:rsidRPr="003A11D1">
        <w:t>Приложение 1.</w:t>
      </w:r>
    </w:p>
    <w:p w14:paraId="78C16B02" w14:textId="77777777" w:rsidR="00F11E64" w:rsidRDefault="00F11E64" w:rsidP="00543ADA">
      <w:pPr>
        <w:pStyle w:val="MoIBody"/>
      </w:pPr>
    </w:p>
    <w:p w14:paraId="0F68FF3A" w14:textId="77777777" w:rsidR="00543ADA" w:rsidRPr="000323D0" w:rsidRDefault="00543ADA" w:rsidP="00543ADA">
      <w:pPr>
        <w:spacing w:after="240"/>
      </w:pPr>
    </w:p>
    <w:p w14:paraId="4A14035A" w14:textId="77777777" w:rsidR="00543ADA" w:rsidRPr="00F84C77" w:rsidRDefault="00543ADA" w:rsidP="00543ADA">
      <w:pPr>
        <w:pStyle w:val="Heading2"/>
      </w:pPr>
      <w:bookmarkStart w:id="62" w:name="_Toc13831918"/>
      <w:bookmarkStart w:id="63" w:name="_Toc43309122"/>
      <w:r>
        <w:t>Резултати от финансовия анализ</w:t>
      </w:r>
      <w:bookmarkEnd w:id="62"/>
      <w:bookmarkEnd w:id="63"/>
    </w:p>
    <w:p w14:paraId="4E895082" w14:textId="79739160" w:rsidR="00F11E64" w:rsidRDefault="00F11E64" w:rsidP="00543ADA">
      <w:pPr>
        <w:pStyle w:val="MoIBody"/>
      </w:pPr>
      <w:r>
        <w:t xml:space="preserve">В резултат от финансовия </w:t>
      </w:r>
      <w:r w:rsidR="00D27DCE">
        <w:t>анализ</w:t>
      </w:r>
      <w:r>
        <w:t xml:space="preserve"> са определени сконтираните стойност</w:t>
      </w:r>
      <w:r w:rsidR="004C7B88">
        <w:t>и на оперативните приходи и раз</w:t>
      </w:r>
      <w:r>
        <w:t>ходи и финансовите показатели.</w:t>
      </w:r>
    </w:p>
    <w:p w14:paraId="619D1A44" w14:textId="7BC46A92" w:rsidR="006F12D6" w:rsidRDefault="006F12D6" w:rsidP="00543ADA">
      <w:pPr>
        <w:pStyle w:val="MoIBody"/>
      </w:pPr>
    </w:p>
    <w:p w14:paraId="393967AA" w14:textId="0CBC1B00" w:rsidR="006F12D6" w:rsidRDefault="006F12D6" w:rsidP="00543ADA">
      <w:pPr>
        <w:pStyle w:val="MoIBody"/>
      </w:pPr>
    </w:p>
    <w:p w14:paraId="27647DD5" w14:textId="213E19B2" w:rsidR="006F12D6" w:rsidRDefault="006F12D6" w:rsidP="00543ADA">
      <w:pPr>
        <w:pStyle w:val="MoIBody"/>
      </w:pPr>
    </w:p>
    <w:p w14:paraId="666C8A4E" w14:textId="77777777" w:rsidR="006F12D6" w:rsidRPr="00F11E64" w:rsidRDefault="006F12D6" w:rsidP="00543ADA">
      <w:pPr>
        <w:pStyle w:val="MoIBody"/>
      </w:pPr>
    </w:p>
    <w:p w14:paraId="072DABEC" w14:textId="676B11ED" w:rsidR="00543ADA" w:rsidRPr="00543ADA" w:rsidRDefault="00543ADA" w:rsidP="00543ADA">
      <w:pPr>
        <w:suppressAutoHyphens w:val="0"/>
        <w:spacing w:before="240" w:after="0" w:line="360" w:lineRule="auto"/>
        <w:rPr>
          <w:rFonts w:ascii="Times New Roman" w:hAnsi="Times New Roman"/>
          <w:b/>
          <w:bCs/>
          <w:smallCaps/>
          <w:color w:val="4F81BD"/>
          <w:sz w:val="22"/>
        </w:rPr>
      </w:pPr>
      <w:r w:rsidRPr="00543ADA">
        <w:rPr>
          <w:rFonts w:ascii="Times New Roman" w:hAnsi="Times New Roman"/>
          <w:b/>
          <w:bCs/>
          <w:smallCaps/>
          <w:color w:val="4F81BD"/>
          <w:sz w:val="22"/>
        </w:rPr>
        <w:t>Таблица 5</w:t>
      </w:r>
      <w:r w:rsidRPr="00543ADA">
        <w:rPr>
          <w:rFonts w:ascii="Times New Roman" w:hAnsi="Times New Roman"/>
          <w:b/>
          <w:bCs/>
          <w:smallCaps/>
          <w:color w:val="4F81BD"/>
          <w:sz w:val="22"/>
        </w:rPr>
        <w:noBreakHyphen/>
      </w:r>
      <w:r w:rsidR="0045733F">
        <w:rPr>
          <w:rFonts w:ascii="Times New Roman" w:hAnsi="Times New Roman"/>
          <w:b/>
          <w:bCs/>
          <w:smallCaps/>
          <w:color w:val="4F81BD"/>
          <w:sz w:val="22"/>
          <w:lang w:val="en-US"/>
        </w:rPr>
        <w:t>7</w:t>
      </w:r>
      <w:r w:rsidRPr="00543ADA">
        <w:rPr>
          <w:rFonts w:ascii="Times New Roman" w:hAnsi="Times New Roman"/>
          <w:b/>
          <w:bCs/>
          <w:smallCaps/>
          <w:color w:val="4F81BD"/>
          <w:sz w:val="22"/>
        </w:rPr>
        <w:t xml:space="preserve">: </w:t>
      </w:r>
      <w:r w:rsidR="004C7B88">
        <w:rPr>
          <w:rFonts w:ascii="Times New Roman" w:hAnsi="Times New Roman"/>
          <w:b/>
          <w:bCs/>
          <w:smallCaps/>
          <w:color w:val="4F81BD"/>
          <w:sz w:val="22"/>
        </w:rPr>
        <w:t xml:space="preserve">Финансови индикатори за инвестициите по ОРГО за </w:t>
      </w:r>
      <w:r w:rsidR="00BB50F8">
        <w:rPr>
          <w:rFonts w:ascii="Times New Roman" w:hAnsi="Times New Roman"/>
          <w:b/>
          <w:bCs/>
          <w:smallCaps/>
          <w:color w:val="4F81BD"/>
          <w:sz w:val="22"/>
        </w:rPr>
        <w:t>морски</w:t>
      </w:r>
      <w:r w:rsidR="004C7B88">
        <w:rPr>
          <w:rFonts w:ascii="Times New Roman" w:hAnsi="Times New Roman"/>
          <w:b/>
          <w:bCs/>
          <w:smallCaps/>
          <w:color w:val="4F81BD"/>
          <w:sz w:val="22"/>
        </w:rPr>
        <w:t xml:space="preserve"> пристанища</w:t>
      </w:r>
    </w:p>
    <w:tbl>
      <w:tblPr>
        <w:tblW w:w="4385" w:type="dxa"/>
        <w:tblCellMar>
          <w:left w:w="70" w:type="dxa"/>
          <w:right w:w="70" w:type="dxa"/>
        </w:tblCellMar>
        <w:tblLook w:val="04A0" w:firstRow="1" w:lastRow="0" w:firstColumn="1" w:lastColumn="0" w:noHBand="0" w:noVBand="1"/>
      </w:tblPr>
      <w:tblGrid>
        <w:gridCol w:w="2684"/>
        <w:gridCol w:w="1701"/>
      </w:tblGrid>
      <w:tr w:rsidR="004C7B88" w:rsidRPr="0045733F" w14:paraId="691C03B7" w14:textId="4930C51F" w:rsidTr="004C7B88">
        <w:trPr>
          <w:trHeight w:val="570"/>
        </w:trPr>
        <w:tc>
          <w:tcPr>
            <w:tcW w:w="2684" w:type="dxa"/>
            <w:vMerge w:val="restart"/>
            <w:tcBorders>
              <w:top w:val="single" w:sz="4" w:space="0" w:color="auto"/>
              <w:left w:val="single" w:sz="4" w:space="0" w:color="auto"/>
              <w:bottom w:val="single" w:sz="8" w:space="0" w:color="000000"/>
              <w:right w:val="nil"/>
            </w:tcBorders>
            <w:shd w:val="clear" w:color="auto" w:fill="BFBFBF" w:themeFill="background1" w:themeFillShade="BF"/>
            <w:vAlign w:val="center"/>
            <w:hideMark/>
          </w:tcPr>
          <w:p w14:paraId="7E29360D" w14:textId="77777777" w:rsidR="004C7B88" w:rsidRPr="0045733F" w:rsidRDefault="004C7B88" w:rsidP="0045733F">
            <w:pPr>
              <w:suppressAutoHyphens w:val="0"/>
              <w:spacing w:before="80" w:after="80" w:line="240" w:lineRule="auto"/>
              <w:jc w:val="center"/>
              <w:rPr>
                <w:rFonts w:ascii="Times New Roman" w:hAnsi="Times New Roman"/>
                <w:b/>
                <w:color w:val="000000"/>
                <w:lang w:eastAsia="bg-BG"/>
              </w:rPr>
            </w:pPr>
            <w:r w:rsidRPr="0045733F">
              <w:rPr>
                <w:rFonts w:ascii="Times New Roman" w:hAnsi="Times New Roman"/>
                <w:b/>
                <w:color w:val="000000"/>
                <w:sz w:val="22"/>
                <w:lang w:eastAsia="bg-BG"/>
              </w:rPr>
              <w:t>Индикатори</w:t>
            </w:r>
          </w:p>
        </w:tc>
        <w:tc>
          <w:tcPr>
            <w:tcW w:w="1701" w:type="dxa"/>
            <w:vMerge w:val="restart"/>
            <w:tcBorders>
              <w:top w:val="single" w:sz="4" w:space="0" w:color="auto"/>
              <w:left w:val="nil"/>
              <w:bottom w:val="single" w:sz="8" w:space="0" w:color="000000"/>
              <w:right w:val="single" w:sz="4" w:space="0" w:color="auto"/>
            </w:tcBorders>
            <w:shd w:val="clear" w:color="auto" w:fill="BFBFBF" w:themeFill="background1" w:themeFillShade="BF"/>
            <w:vAlign w:val="center"/>
            <w:hideMark/>
          </w:tcPr>
          <w:p w14:paraId="0E0B8F34" w14:textId="4BAE8AE0" w:rsidR="004C7B88" w:rsidRPr="004C7B88" w:rsidRDefault="004C7B88" w:rsidP="0045733F">
            <w:pPr>
              <w:suppressAutoHyphens w:val="0"/>
              <w:spacing w:before="80" w:after="80" w:line="240" w:lineRule="auto"/>
              <w:jc w:val="center"/>
              <w:rPr>
                <w:rFonts w:ascii="Times New Roman" w:hAnsi="Times New Roman"/>
                <w:b/>
                <w:color w:val="000000"/>
                <w:lang w:eastAsia="bg-BG"/>
              </w:rPr>
            </w:pPr>
            <w:r w:rsidRPr="004C7B88">
              <w:rPr>
                <w:rFonts w:ascii="Times New Roman" w:hAnsi="Times New Roman"/>
                <w:b/>
                <w:color w:val="000000"/>
                <w:sz w:val="22"/>
                <w:lang w:eastAsia="bg-BG"/>
              </w:rPr>
              <w:t>Стойност </w:t>
            </w:r>
          </w:p>
        </w:tc>
      </w:tr>
      <w:tr w:rsidR="004C7B88" w:rsidRPr="0045733F" w14:paraId="69B82BD4" w14:textId="3C460AF2" w:rsidTr="00131033">
        <w:trPr>
          <w:trHeight w:val="436"/>
        </w:trPr>
        <w:tc>
          <w:tcPr>
            <w:tcW w:w="2684" w:type="dxa"/>
            <w:vMerge/>
            <w:tcBorders>
              <w:top w:val="single" w:sz="8" w:space="0" w:color="auto"/>
              <w:left w:val="single" w:sz="4" w:space="0" w:color="auto"/>
              <w:bottom w:val="single" w:sz="4" w:space="0" w:color="auto"/>
              <w:right w:val="nil"/>
            </w:tcBorders>
            <w:vAlign w:val="center"/>
            <w:hideMark/>
          </w:tcPr>
          <w:p w14:paraId="72C76170" w14:textId="77777777" w:rsidR="004C7B88" w:rsidRPr="0045733F" w:rsidRDefault="004C7B88" w:rsidP="0045733F">
            <w:pPr>
              <w:suppressAutoHyphens w:val="0"/>
              <w:spacing w:before="80" w:after="80" w:line="240" w:lineRule="auto"/>
              <w:rPr>
                <w:rFonts w:ascii="Times New Roman" w:hAnsi="Times New Roman"/>
                <w:color w:val="000000"/>
                <w:lang w:eastAsia="bg-BG"/>
              </w:rPr>
            </w:pPr>
          </w:p>
        </w:tc>
        <w:tc>
          <w:tcPr>
            <w:tcW w:w="1701" w:type="dxa"/>
            <w:vMerge/>
            <w:tcBorders>
              <w:top w:val="single" w:sz="8" w:space="0" w:color="auto"/>
              <w:left w:val="nil"/>
              <w:bottom w:val="single" w:sz="4" w:space="0" w:color="auto"/>
              <w:right w:val="single" w:sz="4" w:space="0" w:color="auto"/>
            </w:tcBorders>
            <w:vAlign w:val="center"/>
            <w:hideMark/>
          </w:tcPr>
          <w:p w14:paraId="65F1FD59" w14:textId="77777777" w:rsidR="004C7B88" w:rsidRPr="0045733F" w:rsidRDefault="004C7B88" w:rsidP="0045733F">
            <w:pPr>
              <w:suppressAutoHyphens w:val="0"/>
              <w:spacing w:before="80" w:after="80" w:line="240" w:lineRule="auto"/>
              <w:rPr>
                <w:rFonts w:ascii="Times New Roman" w:hAnsi="Times New Roman"/>
                <w:color w:val="000000"/>
                <w:lang w:eastAsia="bg-BG"/>
              </w:rPr>
            </w:pPr>
          </w:p>
        </w:tc>
      </w:tr>
      <w:tr w:rsidR="00DB4479" w:rsidRPr="0045733F" w14:paraId="0123B506" w14:textId="30BE8A6A" w:rsidTr="00FA7EA4">
        <w:trPr>
          <w:trHeight w:val="315"/>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641F9" w14:textId="77777777" w:rsidR="00DB4479" w:rsidRPr="0045733F" w:rsidRDefault="00DB4479" w:rsidP="00DB4479">
            <w:pPr>
              <w:suppressAutoHyphens w:val="0"/>
              <w:spacing w:before="80" w:after="80" w:line="240" w:lineRule="auto"/>
              <w:rPr>
                <w:rFonts w:ascii="Times New Roman" w:hAnsi="Times New Roman"/>
                <w:color w:val="000000"/>
                <w:lang w:eastAsia="bg-BG"/>
              </w:rPr>
            </w:pPr>
            <w:r w:rsidRPr="0045733F">
              <w:rPr>
                <w:rFonts w:ascii="Times New Roman" w:hAnsi="Times New Roman"/>
                <w:color w:val="000000"/>
                <w:sz w:val="22"/>
                <w:lang w:eastAsia="bg-BG"/>
              </w:rPr>
              <w:t>1.      Финансова ВНВ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8CDE51F" w14:textId="5EBF4540" w:rsidR="00DB4479" w:rsidRPr="0045733F" w:rsidRDefault="00DB4479" w:rsidP="00DB4479">
            <w:pPr>
              <w:suppressAutoHyphens w:val="0"/>
              <w:spacing w:before="80" w:after="80" w:line="240" w:lineRule="auto"/>
              <w:jc w:val="right"/>
              <w:rPr>
                <w:rFonts w:ascii="Times New Roman" w:hAnsi="Times New Roman"/>
                <w:color w:val="000000"/>
                <w:lang w:eastAsia="bg-BG"/>
              </w:rPr>
            </w:pPr>
            <w:r w:rsidRPr="006469E5">
              <w:t xml:space="preserve">-4 447 276 </w:t>
            </w:r>
          </w:p>
        </w:tc>
      </w:tr>
      <w:tr w:rsidR="00DB4479" w:rsidRPr="0045733F" w14:paraId="4FB89C7A" w14:textId="05F4AAB5" w:rsidTr="00FA7EA4">
        <w:trPr>
          <w:trHeight w:val="315"/>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4C58" w14:textId="77777777" w:rsidR="00DB4479" w:rsidRPr="0045733F" w:rsidRDefault="00DB4479" w:rsidP="00DB4479">
            <w:pPr>
              <w:suppressAutoHyphens w:val="0"/>
              <w:spacing w:before="80" w:after="80" w:line="240" w:lineRule="auto"/>
              <w:rPr>
                <w:rFonts w:ascii="Times New Roman" w:hAnsi="Times New Roman"/>
                <w:color w:val="000000"/>
                <w:lang w:eastAsia="bg-BG"/>
              </w:rPr>
            </w:pPr>
            <w:r w:rsidRPr="0045733F">
              <w:rPr>
                <w:rFonts w:ascii="Times New Roman" w:hAnsi="Times New Roman"/>
                <w:color w:val="000000"/>
                <w:sz w:val="22"/>
                <w:lang w:eastAsia="bg-BG"/>
              </w:rPr>
              <w:t>2.      Финансова ННС</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51A968" w14:textId="6AD09F75" w:rsidR="00DB4479" w:rsidRPr="0045733F" w:rsidRDefault="00DB4479" w:rsidP="00DB4479">
            <w:pPr>
              <w:suppressAutoHyphens w:val="0"/>
              <w:spacing w:before="80" w:after="80" w:line="240" w:lineRule="auto"/>
              <w:jc w:val="right"/>
              <w:rPr>
                <w:rFonts w:ascii="Times New Roman" w:hAnsi="Times New Roman"/>
                <w:color w:val="000000"/>
                <w:lang w:eastAsia="bg-BG"/>
              </w:rPr>
            </w:pPr>
            <w:r w:rsidRPr="006469E5">
              <w:t>-9,05%</w:t>
            </w:r>
          </w:p>
        </w:tc>
      </w:tr>
    </w:tbl>
    <w:p w14:paraId="5FD94288" w14:textId="77777777" w:rsidR="00B62E4D" w:rsidRDefault="00B62E4D" w:rsidP="00543ADA">
      <w:pPr>
        <w:pStyle w:val="MoIBody"/>
      </w:pPr>
    </w:p>
    <w:p w14:paraId="068D9605" w14:textId="259B296D" w:rsidR="00C6167F" w:rsidRDefault="00C6167F" w:rsidP="00543ADA">
      <w:pPr>
        <w:pStyle w:val="MoIBody"/>
      </w:pPr>
      <w:r>
        <w:t xml:space="preserve">Резултатите от определяне на допустимите разходи по ОРГО са </w:t>
      </w:r>
      <w:r w:rsidR="00D27DCE">
        <w:t>показани</w:t>
      </w:r>
      <w:r>
        <w:t xml:space="preserve"> в следващата таблица:</w:t>
      </w:r>
    </w:p>
    <w:p w14:paraId="692F7C03" w14:textId="65EAD9E9" w:rsidR="00C6167F" w:rsidRDefault="00C6167F" w:rsidP="00C6167F">
      <w:pPr>
        <w:suppressAutoHyphens w:val="0"/>
        <w:spacing w:before="240" w:after="0" w:line="360" w:lineRule="auto"/>
        <w:rPr>
          <w:rFonts w:ascii="Times New Roman" w:hAnsi="Times New Roman"/>
          <w:b/>
          <w:bCs/>
          <w:smallCaps/>
          <w:color w:val="4F81BD"/>
          <w:sz w:val="22"/>
        </w:rPr>
      </w:pPr>
      <w:r w:rsidRPr="00543ADA">
        <w:rPr>
          <w:rFonts w:ascii="Times New Roman" w:hAnsi="Times New Roman"/>
          <w:b/>
          <w:bCs/>
          <w:smallCaps/>
          <w:color w:val="4F81BD"/>
          <w:sz w:val="22"/>
        </w:rPr>
        <w:t>Таблица 5</w:t>
      </w:r>
      <w:r w:rsidRPr="00543ADA">
        <w:rPr>
          <w:rFonts w:ascii="Times New Roman" w:hAnsi="Times New Roman"/>
          <w:b/>
          <w:bCs/>
          <w:smallCaps/>
          <w:color w:val="4F81BD"/>
          <w:sz w:val="22"/>
        </w:rPr>
        <w:noBreakHyphen/>
      </w:r>
      <w:r>
        <w:rPr>
          <w:rFonts w:ascii="Times New Roman" w:hAnsi="Times New Roman"/>
          <w:b/>
          <w:bCs/>
          <w:smallCaps/>
          <w:color w:val="4F81BD"/>
          <w:sz w:val="22"/>
          <w:lang w:val="en-US"/>
        </w:rPr>
        <w:t>8</w:t>
      </w:r>
      <w:r w:rsidRPr="00543ADA">
        <w:rPr>
          <w:rFonts w:ascii="Times New Roman" w:hAnsi="Times New Roman"/>
          <w:b/>
          <w:bCs/>
          <w:smallCaps/>
          <w:color w:val="4F81BD"/>
          <w:sz w:val="22"/>
        </w:rPr>
        <w:t xml:space="preserve">: </w:t>
      </w:r>
      <w:r>
        <w:rPr>
          <w:rFonts w:ascii="Times New Roman" w:hAnsi="Times New Roman"/>
          <w:b/>
          <w:bCs/>
          <w:smallCaps/>
          <w:color w:val="4F81BD"/>
          <w:sz w:val="22"/>
        </w:rPr>
        <w:t xml:space="preserve">Допустими инвестиции по ОРГО за </w:t>
      </w:r>
      <w:r w:rsidR="00BB50F8">
        <w:rPr>
          <w:rFonts w:ascii="Times New Roman" w:hAnsi="Times New Roman"/>
          <w:b/>
          <w:bCs/>
          <w:smallCaps/>
          <w:color w:val="4F81BD"/>
          <w:sz w:val="22"/>
        </w:rPr>
        <w:t>морски</w:t>
      </w:r>
      <w:r>
        <w:rPr>
          <w:rFonts w:ascii="Times New Roman" w:hAnsi="Times New Roman"/>
          <w:b/>
          <w:bCs/>
          <w:smallCaps/>
          <w:color w:val="4F81BD"/>
          <w:sz w:val="22"/>
        </w:rPr>
        <w:t xml:space="preserve"> пристанища</w:t>
      </w:r>
    </w:p>
    <w:tbl>
      <w:tblPr>
        <w:tblW w:w="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0"/>
        <w:gridCol w:w="1380"/>
      </w:tblGrid>
      <w:tr w:rsidR="00872BD2" w:rsidRPr="00872BD2" w14:paraId="5CE875B7" w14:textId="77777777" w:rsidTr="00FA7EA4">
        <w:trPr>
          <w:trHeight w:val="618"/>
        </w:trPr>
        <w:tc>
          <w:tcPr>
            <w:tcW w:w="5420" w:type="dxa"/>
            <w:shd w:val="clear" w:color="000000" w:fill="FFFFFF"/>
            <w:vAlign w:val="center"/>
            <w:hideMark/>
          </w:tcPr>
          <w:p w14:paraId="7557648B" w14:textId="77777777" w:rsidR="00872BD2" w:rsidRPr="00FA7EA4" w:rsidRDefault="00872BD2" w:rsidP="00872BD2">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Определяне на максималния % на помощта за морски пристанища</w:t>
            </w:r>
          </w:p>
        </w:tc>
        <w:tc>
          <w:tcPr>
            <w:tcW w:w="1380" w:type="dxa"/>
            <w:shd w:val="clear" w:color="000000" w:fill="FFFFFF"/>
            <w:noWrap/>
            <w:vAlign w:val="center"/>
            <w:hideMark/>
          </w:tcPr>
          <w:p w14:paraId="3C27C61F" w14:textId="77777777" w:rsidR="00872BD2" w:rsidRPr="00FA7EA4" w:rsidRDefault="00872BD2" w:rsidP="00872BD2">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 xml:space="preserve">Стойност </w:t>
            </w:r>
          </w:p>
        </w:tc>
      </w:tr>
      <w:tr w:rsidR="00872BD2" w:rsidRPr="00872BD2" w14:paraId="187B965D" w14:textId="77777777" w:rsidTr="00FA7EA4">
        <w:trPr>
          <w:trHeight w:val="318"/>
        </w:trPr>
        <w:tc>
          <w:tcPr>
            <w:tcW w:w="5420" w:type="dxa"/>
            <w:shd w:val="clear" w:color="000000" w:fill="FFFFFF"/>
            <w:vAlign w:val="center"/>
            <w:hideMark/>
          </w:tcPr>
          <w:p w14:paraId="5CF8E13E"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Общи инвестиционни раззходи</w:t>
            </w:r>
          </w:p>
        </w:tc>
        <w:tc>
          <w:tcPr>
            <w:tcW w:w="1380" w:type="dxa"/>
            <w:shd w:val="clear" w:color="000000" w:fill="FFFFFF"/>
            <w:noWrap/>
            <w:vAlign w:val="center"/>
            <w:hideMark/>
          </w:tcPr>
          <w:p w14:paraId="5BA9B46D" w14:textId="77777777" w:rsidR="00872BD2" w:rsidRPr="00FA7EA4" w:rsidRDefault="00872BD2" w:rsidP="00872BD2">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FA7EA4">
              <w:rPr>
                <w:rFonts w:ascii="Times New Roman" w:eastAsia="Times New Roman" w:hAnsi="Times New Roman"/>
                <w:b/>
                <w:bCs/>
                <w:color w:val="000000"/>
                <w:sz w:val="22"/>
                <w:lang w:val="en-US"/>
              </w:rPr>
              <w:t>4 997 500,00</w:t>
            </w:r>
          </w:p>
        </w:tc>
      </w:tr>
      <w:tr w:rsidR="00872BD2" w:rsidRPr="00872BD2" w14:paraId="7E0A8C86" w14:textId="77777777" w:rsidTr="00FA7EA4">
        <w:trPr>
          <w:trHeight w:val="343"/>
        </w:trPr>
        <w:tc>
          <w:tcPr>
            <w:tcW w:w="5420" w:type="dxa"/>
            <w:shd w:val="clear" w:color="000000" w:fill="E2EFDA"/>
            <w:vAlign w:val="bottom"/>
            <w:hideMark/>
          </w:tcPr>
          <w:p w14:paraId="58441C51"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Допустими разходи по ОРГО, дисконтирани </w:t>
            </w:r>
          </w:p>
        </w:tc>
        <w:tc>
          <w:tcPr>
            <w:tcW w:w="1380" w:type="dxa"/>
            <w:shd w:val="clear" w:color="000000" w:fill="F8CBAD"/>
            <w:noWrap/>
            <w:vAlign w:val="center"/>
            <w:hideMark/>
          </w:tcPr>
          <w:p w14:paraId="21B6D4B3" w14:textId="77777777" w:rsidR="00872BD2" w:rsidRPr="00FA7EA4"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4 838 293</w:t>
            </w:r>
          </w:p>
        </w:tc>
      </w:tr>
      <w:tr w:rsidR="00872BD2" w:rsidRPr="00872BD2" w14:paraId="0E8949BE" w14:textId="77777777" w:rsidTr="00FA7EA4">
        <w:trPr>
          <w:trHeight w:val="300"/>
        </w:trPr>
        <w:tc>
          <w:tcPr>
            <w:tcW w:w="5420" w:type="dxa"/>
            <w:shd w:val="clear" w:color="000000" w:fill="FFFFFF"/>
            <w:noWrap/>
            <w:vAlign w:val="bottom"/>
            <w:hideMark/>
          </w:tcPr>
          <w:p w14:paraId="75BDE50A"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Приходи, дисконтирани</w:t>
            </w:r>
          </w:p>
        </w:tc>
        <w:tc>
          <w:tcPr>
            <w:tcW w:w="1380" w:type="dxa"/>
            <w:shd w:val="clear" w:color="000000" w:fill="F8CBAD"/>
            <w:noWrap/>
            <w:vAlign w:val="bottom"/>
            <w:hideMark/>
          </w:tcPr>
          <w:p w14:paraId="15F90D8B" w14:textId="77777777" w:rsidR="00872BD2" w:rsidRPr="00FA7EA4"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57 241 717 </w:t>
            </w:r>
          </w:p>
        </w:tc>
      </w:tr>
      <w:tr w:rsidR="00872BD2" w:rsidRPr="00872BD2" w14:paraId="32A8F728" w14:textId="77777777" w:rsidTr="00FA7EA4">
        <w:trPr>
          <w:trHeight w:val="300"/>
        </w:trPr>
        <w:tc>
          <w:tcPr>
            <w:tcW w:w="5420" w:type="dxa"/>
            <w:shd w:val="clear" w:color="000000" w:fill="E2EFDA"/>
            <w:noWrap/>
            <w:vAlign w:val="bottom"/>
            <w:hideMark/>
          </w:tcPr>
          <w:p w14:paraId="43DEB2FF"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Разходи , дисконтирани</w:t>
            </w:r>
          </w:p>
        </w:tc>
        <w:tc>
          <w:tcPr>
            <w:tcW w:w="1380" w:type="dxa"/>
            <w:shd w:val="clear" w:color="000000" w:fill="F8CBAD"/>
            <w:noWrap/>
            <w:vAlign w:val="bottom"/>
            <w:hideMark/>
          </w:tcPr>
          <w:p w14:paraId="14B9B031" w14:textId="77777777" w:rsidR="00872BD2" w:rsidRPr="00FA7EA4"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57 240 390 </w:t>
            </w:r>
          </w:p>
        </w:tc>
      </w:tr>
      <w:tr w:rsidR="00872BD2" w:rsidRPr="00872BD2" w14:paraId="4134BF5E" w14:textId="77777777" w:rsidTr="00FA7EA4">
        <w:trPr>
          <w:trHeight w:val="300"/>
        </w:trPr>
        <w:tc>
          <w:tcPr>
            <w:tcW w:w="5420" w:type="dxa"/>
            <w:shd w:val="clear" w:color="000000" w:fill="FFFFFF"/>
            <w:noWrap/>
            <w:vAlign w:val="bottom"/>
            <w:hideMark/>
          </w:tcPr>
          <w:p w14:paraId="171E8B95"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Оперативна печалба</w:t>
            </w:r>
          </w:p>
        </w:tc>
        <w:tc>
          <w:tcPr>
            <w:tcW w:w="1380" w:type="dxa"/>
            <w:shd w:val="clear" w:color="000000" w:fill="F8CBAD"/>
            <w:noWrap/>
            <w:vAlign w:val="bottom"/>
            <w:hideMark/>
          </w:tcPr>
          <w:p w14:paraId="11E960D6" w14:textId="77777777" w:rsidR="00872BD2" w:rsidRPr="00FA7EA4"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1 327 </w:t>
            </w:r>
          </w:p>
        </w:tc>
      </w:tr>
      <w:tr w:rsidR="00872BD2" w:rsidRPr="00872BD2" w14:paraId="170E5533" w14:textId="77777777" w:rsidTr="00FA7EA4">
        <w:trPr>
          <w:trHeight w:val="300"/>
        </w:trPr>
        <w:tc>
          <w:tcPr>
            <w:tcW w:w="5420" w:type="dxa"/>
            <w:shd w:val="clear" w:color="000000" w:fill="E2EFDA"/>
            <w:noWrap/>
            <w:vAlign w:val="bottom"/>
            <w:hideMark/>
          </w:tcPr>
          <w:p w14:paraId="1F9E59E2" w14:textId="77777777" w:rsidR="00872BD2" w:rsidRPr="00FA7EA4" w:rsidRDefault="00872BD2" w:rsidP="00872BD2">
            <w:pPr>
              <w:suppressAutoHyphens w:val="0"/>
              <w:autoSpaceDN/>
              <w:spacing w:after="0" w:line="240" w:lineRule="auto"/>
              <w:jc w:val="left"/>
              <w:textAlignment w:val="auto"/>
              <w:rPr>
                <w:rFonts w:ascii="Times New Roman" w:eastAsia="Times New Roman" w:hAnsi="Times New Roman"/>
                <w:color w:val="000000"/>
                <w:sz w:val="22"/>
                <w:lang w:val="en-US"/>
              </w:rPr>
            </w:pPr>
            <w:r w:rsidRPr="00FA7EA4">
              <w:rPr>
                <w:rFonts w:ascii="Times New Roman" w:eastAsia="Times New Roman" w:hAnsi="Times New Roman"/>
                <w:color w:val="000000"/>
                <w:sz w:val="22"/>
                <w:lang w:val="en-US"/>
              </w:rPr>
              <w:t xml:space="preserve">Допустими разходи по ОРГО </w:t>
            </w:r>
          </w:p>
        </w:tc>
        <w:tc>
          <w:tcPr>
            <w:tcW w:w="1380" w:type="dxa"/>
            <w:shd w:val="clear" w:color="000000" w:fill="F8CBAD"/>
            <w:noWrap/>
            <w:vAlign w:val="bottom"/>
            <w:hideMark/>
          </w:tcPr>
          <w:p w14:paraId="09798C77" w14:textId="77777777" w:rsidR="00872BD2" w:rsidRPr="00FA7EA4" w:rsidRDefault="00872BD2" w:rsidP="00872BD2">
            <w:pPr>
              <w:suppressAutoHyphens w:val="0"/>
              <w:autoSpaceDN/>
              <w:spacing w:after="0" w:line="240" w:lineRule="auto"/>
              <w:jc w:val="right"/>
              <w:textAlignment w:val="auto"/>
              <w:rPr>
                <w:rFonts w:ascii="Times New Roman" w:eastAsia="Times New Roman" w:hAnsi="Times New Roman"/>
                <w:sz w:val="22"/>
                <w:lang w:val="en-US"/>
              </w:rPr>
            </w:pPr>
            <w:r w:rsidRPr="00FA7EA4">
              <w:rPr>
                <w:rFonts w:ascii="Times New Roman" w:eastAsia="Times New Roman" w:hAnsi="Times New Roman"/>
                <w:sz w:val="22"/>
                <w:lang w:val="en-US"/>
              </w:rPr>
              <w:t>4 836 966</w:t>
            </w:r>
          </w:p>
        </w:tc>
      </w:tr>
    </w:tbl>
    <w:p w14:paraId="7BD3284D" w14:textId="7F25C71F" w:rsidR="00C6167F" w:rsidRDefault="00C6167F" w:rsidP="00543ADA">
      <w:pPr>
        <w:pStyle w:val="MoIBody"/>
      </w:pPr>
      <w:r>
        <w:t xml:space="preserve">Видно от финансовите показатели и изчисленията на оперативната печалба, </w:t>
      </w:r>
      <w:r w:rsidR="00E158DF" w:rsidRPr="00DB4479">
        <w:t>максималния процент</w:t>
      </w:r>
      <w:r w:rsidRPr="00872BD2">
        <w:t xml:space="preserve"> на помощта може да достигне </w:t>
      </w:r>
      <w:r w:rsidR="00E158DF" w:rsidRPr="00872BD2">
        <w:t>интенз</w:t>
      </w:r>
      <w:r w:rsidR="00E158DF">
        <w:t xml:space="preserve">итет от </w:t>
      </w:r>
      <w:r w:rsidR="003A11D1">
        <w:t>9</w:t>
      </w:r>
      <w:r w:rsidR="00872BD2">
        <w:t>6</w:t>
      </w:r>
      <w:r w:rsidR="003A11D1">
        <w:t>.</w:t>
      </w:r>
      <w:r w:rsidR="00872BD2">
        <w:t>7</w:t>
      </w:r>
      <w:r w:rsidR="003A11D1">
        <w:t>9</w:t>
      </w:r>
      <w:r>
        <w:t>%.</w:t>
      </w:r>
    </w:p>
    <w:p w14:paraId="1FA98CDF" w14:textId="64953C28" w:rsidR="003A11D1" w:rsidRPr="003A11D1" w:rsidRDefault="00C6167F" w:rsidP="00543ADA">
      <w:pPr>
        <w:pStyle w:val="MoIBody"/>
      </w:pPr>
      <w:r>
        <w:t xml:space="preserve">Резултатът не е изненадващ, защото както беше описано при определяне на приходите и разходите, </w:t>
      </w:r>
      <w:r w:rsidR="003A11D1">
        <w:t xml:space="preserve">нивото на таксите се определя по начин, по който да покрива непреките и минимум 30% от преките разходи, без да се генерира печалба за ДППИ , за да не се намали стимулирането за предаване на отпадъци от корабите. </w:t>
      </w:r>
    </w:p>
    <w:p w14:paraId="157CEB5F" w14:textId="17C5B709" w:rsidR="00543ADA" w:rsidRDefault="00B62E4D" w:rsidP="0045733F">
      <w:pPr>
        <w:pStyle w:val="MoIBody"/>
      </w:pPr>
      <w:r>
        <w:t>На база определения</w:t>
      </w:r>
      <w:r w:rsidR="00E158DF">
        <w:t xml:space="preserve"> размер на допустимите инвестиционни разходи</w:t>
      </w:r>
      <w:r w:rsidR="00543ADA" w:rsidRPr="00F02038">
        <w:t xml:space="preserve"> е изчислен размерът на </w:t>
      </w:r>
      <w:r>
        <w:t>източниците на финансиране</w:t>
      </w:r>
      <w:r w:rsidR="00543ADA">
        <w:t xml:space="preserve">. </w:t>
      </w:r>
    </w:p>
    <w:p w14:paraId="745E4611" w14:textId="77777777" w:rsidR="00543ADA" w:rsidRPr="00543ADA" w:rsidRDefault="00543ADA" w:rsidP="00543ADA">
      <w:pPr>
        <w:suppressAutoHyphens w:val="0"/>
        <w:spacing w:before="240" w:after="0" w:line="360" w:lineRule="auto"/>
        <w:rPr>
          <w:rFonts w:ascii="Times New Roman" w:hAnsi="Times New Roman"/>
          <w:b/>
          <w:bCs/>
          <w:smallCaps/>
          <w:color w:val="4F81BD"/>
          <w:sz w:val="22"/>
        </w:rPr>
      </w:pPr>
      <w:r w:rsidRPr="00E01D35">
        <w:rPr>
          <w:rFonts w:ascii="Times New Roman" w:hAnsi="Times New Roman"/>
          <w:b/>
          <w:bCs/>
          <w:smallCaps/>
          <w:color w:val="4F81BD"/>
          <w:sz w:val="22"/>
        </w:rPr>
        <w:t>Таблица 5</w:t>
      </w:r>
      <w:r w:rsidRPr="00E01D35">
        <w:rPr>
          <w:rFonts w:ascii="Times New Roman" w:hAnsi="Times New Roman"/>
          <w:b/>
          <w:bCs/>
          <w:smallCaps/>
          <w:color w:val="4F81BD"/>
          <w:sz w:val="22"/>
        </w:rPr>
        <w:noBreakHyphen/>
      </w:r>
      <w:r w:rsidR="0045733F" w:rsidRPr="00E01D35">
        <w:rPr>
          <w:rFonts w:ascii="Times New Roman" w:hAnsi="Times New Roman"/>
          <w:b/>
          <w:bCs/>
          <w:smallCaps/>
          <w:color w:val="4F81BD"/>
          <w:sz w:val="22"/>
          <w:lang w:val="en-US"/>
        </w:rPr>
        <w:t>9</w:t>
      </w:r>
      <w:r w:rsidRPr="00E01D35">
        <w:rPr>
          <w:rFonts w:ascii="Times New Roman" w:hAnsi="Times New Roman"/>
          <w:b/>
          <w:bCs/>
          <w:smallCaps/>
          <w:color w:val="4F81BD"/>
          <w:sz w:val="22"/>
        </w:rPr>
        <w:t>: Определяне източниците на финансиране</w:t>
      </w:r>
      <w:r w:rsidRPr="00543ADA">
        <w:rPr>
          <w:rFonts w:ascii="Times New Roman" w:hAnsi="Times New Roman"/>
          <w:b/>
          <w:bCs/>
          <w:smallCaps/>
          <w:color w:val="4F81BD"/>
          <w:sz w:val="22"/>
        </w:rPr>
        <w:t xml:space="preserve"> </w:t>
      </w:r>
    </w:p>
    <w:tbl>
      <w:tblPr>
        <w:tblW w:w="7940" w:type="dxa"/>
        <w:tblInd w:w="-10" w:type="dxa"/>
        <w:tblLook w:val="04A0" w:firstRow="1" w:lastRow="0" w:firstColumn="1" w:lastColumn="0" w:noHBand="0" w:noVBand="1"/>
      </w:tblPr>
      <w:tblGrid>
        <w:gridCol w:w="6640"/>
        <w:gridCol w:w="1300"/>
      </w:tblGrid>
      <w:tr w:rsidR="00E158DF" w:rsidRPr="00E158DF" w14:paraId="6B26D6DA" w14:textId="77777777" w:rsidTr="00E158DF">
        <w:trPr>
          <w:trHeight w:val="300"/>
        </w:trPr>
        <w:tc>
          <w:tcPr>
            <w:tcW w:w="6640"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0E6C808D" w14:textId="6C63E818" w:rsidR="00E158DF" w:rsidRPr="00E158DF" w:rsidRDefault="00E158DF" w:rsidP="00E158DF">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E158DF">
              <w:rPr>
                <w:rFonts w:ascii="Times New Roman" w:eastAsia="Times New Roman" w:hAnsi="Times New Roman"/>
                <w:b/>
                <w:bCs/>
                <w:color w:val="000000"/>
                <w:sz w:val="22"/>
                <w:lang w:val="en-US"/>
              </w:rPr>
              <w:t xml:space="preserve">Източници на финансиране за </w:t>
            </w:r>
            <w:r w:rsidR="00BB50F8">
              <w:rPr>
                <w:rFonts w:ascii="Times New Roman" w:eastAsia="Times New Roman" w:hAnsi="Times New Roman"/>
                <w:b/>
                <w:bCs/>
                <w:color w:val="000000"/>
                <w:sz w:val="22"/>
                <w:lang w:val="en-US"/>
              </w:rPr>
              <w:t>морски</w:t>
            </w:r>
            <w:r w:rsidRPr="00E158DF">
              <w:rPr>
                <w:rFonts w:ascii="Times New Roman" w:eastAsia="Times New Roman" w:hAnsi="Times New Roman"/>
                <w:b/>
                <w:bCs/>
                <w:color w:val="000000"/>
                <w:sz w:val="22"/>
                <w:lang w:val="en-US"/>
              </w:rPr>
              <w:t xml:space="preserve"> пристанища</w:t>
            </w:r>
          </w:p>
        </w:tc>
        <w:tc>
          <w:tcPr>
            <w:tcW w:w="1300" w:type="dxa"/>
            <w:tcBorders>
              <w:top w:val="single" w:sz="8" w:space="0" w:color="auto"/>
              <w:left w:val="nil"/>
              <w:bottom w:val="single" w:sz="8" w:space="0" w:color="auto"/>
              <w:right w:val="single" w:sz="8" w:space="0" w:color="auto"/>
            </w:tcBorders>
            <w:shd w:val="clear" w:color="000000" w:fill="BFBFBF"/>
            <w:noWrap/>
            <w:vAlign w:val="center"/>
            <w:hideMark/>
          </w:tcPr>
          <w:p w14:paraId="738C5F09" w14:textId="77777777" w:rsidR="00E158DF" w:rsidRPr="00E158DF" w:rsidRDefault="00E158DF" w:rsidP="00E158DF">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E158DF">
              <w:rPr>
                <w:rFonts w:ascii="Times New Roman" w:eastAsia="Times New Roman" w:hAnsi="Times New Roman"/>
                <w:b/>
                <w:bCs/>
                <w:color w:val="000000"/>
                <w:sz w:val="22"/>
                <w:lang w:val="en-US"/>
              </w:rPr>
              <w:t>Стойност</w:t>
            </w:r>
          </w:p>
        </w:tc>
      </w:tr>
      <w:tr w:rsidR="003A11D1" w:rsidRPr="00E158DF" w14:paraId="369072A1" w14:textId="77777777" w:rsidTr="00E158DF">
        <w:trPr>
          <w:trHeight w:val="300"/>
        </w:trPr>
        <w:tc>
          <w:tcPr>
            <w:tcW w:w="664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4C0D4954" w14:textId="77777777" w:rsidR="003A11D1" w:rsidRPr="003A11D1" w:rsidRDefault="003A11D1" w:rsidP="003A11D1">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t xml:space="preserve">Общо инвестиционни разходи </w:t>
            </w:r>
          </w:p>
        </w:tc>
        <w:tc>
          <w:tcPr>
            <w:tcW w:w="1300" w:type="dxa"/>
            <w:tcBorders>
              <w:top w:val="nil"/>
              <w:left w:val="nil"/>
              <w:bottom w:val="single" w:sz="8" w:space="0" w:color="auto"/>
              <w:right w:val="single" w:sz="8" w:space="0" w:color="auto"/>
            </w:tcBorders>
            <w:shd w:val="clear" w:color="000000" w:fill="F8CBAD"/>
            <w:noWrap/>
            <w:vAlign w:val="center"/>
            <w:hideMark/>
          </w:tcPr>
          <w:p w14:paraId="34C2F727" w14:textId="5DAD866F" w:rsidR="003A11D1" w:rsidRPr="003A11D1" w:rsidRDefault="003A11D1" w:rsidP="003A11D1">
            <w:pPr>
              <w:suppressAutoHyphens w:val="0"/>
              <w:autoSpaceDN/>
              <w:spacing w:after="0" w:line="240" w:lineRule="auto"/>
              <w:jc w:val="right"/>
              <w:textAlignment w:val="auto"/>
              <w:rPr>
                <w:rFonts w:ascii="Times New Roman" w:eastAsia="Times New Roman" w:hAnsi="Times New Roman"/>
                <w:color w:val="000000"/>
                <w:sz w:val="22"/>
                <w:lang w:val="en-US"/>
              </w:rPr>
            </w:pPr>
            <w:r w:rsidRPr="003A11D1">
              <w:rPr>
                <w:rFonts w:ascii="Times New Roman" w:hAnsi="Times New Roman"/>
                <w:color w:val="000000"/>
                <w:sz w:val="22"/>
              </w:rPr>
              <w:t>4 997 500</w:t>
            </w:r>
          </w:p>
        </w:tc>
      </w:tr>
      <w:tr w:rsidR="00872BD2" w:rsidRPr="00E158DF" w14:paraId="242A6BD9" w14:textId="77777777" w:rsidTr="00FA7EA4">
        <w:trPr>
          <w:trHeight w:val="300"/>
        </w:trPr>
        <w:tc>
          <w:tcPr>
            <w:tcW w:w="664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5E8A4DB3" w14:textId="77777777" w:rsidR="00872BD2" w:rsidRPr="003A11D1" w:rsidRDefault="00872BD2" w:rsidP="00872BD2">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t>Определен размер на интензитета</w:t>
            </w:r>
          </w:p>
        </w:tc>
        <w:tc>
          <w:tcPr>
            <w:tcW w:w="1300" w:type="dxa"/>
            <w:tcBorders>
              <w:top w:val="nil"/>
              <w:left w:val="nil"/>
              <w:bottom w:val="single" w:sz="8" w:space="0" w:color="auto"/>
              <w:right w:val="single" w:sz="8" w:space="0" w:color="auto"/>
            </w:tcBorders>
            <w:shd w:val="clear" w:color="000000" w:fill="F8CBAD"/>
            <w:noWrap/>
            <w:hideMark/>
          </w:tcPr>
          <w:p w14:paraId="7AD3A33E" w14:textId="6754E539" w:rsidR="00872BD2" w:rsidRPr="00872BD2"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hAnsi="Times New Roman"/>
                <w:sz w:val="22"/>
              </w:rPr>
              <w:t>96,79%</w:t>
            </w:r>
          </w:p>
        </w:tc>
      </w:tr>
      <w:tr w:rsidR="00872BD2" w:rsidRPr="00E158DF" w14:paraId="0FE402EB" w14:textId="77777777" w:rsidTr="00FA7EA4">
        <w:trPr>
          <w:trHeight w:val="300"/>
        </w:trPr>
        <w:tc>
          <w:tcPr>
            <w:tcW w:w="664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A783415" w14:textId="77777777" w:rsidR="00872BD2" w:rsidRPr="003A11D1" w:rsidRDefault="00872BD2" w:rsidP="00872BD2">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t>Общо допустими разходи по ОРГО</w:t>
            </w:r>
          </w:p>
        </w:tc>
        <w:tc>
          <w:tcPr>
            <w:tcW w:w="1300" w:type="dxa"/>
            <w:tcBorders>
              <w:top w:val="nil"/>
              <w:left w:val="nil"/>
              <w:bottom w:val="single" w:sz="8" w:space="0" w:color="auto"/>
              <w:right w:val="single" w:sz="8" w:space="0" w:color="auto"/>
            </w:tcBorders>
            <w:shd w:val="clear" w:color="000000" w:fill="F8CBAD"/>
            <w:noWrap/>
            <w:hideMark/>
          </w:tcPr>
          <w:p w14:paraId="4072D1B6" w14:textId="3EEAAA60" w:rsidR="00872BD2" w:rsidRPr="00872BD2"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hAnsi="Times New Roman"/>
                <w:sz w:val="22"/>
              </w:rPr>
              <w:t>4 836 966</w:t>
            </w:r>
          </w:p>
        </w:tc>
      </w:tr>
      <w:tr w:rsidR="00872BD2" w:rsidRPr="00E158DF" w14:paraId="3FBDE937" w14:textId="77777777" w:rsidTr="00FA7EA4">
        <w:trPr>
          <w:trHeight w:val="300"/>
        </w:trPr>
        <w:tc>
          <w:tcPr>
            <w:tcW w:w="664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3950B602" w14:textId="77777777" w:rsidR="00872BD2" w:rsidRPr="003A11D1" w:rsidRDefault="00872BD2" w:rsidP="00872BD2">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t>в т.ч от ЕС</w:t>
            </w:r>
          </w:p>
        </w:tc>
        <w:tc>
          <w:tcPr>
            <w:tcW w:w="1300" w:type="dxa"/>
            <w:tcBorders>
              <w:top w:val="nil"/>
              <w:left w:val="nil"/>
              <w:bottom w:val="single" w:sz="8" w:space="0" w:color="auto"/>
              <w:right w:val="single" w:sz="8" w:space="0" w:color="auto"/>
            </w:tcBorders>
            <w:shd w:val="clear" w:color="000000" w:fill="F8CBAD"/>
            <w:noWrap/>
            <w:hideMark/>
          </w:tcPr>
          <w:p w14:paraId="68632CE3" w14:textId="4B970994" w:rsidR="00872BD2" w:rsidRPr="00872BD2"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hAnsi="Times New Roman"/>
                <w:sz w:val="22"/>
              </w:rPr>
              <w:t>4 111 421</w:t>
            </w:r>
          </w:p>
        </w:tc>
      </w:tr>
      <w:tr w:rsidR="00872BD2" w:rsidRPr="00E158DF" w14:paraId="0E0BC77A" w14:textId="77777777" w:rsidTr="00FA7EA4">
        <w:trPr>
          <w:trHeight w:val="300"/>
        </w:trPr>
        <w:tc>
          <w:tcPr>
            <w:tcW w:w="664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73A8BA45" w14:textId="77777777" w:rsidR="00872BD2" w:rsidRPr="003A11D1" w:rsidRDefault="00872BD2" w:rsidP="00872BD2">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t>в т.ч от Национално съ-финансиране</w:t>
            </w:r>
          </w:p>
        </w:tc>
        <w:tc>
          <w:tcPr>
            <w:tcW w:w="1300" w:type="dxa"/>
            <w:tcBorders>
              <w:top w:val="nil"/>
              <w:left w:val="nil"/>
              <w:bottom w:val="single" w:sz="8" w:space="0" w:color="auto"/>
              <w:right w:val="single" w:sz="8" w:space="0" w:color="auto"/>
            </w:tcBorders>
            <w:shd w:val="clear" w:color="000000" w:fill="F8CBAD"/>
            <w:noWrap/>
            <w:hideMark/>
          </w:tcPr>
          <w:p w14:paraId="2AFEDA5C" w14:textId="7C575166" w:rsidR="00872BD2" w:rsidRPr="00872BD2"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hAnsi="Times New Roman"/>
                <w:sz w:val="22"/>
              </w:rPr>
              <w:t>725 545</w:t>
            </w:r>
          </w:p>
        </w:tc>
      </w:tr>
      <w:tr w:rsidR="00872BD2" w:rsidRPr="00E158DF" w14:paraId="666418AC" w14:textId="77777777" w:rsidTr="00FA7EA4">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74F054CE" w14:textId="77777777" w:rsidR="00872BD2" w:rsidRPr="003A11D1" w:rsidRDefault="00872BD2" w:rsidP="00872BD2">
            <w:pPr>
              <w:suppressAutoHyphens w:val="0"/>
              <w:autoSpaceDN/>
              <w:spacing w:after="0" w:line="240" w:lineRule="auto"/>
              <w:jc w:val="left"/>
              <w:textAlignment w:val="auto"/>
              <w:rPr>
                <w:rFonts w:ascii="Times New Roman" w:eastAsia="Times New Roman" w:hAnsi="Times New Roman"/>
                <w:color w:val="000000"/>
                <w:szCs w:val="24"/>
                <w:lang w:val="en-US"/>
              </w:rPr>
            </w:pPr>
            <w:r w:rsidRPr="003A11D1">
              <w:rPr>
                <w:rFonts w:ascii="Times New Roman" w:eastAsia="Times New Roman" w:hAnsi="Times New Roman"/>
                <w:color w:val="000000"/>
                <w:szCs w:val="24"/>
                <w:lang w:val="en-US"/>
              </w:rPr>
              <w:lastRenderedPageBreak/>
              <w:t>За сметка на Бенефициента</w:t>
            </w:r>
          </w:p>
        </w:tc>
        <w:tc>
          <w:tcPr>
            <w:tcW w:w="1300" w:type="dxa"/>
            <w:tcBorders>
              <w:top w:val="nil"/>
              <w:left w:val="nil"/>
              <w:bottom w:val="single" w:sz="8" w:space="0" w:color="auto"/>
              <w:right w:val="single" w:sz="8" w:space="0" w:color="auto"/>
            </w:tcBorders>
            <w:shd w:val="clear" w:color="000000" w:fill="F8CBAD"/>
            <w:noWrap/>
            <w:hideMark/>
          </w:tcPr>
          <w:p w14:paraId="42F25999" w14:textId="3CDA9FB4" w:rsidR="00872BD2" w:rsidRPr="00872BD2" w:rsidRDefault="00872BD2" w:rsidP="00872BD2">
            <w:pPr>
              <w:suppressAutoHyphens w:val="0"/>
              <w:autoSpaceDN/>
              <w:spacing w:after="0" w:line="240" w:lineRule="auto"/>
              <w:jc w:val="right"/>
              <w:textAlignment w:val="auto"/>
              <w:rPr>
                <w:rFonts w:ascii="Times New Roman" w:eastAsia="Times New Roman" w:hAnsi="Times New Roman"/>
                <w:color w:val="000000"/>
                <w:sz w:val="22"/>
                <w:lang w:val="en-US"/>
              </w:rPr>
            </w:pPr>
            <w:r w:rsidRPr="00FA7EA4">
              <w:rPr>
                <w:rFonts w:ascii="Times New Roman" w:hAnsi="Times New Roman"/>
                <w:sz w:val="22"/>
              </w:rPr>
              <w:t>160 534</w:t>
            </w:r>
          </w:p>
        </w:tc>
      </w:tr>
    </w:tbl>
    <w:p w14:paraId="4FA10D85" w14:textId="77777777" w:rsidR="00990828" w:rsidRDefault="00990828" w:rsidP="002D0000">
      <w:pPr>
        <w:pStyle w:val="MoIBody"/>
        <w:rPr>
          <w:lang w:val="en-US"/>
        </w:rPr>
      </w:pPr>
    </w:p>
    <w:p w14:paraId="5E95E223" w14:textId="2A2D9A94" w:rsidR="000D44D4" w:rsidRDefault="000D44D4">
      <w:pPr>
        <w:suppressAutoHyphens w:val="0"/>
        <w:spacing w:after="0" w:line="240" w:lineRule="auto"/>
        <w:jc w:val="left"/>
        <w:rPr>
          <w:szCs w:val="20"/>
          <w:lang w:val="en-US" w:eastAsia="bg-BG"/>
        </w:rPr>
      </w:pPr>
    </w:p>
    <w:p w14:paraId="2B4B920F" w14:textId="3EC3C4B5" w:rsidR="00232CB3" w:rsidRPr="00823F63" w:rsidRDefault="00E158DF" w:rsidP="00823F63">
      <w:pPr>
        <w:pStyle w:val="Heading1"/>
      </w:pPr>
      <w:bookmarkStart w:id="64" w:name="_Toc488663522"/>
      <w:bookmarkStart w:id="65" w:name="_Toc488663590"/>
      <w:bookmarkStart w:id="66" w:name="_Toc488663524"/>
      <w:bookmarkStart w:id="67" w:name="_Toc488663592"/>
      <w:bookmarkStart w:id="68" w:name="_Toc488663526"/>
      <w:bookmarkStart w:id="69" w:name="_Toc488663594"/>
      <w:bookmarkStart w:id="70" w:name="_Toc488663528"/>
      <w:bookmarkStart w:id="71" w:name="_Toc488663596"/>
      <w:bookmarkStart w:id="72" w:name="_Toc488663530"/>
      <w:bookmarkStart w:id="73" w:name="_Toc488663598"/>
      <w:bookmarkStart w:id="74" w:name="_Toc488663531"/>
      <w:bookmarkStart w:id="75" w:name="_Toc488663599"/>
      <w:bookmarkStart w:id="76" w:name="_Toc488663532"/>
      <w:bookmarkStart w:id="77" w:name="_Toc488663600"/>
      <w:bookmarkStart w:id="78" w:name="_Toc488663533"/>
      <w:bookmarkStart w:id="79" w:name="_Toc488663601"/>
      <w:bookmarkStart w:id="80" w:name="_Toc43309123"/>
      <w:bookmarkStart w:id="81" w:name="_Toc1383192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ИЗВОДИ И ЗАКЛЮЧЕНИЯ</w:t>
      </w:r>
      <w:r w:rsidR="00232CB3" w:rsidRPr="00D2123D">
        <w:t xml:space="preserve">  ОТ </w:t>
      </w:r>
      <w:r w:rsidR="00823F63">
        <w:t>ФИНАНСОВИЯ АНАЛИЗ</w:t>
      </w:r>
      <w:bookmarkEnd w:id="80"/>
      <w:r w:rsidR="00232CB3" w:rsidRPr="00D2123D">
        <w:t xml:space="preserve"> </w:t>
      </w:r>
      <w:bookmarkEnd w:id="81"/>
    </w:p>
    <w:p w14:paraId="6C4D6BD9" w14:textId="77777777" w:rsidR="000D44D4" w:rsidRDefault="000D44D4" w:rsidP="00232CB3">
      <w:pPr>
        <w:pStyle w:val="MoIBody"/>
      </w:pPr>
    </w:p>
    <w:p w14:paraId="5A893EED" w14:textId="7CB62F32" w:rsidR="000D44D4" w:rsidRDefault="000D44D4" w:rsidP="000D44D4">
      <w:pPr>
        <w:pStyle w:val="MoIBody"/>
        <w:spacing w:line="276" w:lineRule="auto"/>
      </w:pPr>
      <w:r w:rsidRPr="00FA7EA4">
        <w:t>Заключението от предварителната оценка за наличие на държавна помощ е, че публичните средства предоставени на ДППИ по настоящия проект включват държавна помощ в полза на ДППИ</w:t>
      </w:r>
      <w:r w:rsidRPr="00FA7EA4">
        <w:rPr>
          <w:rFonts w:ascii="Arial Narrow" w:hAnsi="Arial Narrow"/>
          <w:color w:val="auto"/>
        </w:rPr>
        <w:t xml:space="preserve"> </w:t>
      </w:r>
      <w:r w:rsidRPr="00FA7EA4">
        <w:t>по смисъла на чл. 107, параграф 1 от ДФЕС за доставката, монтажа и въвеждането в експлоатация ППС и СПРЕАЗ, която е съвместима с вътрешния пазар по смисъла на чл.56б и чл. 56в на ОРГО.</w:t>
      </w:r>
    </w:p>
    <w:p w14:paraId="7AB29618" w14:textId="40510DE2" w:rsidR="000D44D4" w:rsidRDefault="000D44D4" w:rsidP="000D44D4">
      <w:pPr>
        <w:pStyle w:val="MoIBody"/>
      </w:pPr>
      <w:r w:rsidRPr="000D44D4">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w:t>
      </w:r>
      <w:r w:rsidR="003A11D1">
        <w:t>някои условия, посочени в чл.56б</w:t>
      </w:r>
      <w:r>
        <w:t xml:space="preserve"> </w:t>
      </w:r>
      <w:r w:rsidRPr="000D44D4">
        <w:t>и в глава I.</w:t>
      </w:r>
    </w:p>
    <w:p w14:paraId="7EFAF0E9" w14:textId="4F458866" w:rsidR="00021C53" w:rsidRDefault="00021C53" w:rsidP="000D44D4">
      <w:pPr>
        <w:pStyle w:val="MoIBody"/>
      </w:pPr>
      <w:r>
        <w:t>Едно от условията е посочено в пар.4 на същия член, където се изисква р</w:t>
      </w:r>
      <w:r w:rsidRPr="00021C53">
        <w:t xml:space="preserve">азмерът на помощта </w:t>
      </w:r>
      <w:r>
        <w:t xml:space="preserve">да </w:t>
      </w:r>
      <w:r w:rsidRPr="00021C53">
        <w:t>не н</w:t>
      </w:r>
      <w:r>
        <w:t>адхвърля разликата между допус</w:t>
      </w:r>
      <w:r w:rsidRPr="00021C53">
        <w:t>тимите разходи и оперативната печалба от инвестицията.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t>.</w:t>
      </w:r>
    </w:p>
    <w:p w14:paraId="398E8D4B" w14:textId="47B12CF7" w:rsidR="00021C53" w:rsidRDefault="00021C53" w:rsidP="000D44D4">
      <w:pPr>
        <w:pStyle w:val="MoIBody"/>
      </w:pPr>
      <w:r>
        <w:t>За доказването, че размерът на помощта не надхвърля тази стойност е изготвен настоящият Финансов анализ и резултатите от него показ</w:t>
      </w:r>
      <w:r w:rsidR="003A11D1">
        <w:t xml:space="preserve">ват, че </w:t>
      </w:r>
      <w:r>
        <w:t>интензи</w:t>
      </w:r>
      <w:r w:rsidR="003A11D1">
        <w:t>тета на помощта може да бъде 9</w:t>
      </w:r>
      <w:r w:rsidR="00872BD2">
        <w:t>6</w:t>
      </w:r>
      <w:r w:rsidR="003A11D1">
        <w:t>.</w:t>
      </w:r>
      <w:r w:rsidR="00872BD2">
        <w:t>7</w:t>
      </w:r>
      <w:r w:rsidR="003A11D1">
        <w:t>9</w:t>
      </w:r>
      <w:r>
        <w:t>% или инве</w:t>
      </w:r>
      <w:r w:rsidR="003A11D1">
        <w:t xml:space="preserve">стиционните разходи могат </w:t>
      </w:r>
      <w:r>
        <w:t xml:space="preserve"> да се приемат за допустими разходи по ОРГО</w:t>
      </w:r>
      <w:r w:rsidR="004849AB">
        <w:t xml:space="preserve"> </w:t>
      </w:r>
      <w:r w:rsidR="003A11D1">
        <w:t xml:space="preserve"> в размер на </w:t>
      </w:r>
      <w:r w:rsidR="00872BD2" w:rsidRPr="00872BD2">
        <w:rPr>
          <w:sz w:val="22"/>
        </w:rPr>
        <w:t>4 836 966</w:t>
      </w:r>
      <w:r w:rsidR="006F12D6">
        <w:rPr>
          <w:sz w:val="22"/>
        </w:rPr>
        <w:t xml:space="preserve"> лв.</w:t>
      </w:r>
      <w:r w:rsidR="00872BD2">
        <w:rPr>
          <w:sz w:val="22"/>
        </w:rPr>
        <w:t xml:space="preserve"> </w:t>
      </w:r>
      <w:r w:rsidR="003A11D1">
        <w:rPr>
          <w:sz w:val="22"/>
        </w:rPr>
        <w:t>,</w:t>
      </w:r>
      <w:r w:rsidR="003A11D1">
        <w:t xml:space="preserve"> а разликата в размер на </w:t>
      </w:r>
      <w:r w:rsidR="00872BD2" w:rsidRPr="00872BD2">
        <w:rPr>
          <w:sz w:val="22"/>
        </w:rPr>
        <w:t>160 534</w:t>
      </w:r>
      <w:r w:rsidR="00872BD2">
        <w:rPr>
          <w:sz w:val="22"/>
        </w:rPr>
        <w:t xml:space="preserve"> </w:t>
      </w:r>
      <w:r w:rsidR="003A11D1">
        <w:rPr>
          <w:sz w:val="22"/>
        </w:rPr>
        <w:t xml:space="preserve">лв. </w:t>
      </w:r>
      <w:r w:rsidR="003A11D1">
        <w:t>да се поеме от Бенефициента</w:t>
      </w:r>
      <w:r>
        <w:t>.</w:t>
      </w:r>
    </w:p>
    <w:p w14:paraId="27B84894" w14:textId="77777777" w:rsidR="00021C53" w:rsidRPr="000D44D4" w:rsidRDefault="00021C53" w:rsidP="000D44D4">
      <w:pPr>
        <w:pStyle w:val="MoIBody"/>
      </w:pPr>
    </w:p>
    <w:p w14:paraId="299A77B3" w14:textId="4134CA36" w:rsidR="00E158DF" w:rsidRDefault="00E158DF">
      <w:pPr>
        <w:suppressAutoHyphens w:val="0"/>
        <w:spacing w:after="0" w:line="240" w:lineRule="auto"/>
        <w:jc w:val="left"/>
        <w:rPr>
          <w:rFonts w:ascii="Times New Roman" w:hAnsi="Times New Roman"/>
          <w:color w:val="000000"/>
        </w:rPr>
      </w:pPr>
      <w:r>
        <w:br w:type="page"/>
      </w:r>
    </w:p>
    <w:p w14:paraId="213E472C" w14:textId="77777777" w:rsidR="00995353" w:rsidRPr="000D44D4" w:rsidRDefault="00995353" w:rsidP="00746387">
      <w:pPr>
        <w:pStyle w:val="MoIBody"/>
        <w:spacing w:before="60" w:after="60"/>
      </w:pPr>
    </w:p>
    <w:p w14:paraId="07E673DA" w14:textId="77777777" w:rsidR="00232CB3" w:rsidRPr="00F84C77" w:rsidRDefault="00232CB3" w:rsidP="001C2F65">
      <w:pPr>
        <w:pStyle w:val="Heading1"/>
      </w:pPr>
      <w:bookmarkStart w:id="82" w:name="_Toc13831925"/>
      <w:bookmarkStart w:id="83" w:name="_Toc43309124"/>
      <w:r w:rsidRPr="00F84C77">
        <w:t>СПИСЪК НА ПРИЛОЖЕНИЯТА КЪМ ДОКЛАДА</w:t>
      </w:r>
      <w:bookmarkEnd w:id="82"/>
      <w:bookmarkEnd w:id="83"/>
    </w:p>
    <w:p w14:paraId="2EF73329" w14:textId="77777777" w:rsidR="00232CB3" w:rsidRPr="00155BED" w:rsidRDefault="00232CB3" w:rsidP="00232CB3">
      <w:pPr>
        <w:ind w:firstLine="567"/>
      </w:pPr>
    </w:p>
    <w:p w14:paraId="5C7271E0" w14:textId="58D90E87" w:rsidR="00232CB3" w:rsidRPr="00155BED" w:rsidRDefault="00232CB3" w:rsidP="000D44D4">
      <w:pPr>
        <w:pStyle w:val="Heading2"/>
      </w:pPr>
      <w:bookmarkStart w:id="84" w:name="_Toc409365100"/>
      <w:bookmarkStart w:id="85" w:name="_Toc43309125"/>
      <w:r w:rsidRPr="00155BED">
        <w:t xml:space="preserve">Приложение 1 - </w:t>
      </w:r>
      <w:bookmarkEnd w:id="84"/>
      <w:r w:rsidR="000D44D4" w:rsidRPr="000D44D4">
        <w:t>Резултати от финансовия анализ</w:t>
      </w:r>
      <w:bookmarkEnd w:id="85"/>
    </w:p>
    <w:p w14:paraId="2D87913E" w14:textId="1735E0AD" w:rsidR="00232CB3" w:rsidRDefault="00232CB3" w:rsidP="00155BED">
      <w:pPr>
        <w:pStyle w:val="Heading2"/>
      </w:pPr>
      <w:bookmarkStart w:id="86" w:name="_Toc43309126"/>
      <w:r w:rsidRPr="00155BED">
        <w:t xml:space="preserve">Приложение 2 – </w:t>
      </w:r>
      <w:r w:rsidR="000D44D4">
        <w:t xml:space="preserve">Електронен </w:t>
      </w:r>
      <w:r w:rsidRPr="00155BED">
        <w:t xml:space="preserve"> модел за </w:t>
      </w:r>
      <w:r w:rsidR="000D44D4">
        <w:t xml:space="preserve">Финансовия </w:t>
      </w:r>
      <w:r w:rsidRPr="00155BED">
        <w:t>Анализ</w:t>
      </w:r>
      <w:bookmarkEnd w:id="86"/>
      <w:r w:rsidRPr="00155BED">
        <w:t xml:space="preserve"> </w:t>
      </w:r>
    </w:p>
    <w:p w14:paraId="1B337580" w14:textId="77777777" w:rsidR="000D44D4" w:rsidRDefault="000D44D4" w:rsidP="000D44D4">
      <w:pPr>
        <w:pStyle w:val="MoIBody"/>
        <w:sectPr w:rsidR="000D44D4" w:rsidSect="004202E9">
          <w:pgSz w:w="11906" w:h="16838"/>
          <w:pgMar w:top="1418" w:right="1134" w:bottom="2268" w:left="1418" w:header="284" w:footer="516" w:gutter="0"/>
          <w:cols w:space="708"/>
        </w:sectPr>
      </w:pPr>
    </w:p>
    <w:p w14:paraId="3F09C8AF" w14:textId="24DF0F10" w:rsidR="00BD268E" w:rsidRPr="00F42352" w:rsidRDefault="000D44D4" w:rsidP="00F42352">
      <w:pPr>
        <w:rPr>
          <w:rFonts w:ascii="Times New Roman" w:hAnsi="Times New Roman"/>
          <w:b/>
          <w:i/>
        </w:rPr>
      </w:pPr>
      <w:r>
        <w:rPr>
          <w:rFonts w:ascii="Times New Roman" w:hAnsi="Times New Roman"/>
          <w:b/>
          <w:i/>
        </w:rPr>
        <w:lastRenderedPageBreak/>
        <w:t xml:space="preserve">ПРИЛОЖЕНИЕ 1. </w:t>
      </w:r>
      <w:r w:rsidRPr="000D44D4">
        <w:t xml:space="preserve"> </w:t>
      </w:r>
      <w:r w:rsidRPr="000D44D4">
        <w:rPr>
          <w:rFonts w:ascii="Times New Roman" w:hAnsi="Times New Roman"/>
          <w:b/>
          <w:i/>
        </w:rPr>
        <w:t>Резултати от финансовия анализ</w:t>
      </w:r>
      <w:r w:rsidR="00BD268E" w:rsidRPr="00F42352">
        <w:rPr>
          <w:rFonts w:ascii="Times New Roman" w:hAnsi="Times New Roman"/>
          <w:b/>
          <w:i/>
        </w:rPr>
        <w:t xml:space="preserve"> </w:t>
      </w:r>
    </w:p>
    <w:p w14:paraId="57F89A88" w14:textId="7316E2C8" w:rsidR="00995353" w:rsidRPr="00F84C77" w:rsidRDefault="00995353" w:rsidP="000D44D4">
      <w:pPr>
        <w:pStyle w:val="MoIBody"/>
        <w:spacing w:before="240"/>
        <w:ind w:left="-709"/>
      </w:pPr>
    </w:p>
    <w:p w14:paraId="7DE9EF0D" w14:textId="524F8855" w:rsidR="00BD268E" w:rsidRDefault="006F12D6" w:rsidP="006F12D6">
      <w:pPr>
        <w:pStyle w:val="MoIBody"/>
        <w:spacing w:before="240"/>
        <w:ind w:left="-709"/>
      </w:pPr>
      <w:r w:rsidRPr="006F12D6">
        <w:rPr>
          <w:noProof/>
          <w:lang w:eastAsia="bg-BG"/>
        </w:rPr>
        <w:drawing>
          <wp:inline distT="0" distB="0" distL="0" distR="0" wp14:anchorId="5AC6F300" wp14:editId="586DF2F2">
            <wp:extent cx="8398329" cy="139319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458857" cy="1403231"/>
                    </a:xfrm>
                    <a:prstGeom prst="rect">
                      <a:avLst/>
                    </a:prstGeom>
                    <a:noFill/>
                    <a:ln>
                      <a:noFill/>
                    </a:ln>
                  </pic:spPr>
                </pic:pic>
              </a:graphicData>
            </a:graphic>
          </wp:inline>
        </w:drawing>
      </w:r>
    </w:p>
    <w:sectPr w:rsidR="00BD268E" w:rsidSect="000D44D4">
      <w:pgSz w:w="16838" w:h="11906" w:orient="landscape"/>
      <w:pgMar w:top="1418" w:right="1418" w:bottom="1134" w:left="2268" w:header="284" w:footer="516"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6D3053" w16cid:durableId="20FCF102"/>
  <w16cid:commentId w16cid:paraId="658DB551" w16cid:durableId="20FCF227"/>
</w16cid:commentsIds>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2"/>
    </wne:keymap>
    <wne:keymap wne:kcmPrimary="0433">
      <wne:acd wne:acdName="acd3"/>
    </wne:keymap>
    <wne:keymap wne:kcmPrimary="0434">
      <wne:acd wne:acdName="acd4"/>
    </wne:keymap>
    <wne:keymap wne:kcmPrimary="0435">
      <wne:acd wne:acdName="acd5"/>
    </wne:keymap>
    <wne:keymap wne:kcmPrimary="044E">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gBNAG8ASQAgAEIAbwBkAHkA" wne:acdName="acd1" wne:fciIndexBasedOn="0065"/>
    <wne:acd wne:argValue="AQAAAAIA" wne:acdName="acd2" wne:fciIndexBasedOn="0065"/>
    <wne:acd wne:argValue="AQAAAAMA" wne:acdName="acd3" wne:fciIndexBasedOn="0065"/>
    <wne:acd wne:argValue="AQAAAAQA" wne:acdName="acd4" wne:fciIndexBasedOn="0065"/>
    <wne:acd wne:argValue="AQAAAAU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5B3B0" w14:textId="77777777" w:rsidR="005A127C" w:rsidRDefault="005A127C">
      <w:pPr>
        <w:spacing w:after="0" w:line="240" w:lineRule="auto"/>
      </w:pPr>
      <w:r>
        <w:separator/>
      </w:r>
    </w:p>
  </w:endnote>
  <w:endnote w:type="continuationSeparator" w:id="0">
    <w:p w14:paraId="2BBB4555" w14:textId="77777777" w:rsidR="005A127C" w:rsidRDefault="005A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EUAlbertina">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5C7EF" w14:textId="77777777" w:rsidR="00DB4479" w:rsidRPr="00256F93" w:rsidRDefault="00DB4479" w:rsidP="005D066F">
    <w:pPr>
      <w:pStyle w:val="Footer"/>
      <w:pBdr>
        <w:top w:val="single" w:sz="4" w:space="2" w:color="000000"/>
      </w:pBdr>
      <w:spacing w:after="240"/>
      <w:ind w:left="-91" w:right="-34"/>
      <w:jc w:val="center"/>
      <w:rPr>
        <w:rFonts w:ascii="Times New Roman" w:hAnsi="Times New Roman"/>
        <w:i/>
        <w:sz w:val="20"/>
      </w:rPr>
    </w:pPr>
    <w:r w:rsidRPr="00256F93">
      <w:rPr>
        <w:rFonts w:ascii="Times New Roman" w:hAnsi="Times New Roman"/>
        <w:i/>
        <w:sz w:val="20"/>
      </w:rPr>
      <w:t>Проект №BG16M1OP001-4.001-0005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транспорт с национално значение“ , съфинансиран от Европейския съюз чрез Европейските структурни и инвестиционни  фондове</w:t>
    </w:r>
  </w:p>
  <w:p w14:paraId="7B540745" w14:textId="70F50EDC" w:rsidR="00DB4479" w:rsidRPr="00B069CD" w:rsidRDefault="00DB4479" w:rsidP="005D066F">
    <w:pPr>
      <w:pStyle w:val="Footer"/>
      <w:tabs>
        <w:tab w:val="clear" w:pos="4536"/>
        <w:tab w:val="clear" w:pos="9072"/>
        <w:tab w:val="left" w:pos="3828"/>
        <w:tab w:val="right" w:pos="9355"/>
      </w:tabs>
      <w:jc w:val="left"/>
      <w:rPr>
        <w:rFonts w:ascii="Times New Roman" w:hAnsi="Times New Roman"/>
      </w:rPr>
    </w:pPr>
    <w:r>
      <w:rPr>
        <w:rFonts w:ascii="Times New Roman" w:hAnsi="Times New Roman"/>
      </w:rPr>
      <w:t>вер. 0.</w:t>
    </w:r>
    <w:r w:rsidR="006F12D6">
      <w:rPr>
        <w:rFonts w:ascii="Times New Roman" w:hAnsi="Times New Roman"/>
      </w:rPr>
      <w:t>2</w:t>
    </w:r>
    <w:r>
      <w:rPr>
        <w:rFonts w:ascii="Times New Roman" w:hAnsi="Times New Roman"/>
      </w:rPr>
      <w:t>/</w:t>
    </w:r>
    <w:r w:rsidR="006F12D6">
      <w:rPr>
        <w:rFonts w:ascii="Times New Roman" w:hAnsi="Times New Roman"/>
      </w:rPr>
      <w:t>05</w:t>
    </w:r>
    <w:r>
      <w:rPr>
        <w:rFonts w:ascii="Times New Roman" w:hAnsi="Times New Roman"/>
        <w:lang w:val="en-US"/>
      </w:rPr>
      <w:t>.0</w:t>
    </w:r>
    <w:r w:rsidR="006F12D6">
      <w:rPr>
        <w:rFonts w:ascii="Times New Roman" w:hAnsi="Times New Roman"/>
      </w:rPr>
      <w:t>8</w:t>
    </w:r>
    <w:r>
      <w:rPr>
        <w:rFonts w:ascii="Times New Roman" w:hAnsi="Times New Roman"/>
      </w:rPr>
      <w:t>.2020</w:t>
    </w:r>
    <w:r>
      <w:rPr>
        <w:rFonts w:ascii="Times New Roman" w:hAnsi="Times New Roman"/>
        <w:lang w:val="en-US"/>
      </w:rPr>
      <w:t xml:space="preserve"> г.</w:t>
    </w:r>
    <w:r w:rsidRPr="00B069CD">
      <w:rPr>
        <w:rFonts w:ascii="Times New Roman" w:hAnsi="Times New Roman"/>
      </w:rPr>
      <w:tab/>
      <w:t>ДЗЗД „ПОРТ КОНСУЛТ”</w:t>
    </w:r>
    <w:r w:rsidRPr="00B069CD">
      <w:rPr>
        <w:rFonts w:ascii="Times New Roman" w:hAnsi="Times New Roman"/>
      </w:rPr>
      <w:tab/>
      <w:t xml:space="preserve">Стр. </w:t>
    </w:r>
    <w:r w:rsidRPr="00B069CD">
      <w:rPr>
        <w:rFonts w:ascii="Times New Roman" w:hAnsi="Times New Roman"/>
      </w:rPr>
      <w:fldChar w:fldCharType="begin"/>
    </w:r>
    <w:r w:rsidRPr="00B069CD">
      <w:rPr>
        <w:rFonts w:ascii="Times New Roman" w:hAnsi="Times New Roman"/>
      </w:rPr>
      <w:instrText xml:space="preserve"> PAGE </w:instrText>
    </w:r>
    <w:r w:rsidRPr="00B069CD">
      <w:rPr>
        <w:rFonts w:ascii="Times New Roman" w:hAnsi="Times New Roman"/>
      </w:rPr>
      <w:fldChar w:fldCharType="separate"/>
    </w:r>
    <w:r w:rsidR="00FA7EA4">
      <w:rPr>
        <w:rFonts w:ascii="Times New Roman" w:hAnsi="Times New Roman"/>
        <w:noProof/>
      </w:rPr>
      <w:t>2</w:t>
    </w:r>
    <w:r w:rsidRPr="00B069CD">
      <w:rPr>
        <w:rFonts w:ascii="Times New Roman" w:hAnsi="Times New Roman"/>
      </w:rPr>
      <w:fldChar w:fldCharType="end"/>
    </w:r>
    <w:r w:rsidRPr="00B069CD">
      <w:rPr>
        <w:rFonts w:ascii="Times New Roman" w:hAnsi="Times New Roman"/>
      </w:rPr>
      <w:t xml:space="preserve"> от </w:t>
    </w:r>
    <w:r w:rsidRPr="00B069CD">
      <w:rPr>
        <w:rFonts w:ascii="Times New Roman" w:hAnsi="Times New Roman"/>
        <w:noProof/>
      </w:rPr>
      <w:fldChar w:fldCharType="begin"/>
    </w:r>
    <w:r w:rsidRPr="00B069CD">
      <w:rPr>
        <w:rFonts w:ascii="Times New Roman" w:hAnsi="Times New Roman"/>
        <w:noProof/>
      </w:rPr>
      <w:instrText xml:space="preserve"> NUMPAGES </w:instrText>
    </w:r>
    <w:r w:rsidRPr="00B069CD">
      <w:rPr>
        <w:rFonts w:ascii="Times New Roman" w:hAnsi="Times New Roman"/>
        <w:noProof/>
      </w:rPr>
      <w:fldChar w:fldCharType="separate"/>
    </w:r>
    <w:r w:rsidR="00FA7EA4">
      <w:rPr>
        <w:rFonts w:ascii="Times New Roman" w:hAnsi="Times New Roman"/>
        <w:noProof/>
      </w:rPr>
      <w:t>31</w:t>
    </w:r>
    <w:r w:rsidRPr="00B069CD">
      <w:rPr>
        <w:rFonts w:ascii="Times New Roman" w:hAnsi="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4EC87" w14:textId="77777777" w:rsidR="00DB4479" w:rsidRDefault="00DB4479" w:rsidP="0087018C">
    <w:pPr>
      <w:pStyle w:val="Footer"/>
      <w:pBdr>
        <w:top w:val="single" w:sz="4" w:space="2" w:color="000000"/>
      </w:pBdr>
      <w:ind w:left="-91" w:right="-34"/>
      <w:jc w:val="center"/>
      <w:rPr>
        <w:rFonts w:ascii="Times New Roman" w:hAnsi="Times New Roman"/>
        <w:i/>
        <w:sz w:val="20"/>
      </w:rPr>
    </w:pPr>
    <w:r w:rsidRPr="00256F93">
      <w:rPr>
        <w:rFonts w:ascii="Times New Roman" w:hAnsi="Times New Roman"/>
        <w:i/>
        <w:sz w:val="20"/>
      </w:rPr>
      <w:t xml:space="preserve">Проект №BG16M1OP001-4.001-0005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транспорт с национално значение“ , съфинансиран от </w:t>
    </w:r>
  </w:p>
  <w:p w14:paraId="755634D4" w14:textId="75B2BCE0" w:rsidR="00DB4479" w:rsidRDefault="00DB4479" w:rsidP="0087018C">
    <w:pPr>
      <w:pStyle w:val="Footer"/>
      <w:pBdr>
        <w:top w:val="single" w:sz="4" w:space="2" w:color="000000"/>
      </w:pBdr>
      <w:ind w:left="-91" w:right="-34"/>
      <w:jc w:val="center"/>
      <w:rPr>
        <w:rFonts w:ascii="Times New Roman" w:hAnsi="Times New Roman"/>
        <w:i/>
        <w:sz w:val="20"/>
      </w:rPr>
    </w:pPr>
    <w:r w:rsidRPr="00256F93">
      <w:rPr>
        <w:rFonts w:ascii="Times New Roman" w:hAnsi="Times New Roman"/>
        <w:i/>
        <w:sz w:val="20"/>
      </w:rPr>
      <w:t>Европейския съюз чрез Европейските структурни и инвестиционни  фондове</w:t>
    </w:r>
  </w:p>
  <w:p w14:paraId="018DED6C" w14:textId="77777777" w:rsidR="00DB4479" w:rsidRPr="00256F93" w:rsidRDefault="00DB4479" w:rsidP="0087018C">
    <w:pPr>
      <w:pStyle w:val="Footer"/>
      <w:pBdr>
        <w:top w:val="single" w:sz="4" w:space="2" w:color="000000"/>
      </w:pBdr>
      <w:ind w:left="-91" w:right="-34"/>
      <w:jc w:val="center"/>
      <w:rPr>
        <w:rFonts w:ascii="Times New Roman" w:hAnsi="Times New Roman"/>
        <w:i/>
        <w:sz w:val="20"/>
      </w:rPr>
    </w:pPr>
  </w:p>
  <w:p w14:paraId="07359810" w14:textId="1878D268" w:rsidR="00DB4479" w:rsidRPr="00B069CD" w:rsidRDefault="00DB4479" w:rsidP="005D066F">
    <w:pPr>
      <w:pStyle w:val="Footer"/>
      <w:tabs>
        <w:tab w:val="clear" w:pos="4536"/>
        <w:tab w:val="clear" w:pos="9072"/>
        <w:tab w:val="left" w:pos="3828"/>
        <w:tab w:val="right" w:pos="9355"/>
      </w:tabs>
      <w:jc w:val="left"/>
      <w:rPr>
        <w:rFonts w:ascii="Times New Roman" w:hAnsi="Times New Roman"/>
      </w:rPr>
    </w:pPr>
    <w:r>
      <w:rPr>
        <w:rFonts w:ascii="Times New Roman" w:hAnsi="Times New Roman"/>
      </w:rPr>
      <w:t>вер. 0.</w:t>
    </w:r>
    <w:r w:rsidR="006F12D6">
      <w:rPr>
        <w:rFonts w:ascii="Times New Roman" w:hAnsi="Times New Roman"/>
      </w:rPr>
      <w:t>2</w:t>
    </w:r>
    <w:r>
      <w:rPr>
        <w:rFonts w:ascii="Times New Roman" w:hAnsi="Times New Roman"/>
      </w:rPr>
      <w:t>/</w:t>
    </w:r>
    <w:r w:rsidR="006F12D6">
      <w:rPr>
        <w:rFonts w:ascii="Times New Roman" w:hAnsi="Times New Roman"/>
      </w:rPr>
      <w:t>05</w:t>
    </w:r>
    <w:r>
      <w:rPr>
        <w:rFonts w:ascii="Times New Roman" w:hAnsi="Times New Roman"/>
        <w:lang w:val="en-US"/>
      </w:rPr>
      <w:t>.</w:t>
    </w:r>
    <w:r>
      <w:rPr>
        <w:rFonts w:ascii="Times New Roman" w:hAnsi="Times New Roman"/>
      </w:rPr>
      <w:t>0</w:t>
    </w:r>
    <w:r w:rsidR="006F12D6">
      <w:rPr>
        <w:rFonts w:ascii="Times New Roman" w:hAnsi="Times New Roman"/>
      </w:rPr>
      <w:t>8</w:t>
    </w:r>
    <w:r>
      <w:rPr>
        <w:rFonts w:ascii="Times New Roman" w:hAnsi="Times New Roman"/>
      </w:rPr>
      <w:t>.2020</w:t>
    </w:r>
    <w:r>
      <w:rPr>
        <w:rFonts w:ascii="Times New Roman" w:hAnsi="Times New Roman"/>
        <w:lang w:val="en-US"/>
      </w:rPr>
      <w:t xml:space="preserve"> г.</w:t>
    </w:r>
    <w:r w:rsidRPr="00B069CD">
      <w:rPr>
        <w:rFonts w:ascii="Times New Roman" w:hAnsi="Times New Roman"/>
      </w:rPr>
      <w:tab/>
      <w:t>ДЗЗД „ПОРТ КОНСУЛТ”</w:t>
    </w:r>
    <w:r w:rsidRPr="00B069CD">
      <w:rPr>
        <w:rFonts w:ascii="Times New Roman" w:hAnsi="Times New Roman"/>
      </w:rPr>
      <w:tab/>
      <w:t xml:space="preserve">Стр. </w:t>
    </w:r>
    <w:r w:rsidRPr="00B069CD">
      <w:rPr>
        <w:rFonts w:ascii="Times New Roman" w:hAnsi="Times New Roman"/>
      </w:rPr>
      <w:fldChar w:fldCharType="begin"/>
    </w:r>
    <w:r w:rsidRPr="00B069CD">
      <w:rPr>
        <w:rFonts w:ascii="Times New Roman" w:hAnsi="Times New Roman"/>
      </w:rPr>
      <w:instrText xml:space="preserve"> PAGE </w:instrText>
    </w:r>
    <w:r w:rsidRPr="00B069CD">
      <w:rPr>
        <w:rFonts w:ascii="Times New Roman" w:hAnsi="Times New Roman"/>
      </w:rPr>
      <w:fldChar w:fldCharType="separate"/>
    </w:r>
    <w:r w:rsidR="00FA7EA4">
      <w:rPr>
        <w:rFonts w:ascii="Times New Roman" w:hAnsi="Times New Roman"/>
        <w:noProof/>
      </w:rPr>
      <w:t>1</w:t>
    </w:r>
    <w:r w:rsidRPr="00B069CD">
      <w:rPr>
        <w:rFonts w:ascii="Times New Roman" w:hAnsi="Times New Roman"/>
      </w:rPr>
      <w:fldChar w:fldCharType="end"/>
    </w:r>
    <w:r w:rsidRPr="00B069CD">
      <w:rPr>
        <w:rFonts w:ascii="Times New Roman" w:hAnsi="Times New Roman"/>
      </w:rPr>
      <w:t xml:space="preserve"> от </w:t>
    </w:r>
    <w:r w:rsidRPr="00B069CD">
      <w:rPr>
        <w:rFonts w:ascii="Times New Roman" w:hAnsi="Times New Roman"/>
        <w:noProof/>
      </w:rPr>
      <w:fldChar w:fldCharType="begin"/>
    </w:r>
    <w:r w:rsidRPr="00B069CD">
      <w:rPr>
        <w:rFonts w:ascii="Times New Roman" w:hAnsi="Times New Roman"/>
        <w:noProof/>
      </w:rPr>
      <w:instrText xml:space="preserve"> NUMPAGES </w:instrText>
    </w:r>
    <w:r w:rsidRPr="00B069CD">
      <w:rPr>
        <w:rFonts w:ascii="Times New Roman" w:hAnsi="Times New Roman"/>
        <w:noProof/>
      </w:rPr>
      <w:fldChar w:fldCharType="separate"/>
    </w:r>
    <w:r w:rsidR="00FA7EA4">
      <w:rPr>
        <w:rFonts w:ascii="Times New Roman" w:hAnsi="Times New Roman"/>
        <w:noProof/>
      </w:rPr>
      <w:t>31</w:t>
    </w:r>
    <w:r w:rsidRPr="00B069CD">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8F8D8" w14:textId="77777777" w:rsidR="005A127C" w:rsidRDefault="005A127C">
      <w:pPr>
        <w:spacing w:after="0" w:line="240" w:lineRule="auto"/>
      </w:pPr>
      <w:r>
        <w:rPr>
          <w:color w:val="000000"/>
        </w:rPr>
        <w:separator/>
      </w:r>
    </w:p>
  </w:footnote>
  <w:footnote w:type="continuationSeparator" w:id="0">
    <w:p w14:paraId="19E93F28" w14:textId="77777777" w:rsidR="005A127C" w:rsidRDefault="005A127C">
      <w:pPr>
        <w:spacing w:after="0" w:line="240" w:lineRule="auto"/>
      </w:pPr>
      <w:r>
        <w:continuationSeparator/>
      </w:r>
    </w:p>
  </w:footnote>
  <w:footnote w:id="1">
    <w:p w14:paraId="3CD4DB18" w14:textId="77777777" w:rsidR="00DB4479" w:rsidRPr="001859E0" w:rsidRDefault="00DB4479" w:rsidP="00E31709">
      <w:pPr>
        <w:pStyle w:val="FootnoteText"/>
        <w:rPr>
          <w:rFonts w:ascii="Times New Roman" w:hAnsi="Times New Roman"/>
        </w:rPr>
      </w:pPr>
      <w:r>
        <w:rPr>
          <w:rStyle w:val="FootnoteReference"/>
        </w:rPr>
        <w:footnoteRef/>
      </w:r>
      <w:r>
        <w:t xml:space="preserve"> </w:t>
      </w:r>
      <w:hyperlink r:id="rId1" w:history="1">
        <w:r w:rsidRPr="001859E0">
          <w:rPr>
            <w:rStyle w:val="Hyperlink"/>
            <w:rFonts w:ascii="Times New Roman" w:hAnsi="Times New Roman"/>
          </w:rPr>
          <w:t>Директива 2000/59/ЕО на Европейския парламент и на Съвета от 27.11.2000 година относно пристанищните приемни съоръжения за отпадъци от експлоатацията на корабите и на остатъци от товари;</w:t>
        </w:r>
      </w:hyperlink>
    </w:p>
  </w:footnote>
  <w:footnote w:id="2">
    <w:p w14:paraId="4CE6084D" w14:textId="77777777" w:rsidR="00DB4479" w:rsidRPr="001859E0" w:rsidRDefault="00DB4479" w:rsidP="00E31709">
      <w:pPr>
        <w:pStyle w:val="FootnoteText"/>
        <w:rPr>
          <w:rFonts w:ascii="Times New Roman" w:hAnsi="Times New Roman"/>
        </w:rPr>
      </w:pPr>
      <w:r w:rsidRPr="001859E0">
        <w:rPr>
          <w:rStyle w:val="FootnoteReference"/>
          <w:rFonts w:ascii="Times New Roman" w:hAnsi="Times New Roman"/>
        </w:rPr>
        <w:footnoteRef/>
      </w:r>
      <w:r w:rsidRPr="001859E0">
        <w:rPr>
          <w:rFonts w:ascii="Times New Roman" w:hAnsi="Times New Roman"/>
        </w:rPr>
        <w:t xml:space="preserve"> </w:t>
      </w:r>
      <w:hyperlink r:id="rId2" w:history="1">
        <w:r w:rsidRPr="00D11BA4">
          <w:rPr>
            <w:rStyle w:val="Hyperlink"/>
            <w:rFonts w:ascii="Times New Roman" w:hAnsi="Times New Roman"/>
          </w:rPr>
          <w:t>Директива (ЕС) 2019/883 на Европейския парламент и на Съвета от 17 април 2019 годин</w:t>
        </w:r>
        <w:r>
          <w:rPr>
            <w:rStyle w:val="Hyperlink"/>
            <w:rFonts w:ascii="Times New Roman" w:hAnsi="Times New Roman"/>
          </w:rPr>
          <w:t>а</w:t>
        </w:r>
        <w:r w:rsidRPr="00D11BA4">
          <w:rPr>
            <w:rStyle w:val="Hyperlink"/>
            <w:rFonts w:ascii="Times New Roman" w:hAnsi="Times New Roman"/>
          </w:rPr>
          <w:t>, относно пристанищните приемни съоръжения за предаване на отпадъци от кораби, за изменение на Директива 2010/65/ЕС и за отмяна на Директива 2000/59/ЕО;</w:t>
        </w:r>
      </w:hyperlink>
    </w:p>
  </w:footnote>
  <w:footnote w:id="3">
    <w:p w14:paraId="2FD95F5F" w14:textId="77777777" w:rsidR="00DB4479" w:rsidRPr="001859E0" w:rsidRDefault="005A127C" w:rsidP="00E31709">
      <w:pPr>
        <w:pStyle w:val="FootnoteText"/>
        <w:rPr>
          <w:rFonts w:ascii="Times New Roman" w:hAnsi="Times New Roman"/>
        </w:rPr>
      </w:pPr>
      <w:hyperlink r:id="rId3" w:history="1">
        <w:r w:rsidR="00DB4479" w:rsidRPr="001859E0">
          <w:rPr>
            <w:rStyle w:val="Hyperlink"/>
            <w:rFonts w:ascii="Times New Roman" w:hAnsi="Times New Roman"/>
            <w:vertAlign w:val="superscript"/>
          </w:rPr>
          <w:footnoteRef/>
        </w:r>
        <w:r w:rsidR="00DB4479" w:rsidRPr="001859E0">
          <w:rPr>
            <w:rStyle w:val="Hyperlink"/>
            <w:rFonts w:ascii="Times New Roman" w:hAnsi="Times New Roman"/>
          </w:rPr>
          <w:t xml:space="preserve"> </w:t>
        </w:r>
        <w:r w:rsidR="00DB4479" w:rsidRPr="001859E0">
          <w:rPr>
            <w:rStyle w:val="Hyperlink"/>
            <w:rFonts w:ascii="Times New Roman" w:hAnsi="Times New Roman"/>
          </w:rPr>
          <w:t>Международната конвенция за предотвратяване на замърсяването от кораби, 1973, изменена с Протокол от 1978 г. (MARPOL 73/78) и с Протокол от 1997 г., съставена в Лондон на 2 ноември 1973 г. (ратифицирана със закон - ДВ, бр. 94 от 2004 г.);</w:t>
        </w:r>
      </w:hyperlink>
    </w:p>
  </w:footnote>
  <w:footnote w:id="4">
    <w:p w14:paraId="412C7A7B" w14:textId="77777777" w:rsidR="00DB4479" w:rsidRPr="001859E0" w:rsidRDefault="00DB4479" w:rsidP="00E31709">
      <w:pPr>
        <w:pStyle w:val="FootnoteText"/>
        <w:rPr>
          <w:rFonts w:ascii="Times New Roman" w:hAnsi="Times New Roman"/>
        </w:rPr>
      </w:pPr>
      <w:r w:rsidRPr="001859E0">
        <w:rPr>
          <w:rStyle w:val="FootnoteReference"/>
          <w:rFonts w:ascii="Times New Roman" w:hAnsi="Times New Roman"/>
        </w:rPr>
        <w:footnoteRef/>
      </w:r>
      <w:r w:rsidRPr="001859E0">
        <w:rPr>
          <w:rFonts w:ascii="Times New Roman" w:hAnsi="Times New Roman"/>
        </w:rPr>
        <w:t xml:space="preserve"> </w:t>
      </w:r>
      <w:r w:rsidRPr="001859E0">
        <w:rPr>
          <w:rFonts w:ascii="Times New Roman" w:hAnsi="Times New Roman"/>
          <w:i/>
        </w:rPr>
        <w:t>"Препоръки по организация на събирането на отпадъци от корабите, плаващи по Дунава" (док. ДК/СЕС 68/10)</w:t>
      </w:r>
      <w:r w:rsidRPr="001859E0">
        <w:rPr>
          <w:rFonts w:ascii="Times New Roman" w:hAnsi="Times New Roman"/>
        </w:rPr>
        <w:t xml:space="preserve"> на Дунавската Комисия (ДК), приет с Постановление на 68-та сесия на ДК (док. ДК/СЕС 68/16) от 15 май 2007 г., както е допълнен и изменен);</w:t>
      </w:r>
    </w:p>
  </w:footnote>
  <w:footnote w:id="5">
    <w:p w14:paraId="30159F8D" w14:textId="77777777" w:rsidR="00DB4479" w:rsidRDefault="00DB4479" w:rsidP="000E36B7">
      <w:pPr>
        <w:pStyle w:val="FootnoteText"/>
      </w:pPr>
      <w:r>
        <w:rPr>
          <w:rStyle w:val="FootnoteReference"/>
        </w:rPr>
        <w:footnoteRef/>
      </w:r>
      <w:r>
        <w:t xml:space="preserve"> </w:t>
      </w:r>
      <w:hyperlink r:id="rId4" w:history="1">
        <w:r w:rsidRPr="002248FD">
          <w:rPr>
            <w:rStyle w:val="Hyperlink"/>
          </w:rPr>
          <w:t>www.nsi.bg</w:t>
        </w:r>
      </w:hyperlink>
    </w:p>
    <w:p w14:paraId="4896A51C" w14:textId="77777777" w:rsidR="00DB4479" w:rsidRPr="00026D6B" w:rsidRDefault="00DB4479" w:rsidP="000E36B7">
      <w:pPr>
        <w:pStyle w:val="FootnoteText"/>
      </w:pPr>
    </w:p>
  </w:footnote>
  <w:footnote w:id="6">
    <w:p w14:paraId="5649088C" w14:textId="77777777" w:rsidR="00DB4479" w:rsidRDefault="00DB4479" w:rsidP="000E36B7">
      <w:pPr>
        <w:pStyle w:val="FootnoteText"/>
        <w:rPr>
          <w:sz w:val="22"/>
          <w:szCs w:val="22"/>
        </w:rPr>
      </w:pPr>
      <w:r>
        <w:rPr>
          <w:rStyle w:val="FootnoteReference"/>
        </w:rPr>
        <w:footnoteRef/>
      </w:r>
      <w:r>
        <w:t xml:space="preserve"> </w:t>
      </w:r>
      <w:hyperlink r:id="rId5" w:history="1">
        <w:r w:rsidRPr="00913E6B">
          <w:rPr>
            <w:color w:val="0000FF"/>
            <w:u w:val="single"/>
          </w:rPr>
          <w:t>https://www.minfin.bg/bg/868</w:t>
        </w:r>
      </w:hyperlink>
    </w:p>
    <w:p w14:paraId="4AD9D9D8" w14:textId="77777777" w:rsidR="00DB4479" w:rsidRDefault="00DB4479" w:rsidP="000E36B7">
      <w:pPr>
        <w:pStyle w:val="FootnoteText"/>
      </w:pPr>
    </w:p>
  </w:footnote>
  <w:footnote w:id="7">
    <w:p w14:paraId="22871E65" w14:textId="77777777" w:rsidR="00DB4479" w:rsidRDefault="00DB4479" w:rsidP="000E36B7">
      <w:pPr>
        <w:pStyle w:val="FootnoteText"/>
      </w:pPr>
      <w:r>
        <w:rPr>
          <w:rStyle w:val="FootnoteReference"/>
        </w:rPr>
        <w:footnoteRef/>
      </w:r>
      <w:r>
        <w:t xml:space="preserve"> </w:t>
      </w:r>
      <w:hyperlink r:id="rId6" w:history="1">
        <w:r w:rsidRPr="002248FD">
          <w:rPr>
            <w:rStyle w:val="Hyperlink"/>
          </w:rPr>
          <w:t>https://www.focus-economics.com/countries/bulgaria</w:t>
        </w:r>
      </w:hyperlink>
      <w:r>
        <w:t xml:space="preserve"> </w:t>
      </w:r>
    </w:p>
  </w:footnote>
  <w:footnote w:id="8">
    <w:p w14:paraId="6DFD7759" w14:textId="77777777" w:rsidR="006F12D6" w:rsidRPr="00155E8E" w:rsidRDefault="006F12D6" w:rsidP="006F12D6">
      <w:pPr>
        <w:pStyle w:val="FootnoteText"/>
      </w:pPr>
      <w:r>
        <w:rPr>
          <w:rStyle w:val="FootnoteReference"/>
        </w:rPr>
        <w:footnoteRef/>
      </w:r>
      <w:r>
        <w:t xml:space="preserve"> </w:t>
      </w:r>
      <w:hyperlink r:id="rId7" w:history="1">
        <w:r w:rsidRPr="0048043F">
          <w:rPr>
            <w:rStyle w:val="Hyperlink"/>
          </w:rPr>
          <w:t>https://hbr.org/2014/11/a-refresher-on-net-present-value#:~:text=It's%20the%20rate%20of%20return,CFO's%20office%20sets%20the%20rate</w:t>
        </w:r>
      </w:hyperlink>
      <w:r>
        <w:t xml:space="preserve"> </w:t>
      </w:r>
    </w:p>
  </w:footnote>
  <w:footnote w:id="9">
    <w:p w14:paraId="2FD8907D" w14:textId="77777777" w:rsidR="006F12D6" w:rsidRDefault="006F12D6" w:rsidP="006F12D6">
      <w:r>
        <w:rPr>
          <w:rStyle w:val="FootnoteReference"/>
        </w:rPr>
        <w:footnoteRef/>
      </w:r>
      <w:r>
        <w:t xml:space="preserve"> </w:t>
      </w:r>
      <w:hyperlink r:id="rId8" w:history="1">
        <w:r w:rsidRPr="0048043F">
          <w:rPr>
            <w:rStyle w:val="Hyperlink"/>
          </w:rPr>
          <w:t>https://www.profitwell.com/blog/discount-rate-formula</w:t>
        </w:r>
      </w:hyperlink>
      <w:r w:rsidRPr="00155E8E">
        <w:t xml:space="preserve"> </w:t>
      </w:r>
    </w:p>
  </w:footnote>
  <w:footnote w:id="10">
    <w:p w14:paraId="222BC854" w14:textId="77777777" w:rsidR="006F12D6" w:rsidRDefault="006F12D6" w:rsidP="006F12D6">
      <w:pPr>
        <w:pStyle w:val="FootnoteText"/>
      </w:pPr>
      <w:r>
        <w:rPr>
          <w:rStyle w:val="FootnoteReference"/>
        </w:rPr>
        <w:footnoteRef/>
      </w:r>
      <w:r>
        <w:t xml:space="preserve"> </w:t>
      </w:r>
      <w:hyperlink r:id="rId9" w:history="1">
        <w:r w:rsidRPr="0048043F">
          <w:rPr>
            <w:rStyle w:val="Hyperlink"/>
          </w:rPr>
          <w:t>https://corporatefinanceinstitute.com/resources/knowledge/finance/discount-rate/</w:t>
        </w:r>
      </w:hyperlink>
    </w:p>
    <w:p w14:paraId="04B10BD8" w14:textId="77777777" w:rsidR="006F12D6" w:rsidRPr="00155E8E" w:rsidRDefault="006F12D6" w:rsidP="006F12D6">
      <w:pPr>
        <w:pStyle w:val="FootnoteText"/>
      </w:pPr>
    </w:p>
  </w:footnote>
  <w:footnote w:id="11">
    <w:p w14:paraId="17202255" w14:textId="77777777" w:rsidR="006F12D6" w:rsidRPr="00730C5A" w:rsidRDefault="006F12D6" w:rsidP="006F12D6">
      <w:pPr>
        <w:pStyle w:val="FootnoteText"/>
      </w:pPr>
      <w:r>
        <w:rPr>
          <w:rStyle w:val="FootnoteReference"/>
        </w:rPr>
        <w:footnoteRef/>
      </w:r>
      <w:r>
        <w:t xml:space="preserve"> </w:t>
      </w:r>
      <w:hyperlink r:id="rId10" w:history="1">
        <w:r w:rsidRPr="00D65548">
          <w:rPr>
            <w:rStyle w:val="Hyperlink"/>
          </w:rPr>
          <w:t>https://www.minfin.bg/bg/news/10703</w:t>
        </w:r>
      </w:hyperlink>
    </w:p>
  </w:footnote>
  <w:footnote w:id="12">
    <w:p w14:paraId="46D1C795" w14:textId="77777777" w:rsidR="006F12D6" w:rsidRPr="00730C5A" w:rsidRDefault="006F12D6" w:rsidP="006F12D6">
      <w:pPr>
        <w:pStyle w:val="FootnoteText"/>
      </w:pPr>
      <w:r>
        <w:rPr>
          <w:rStyle w:val="FootnoteReference"/>
        </w:rPr>
        <w:footnoteRef/>
      </w:r>
      <w:r>
        <w:t xml:space="preserve"> </w:t>
      </w:r>
      <w:hyperlink r:id="rId11" w:history="1">
        <w:r w:rsidRPr="0048043F">
          <w:rPr>
            <w:rStyle w:val="Hyperlink"/>
          </w:rPr>
          <w:t>https://tradingeconomics.com/germany/5-year-note-yield</w:t>
        </w:r>
      </w:hyperlink>
      <w:r>
        <w:t xml:space="preserve"> </w:t>
      </w:r>
    </w:p>
  </w:footnote>
  <w:footnote w:id="13">
    <w:p w14:paraId="09A4FEDC" w14:textId="77777777" w:rsidR="00DB4479" w:rsidRPr="00C92740" w:rsidRDefault="00DB4479" w:rsidP="00990828">
      <w:pPr>
        <w:pStyle w:val="FootnoteText"/>
        <w:rPr>
          <w:sz w:val="16"/>
          <w:szCs w:val="16"/>
        </w:rPr>
      </w:pPr>
      <w:r w:rsidRPr="00C92740">
        <w:rPr>
          <w:rStyle w:val="FootnoteReference"/>
          <w:sz w:val="16"/>
          <w:szCs w:val="16"/>
        </w:rPr>
        <w:footnoteRef/>
      </w:r>
      <w:r w:rsidRPr="00C92740">
        <w:rPr>
          <w:sz w:val="16"/>
          <w:szCs w:val="16"/>
        </w:rPr>
        <w:t xml:space="preserve"> </w:t>
      </w:r>
      <w:r w:rsidRPr="00C92740">
        <w:rPr>
          <w:sz w:val="16"/>
          <w:szCs w:val="16"/>
        </w:rPr>
        <w:t>ANNEX I to Commission Delegated Regulation (EU) No 480/20</w:t>
      </w:r>
      <w:r>
        <w:rPr>
          <w:sz w:val="16"/>
          <w:szCs w:val="16"/>
        </w:rPr>
        <w:t xml:space="preserve">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alias w:val="Title"/>
      <w:tag w:val=""/>
      <w:id w:val="379060629"/>
      <w:placeholder>
        <w:docPart w:val="A6A4EEBC624F4DCE95E979C2E7B589ED"/>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55F25203" w14:textId="2003DD05" w:rsidR="00DB4479" w:rsidRPr="00C66077" w:rsidRDefault="00FA7EA4" w:rsidP="002D4253">
        <w:pPr>
          <w:pStyle w:val="MoIBody"/>
          <w:pBdr>
            <w:bottom w:val="single" w:sz="4" w:space="1" w:color="auto"/>
          </w:pBdr>
          <w:spacing w:before="480"/>
          <w:jc w:val="right"/>
          <w:rPr>
            <w:sz w:val="22"/>
          </w:rPr>
        </w:pPr>
        <w:r w:rsidRPr="008E250D">
          <w:rPr>
            <w:rStyle w:val="PlaceholderText"/>
          </w:rPr>
          <w:t>[Title]</w:t>
        </w:r>
      </w:p>
    </w:sdtContent>
  </w:sdt>
  <w:p w14:paraId="4C412970" w14:textId="77777777" w:rsidR="00DB4479" w:rsidRPr="00CC5B84" w:rsidRDefault="00DB4479" w:rsidP="00CC5B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5" w:type="dxa"/>
      <w:tblCellMar>
        <w:left w:w="10" w:type="dxa"/>
        <w:right w:w="10" w:type="dxa"/>
      </w:tblCellMar>
      <w:tblLook w:val="0000" w:firstRow="0" w:lastRow="0" w:firstColumn="0" w:lastColumn="0" w:noHBand="0" w:noVBand="0"/>
    </w:tblPr>
    <w:tblGrid>
      <w:gridCol w:w="3665"/>
      <w:gridCol w:w="2817"/>
      <w:gridCol w:w="2663"/>
    </w:tblGrid>
    <w:tr w:rsidR="00DB4479" w14:paraId="58ABAEB1" w14:textId="77777777" w:rsidTr="005D066F">
      <w:trPr>
        <w:trHeight w:val="1032"/>
      </w:trPr>
      <w:tc>
        <w:tcPr>
          <w:tcW w:w="3185" w:type="dxa"/>
          <w:tcBorders>
            <w:bottom w:val="single" w:sz="4" w:space="0" w:color="000000"/>
          </w:tcBorders>
          <w:shd w:val="clear" w:color="auto" w:fill="auto"/>
          <w:tcMar>
            <w:top w:w="0" w:type="dxa"/>
            <w:left w:w="108" w:type="dxa"/>
            <w:bottom w:w="0" w:type="dxa"/>
            <w:right w:w="108" w:type="dxa"/>
          </w:tcMar>
        </w:tcPr>
        <w:p w14:paraId="473093C9" w14:textId="77777777" w:rsidR="00DB4479" w:rsidRDefault="00DB4479" w:rsidP="005D066F">
          <w:pPr>
            <w:pStyle w:val="Header"/>
          </w:pPr>
          <w:r w:rsidRPr="00D86E65">
            <w:rPr>
              <w:noProof/>
              <w:lang w:eastAsia="bg-BG"/>
            </w:rPr>
            <w:drawing>
              <wp:inline distT="0" distB="0" distL="0" distR="0" wp14:anchorId="050C24C6" wp14:editId="3DEB7893">
                <wp:extent cx="2190115" cy="8401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115" cy="840105"/>
                        </a:xfrm>
                        <a:prstGeom prst="rect">
                          <a:avLst/>
                        </a:prstGeom>
                        <a:noFill/>
                        <a:ln>
                          <a:noFill/>
                        </a:ln>
                      </pic:spPr>
                    </pic:pic>
                  </a:graphicData>
                </a:graphic>
              </wp:inline>
            </w:drawing>
          </w:r>
        </w:p>
      </w:tc>
      <w:tc>
        <w:tcPr>
          <w:tcW w:w="3064" w:type="dxa"/>
          <w:tcBorders>
            <w:bottom w:val="single" w:sz="4" w:space="0" w:color="000000"/>
          </w:tcBorders>
          <w:shd w:val="clear" w:color="auto" w:fill="auto"/>
          <w:tcMar>
            <w:top w:w="0" w:type="dxa"/>
            <w:left w:w="108" w:type="dxa"/>
            <w:bottom w:w="0" w:type="dxa"/>
            <w:right w:w="108" w:type="dxa"/>
          </w:tcMar>
        </w:tcPr>
        <w:p w14:paraId="2DA250B9" w14:textId="77777777" w:rsidR="00DB4479" w:rsidRDefault="00DB4479" w:rsidP="005D066F">
          <w:pPr>
            <w:pStyle w:val="Header"/>
          </w:pPr>
        </w:p>
      </w:tc>
      <w:tc>
        <w:tcPr>
          <w:tcW w:w="2896" w:type="dxa"/>
          <w:tcBorders>
            <w:bottom w:val="single" w:sz="4" w:space="0" w:color="000000"/>
          </w:tcBorders>
          <w:shd w:val="clear" w:color="auto" w:fill="auto"/>
          <w:tcMar>
            <w:top w:w="0" w:type="dxa"/>
            <w:left w:w="108" w:type="dxa"/>
            <w:bottom w:w="0" w:type="dxa"/>
            <w:right w:w="108" w:type="dxa"/>
          </w:tcMar>
        </w:tcPr>
        <w:p w14:paraId="46FFA6B8" w14:textId="77777777" w:rsidR="00DB4479" w:rsidRDefault="00DB4479" w:rsidP="005D066F">
          <w:pPr>
            <w:pStyle w:val="Header"/>
            <w:ind w:right="-115"/>
            <w:jc w:val="right"/>
          </w:pPr>
          <w:r w:rsidRPr="00D86E65">
            <w:rPr>
              <w:noProof/>
              <w:lang w:eastAsia="bg-BG"/>
            </w:rPr>
            <w:drawing>
              <wp:anchor distT="0" distB="0" distL="114300" distR="114300" simplePos="0" relativeHeight="251659264" behindDoc="0" locked="0" layoutInCell="1" allowOverlap="1" wp14:anchorId="0D7D8588" wp14:editId="23787BFD">
                <wp:simplePos x="0" y="0"/>
                <wp:positionH relativeFrom="column">
                  <wp:posOffset>-894080</wp:posOffset>
                </wp:positionH>
                <wp:positionV relativeFrom="paragraph">
                  <wp:posOffset>-41910</wp:posOffset>
                </wp:positionV>
                <wp:extent cx="2509520" cy="8826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09520" cy="882650"/>
                        </a:xfrm>
                        <a:prstGeom prst="rect">
                          <a:avLst/>
                        </a:prstGeom>
                        <a:noFill/>
                        <a:ln>
                          <a:noFill/>
                        </a:ln>
                      </pic:spPr>
                    </pic:pic>
                  </a:graphicData>
                </a:graphic>
              </wp:anchor>
            </w:drawing>
          </w:r>
        </w:p>
      </w:tc>
    </w:tr>
  </w:tbl>
  <w:p w14:paraId="4D59B1F0" w14:textId="77777777" w:rsidR="00DB4479" w:rsidRDefault="00DB4479" w:rsidP="005D066F">
    <w:pPr>
      <w:pStyle w:val="Head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alias w:val="Title"/>
      <w:tag w:val=""/>
      <w:id w:val="-2022688786"/>
      <w:placeholder>
        <w:docPart w:val="8BF4BEDD13834F6A968B1851BCA57389"/>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54621F51" w14:textId="52350D44" w:rsidR="00DB4479" w:rsidRPr="00C66077" w:rsidRDefault="00FA7EA4" w:rsidP="00CC5B84">
        <w:pPr>
          <w:pStyle w:val="MoIBody"/>
          <w:pBdr>
            <w:bottom w:val="single" w:sz="4" w:space="1" w:color="auto"/>
          </w:pBdr>
          <w:spacing w:before="480"/>
          <w:jc w:val="right"/>
          <w:rPr>
            <w:sz w:val="22"/>
          </w:rPr>
        </w:pPr>
        <w:r w:rsidRPr="008E250D">
          <w:rPr>
            <w:rStyle w:val="PlaceholderText"/>
          </w:rPr>
          <w:t>[Title]</w:t>
        </w:r>
      </w:p>
    </w:sdtContent>
  </w:sdt>
  <w:p w14:paraId="535846DC" w14:textId="77777777" w:rsidR="00DB4479" w:rsidRPr="00CC5B84" w:rsidRDefault="00DB4479" w:rsidP="00CC5B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41893"/>
    <w:multiLevelType w:val="hybridMultilevel"/>
    <w:tmpl w:val="F0766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62EE0"/>
    <w:multiLevelType w:val="hybridMultilevel"/>
    <w:tmpl w:val="77D22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8D8C110">
      <w:numFmt w:val="bullet"/>
      <w:lvlText w:val="•"/>
      <w:lvlJc w:val="left"/>
      <w:pPr>
        <w:ind w:left="2505" w:hanging="705"/>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7545B"/>
    <w:multiLevelType w:val="multilevel"/>
    <w:tmpl w:val="78E8F846"/>
    <w:styleLink w:val="WWOutlineListStyle2"/>
    <w:lvl w:ilvl="0">
      <w:start w:val="1"/>
      <w:numFmt w:val="decimal"/>
      <w:pStyle w:val="Heading1"/>
      <w:lvlText w:val="%1."/>
      <w:lvlJc w:val="left"/>
      <w:pPr>
        <w:ind w:left="432" w:hanging="432"/>
      </w:pPr>
      <w:rPr>
        <w:rFonts w:cs="Times New Roman"/>
        <w:strike w:val="0"/>
        <w:dstrike w:val="0"/>
      </w:rPr>
    </w:lvl>
    <w:lvl w:ilvl="1">
      <w:start w:val="1"/>
      <w:numFmt w:val="decimal"/>
      <w:pStyle w:val="Heading2"/>
      <w:lvlText w:val="%1.%2."/>
      <w:lvlJc w:val="left"/>
      <w:pPr>
        <w:ind w:left="1711" w:hanging="576"/>
      </w:pPr>
      <w:rPr>
        <w:rFonts w:cs="Times New Roman"/>
      </w:rPr>
    </w:lvl>
    <w:lvl w:ilvl="2">
      <w:start w:val="1"/>
      <w:numFmt w:val="decimal"/>
      <w:pStyle w:val="Heading3"/>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b/>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14B46A37"/>
    <w:multiLevelType w:val="multilevel"/>
    <w:tmpl w:val="3D8A5CC0"/>
    <w:styleLink w:val="LFO8"/>
    <w:lvl w:ilvl="0">
      <w:numFmt w:val="bullet"/>
      <w:pStyle w:val="REQTableBullet2"/>
      <w:lvlText w:val=""/>
      <w:lvlJc w:val="left"/>
      <w:pPr>
        <w:ind w:left="1068" w:hanging="360"/>
      </w:pPr>
      <w:rPr>
        <w:rFonts w:ascii="Wingdings" w:hAnsi="Wingdings"/>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
    <w:nsid w:val="15021DAE"/>
    <w:multiLevelType w:val="hybridMultilevel"/>
    <w:tmpl w:val="C86A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A36C2"/>
    <w:multiLevelType w:val="multilevel"/>
    <w:tmpl w:val="ED50BE8E"/>
    <w:styleLink w:val="WWOutlineListStyle1"/>
    <w:lvl w:ilvl="0">
      <w:start w:val="1"/>
      <w:numFmt w:val="decimal"/>
      <w:lvlText w:val="%1."/>
      <w:lvlJc w:val="left"/>
      <w:pPr>
        <w:ind w:left="432" w:hanging="432"/>
      </w:pPr>
      <w:rPr>
        <w:rFonts w:cs="Times New Roman"/>
        <w:strike w:val="0"/>
        <w:dstrike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19E806B3"/>
    <w:multiLevelType w:val="hybridMultilevel"/>
    <w:tmpl w:val="6884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122423"/>
    <w:multiLevelType w:val="hybridMultilevel"/>
    <w:tmpl w:val="32D0C112"/>
    <w:lvl w:ilvl="0" w:tplc="04090001">
      <w:start w:val="1"/>
      <w:numFmt w:val="bullet"/>
      <w:lvlText w:val=""/>
      <w:lvlJc w:val="left"/>
      <w:pPr>
        <w:ind w:left="720" w:hanging="360"/>
      </w:pPr>
      <w:rPr>
        <w:rFonts w:ascii="Symbol" w:hAnsi="Symbol" w:hint="default"/>
      </w:rPr>
    </w:lvl>
    <w:lvl w:ilvl="1" w:tplc="4CF48788">
      <w:numFmt w:val="bullet"/>
      <w:lvlText w:val="•"/>
      <w:lvlJc w:val="left"/>
      <w:pPr>
        <w:ind w:left="1929" w:hanging="849"/>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A40422"/>
    <w:multiLevelType w:val="hybridMultilevel"/>
    <w:tmpl w:val="76C621B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E59797D"/>
    <w:multiLevelType w:val="multilevel"/>
    <w:tmpl w:val="E452C3A0"/>
    <w:styleLink w:val="LFO13"/>
    <w:lvl w:ilvl="0">
      <w:numFmt w:val="bullet"/>
      <w:pStyle w:val="REQTableBullet1"/>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0">
    <w:nsid w:val="256852E2"/>
    <w:multiLevelType w:val="multilevel"/>
    <w:tmpl w:val="BAF6F0A6"/>
    <w:styleLink w:val="LFO5"/>
    <w:lvl w:ilvl="0">
      <w:start w:val="1"/>
      <w:numFmt w:val="decimal"/>
      <w:pStyle w:val="TableOutline2"/>
      <w:suff w:val="space"/>
      <w:lvlText w:val="%1."/>
      <w:lvlJc w:val="left"/>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1">
      <w:start w:val="1"/>
      <w:numFmt w:val="decimal"/>
      <w:suff w:val="space"/>
      <w:lvlText w:val="15.%2."/>
      <w:lvlJc w:val="left"/>
      <w:rPr>
        <w:rFonts w:cs="Times New Roman"/>
        <w:b/>
        <w:bCs w:val="0"/>
        <w:i w:val="0"/>
        <w:iCs w:val="0"/>
        <w:caps w:val="0"/>
        <w:smallCaps w:val="0"/>
        <w:strike w:val="0"/>
        <w:dstrike w:val="0"/>
        <w:vanish w:val="0"/>
        <w:color w:val="000000"/>
        <w:spacing w:val="0"/>
        <w:kern w:val="0"/>
        <w:position w:val="0"/>
        <w:u w:val="none"/>
        <w:vertAlign w:val="baseline"/>
      </w:rPr>
    </w:lvl>
    <w:lvl w:ilvl="2">
      <w:start w:val="1"/>
      <w:numFmt w:val="decimal"/>
      <w:suff w:val="space"/>
      <w:lvlText w:val="15.%1.%2.%3."/>
      <w:lvlJc w:val="left"/>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62935F3"/>
    <w:multiLevelType w:val="hybridMultilevel"/>
    <w:tmpl w:val="FB28AF0E"/>
    <w:lvl w:ilvl="0" w:tplc="B40CB95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411409"/>
    <w:multiLevelType w:val="hybridMultilevel"/>
    <w:tmpl w:val="B962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84151A"/>
    <w:multiLevelType w:val="hybridMultilevel"/>
    <w:tmpl w:val="53901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F91CB6"/>
    <w:multiLevelType w:val="hybridMultilevel"/>
    <w:tmpl w:val="4628D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7B5B77"/>
    <w:multiLevelType w:val="hybridMultilevel"/>
    <w:tmpl w:val="3E18A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307237"/>
    <w:multiLevelType w:val="hybridMultilevel"/>
    <w:tmpl w:val="F17C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A2058B"/>
    <w:multiLevelType w:val="multilevel"/>
    <w:tmpl w:val="B8042620"/>
    <w:styleLink w:val="LFO17"/>
    <w:lvl w:ilvl="0">
      <w:numFmt w:val="bullet"/>
      <w:pStyle w:val="MoIBullet1"/>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411F1159"/>
    <w:multiLevelType w:val="hybridMultilevel"/>
    <w:tmpl w:val="92A434B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5CD7DA1"/>
    <w:multiLevelType w:val="hybridMultilevel"/>
    <w:tmpl w:val="18C0F500"/>
    <w:lvl w:ilvl="0" w:tplc="0332F0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8C2B1D"/>
    <w:multiLevelType w:val="hybridMultilevel"/>
    <w:tmpl w:val="4E02FD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012ABF"/>
    <w:multiLevelType w:val="multilevel"/>
    <w:tmpl w:val="1A548240"/>
    <w:styleLink w:val="LFO2"/>
    <w:lvl w:ilvl="0">
      <w:start w:val="1"/>
      <w:numFmt w:val="decimal"/>
      <w:pStyle w:val="MoIListNumber1"/>
      <w:lvlText w:val="%1."/>
      <w:lvlJc w:val="left"/>
      <w:pPr>
        <w:ind w:left="709" w:hanging="425"/>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2">
    <w:nsid w:val="4F53590B"/>
    <w:multiLevelType w:val="multilevel"/>
    <w:tmpl w:val="976C9760"/>
    <w:styleLink w:val="LFO9"/>
    <w:lvl w:ilvl="0">
      <w:start w:val="1"/>
      <w:numFmt w:val="decimal"/>
      <w:pStyle w:val="REQID"/>
      <w:suff w:val="nothing"/>
      <w:lvlText w:val="REQ. %1."/>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0796825"/>
    <w:multiLevelType w:val="multilevel"/>
    <w:tmpl w:val="3342E89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044861"/>
    <w:multiLevelType w:val="hybridMultilevel"/>
    <w:tmpl w:val="F9D8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E92084"/>
    <w:multiLevelType w:val="multilevel"/>
    <w:tmpl w:val="3B1E558C"/>
    <w:styleLink w:val="LFO10"/>
    <w:lvl w:ilvl="0">
      <w:start w:val="1"/>
      <w:numFmt w:val="decimal"/>
      <w:pStyle w:val="REQTableNumberList1"/>
      <w:lvlText w:val="%1."/>
      <w:lvlJc w:val="left"/>
      <w:pPr>
        <w:ind w:left="454" w:hanging="341"/>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nsid w:val="5C5E5794"/>
    <w:multiLevelType w:val="hybridMultilevel"/>
    <w:tmpl w:val="891EB2B4"/>
    <w:lvl w:ilvl="0" w:tplc="005E7D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586F3B"/>
    <w:multiLevelType w:val="hybridMultilevel"/>
    <w:tmpl w:val="1B26F2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003CC"/>
    <w:multiLevelType w:val="hybridMultilevel"/>
    <w:tmpl w:val="8E8AED6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64EA2782"/>
    <w:multiLevelType w:val="multilevel"/>
    <w:tmpl w:val="C7360B26"/>
    <w:styleLink w:val="LFO6"/>
    <w:lvl w:ilvl="0">
      <w:start w:val="1"/>
      <w:numFmt w:val="decimal"/>
      <w:pStyle w:val="TN1"/>
      <w:lvlText w:val="%1."/>
      <w:lvlJc w:val="left"/>
      <w:pPr>
        <w:ind w:left="720" w:hanging="360"/>
      </w:pPr>
      <w:rPr>
        <w:rFonts w:cs="Times New Roman"/>
      </w:rPr>
    </w:lvl>
    <w:lvl w:ilvl="1">
      <w:start w:val="2"/>
      <w:numFmt w:val="decimal"/>
      <w:lvlText w:val="%1.%2."/>
      <w:lvlJc w:val="left"/>
      <w:pPr>
        <w:ind w:left="720" w:hanging="360"/>
      </w:pPr>
      <w:rPr>
        <w:rFonts w:cs="Times New Roman"/>
        <w:sz w:val="20"/>
        <w:szCs w:val="20"/>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080" w:hanging="72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440" w:hanging="1080"/>
      </w:pPr>
      <w:rPr>
        <w:rFonts w:cs="Times New Roman"/>
      </w:rPr>
    </w:lvl>
    <w:lvl w:ilvl="7">
      <w:start w:val="1"/>
      <w:numFmt w:val="decimal"/>
      <w:lvlText w:val="%1.%2.%3.%4.%5.%6.%7.%8."/>
      <w:lvlJc w:val="left"/>
      <w:pPr>
        <w:ind w:left="1440" w:hanging="1080"/>
      </w:pPr>
      <w:rPr>
        <w:rFonts w:cs="Times New Roman"/>
      </w:rPr>
    </w:lvl>
    <w:lvl w:ilvl="8">
      <w:start w:val="1"/>
      <w:numFmt w:val="decimal"/>
      <w:lvlText w:val="%1.%2.%3.%4.%5.%6.%7.%8.%9."/>
      <w:lvlJc w:val="left"/>
      <w:pPr>
        <w:ind w:left="1800" w:hanging="1440"/>
      </w:pPr>
      <w:rPr>
        <w:rFonts w:cs="Times New Roman"/>
      </w:rPr>
    </w:lvl>
  </w:abstractNum>
  <w:abstractNum w:abstractNumId="30">
    <w:nsid w:val="66DE1A9B"/>
    <w:multiLevelType w:val="multilevel"/>
    <w:tmpl w:val="1FC8B784"/>
    <w:lvl w:ilvl="0">
      <w:start w:val="1"/>
      <w:numFmt w:val="decimal"/>
      <w:pStyle w:val="A1"/>
      <w:lvlText w:val="%1."/>
      <w:lvlJc w:val="left"/>
      <w:pPr>
        <w:ind w:left="36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A2"/>
      <w:lvlText w:val="%1.%2."/>
      <w:lvlJc w:val="left"/>
      <w:pPr>
        <w:ind w:left="792" w:hanging="432"/>
      </w:pPr>
      <w:rPr>
        <w:rFonts w:cs="Times New Roman" w:hint="default"/>
      </w:rPr>
    </w:lvl>
    <w:lvl w:ilvl="2">
      <w:start w:val="1"/>
      <w:numFmt w:val="decimal"/>
      <w:pStyle w:val="A3"/>
      <w:lvlText w:val="%1.%2.%3."/>
      <w:lvlJc w:val="left"/>
      <w:pPr>
        <w:ind w:left="1355" w:hanging="504"/>
      </w:pPr>
      <w:rPr>
        <w:rFonts w:cs="Times New Roman" w:hint="default"/>
      </w:rPr>
    </w:lvl>
    <w:lvl w:ilvl="3">
      <w:start w:val="1"/>
      <w:numFmt w:val="decimal"/>
      <w:pStyle w:val="A4"/>
      <w:lvlText w:val="%1.%2.%3.%4."/>
      <w:lvlJc w:val="left"/>
      <w:pPr>
        <w:ind w:left="1728" w:hanging="648"/>
      </w:pPr>
      <w:rPr>
        <w:rFonts w:cs="Times New Roman" w:hint="default"/>
      </w:rPr>
    </w:lvl>
    <w:lvl w:ilvl="4">
      <w:start w:val="1"/>
      <w:numFmt w:val="decimal"/>
      <w:pStyle w:val="A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682D6272"/>
    <w:multiLevelType w:val="hybridMultilevel"/>
    <w:tmpl w:val="F70C3A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B6B95"/>
    <w:multiLevelType w:val="hybridMultilevel"/>
    <w:tmpl w:val="ED824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632980"/>
    <w:multiLevelType w:val="hybridMultilevel"/>
    <w:tmpl w:val="BFE4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2956FE"/>
    <w:multiLevelType w:val="multilevel"/>
    <w:tmpl w:val="14D0D18A"/>
    <w:styleLink w:val="LFO18"/>
    <w:lvl w:ilvl="0">
      <w:numFmt w:val="bullet"/>
      <w:pStyle w:val="MoIBullet2"/>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74AD4F7E"/>
    <w:multiLevelType w:val="multilevel"/>
    <w:tmpl w:val="B6AA41D2"/>
    <w:styleLink w:val="WWOutlineListStyle"/>
    <w:lvl w:ilvl="0">
      <w:start w:val="1"/>
      <w:numFmt w:val="decimal"/>
      <w:lvlText w:val="%1."/>
      <w:lvlJc w:val="left"/>
      <w:pPr>
        <w:ind w:left="432" w:hanging="432"/>
      </w:pPr>
      <w:rPr>
        <w:rFonts w:cs="Times New Roman"/>
        <w:strike w:val="0"/>
        <w:dstrike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2"/>
  </w:num>
  <w:num w:numId="2">
    <w:abstractNumId w:val="5"/>
  </w:num>
  <w:num w:numId="3">
    <w:abstractNumId w:val="35"/>
  </w:num>
  <w:num w:numId="4">
    <w:abstractNumId w:val="21"/>
  </w:num>
  <w:num w:numId="5">
    <w:abstractNumId w:val="10"/>
  </w:num>
  <w:num w:numId="6">
    <w:abstractNumId w:val="29"/>
  </w:num>
  <w:num w:numId="7">
    <w:abstractNumId w:val="3"/>
  </w:num>
  <w:num w:numId="8">
    <w:abstractNumId w:val="22"/>
  </w:num>
  <w:num w:numId="9">
    <w:abstractNumId w:val="25"/>
  </w:num>
  <w:num w:numId="10">
    <w:abstractNumId w:val="9"/>
  </w:num>
  <w:num w:numId="11">
    <w:abstractNumId w:val="17"/>
  </w:num>
  <w:num w:numId="12">
    <w:abstractNumId w:val="34"/>
  </w:num>
  <w:num w:numId="13">
    <w:abstractNumId w:val="30"/>
  </w:num>
  <w:num w:numId="14">
    <w:abstractNumId w:val="20"/>
  </w:num>
  <w:num w:numId="15">
    <w:abstractNumId w:val="13"/>
  </w:num>
  <w:num w:numId="16">
    <w:abstractNumId w:val="4"/>
  </w:num>
  <w:num w:numId="17">
    <w:abstractNumId w:val="33"/>
  </w:num>
  <w:num w:numId="18">
    <w:abstractNumId w:val="1"/>
  </w:num>
  <w:num w:numId="19">
    <w:abstractNumId w:val="18"/>
  </w:num>
  <w:num w:numId="20">
    <w:abstractNumId w:val="7"/>
  </w:num>
  <w:num w:numId="21">
    <w:abstractNumId w:val="16"/>
  </w:num>
  <w:num w:numId="22">
    <w:abstractNumId w:val="32"/>
  </w:num>
  <w:num w:numId="23">
    <w:abstractNumId w:val="31"/>
  </w:num>
  <w:num w:numId="24">
    <w:abstractNumId w:val="27"/>
  </w:num>
  <w:num w:numId="25">
    <w:abstractNumId w:val="12"/>
  </w:num>
  <w:num w:numId="26">
    <w:abstractNumId w:val="24"/>
  </w:num>
  <w:num w:numId="27">
    <w:abstractNumId w:val="6"/>
  </w:num>
  <w:num w:numId="28">
    <w:abstractNumId w:val="0"/>
  </w:num>
  <w:num w:numId="29">
    <w:abstractNumId w:val="14"/>
  </w:num>
  <w:num w:numId="30">
    <w:abstractNumId w:val="23"/>
  </w:num>
  <w:num w:numId="31">
    <w:abstractNumId w:val="11"/>
  </w:num>
  <w:num w:numId="32">
    <w:abstractNumId w:val="8"/>
  </w:num>
  <w:num w:numId="33">
    <w:abstractNumId w:val="28"/>
  </w:num>
  <w:num w:numId="34">
    <w:abstractNumId w:val="15"/>
  </w:num>
  <w:num w:numId="35">
    <w:abstractNumId w:val="26"/>
  </w:num>
  <w:num w:numId="36">
    <w:abstractNumId w:val="19"/>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Tchakarova">
    <w15:presenceInfo w15:providerId="AD" w15:userId="S-1-5-21-262457614-1672243416-423789177-3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6D6"/>
    <w:rsid w:val="000004A8"/>
    <w:rsid w:val="00002113"/>
    <w:rsid w:val="0000478D"/>
    <w:rsid w:val="0000623D"/>
    <w:rsid w:val="00007F15"/>
    <w:rsid w:val="00012A7D"/>
    <w:rsid w:val="00016EE4"/>
    <w:rsid w:val="000215C3"/>
    <w:rsid w:val="00021C53"/>
    <w:rsid w:val="000250EC"/>
    <w:rsid w:val="00025F7C"/>
    <w:rsid w:val="000279B7"/>
    <w:rsid w:val="0003003A"/>
    <w:rsid w:val="00032B57"/>
    <w:rsid w:val="0003523F"/>
    <w:rsid w:val="00037A5B"/>
    <w:rsid w:val="00037F98"/>
    <w:rsid w:val="0004127B"/>
    <w:rsid w:val="00044070"/>
    <w:rsid w:val="00044B0F"/>
    <w:rsid w:val="00046EEB"/>
    <w:rsid w:val="0005059F"/>
    <w:rsid w:val="00052227"/>
    <w:rsid w:val="00054B52"/>
    <w:rsid w:val="00055370"/>
    <w:rsid w:val="000562BD"/>
    <w:rsid w:val="0005719F"/>
    <w:rsid w:val="00067648"/>
    <w:rsid w:val="00073AE7"/>
    <w:rsid w:val="00076D45"/>
    <w:rsid w:val="00077D57"/>
    <w:rsid w:val="000804B2"/>
    <w:rsid w:val="00081AFB"/>
    <w:rsid w:val="00083F0A"/>
    <w:rsid w:val="00084312"/>
    <w:rsid w:val="000867F8"/>
    <w:rsid w:val="00086C49"/>
    <w:rsid w:val="00086C63"/>
    <w:rsid w:val="00087582"/>
    <w:rsid w:val="000940C9"/>
    <w:rsid w:val="000977C3"/>
    <w:rsid w:val="0009797E"/>
    <w:rsid w:val="000A0314"/>
    <w:rsid w:val="000A2001"/>
    <w:rsid w:val="000A346A"/>
    <w:rsid w:val="000A4A74"/>
    <w:rsid w:val="000B4423"/>
    <w:rsid w:val="000B5975"/>
    <w:rsid w:val="000C7D11"/>
    <w:rsid w:val="000D4345"/>
    <w:rsid w:val="000D44D4"/>
    <w:rsid w:val="000D50AD"/>
    <w:rsid w:val="000D56AF"/>
    <w:rsid w:val="000E07AA"/>
    <w:rsid w:val="000E36B7"/>
    <w:rsid w:val="000E3BD1"/>
    <w:rsid w:val="000E73DB"/>
    <w:rsid w:val="000F37A1"/>
    <w:rsid w:val="000F5686"/>
    <w:rsid w:val="00103F2C"/>
    <w:rsid w:val="001048E3"/>
    <w:rsid w:val="0010722E"/>
    <w:rsid w:val="0011084F"/>
    <w:rsid w:val="00111C42"/>
    <w:rsid w:val="001139F9"/>
    <w:rsid w:val="001140E7"/>
    <w:rsid w:val="001156C5"/>
    <w:rsid w:val="00123BDF"/>
    <w:rsid w:val="00123E14"/>
    <w:rsid w:val="00127ABE"/>
    <w:rsid w:val="00131033"/>
    <w:rsid w:val="00131200"/>
    <w:rsid w:val="00132696"/>
    <w:rsid w:val="00132ADB"/>
    <w:rsid w:val="00133933"/>
    <w:rsid w:val="00133FDA"/>
    <w:rsid w:val="00134FC5"/>
    <w:rsid w:val="00135689"/>
    <w:rsid w:val="0013714F"/>
    <w:rsid w:val="00137206"/>
    <w:rsid w:val="00141D63"/>
    <w:rsid w:val="001437CC"/>
    <w:rsid w:val="00147C13"/>
    <w:rsid w:val="00155BED"/>
    <w:rsid w:val="00162F2E"/>
    <w:rsid w:val="0017370B"/>
    <w:rsid w:val="00175429"/>
    <w:rsid w:val="00185DA3"/>
    <w:rsid w:val="00190F83"/>
    <w:rsid w:val="0019309F"/>
    <w:rsid w:val="001939D9"/>
    <w:rsid w:val="00193AF4"/>
    <w:rsid w:val="001A0249"/>
    <w:rsid w:val="001A5624"/>
    <w:rsid w:val="001A7512"/>
    <w:rsid w:val="001A7AAF"/>
    <w:rsid w:val="001A7D5E"/>
    <w:rsid w:val="001B01C2"/>
    <w:rsid w:val="001B58F4"/>
    <w:rsid w:val="001C2A75"/>
    <w:rsid w:val="001C2F65"/>
    <w:rsid w:val="001C3832"/>
    <w:rsid w:val="001C3E9B"/>
    <w:rsid w:val="001D20E3"/>
    <w:rsid w:val="001D2830"/>
    <w:rsid w:val="001D53BA"/>
    <w:rsid w:val="001E1A53"/>
    <w:rsid w:val="001E264C"/>
    <w:rsid w:val="001E494E"/>
    <w:rsid w:val="001E6CC1"/>
    <w:rsid w:val="001F4736"/>
    <w:rsid w:val="002015B9"/>
    <w:rsid w:val="00205F1E"/>
    <w:rsid w:val="00207F04"/>
    <w:rsid w:val="00210D27"/>
    <w:rsid w:val="002144CE"/>
    <w:rsid w:val="00214DC2"/>
    <w:rsid w:val="00214FA9"/>
    <w:rsid w:val="0021553A"/>
    <w:rsid w:val="00220D9C"/>
    <w:rsid w:val="00227F1F"/>
    <w:rsid w:val="00232CB3"/>
    <w:rsid w:val="002373D9"/>
    <w:rsid w:val="00240777"/>
    <w:rsid w:val="0024356E"/>
    <w:rsid w:val="00246366"/>
    <w:rsid w:val="002465D7"/>
    <w:rsid w:val="00253C5E"/>
    <w:rsid w:val="0025401A"/>
    <w:rsid w:val="00256F93"/>
    <w:rsid w:val="002608F2"/>
    <w:rsid w:val="002629E6"/>
    <w:rsid w:val="00264397"/>
    <w:rsid w:val="002667E3"/>
    <w:rsid w:val="00280280"/>
    <w:rsid w:val="0028033D"/>
    <w:rsid w:val="00280C6D"/>
    <w:rsid w:val="00280E4B"/>
    <w:rsid w:val="00282FE6"/>
    <w:rsid w:val="0028409E"/>
    <w:rsid w:val="002846BD"/>
    <w:rsid w:val="00285851"/>
    <w:rsid w:val="002876CA"/>
    <w:rsid w:val="00291683"/>
    <w:rsid w:val="002926D6"/>
    <w:rsid w:val="002944EB"/>
    <w:rsid w:val="0029487B"/>
    <w:rsid w:val="00294FF3"/>
    <w:rsid w:val="0029569C"/>
    <w:rsid w:val="00295C19"/>
    <w:rsid w:val="002A1049"/>
    <w:rsid w:val="002A3807"/>
    <w:rsid w:val="002B160A"/>
    <w:rsid w:val="002B53AA"/>
    <w:rsid w:val="002B725A"/>
    <w:rsid w:val="002B7358"/>
    <w:rsid w:val="002C0E96"/>
    <w:rsid w:val="002C18CD"/>
    <w:rsid w:val="002C1F3D"/>
    <w:rsid w:val="002C392D"/>
    <w:rsid w:val="002C5590"/>
    <w:rsid w:val="002C71BB"/>
    <w:rsid w:val="002D0000"/>
    <w:rsid w:val="002D211B"/>
    <w:rsid w:val="002D4253"/>
    <w:rsid w:val="002D4EC9"/>
    <w:rsid w:val="002D55FA"/>
    <w:rsid w:val="002D5809"/>
    <w:rsid w:val="002E1A6C"/>
    <w:rsid w:val="002E37F9"/>
    <w:rsid w:val="002F16CD"/>
    <w:rsid w:val="00305456"/>
    <w:rsid w:val="003102D7"/>
    <w:rsid w:val="0031299A"/>
    <w:rsid w:val="00314B4B"/>
    <w:rsid w:val="003171E4"/>
    <w:rsid w:val="00320BA7"/>
    <w:rsid w:val="00322400"/>
    <w:rsid w:val="00330A63"/>
    <w:rsid w:val="00332E97"/>
    <w:rsid w:val="0034221B"/>
    <w:rsid w:val="00346FE9"/>
    <w:rsid w:val="00347738"/>
    <w:rsid w:val="00347A18"/>
    <w:rsid w:val="003535A4"/>
    <w:rsid w:val="00353E73"/>
    <w:rsid w:val="00354301"/>
    <w:rsid w:val="00354AF3"/>
    <w:rsid w:val="003569B7"/>
    <w:rsid w:val="00361F66"/>
    <w:rsid w:val="00365AC5"/>
    <w:rsid w:val="003670AE"/>
    <w:rsid w:val="00375071"/>
    <w:rsid w:val="003754D4"/>
    <w:rsid w:val="003779CB"/>
    <w:rsid w:val="00377FBA"/>
    <w:rsid w:val="003801F4"/>
    <w:rsid w:val="00381D61"/>
    <w:rsid w:val="00383D4F"/>
    <w:rsid w:val="00385CB6"/>
    <w:rsid w:val="00385CC0"/>
    <w:rsid w:val="00390C97"/>
    <w:rsid w:val="003929D0"/>
    <w:rsid w:val="003A0831"/>
    <w:rsid w:val="003A11D1"/>
    <w:rsid w:val="003B26E8"/>
    <w:rsid w:val="003B560A"/>
    <w:rsid w:val="003B6D58"/>
    <w:rsid w:val="003C20EC"/>
    <w:rsid w:val="003C5540"/>
    <w:rsid w:val="003D4CB4"/>
    <w:rsid w:val="003D6759"/>
    <w:rsid w:val="003E0BD7"/>
    <w:rsid w:val="003E2D64"/>
    <w:rsid w:val="003E5F2A"/>
    <w:rsid w:val="003E6C53"/>
    <w:rsid w:val="003E6E39"/>
    <w:rsid w:val="003F0559"/>
    <w:rsid w:val="003F0AB8"/>
    <w:rsid w:val="003F286F"/>
    <w:rsid w:val="003F5673"/>
    <w:rsid w:val="003F6913"/>
    <w:rsid w:val="00404603"/>
    <w:rsid w:val="0040460F"/>
    <w:rsid w:val="00404D62"/>
    <w:rsid w:val="00410A20"/>
    <w:rsid w:val="00411133"/>
    <w:rsid w:val="004119E0"/>
    <w:rsid w:val="004202E9"/>
    <w:rsid w:val="0042244E"/>
    <w:rsid w:val="00425368"/>
    <w:rsid w:val="00425921"/>
    <w:rsid w:val="00425EE8"/>
    <w:rsid w:val="00426BBC"/>
    <w:rsid w:val="00432299"/>
    <w:rsid w:val="00433223"/>
    <w:rsid w:val="0043540F"/>
    <w:rsid w:val="004361B6"/>
    <w:rsid w:val="00443C3B"/>
    <w:rsid w:val="00445EBA"/>
    <w:rsid w:val="0045295D"/>
    <w:rsid w:val="004542CF"/>
    <w:rsid w:val="004558D0"/>
    <w:rsid w:val="0045733F"/>
    <w:rsid w:val="004613C0"/>
    <w:rsid w:val="00462287"/>
    <w:rsid w:val="00463F81"/>
    <w:rsid w:val="004654AE"/>
    <w:rsid w:val="00465B15"/>
    <w:rsid w:val="00470B00"/>
    <w:rsid w:val="00474C42"/>
    <w:rsid w:val="0047687E"/>
    <w:rsid w:val="00482E34"/>
    <w:rsid w:val="004849AB"/>
    <w:rsid w:val="00485B7C"/>
    <w:rsid w:val="004910CA"/>
    <w:rsid w:val="00491A32"/>
    <w:rsid w:val="00493F71"/>
    <w:rsid w:val="00495D3B"/>
    <w:rsid w:val="004A4BD0"/>
    <w:rsid w:val="004A6E56"/>
    <w:rsid w:val="004B06FD"/>
    <w:rsid w:val="004B431A"/>
    <w:rsid w:val="004C443B"/>
    <w:rsid w:val="004C666C"/>
    <w:rsid w:val="004C7B88"/>
    <w:rsid w:val="004D06A0"/>
    <w:rsid w:val="004D1083"/>
    <w:rsid w:val="004D7F46"/>
    <w:rsid w:val="004E0005"/>
    <w:rsid w:val="004E0180"/>
    <w:rsid w:val="004E43D2"/>
    <w:rsid w:val="004F0241"/>
    <w:rsid w:val="004F3ADA"/>
    <w:rsid w:val="004F45CF"/>
    <w:rsid w:val="004F6BC3"/>
    <w:rsid w:val="00500DA6"/>
    <w:rsid w:val="005036C5"/>
    <w:rsid w:val="0050591E"/>
    <w:rsid w:val="00505EA5"/>
    <w:rsid w:val="00513AC1"/>
    <w:rsid w:val="00521A1F"/>
    <w:rsid w:val="00526AAE"/>
    <w:rsid w:val="00534520"/>
    <w:rsid w:val="005363A4"/>
    <w:rsid w:val="00543ADA"/>
    <w:rsid w:val="00544B18"/>
    <w:rsid w:val="00546CB5"/>
    <w:rsid w:val="005531AF"/>
    <w:rsid w:val="0055494D"/>
    <w:rsid w:val="005563BF"/>
    <w:rsid w:val="00561396"/>
    <w:rsid w:val="00565059"/>
    <w:rsid w:val="00571E8F"/>
    <w:rsid w:val="0057277C"/>
    <w:rsid w:val="005727A4"/>
    <w:rsid w:val="00577FEC"/>
    <w:rsid w:val="005850BA"/>
    <w:rsid w:val="00593BDC"/>
    <w:rsid w:val="00595C03"/>
    <w:rsid w:val="00597289"/>
    <w:rsid w:val="005A0EB7"/>
    <w:rsid w:val="005A127C"/>
    <w:rsid w:val="005A67C4"/>
    <w:rsid w:val="005B1878"/>
    <w:rsid w:val="005B35AF"/>
    <w:rsid w:val="005B3E9A"/>
    <w:rsid w:val="005C0F6C"/>
    <w:rsid w:val="005D066F"/>
    <w:rsid w:val="005D1DAC"/>
    <w:rsid w:val="005D4D2C"/>
    <w:rsid w:val="005D7975"/>
    <w:rsid w:val="005E3515"/>
    <w:rsid w:val="005E5A06"/>
    <w:rsid w:val="005E5AF2"/>
    <w:rsid w:val="005F0A73"/>
    <w:rsid w:val="005F23D7"/>
    <w:rsid w:val="005F6A35"/>
    <w:rsid w:val="006028EF"/>
    <w:rsid w:val="00612097"/>
    <w:rsid w:val="006224DD"/>
    <w:rsid w:val="00624EEC"/>
    <w:rsid w:val="00631BBE"/>
    <w:rsid w:val="0063555F"/>
    <w:rsid w:val="006358FB"/>
    <w:rsid w:val="0065338C"/>
    <w:rsid w:val="006603B9"/>
    <w:rsid w:val="006626CF"/>
    <w:rsid w:val="00684D95"/>
    <w:rsid w:val="0069053F"/>
    <w:rsid w:val="0069056B"/>
    <w:rsid w:val="006946AB"/>
    <w:rsid w:val="006A1622"/>
    <w:rsid w:val="006A3AF6"/>
    <w:rsid w:val="006A555F"/>
    <w:rsid w:val="006B424F"/>
    <w:rsid w:val="006B4DD2"/>
    <w:rsid w:val="006B6EA1"/>
    <w:rsid w:val="006C1740"/>
    <w:rsid w:val="006C2B68"/>
    <w:rsid w:val="006C60CE"/>
    <w:rsid w:val="006C6229"/>
    <w:rsid w:val="006C7C02"/>
    <w:rsid w:val="006D0D55"/>
    <w:rsid w:val="006D1A5A"/>
    <w:rsid w:val="006D6716"/>
    <w:rsid w:val="006D7294"/>
    <w:rsid w:val="006E1CC3"/>
    <w:rsid w:val="006E72E5"/>
    <w:rsid w:val="006E7F23"/>
    <w:rsid w:val="006F12D6"/>
    <w:rsid w:val="006F246D"/>
    <w:rsid w:val="006F3CB7"/>
    <w:rsid w:val="006F45DA"/>
    <w:rsid w:val="0070038B"/>
    <w:rsid w:val="007113F3"/>
    <w:rsid w:val="00711919"/>
    <w:rsid w:val="00711EDC"/>
    <w:rsid w:val="00713AED"/>
    <w:rsid w:val="007154F1"/>
    <w:rsid w:val="007161BB"/>
    <w:rsid w:val="007164B3"/>
    <w:rsid w:val="00716FB6"/>
    <w:rsid w:val="00722512"/>
    <w:rsid w:val="00722737"/>
    <w:rsid w:val="00722FE2"/>
    <w:rsid w:val="00724E88"/>
    <w:rsid w:val="0072707D"/>
    <w:rsid w:val="0073082B"/>
    <w:rsid w:val="00731490"/>
    <w:rsid w:val="00735BE4"/>
    <w:rsid w:val="00740E29"/>
    <w:rsid w:val="00744EEF"/>
    <w:rsid w:val="00746387"/>
    <w:rsid w:val="00750365"/>
    <w:rsid w:val="00750A0D"/>
    <w:rsid w:val="00750AA8"/>
    <w:rsid w:val="0075392A"/>
    <w:rsid w:val="00755A3C"/>
    <w:rsid w:val="00755F98"/>
    <w:rsid w:val="00762769"/>
    <w:rsid w:val="007670D2"/>
    <w:rsid w:val="00770F5B"/>
    <w:rsid w:val="00771FCC"/>
    <w:rsid w:val="007737C6"/>
    <w:rsid w:val="00774384"/>
    <w:rsid w:val="00777A43"/>
    <w:rsid w:val="0078182B"/>
    <w:rsid w:val="007823C0"/>
    <w:rsid w:val="00782CD3"/>
    <w:rsid w:val="007846F8"/>
    <w:rsid w:val="0079169E"/>
    <w:rsid w:val="007A26CC"/>
    <w:rsid w:val="007A51AA"/>
    <w:rsid w:val="007B23FB"/>
    <w:rsid w:val="007B2605"/>
    <w:rsid w:val="007B418C"/>
    <w:rsid w:val="007B5CE6"/>
    <w:rsid w:val="007B754B"/>
    <w:rsid w:val="007C2D4F"/>
    <w:rsid w:val="007C445E"/>
    <w:rsid w:val="007C4A79"/>
    <w:rsid w:val="007C562D"/>
    <w:rsid w:val="007C60AA"/>
    <w:rsid w:val="007C712A"/>
    <w:rsid w:val="007C7F17"/>
    <w:rsid w:val="007D0BE3"/>
    <w:rsid w:val="007D178B"/>
    <w:rsid w:val="007D4D40"/>
    <w:rsid w:val="007D62EE"/>
    <w:rsid w:val="007D7F7D"/>
    <w:rsid w:val="007E016F"/>
    <w:rsid w:val="007E4156"/>
    <w:rsid w:val="007F0229"/>
    <w:rsid w:val="007F0C62"/>
    <w:rsid w:val="007F5D57"/>
    <w:rsid w:val="00802160"/>
    <w:rsid w:val="008041DA"/>
    <w:rsid w:val="008047BB"/>
    <w:rsid w:val="00807D7D"/>
    <w:rsid w:val="00812AAD"/>
    <w:rsid w:val="0081756F"/>
    <w:rsid w:val="00817824"/>
    <w:rsid w:val="00817F2E"/>
    <w:rsid w:val="00821D59"/>
    <w:rsid w:val="00823DEB"/>
    <w:rsid w:val="00823F63"/>
    <w:rsid w:val="00842AAB"/>
    <w:rsid w:val="00842AC8"/>
    <w:rsid w:val="0084390E"/>
    <w:rsid w:val="0085647A"/>
    <w:rsid w:val="00857BA9"/>
    <w:rsid w:val="008614FC"/>
    <w:rsid w:val="00866433"/>
    <w:rsid w:val="0087018C"/>
    <w:rsid w:val="00870D86"/>
    <w:rsid w:val="00872BD2"/>
    <w:rsid w:val="00872DA4"/>
    <w:rsid w:val="00883800"/>
    <w:rsid w:val="00885C7B"/>
    <w:rsid w:val="00887B63"/>
    <w:rsid w:val="008928BA"/>
    <w:rsid w:val="008A112A"/>
    <w:rsid w:val="008A2462"/>
    <w:rsid w:val="008B3CFC"/>
    <w:rsid w:val="008B425B"/>
    <w:rsid w:val="008B5D27"/>
    <w:rsid w:val="008B78DB"/>
    <w:rsid w:val="008C04AB"/>
    <w:rsid w:val="008C0F56"/>
    <w:rsid w:val="008C2FCE"/>
    <w:rsid w:val="008C3C01"/>
    <w:rsid w:val="008C3DD5"/>
    <w:rsid w:val="008D18F7"/>
    <w:rsid w:val="008E7843"/>
    <w:rsid w:val="008F2F50"/>
    <w:rsid w:val="008F42AF"/>
    <w:rsid w:val="008F6E02"/>
    <w:rsid w:val="0090017C"/>
    <w:rsid w:val="009049FE"/>
    <w:rsid w:val="0090704F"/>
    <w:rsid w:val="00910840"/>
    <w:rsid w:val="00911466"/>
    <w:rsid w:val="00911EED"/>
    <w:rsid w:val="00913447"/>
    <w:rsid w:val="00921654"/>
    <w:rsid w:val="00922E0C"/>
    <w:rsid w:val="00923CE4"/>
    <w:rsid w:val="00926883"/>
    <w:rsid w:val="00933188"/>
    <w:rsid w:val="0093372E"/>
    <w:rsid w:val="00933BFE"/>
    <w:rsid w:val="00942B8B"/>
    <w:rsid w:val="0095651A"/>
    <w:rsid w:val="00977872"/>
    <w:rsid w:val="00981FA5"/>
    <w:rsid w:val="00986322"/>
    <w:rsid w:val="00986526"/>
    <w:rsid w:val="009865BD"/>
    <w:rsid w:val="00987002"/>
    <w:rsid w:val="00990828"/>
    <w:rsid w:val="0099212C"/>
    <w:rsid w:val="00992894"/>
    <w:rsid w:val="00995353"/>
    <w:rsid w:val="00995523"/>
    <w:rsid w:val="009A137B"/>
    <w:rsid w:val="009A4E8E"/>
    <w:rsid w:val="009A7AF3"/>
    <w:rsid w:val="009A7C29"/>
    <w:rsid w:val="009B285E"/>
    <w:rsid w:val="009B46E9"/>
    <w:rsid w:val="009B72C4"/>
    <w:rsid w:val="009C7166"/>
    <w:rsid w:val="009E1924"/>
    <w:rsid w:val="009E2E93"/>
    <w:rsid w:val="009E55A5"/>
    <w:rsid w:val="009E66AE"/>
    <w:rsid w:val="009F7541"/>
    <w:rsid w:val="00A04166"/>
    <w:rsid w:val="00A047AC"/>
    <w:rsid w:val="00A06240"/>
    <w:rsid w:val="00A07E5B"/>
    <w:rsid w:val="00A1287A"/>
    <w:rsid w:val="00A168B7"/>
    <w:rsid w:val="00A20A6A"/>
    <w:rsid w:val="00A20D9C"/>
    <w:rsid w:val="00A22323"/>
    <w:rsid w:val="00A251D9"/>
    <w:rsid w:val="00A25BC9"/>
    <w:rsid w:val="00A3134A"/>
    <w:rsid w:val="00A31E5C"/>
    <w:rsid w:val="00A338F6"/>
    <w:rsid w:val="00A35892"/>
    <w:rsid w:val="00A359A8"/>
    <w:rsid w:val="00A366D9"/>
    <w:rsid w:val="00A36A7A"/>
    <w:rsid w:val="00A40520"/>
    <w:rsid w:val="00A41222"/>
    <w:rsid w:val="00A46035"/>
    <w:rsid w:val="00A6239B"/>
    <w:rsid w:val="00A64260"/>
    <w:rsid w:val="00A65653"/>
    <w:rsid w:val="00A6598D"/>
    <w:rsid w:val="00A779A2"/>
    <w:rsid w:val="00A77B0F"/>
    <w:rsid w:val="00A81193"/>
    <w:rsid w:val="00A8566F"/>
    <w:rsid w:val="00A8705B"/>
    <w:rsid w:val="00A91619"/>
    <w:rsid w:val="00A92AA7"/>
    <w:rsid w:val="00A93A96"/>
    <w:rsid w:val="00A9420E"/>
    <w:rsid w:val="00A97D56"/>
    <w:rsid w:val="00AA27DA"/>
    <w:rsid w:val="00AA2D97"/>
    <w:rsid w:val="00AA7355"/>
    <w:rsid w:val="00AB785A"/>
    <w:rsid w:val="00AD51D5"/>
    <w:rsid w:val="00AD63BE"/>
    <w:rsid w:val="00AD7A84"/>
    <w:rsid w:val="00AE14CA"/>
    <w:rsid w:val="00AE3192"/>
    <w:rsid w:val="00AF768B"/>
    <w:rsid w:val="00B04A7B"/>
    <w:rsid w:val="00B069CD"/>
    <w:rsid w:val="00B075F6"/>
    <w:rsid w:val="00B17D53"/>
    <w:rsid w:val="00B23B6C"/>
    <w:rsid w:val="00B32634"/>
    <w:rsid w:val="00B35009"/>
    <w:rsid w:val="00B46A9B"/>
    <w:rsid w:val="00B476B6"/>
    <w:rsid w:val="00B47852"/>
    <w:rsid w:val="00B62E4D"/>
    <w:rsid w:val="00B675C3"/>
    <w:rsid w:val="00B74A2C"/>
    <w:rsid w:val="00B75066"/>
    <w:rsid w:val="00B76A88"/>
    <w:rsid w:val="00B83E40"/>
    <w:rsid w:val="00B8464F"/>
    <w:rsid w:val="00B8592C"/>
    <w:rsid w:val="00B85DE4"/>
    <w:rsid w:val="00B91334"/>
    <w:rsid w:val="00BA07FF"/>
    <w:rsid w:val="00BA5B2B"/>
    <w:rsid w:val="00BA631E"/>
    <w:rsid w:val="00BB1164"/>
    <w:rsid w:val="00BB1E45"/>
    <w:rsid w:val="00BB4AAC"/>
    <w:rsid w:val="00BB4D0E"/>
    <w:rsid w:val="00BB4D9D"/>
    <w:rsid w:val="00BB50F8"/>
    <w:rsid w:val="00BC20DF"/>
    <w:rsid w:val="00BC2F1A"/>
    <w:rsid w:val="00BC4B48"/>
    <w:rsid w:val="00BC533A"/>
    <w:rsid w:val="00BC7AA7"/>
    <w:rsid w:val="00BD1B8D"/>
    <w:rsid w:val="00BD1E88"/>
    <w:rsid w:val="00BD268E"/>
    <w:rsid w:val="00BD5782"/>
    <w:rsid w:val="00BD615C"/>
    <w:rsid w:val="00BD6FEE"/>
    <w:rsid w:val="00BE0593"/>
    <w:rsid w:val="00BE0EFD"/>
    <w:rsid w:val="00BF3DC4"/>
    <w:rsid w:val="00BF4F7C"/>
    <w:rsid w:val="00BF5F7C"/>
    <w:rsid w:val="00BF6B98"/>
    <w:rsid w:val="00C12A60"/>
    <w:rsid w:val="00C15AEE"/>
    <w:rsid w:val="00C15F2C"/>
    <w:rsid w:val="00C172E6"/>
    <w:rsid w:val="00C23506"/>
    <w:rsid w:val="00C254BE"/>
    <w:rsid w:val="00C25CB5"/>
    <w:rsid w:val="00C41394"/>
    <w:rsid w:val="00C50D9E"/>
    <w:rsid w:val="00C51DB5"/>
    <w:rsid w:val="00C52743"/>
    <w:rsid w:val="00C55384"/>
    <w:rsid w:val="00C56455"/>
    <w:rsid w:val="00C6167F"/>
    <w:rsid w:val="00C64335"/>
    <w:rsid w:val="00C66077"/>
    <w:rsid w:val="00C6742D"/>
    <w:rsid w:val="00C71D11"/>
    <w:rsid w:val="00C76F17"/>
    <w:rsid w:val="00C77013"/>
    <w:rsid w:val="00C807AC"/>
    <w:rsid w:val="00C84EAE"/>
    <w:rsid w:val="00C923E6"/>
    <w:rsid w:val="00CA4C05"/>
    <w:rsid w:val="00CA7D1F"/>
    <w:rsid w:val="00CB0563"/>
    <w:rsid w:val="00CB4ED2"/>
    <w:rsid w:val="00CC54C0"/>
    <w:rsid w:val="00CC5B84"/>
    <w:rsid w:val="00CD0016"/>
    <w:rsid w:val="00CD0521"/>
    <w:rsid w:val="00CD75E4"/>
    <w:rsid w:val="00CE00C0"/>
    <w:rsid w:val="00CE32A5"/>
    <w:rsid w:val="00CE4AD8"/>
    <w:rsid w:val="00CF14EB"/>
    <w:rsid w:val="00D012FD"/>
    <w:rsid w:val="00D02D86"/>
    <w:rsid w:val="00D07D7C"/>
    <w:rsid w:val="00D12728"/>
    <w:rsid w:val="00D137FD"/>
    <w:rsid w:val="00D1606F"/>
    <w:rsid w:val="00D16283"/>
    <w:rsid w:val="00D17D92"/>
    <w:rsid w:val="00D2300D"/>
    <w:rsid w:val="00D24686"/>
    <w:rsid w:val="00D27DCE"/>
    <w:rsid w:val="00D3119B"/>
    <w:rsid w:val="00D32202"/>
    <w:rsid w:val="00D344FF"/>
    <w:rsid w:val="00D365FF"/>
    <w:rsid w:val="00D4156A"/>
    <w:rsid w:val="00D52888"/>
    <w:rsid w:val="00D54C59"/>
    <w:rsid w:val="00D5704A"/>
    <w:rsid w:val="00D71722"/>
    <w:rsid w:val="00D73F7A"/>
    <w:rsid w:val="00D7521F"/>
    <w:rsid w:val="00D82302"/>
    <w:rsid w:val="00D965D2"/>
    <w:rsid w:val="00DA36FE"/>
    <w:rsid w:val="00DB1197"/>
    <w:rsid w:val="00DB267B"/>
    <w:rsid w:val="00DB437A"/>
    <w:rsid w:val="00DB4479"/>
    <w:rsid w:val="00DB6152"/>
    <w:rsid w:val="00DB63DC"/>
    <w:rsid w:val="00DC00C7"/>
    <w:rsid w:val="00DC02E6"/>
    <w:rsid w:val="00DC112E"/>
    <w:rsid w:val="00DC23CA"/>
    <w:rsid w:val="00DC2D5F"/>
    <w:rsid w:val="00DE0248"/>
    <w:rsid w:val="00DE0E7B"/>
    <w:rsid w:val="00DE4AC9"/>
    <w:rsid w:val="00E01D35"/>
    <w:rsid w:val="00E064C3"/>
    <w:rsid w:val="00E071DD"/>
    <w:rsid w:val="00E1030A"/>
    <w:rsid w:val="00E158DF"/>
    <w:rsid w:val="00E22390"/>
    <w:rsid w:val="00E27B33"/>
    <w:rsid w:val="00E31709"/>
    <w:rsid w:val="00E31A48"/>
    <w:rsid w:val="00E32CAB"/>
    <w:rsid w:val="00E34737"/>
    <w:rsid w:val="00E36014"/>
    <w:rsid w:val="00E361CF"/>
    <w:rsid w:val="00E41ABF"/>
    <w:rsid w:val="00E452E4"/>
    <w:rsid w:val="00E47FD8"/>
    <w:rsid w:val="00E5330D"/>
    <w:rsid w:val="00E55052"/>
    <w:rsid w:val="00E643F9"/>
    <w:rsid w:val="00E66AF4"/>
    <w:rsid w:val="00E74FBE"/>
    <w:rsid w:val="00E76241"/>
    <w:rsid w:val="00E822A3"/>
    <w:rsid w:val="00E83255"/>
    <w:rsid w:val="00E87D6F"/>
    <w:rsid w:val="00E94687"/>
    <w:rsid w:val="00E95FBB"/>
    <w:rsid w:val="00E9763E"/>
    <w:rsid w:val="00EA0781"/>
    <w:rsid w:val="00EA2E4F"/>
    <w:rsid w:val="00EB3BDB"/>
    <w:rsid w:val="00EB6033"/>
    <w:rsid w:val="00EB7B5C"/>
    <w:rsid w:val="00EC0A3C"/>
    <w:rsid w:val="00EC3C1A"/>
    <w:rsid w:val="00EC6163"/>
    <w:rsid w:val="00ED1CA1"/>
    <w:rsid w:val="00ED29EB"/>
    <w:rsid w:val="00ED3E4B"/>
    <w:rsid w:val="00ED47CA"/>
    <w:rsid w:val="00EE06ED"/>
    <w:rsid w:val="00EE52EA"/>
    <w:rsid w:val="00EE66F4"/>
    <w:rsid w:val="00EE6AA5"/>
    <w:rsid w:val="00EE7316"/>
    <w:rsid w:val="00EE732B"/>
    <w:rsid w:val="00EF19E4"/>
    <w:rsid w:val="00EF1FA4"/>
    <w:rsid w:val="00F11E64"/>
    <w:rsid w:val="00F12C96"/>
    <w:rsid w:val="00F16C65"/>
    <w:rsid w:val="00F179A5"/>
    <w:rsid w:val="00F205ED"/>
    <w:rsid w:val="00F20B5D"/>
    <w:rsid w:val="00F20CEA"/>
    <w:rsid w:val="00F345C5"/>
    <w:rsid w:val="00F35004"/>
    <w:rsid w:val="00F35775"/>
    <w:rsid w:val="00F35F51"/>
    <w:rsid w:val="00F40FE0"/>
    <w:rsid w:val="00F4213E"/>
    <w:rsid w:val="00F42352"/>
    <w:rsid w:val="00F4713C"/>
    <w:rsid w:val="00F50EF7"/>
    <w:rsid w:val="00F516D0"/>
    <w:rsid w:val="00F51DCE"/>
    <w:rsid w:val="00F56F91"/>
    <w:rsid w:val="00F61E1D"/>
    <w:rsid w:val="00F63F4A"/>
    <w:rsid w:val="00F7289A"/>
    <w:rsid w:val="00F75FA6"/>
    <w:rsid w:val="00F77237"/>
    <w:rsid w:val="00F82485"/>
    <w:rsid w:val="00F83A53"/>
    <w:rsid w:val="00F85EC5"/>
    <w:rsid w:val="00F85FF1"/>
    <w:rsid w:val="00F929FB"/>
    <w:rsid w:val="00F95654"/>
    <w:rsid w:val="00F96D4F"/>
    <w:rsid w:val="00FA27A3"/>
    <w:rsid w:val="00FA43BB"/>
    <w:rsid w:val="00FA7EA4"/>
    <w:rsid w:val="00FB1270"/>
    <w:rsid w:val="00FB65B8"/>
    <w:rsid w:val="00FB7B9B"/>
    <w:rsid w:val="00FC0229"/>
    <w:rsid w:val="00FC3481"/>
    <w:rsid w:val="00FC6F55"/>
    <w:rsid w:val="00FD536C"/>
    <w:rsid w:val="00FD61F8"/>
    <w:rsid w:val="00FD62CD"/>
    <w:rsid w:val="00FE1B13"/>
    <w:rsid w:val="00FE390D"/>
    <w:rsid w:val="00FE58F2"/>
    <w:rsid w:val="00FE6042"/>
    <w:rsid w:val="00FF13D7"/>
    <w:rsid w:val="00FF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8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75E4"/>
    <w:pPr>
      <w:suppressAutoHyphens/>
      <w:spacing w:after="160" w:line="251" w:lineRule="auto"/>
      <w:jc w:val="both"/>
    </w:pPr>
    <w:rPr>
      <w:rFonts w:ascii="Arial Narrow" w:hAnsi="Arial Narrow"/>
      <w:sz w:val="24"/>
      <w:lang w:eastAsia="en-US"/>
    </w:rPr>
  </w:style>
  <w:style w:type="paragraph" w:styleId="Heading1">
    <w:name w:val="heading 1"/>
    <w:basedOn w:val="Normal"/>
    <w:next w:val="MoIBody"/>
    <w:rsid w:val="00B069CD"/>
    <w:pPr>
      <w:keepNext/>
      <w:keepLines/>
      <w:numPr>
        <w:numId w:val="1"/>
      </w:numPr>
      <w:spacing w:before="240" w:after="0"/>
      <w:outlineLvl w:val="0"/>
    </w:pPr>
    <w:rPr>
      <w:rFonts w:ascii="Times New Roman" w:eastAsia="Times New Roman" w:hAnsi="Times New Roman"/>
      <w:b/>
      <w:color w:val="2E74B5"/>
      <w:sz w:val="28"/>
      <w:szCs w:val="28"/>
    </w:rPr>
  </w:style>
  <w:style w:type="paragraph" w:styleId="Heading2">
    <w:name w:val="heading 2"/>
    <w:basedOn w:val="Normal"/>
    <w:next w:val="MoIBody"/>
    <w:rsid w:val="00B069CD"/>
    <w:pPr>
      <w:keepNext/>
      <w:keepLines/>
      <w:numPr>
        <w:ilvl w:val="1"/>
        <w:numId w:val="1"/>
      </w:numPr>
      <w:spacing w:before="240" w:after="120" w:line="240" w:lineRule="auto"/>
      <w:jc w:val="left"/>
      <w:outlineLvl w:val="1"/>
    </w:pPr>
    <w:rPr>
      <w:rFonts w:ascii="Times New Roman" w:eastAsia="Times New Roman" w:hAnsi="Times New Roman"/>
      <w:b/>
      <w:color w:val="2E74B5"/>
      <w:sz w:val="28"/>
      <w:szCs w:val="26"/>
    </w:rPr>
  </w:style>
  <w:style w:type="paragraph" w:styleId="Heading3">
    <w:name w:val="heading 3"/>
    <w:basedOn w:val="Normal"/>
    <w:next w:val="MoIBody"/>
    <w:rsid w:val="00B069CD"/>
    <w:pPr>
      <w:keepNext/>
      <w:keepLines/>
      <w:numPr>
        <w:ilvl w:val="2"/>
        <w:numId w:val="1"/>
      </w:numPr>
      <w:spacing w:before="120" w:after="0"/>
      <w:outlineLvl w:val="2"/>
    </w:pPr>
    <w:rPr>
      <w:rFonts w:eastAsia="Times New Roman"/>
      <w:b/>
      <w:color w:val="2E74B5"/>
      <w:szCs w:val="24"/>
    </w:rPr>
  </w:style>
  <w:style w:type="paragraph" w:styleId="Heading4">
    <w:name w:val="heading 4"/>
    <w:basedOn w:val="Heading3"/>
    <w:next w:val="MoIBody"/>
    <w:autoRedefine/>
    <w:rsid w:val="00C12A60"/>
    <w:pPr>
      <w:numPr>
        <w:ilvl w:val="0"/>
        <w:numId w:val="0"/>
      </w:numPr>
      <w:outlineLvl w:val="3"/>
    </w:pPr>
    <w:rPr>
      <w:i/>
      <w:iCs/>
    </w:rPr>
  </w:style>
  <w:style w:type="paragraph" w:styleId="Heading5">
    <w:name w:val="heading 5"/>
    <w:basedOn w:val="Normal"/>
    <w:next w:val="Normal"/>
    <w:rsid w:val="00B069CD"/>
    <w:pPr>
      <w:keepNext/>
      <w:keepLines/>
      <w:numPr>
        <w:ilvl w:val="4"/>
        <w:numId w:val="1"/>
      </w:numPr>
      <w:spacing w:before="40" w:after="0"/>
      <w:outlineLvl w:val="4"/>
    </w:pPr>
    <w:rPr>
      <w:rFonts w:ascii="Times New Roman" w:eastAsia="Times New Roman" w:hAnsi="Times New Roman"/>
      <w:color w:val="2E74B5"/>
      <w:lang w:eastAsia="bg-BG"/>
    </w:rPr>
  </w:style>
  <w:style w:type="paragraph" w:styleId="Heading6">
    <w:name w:val="heading 6"/>
    <w:basedOn w:val="Normal"/>
    <w:next w:val="Normal"/>
    <w:rsid w:val="00684D95"/>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basedOn w:val="Normal"/>
    <w:next w:val="Normal"/>
    <w:rsid w:val="00684D95"/>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rsid w:val="00684D95"/>
    <w:pPr>
      <w:keepNext/>
      <w:keepLines/>
      <w:numPr>
        <w:ilvl w:val="7"/>
        <w:numId w:val="1"/>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rsid w:val="00684D95"/>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rsid w:val="00684D95"/>
    <w:pPr>
      <w:numPr>
        <w:numId w:val="1"/>
      </w:numPr>
    </w:pPr>
  </w:style>
  <w:style w:type="character" w:customStyle="1" w:styleId="Heading1Char">
    <w:name w:val="Heading 1 Char"/>
    <w:basedOn w:val="DefaultParagraphFont"/>
    <w:rsid w:val="00684D95"/>
    <w:rPr>
      <w:rFonts w:ascii="Arial Narrow" w:eastAsia="Times New Roman" w:hAnsi="Arial Narrow"/>
      <w:b/>
      <w:color w:val="2E74B5"/>
      <w:sz w:val="32"/>
      <w:szCs w:val="32"/>
      <w:lang w:eastAsia="en-US"/>
    </w:rPr>
  </w:style>
  <w:style w:type="character" w:customStyle="1" w:styleId="Heading2Char">
    <w:name w:val="Heading 2 Char"/>
    <w:basedOn w:val="DefaultParagraphFont"/>
    <w:rsid w:val="00684D95"/>
    <w:rPr>
      <w:rFonts w:ascii="Arial Narrow" w:eastAsia="Times New Roman" w:hAnsi="Arial Narrow"/>
      <w:b/>
      <w:color w:val="2E74B5"/>
      <w:sz w:val="28"/>
      <w:szCs w:val="26"/>
      <w:lang w:eastAsia="en-US"/>
    </w:rPr>
  </w:style>
  <w:style w:type="character" w:customStyle="1" w:styleId="Heading3Char">
    <w:name w:val="Heading 3 Char"/>
    <w:basedOn w:val="DefaultParagraphFont"/>
    <w:rsid w:val="00684D95"/>
    <w:rPr>
      <w:rFonts w:ascii="Arial Narrow" w:eastAsia="Times New Roman" w:hAnsi="Arial Narrow"/>
      <w:b/>
      <w:color w:val="2E74B5"/>
      <w:sz w:val="24"/>
      <w:szCs w:val="24"/>
      <w:lang w:eastAsia="en-US"/>
    </w:rPr>
  </w:style>
  <w:style w:type="character" w:customStyle="1" w:styleId="Heading4Char">
    <w:name w:val="Heading 4 Char"/>
    <w:basedOn w:val="DefaultParagraphFont"/>
    <w:rsid w:val="00684D95"/>
    <w:rPr>
      <w:rFonts w:ascii="Arial Narrow" w:eastAsia="Times New Roman" w:hAnsi="Arial Narrow"/>
      <w:b/>
      <w:i/>
      <w:iCs/>
      <w:color w:val="2E74B5"/>
      <w:sz w:val="24"/>
      <w:szCs w:val="24"/>
      <w:lang w:eastAsia="en-US"/>
    </w:rPr>
  </w:style>
  <w:style w:type="character" w:customStyle="1" w:styleId="Heading5Char">
    <w:name w:val="Heading 5 Char"/>
    <w:basedOn w:val="DefaultParagraphFont"/>
    <w:rsid w:val="00684D95"/>
    <w:rPr>
      <w:rFonts w:ascii="Arial Narrow" w:eastAsia="Times New Roman" w:hAnsi="Arial Narrow"/>
      <w:color w:val="2E74B5"/>
      <w:sz w:val="24"/>
      <w:lang w:eastAsia="en-US"/>
    </w:rPr>
  </w:style>
  <w:style w:type="character" w:customStyle="1" w:styleId="Heading6Char">
    <w:name w:val="Heading 6 Char"/>
    <w:basedOn w:val="DefaultParagraphFont"/>
    <w:rsid w:val="00684D95"/>
    <w:rPr>
      <w:rFonts w:ascii="Calibri Light" w:eastAsia="Times New Roman" w:hAnsi="Calibri Light"/>
      <w:color w:val="1F4D78"/>
      <w:sz w:val="24"/>
      <w:lang w:eastAsia="en-US"/>
    </w:rPr>
  </w:style>
  <w:style w:type="character" w:customStyle="1" w:styleId="Heading7Char">
    <w:name w:val="Heading 7 Char"/>
    <w:basedOn w:val="DefaultParagraphFont"/>
    <w:rsid w:val="00684D95"/>
    <w:rPr>
      <w:rFonts w:ascii="Calibri Light" w:eastAsia="Times New Roman" w:hAnsi="Calibri Light"/>
      <w:i/>
      <w:iCs/>
      <w:color w:val="1F4D78"/>
      <w:sz w:val="24"/>
      <w:lang w:eastAsia="en-US"/>
    </w:rPr>
  </w:style>
  <w:style w:type="character" w:customStyle="1" w:styleId="Heading8Char">
    <w:name w:val="Heading 8 Char"/>
    <w:basedOn w:val="DefaultParagraphFont"/>
    <w:rsid w:val="00684D95"/>
    <w:rPr>
      <w:rFonts w:ascii="Calibri Light" w:eastAsia="Times New Roman" w:hAnsi="Calibri Light"/>
      <w:color w:val="272727"/>
      <w:sz w:val="21"/>
      <w:szCs w:val="21"/>
      <w:lang w:eastAsia="en-US"/>
    </w:rPr>
  </w:style>
  <w:style w:type="character" w:customStyle="1" w:styleId="Heading9Char">
    <w:name w:val="Heading 9 Char"/>
    <w:basedOn w:val="DefaultParagraphFont"/>
    <w:rsid w:val="00684D95"/>
    <w:rPr>
      <w:rFonts w:ascii="Calibri Light" w:eastAsia="Times New Roman" w:hAnsi="Calibri Light"/>
      <w:i/>
      <w:iCs/>
      <w:color w:val="272727"/>
      <w:sz w:val="21"/>
      <w:szCs w:val="21"/>
      <w:lang w:eastAsia="en-US"/>
    </w:rPr>
  </w:style>
  <w:style w:type="paragraph" w:styleId="Title">
    <w:name w:val="Title"/>
    <w:next w:val="Normal"/>
    <w:rsid w:val="00684D95"/>
    <w:pPr>
      <w:suppressAutoHyphens/>
      <w:spacing w:before="720"/>
      <w:jc w:val="center"/>
    </w:pPr>
    <w:rPr>
      <w:rFonts w:ascii="Arial" w:eastAsia="Times New Roman" w:hAnsi="Arial"/>
      <w:b/>
      <w:spacing w:val="-10"/>
      <w:kern w:val="3"/>
      <w:sz w:val="36"/>
      <w:szCs w:val="56"/>
      <w:lang w:eastAsia="en-US"/>
    </w:rPr>
  </w:style>
  <w:style w:type="character" w:customStyle="1" w:styleId="TitleChar">
    <w:name w:val="Title Char"/>
    <w:basedOn w:val="DefaultParagraphFont"/>
    <w:rsid w:val="00684D95"/>
    <w:rPr>
      <w:rFonts w:ascii="Arial" w:eastAsia="Times New Roman" w:hAnsi="Arial"/>
      <w:b/>
      <w:spacing w:val="-10"/>
      <w:kern w:val="3"/>
      <w:sz w:val="36"/>
      <w:szCs w:val="56"/>
      <w:lang w:eastAsia="en-US"/>
    </w:rPr>
  </w:style>
  <w:style w:type="character" w:styleId="CommentReference">
    <w:name w:val="annotation reference"/>
    <w:basedOn w:val="DefaultParagraphFont"/>
    <w:rsid w:val="00684D95"/>
    <w:rPr>
      <w:rFonts w:cs="Times New Roman"/>
      <w:sz w:val="16"/>
      <w:szCs w:val="16"/>
    </w:rPr>
  </w:style>
  <w:style w:type="paragraph" w:styleId="CommentText">
    <w:name w:val="annotation text"/>
    <w:basedOn w:val="Normal"/>
    <w:rsid w:val="00684D95"/>
    <w:pPr>
      <w:spacing w:after="0" w:line="240" w:lineRule="auto"/>
    </w:pPr>
    <w:rPr>
      <w:rFonts w:ascii="Arial" w:hAnsi="Arial" w:cs="Arial"/>
      <w:color w:val="000000"/>
      <w:sz w:val="20"/>
      <w:szCs w:val="20"/>
      <w:lang w:val="en-US"/>
    </w:rPr>
  </w:style>
  <w:style w:type="character" w:customStyle="1" w:styleId="CommentTextChar">
    <w:name w:val="Comment Text Char"/>
    <w:basedOn w:val="DefaultParagraphFont"/>
    <w:rsid w:val="00684D95"/>
    <w:rPr>
      <w:rFonts w:ascii="Arial" w:eastAsia="Times New Roman" w:hAnsi="Arial" w:cs="Arial"/>
      <w:color w:val="000000"/>
      <w:sz w:val="20"/>
      <w:szCs w:val="20"/>
      <w:lang w:val="en-US"/>
    </w:rPr>
  </w:style>
  <w:style w:type="paragraph" w:styleId="BalloonText">
    <w:name w:val="Balloon Text"/>
    <w:basedOn w:val="Normal"/>
    <w:rsid w:val="00684D95"/>
    <w:pPr>
      <w:spacing w:after="0" w:line="240" w:lineRule="auto"/>
    </w:pPr>
    <w:rPr>
      <w:rFonts w:ascii="Segoe UI" w:hAnsi="Segoe UI" w:cs="Segoe UI"/>
      <w:sz w:val="18"/>
      <w:szCs w:val="18"/>
    </w:rPr>
  </w:style>
  <w:style w:type="character" w:customStyle="1" w:styleId="BalloonTextChar">
    <w:name w:val="Balloon Text Char"/>
    <w:basedOn w:val="DefaultParagraphFont"/>
    <w:rsid w:val="00684D95"/>
    <w:rPr>
      <w:rFonts w:ascii="Segoe UI" w:hAnsi="Segoe UI" w:cs="Segoe UI"/>
      <w:sz w:val="18"/>
      <w:szCs w:val="18"/>
    </w:rPr>
  </w:style>
  <w:style w:type="paragraph" w:styleId="TOC1">
    <w:name w:val="toc 1"/>
    <w:basedOn w:val="Normal"/>
    <w:next w:val="Normal"/>
    <w:autoRedefine/>
    <w:uiPriority w:val="39"/>
    <w:rsid w:val="00FB65B8"/>
    <w:pPr>
      <w:keepNext/>
      <w:tabs>
        <w:tab w:val="left" w:pos="426"/>
        <w:tab w:val="right" w:leader="dot" w:pos="10065"/>
      </w:tabs>
      <w:spacing w:before="120" w:after="0"/>
    </w:pPr>
    <w:rPr>
      <w:rFonts w:ascii="Times New Roman" w:eastAsia="Times New Roman" w:hAnsi="Times New Roman"/>
      <w:bCs/>
      <w:lang w:val="en-US"/>
    </w:rPr>
  </w:style>
  <w:style w:type="paragraph" w:styleId="TOC2">
    <w:name w:val="toc 2"/>
    <w:basedOn w:val="Normal"/>
    <w:next w:val="Normal"/>
    <w:autoRedefine/>
    <w:uiPriority w:val="39"/>
    <w:rsid w:val="00C66077"/>
    <w:pPr>
      <w:tabs>
        <w:tab w:val="left" w:pos="567"/>
        <w:tab w:val="right" w:leader="dot" w:pos="10065"/>
      </w:tabs>
      <w:spacing w:before="60" w:after="0"/>
    </w:pPr>
    <w:rPr>
      <w:rFonts w:ascii="Times New Roman" w:eastAsia="Times New Roman" w:hAnsi="Times New Roman"/>
      <w:noProof/>
      <w:lang w:val="en-US"/>
    </w:rPr>
  </w:style>
  <w:style w:type="paragraph" w:styleId="TOC3">
    <w:name w:val="toc 3"/>
    <w:basedOn w:val="Normal"/>
    <w:next w:val="Normal"/>
    <w:autoRedefine/>
    <w:uiPriority w:val="39"/>
    <w:rsid w:val="00C66077"/>
    <w:pPr>
      <w:tabs>
        <w:tab w:val="left" w:pos="1276"/>
        <w:tab w:val="right" w:leader="dot" w:pos="10065"/>
      </w:tabs>
      <w:spacing w:after="0"/>
      <w:ind w:left="567"/>
    </w:pPr>
    <w:rPr>
      <w:rFonts w:ascii="Times New Roman" w:eastAsia="Times New Roman" w:hAnsi="Times New Roman"/>
      <w:iCs/>
      <w:lang w:val="en-US"/>
    </w:rPr>
  </w:style>
  <w:style w:type="paragraph" w:styleId="TOC4">
    <w:name w:val="toc 4"/>
    <w:basedOn w:val="Normal"/>
    <w:next w:val="Normal"/>
    <w:autoRedefine/>
    <w:uiPriority w:val="39"/>
    <w:rsid w:val="00684D95"/>
    <w:pPr>
      <w:spacing w:after="0"/>
      <w:ind w:left="720"/>
    </w:pPr>
    <w:rPr>
      <w:sz w:val="18"/>
      <w:szCs w:val="18"/>
    </w:rPr>
  </w:style>
  <w:style w:type="paragraph" w:styleId="TOC5">
    <w:name w:val="toc 5"/>
    <w:basedOn w:val="Normal"/>
    <w:next w:val="Normal"/>
    <w:autoRedefine/>
    <w:uiPriority w:val="39"/>
    <w:rsid w:val="00684D95"/>
    <w:pPr>
      <w:spacing w:after="0"/>
      <w:ind w:left="960"/>
    </w:pPr>
    <w:rPr>
      <w:sz w:val="18"/>
      <w:szCs w:val="18"/>
    </w:rPr>
  </w:style>
  <w:style w:type="paragraph" w:styleId="TOC6">
    <w:name w:val="toc 6"/>
    <w:basedOn w:val="Normal"/>
    <w:next w:val="Normal"/>
    <w:autoRedefine/>
    <w:uiPriority w:val="39"/>
    <w:rsid w:val="00684D95"/>
    <w:pPr>
      <w:spacing w:after="0"/>
      <w:ind w:left="1200"/>
    </w:pPr>
    <w:rPr>
      <w:sz w:val="18"/>
      <w:szCs w:val="18"/>
    </w:rPr>
  </w:style>
  <w:style w:type="paragraph" w:styleId="TOC7">
    <w:name w:val="toc 7"/>
    <w:basedOn w:val="Normal"/>
    <w:next w:val="Normal"/>
    <w:autoRedefine/>
    <w:uiPriority w:val="39"/>
    <w:rsid w:val="00684D95"/>
    <w:pPr>
      <w:spacing w:after="0"/>
      <w:ind w:left="1440"/>
    </w:pPr>
    <w:rPr>
      <w:sz w:val="18"/>
      <w:szCs w:val="18"/>
    </w:rPr>
  </w:style>
  <w:style w:type="paragraph" w:styleId="TOC8">
    <w:name w:val="toc 8"/>
    <w:basedOn w:val="Normal"/>
    <w:next w:val="Normal"/>
    <w:autoRedefine/>
    <w:uiPriority w:val="39"/>
    <w:rsid w:val="00684D95"/>
    <w:pPr>
      <w:spacing w:after="0"/>
      <w:ind w:left="1680"/>
    </w:pPr>
    <w:rPr>
      <w:sz w:val="18"/>
      <w:szCs w:val="18"/>
    </w:rPr>
  </w:style>
  <w:style w:type="paragraph" w:styleId="TOC9">
    <w:name w:val="toc 9"/>
    <w:basedOn w:val="Normal"/>
    <w:next w:val="Normal"/>
    <w:autoRedefine/>
    <w:uiPriority w:val="39"/>
    <w:rsid w:val="00684D95"/>
    <w:pPr>
      <w:spacing w:after="0"/>
      <w:ind w:left="1920"/>
    </w:pPr>
    <w:rPr>
      <w:sz w:val="18"/>
      <w:szCs w:val="18"/>
    </w:rPr>
  </w:style>
  <w:style w:type="character" w:styleId="Hyperlink">
    <w:name w:val="Hyperlink"/>
    <w:basedOn w:val="DefaultParagraphFont"/>
    <w:uiPriority w:val="99"/>
    <w:rsid w:val="00684D95"/>
    <w:rPr>
      <w:rFonts w:cs="Times New Roman"/>
      <w:color w:val="0563C1"/>
      <w:u w:val="single"/>
    </w:rPr>
  </w:style>
  <w:style w:type="paragraph" w:styleId="Header">
    <w:name w:val="header"/>
    <w:basedOn w:val="Normal"/>
    <w:rsid w:val="00684D95"/>
    <w:pPr>
      <w:tabs>
        <w:tab w:val="center" w:pos="4536"/>
        <w:tab w:val="right" w:pos="9072"/>
      </w:tabs>
      <w:spacing w:after="0" w:line="240" w:lineRule="auto"/>
    </w:pPr>
  </w:style>
  <w:style w:type="character" w:customStyle="1" w:styleId="HeaderChar">
    <w:name w:val="Header Char"/>
    <w:basedOn w:val="DefaultParagraphFont"/>
    <w:rsid w:val="00684D95"/>
    <w:rPr>
      <w:rFonts w:cs="Times New Roman"/>
      <w:sz w:val="24"/>
    </w:rPr>
  </w:style>
  <w:style w:type="paragraph" w:styleId="Footer">
    <w:name w:val="footer"/>
    <w:aliases w:val="Stopka Znak"/>
    <w:basedOn w:val="Normal"/>
    <w:rsid w:val="00684D95"/>
    <w:pPr>
      <w:tabs>
        <w:tab w:val="center" w:pos="4536"/>
        <w:tab w:val="right" w:pos="9072"/>
      </w:tabs>
      <w:spacing w:after="0" w:line="240" w:lineRule="auto"/>
      <w:jc w:val="right"/>
    </w:pPr>
    <w:rPr>
      <w:rFonts w:ascii="Calibri" w:hAnsi="Calibri"/>
      <w:sz w:val="22"/>
    </w:rPr>
  </w:style>
  <w:style w:type="character" w:customStyle="1" w:styleId="FooterChar">
    <w:name w:val="Footer Char"/>
    <w:aliases w:val="Stopka Znak Char"/>
    <w:basedOn w:val="DefaultParagraphFont"/>
    <w:rsid w:val="00684D95"/>
    <w:rPr>
      <w:rFonts w:ascii="Calibri" w:hAnsi="Calibri"/>
      <w:lang w:eastAsia="en-US"/>
    </w:rPr>
  </w:style>
  <w:style w:type="paragraph" w:customStyle="1" w:styleId="CM1">
    <w:name w:val="CM1"/>
    <w:basedOn w:val="Normal"/>
    <w:next w:val="Normal"/>
    <w:rsid w:val="00684D95"/>
    <w:pPr>
      <w:autoSpaceDE w:val="0"/>
      <w:spacing w:after="0" w:line="240" w:lineRule="auto"/>
    </w:pPr>
    <w:rPr>
      <w:rFonts w:ascii="EUAlbertina" w:hAnsi="EUAlbertina"/>
      <w:szCs w:val="24"/>
    </w:rPr>
  </w:style>
  <w:style w:type="paragraph" w:customStyle="1" w:styleId="CM3">
    <w:name w:val="CM3"/>
    <w:basedOn w:val="Normal"/>
    <w:next w:val="Normal"/>
    <w:rsid w:val="00684D95"/>
    <w:pPr>
      <w:autoSpaceDE w:val="0"/>
      <w:spacing w:after="0" w:line="240" w:lineRule="auto"/>
    </w:pPr>
    <w:rPr>
      <w:rFonts w:ascii="EUAlbertina" w:hAnsi="EUAlbertina"/>
      <w:szCs w:val="24"/>
    </w:rPr>
  </w:style>
  <w:style w:type="paragraph" w:customStyle="1" w:styleId="MoIBody">
    <w:name w:val="MoI Body"/>
    <w:rsid w:val="00561396"/>
    <w:pPr>
      <w:suppressAutoHyphens/>
      <w:spacing w:before="120" w:after="120" w:line="271" w:lineRule="auto"/>
      <w:jc w:val="both"/>
    </w:pPr>
    <w:rPr>
      <w:rFonts w:ascii="Times New Roman" w:hAnsi="Times New Roman"/>
      <w:color w:val="000000"/>
      <w:sz w:val="24"/>
      <w:lang w:eastAsia="en-US"/>
    </w:rPr>
  </w:style>
  <w:style w:type="paragraph" w:styleId="ListParagraph">
    <w:name w:val="List Paragraph"/>
    <w:basedOn w:val="Normal"/>
    <w:uiPriority w:val="34"/>
    <w:qFormat/>
    <w:rsid w:val="00684D95"/>
    <w:pPr>
      <w:ind w:left="1440" w:hanging="360"/>
    </w:pPr>
    <w:rPr>
      <w:szCs w:val="20"/>
      <w:lang w:eastAsia="bg-BG"/>
    </w:rPr>
  </w:style>
  <w:style w:type="paragraph" w:customStyle="1" w:styleId="Default">
    <w:name w:val="Default"/>
    <w:rsid w:val="00684D95"/>
    <w:pPr>
      <w:suppressAutoHyphens/>
      <w:autoSpaceDE w:val="0"/>
    </w:pPr>
    <w:rPr>
      <w:rFonts w:cs="Calibri"/>
      <w:color w:val="000000"/>
      <w:sz w:val="24"/>
      <w:szCs w:val="24"/>
      <w:lang w:eastAsia="en-US"/>
    </w:rPr>
  </w:style>
  <w:style w:type="paragraph" w:customStyle="1" w:styleId="MoIListNumber1">
    <w:name w:val="MoI List Number 1"/>
    <w:rsid w:val="00684D95"/>
    <w:pPr>
      <w:numPr>
        <w:numId w:val="4"/>
      </w:numPr>
      <w:suppressAutoHyphens/>
      <w:spacing w:before="60" w:line="247" w:lineRule="auto"/>
      <w:jc w:val="both"/>
    </w:pPr>
    <w:rPr>
      <w:rFonts w:cs="Arial"/>
      <w:color w:val="000000"/>
      <w:sz w:val="24"/>
      <w:lang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rsid w:val="00684D95"/>
    <w:pPr>
      <w:spacing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uiPriority w:val="99"/>
    <w:rsid w:val="00684D95"/>
    <w:rPr>
      <w:rFonts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rsid w:val="00684D95"/>
    <w:rPr>
      <w:rFonts w:cs="Times New Roman"/>
      <w:position w:val="0"/>
      <w:vertAlign w:val="superscript"/>
    </w:rPr>
  </w:style>
  <w:style w:type="paragraph" w:styleId="Caption">
    <w:name w:val="caption"/>
    <w:basedOn w:val="Normal"/>
    <w:next w:val="Normal"/>
    <w:rsid w:val="001D53BA"/>
    <w:pPr>
      <w:tabs>
        <w:tab w:val="left" w:pos="1701"/>
      </w:tabs>
      <w:spacing w:after="200" w:line="240" w:lineRule="auto"/>
      <w:ind w:left="1701" w:hanging="993"/>
    </w:pPr>
    <w:rPr>
      <w:rFonts w:asciiTheme="minorHAnsi" w:hAnsiTheme="minorHAnsi" w:cstheme="minorHAnsi"/>
      <w:i/>
      <w:iCs/>
      <w:color w:val="0070C0"/>
      <w:sz w:val="20"/>
      <w:szCs w:val="20"/>
    </w:rPr>
  </w:style>
  <w:style w:type="character" w:customStyle="1" w:styleId="apple-converted-space">
    <w:name w:val="apple-converted-space"/>
    <w:basedOn w:val="DefaultParagraphFont"/>
    <w:rsid w:val="00684D95"/>
    <w:rPr>
      <w:rFonts w:cs="Times New Roman"/>
    </w:rPr>
  </w:style>
  <w:style w:type="character" w:customStyle="1" w:styleId="samedocreference">
    <w:name w:val="samedocreference"/>
    <w:basedOn w:val="DefaultParagraphFont"/>
    <w:rsid w:val="00684D95"/>
    <w:rPr>
      <w:rFonts w:cs="Times New Roman"/>
    </w:rPr>
  </w:style>
  <w:style w:type="paragraph" w:styleId="CommentSubject">
    <w:name w:val="annotation subject"/>
    <w:basedOn w:val="CommentText"/>
    <w:next w:val="CommentText"/>
    <w:rsid w:val="00684D95"/>
    <w:pPr>
      <w:spacing w:after="160"/>
    </w:pPr>
    <w:rPr>
      <w:rFonts w:ascii="Calibri" w:hAnsi="Calibri" w:cs="Times New Roman"/>
      <w:b/>
      <w:bCs/>
      <w:color w:val="auto"/>
      <w:lang w:val="bg-BG"/>
    </w:rPr>
  </w:style>
  <w:style w:type="character" w:customStyle="1" w:styleId="CommentSubjectChar">
    <w:name w:val="Comment Subject Char"/>
    <w:basedOn w:val="CommentTextChar"/>
    <w:rsid w:val="00684D95"/>
    <w:rPr>
      <w:rFonts w:ascii="Arial" w:eastAsia="Times New Roman" w:hAnsi="Arial" w:cs="Arial"/>
      <w:b/>
      <w:bCs/>
      <w:color w:val="000000"/>
      <w:sz w:val="20"/>
      <w:szCs w:val="20"/>
      <w:lang w:val="en-US"/>
    </w:rPr>
  </w:style>
  <w:style w:type="paragraph" w:styleId="NormalWeb">
    <w:name w:val="Normal (Web)"/>
    <w:basedOn w:val="Normal"/>
    <w:uiPriority w:val="99"/>
    <w:rsid w:val="00684D95"/>
    <w:pPr>
      <w:spacing w:before="100" w:after="100" w:line="240" w:lineRule="auto"/>
      <w:jc w:val="left"/>
    </w:pPr>
    <w:rPr>
      <w:rFonts w:ascii="Times New Roman" w:eastAsia="Times New Roman" w:hAnsi="Times New Roman"/>
      <w:szCs w:val="24"/>
      <w:lang w:eastAsia="bg-BG"/>
    </w:rPr>
  </w:style>
  <w:style w:type="paragraph" w:customStyle="1" w:styleId="MoIBodyHeading">
    <w:name w:val="MoI Body Heading"/>
    <w:rsid w:val="00684D95"/>
    <w:pPr>
      <w:keepNext/>
      <w:suppressAutoHyphens/>
      <w:spacing w:before="120"/>
      <w:jc w:val="both"/>
    </w:pPr>
    <w:rPr>
      <w:rFonts w:cs="Arial"/>
      <w:b/>
      <w:color w:val="000000"/>
      <w:sz w:val="24"/>
      <w:lang w:eastAsia="en-US"/>
    </w:rPr>
  </w:style>
  <w:style w:type="paragraph" w:customStyle="1" w:styleId="1">
    <w:name w:val="Списък на абзаци1"/>
    <w:basedOn w:val="Normal"/>
    <w:rsid w:val="00684D95"/>
    <w:pPr>
      <w:widowControl w:val="0"/>
      <w:shd w:val="clear" w:color="auto" w:fill="FFFFFF"/>
      <w:autoSpaceDE w:val="0"/>
      <w:spacing w:after="120" w:line="240" w:lineRule="auto"/>
      <w:ind w:left="720" w:firstLine="708"/>
    </w:pPr>
    <w:rPr>
      <w:rFonts w:ascii="Arial" w:eastAsia="Times New Roman" w:hAnsi="Arial" w:cs="Arial"/>
      <w:sz w:val="20"/>
      <w:szCs w:val="20"/>
      <w:lang w:val="en-US"/>
    </w:rPr>
  </w:style>
  <w:style w:type="character" w:styleId="FollowedHyperlink">
    <w:name w:val="FollowedHyperlink"/>
    <w:basedOn w:val="DefaultParagraphFont"/>
    <w:rsid w:val="00684D95"/>
    <w:rPr>
      <w:rFonts w:cs="Times New Roman"/>
      <w:color w:val="954F72"/>
      <w:u w:val="single"/>
    </w:rPr>
  </w:style>
  <w:style w:type="paragraph" w:customStyle="1" w:styleId="TableOutline2">
    <w:name w:val="Table Outline 2"/>
    <w:basedOn w:val="Normal"/>
    <w:rsid w:val="00684D95"/>
    <w:pPr>
      <w:keepNext/>
      <w:numPr>
        <w:numId w:val="5"/>
      </w:numPr>
      <w:spacing w:after="0" w:line="240" w:lineRule="auto"/>
      <w:outlineLvl w:val="1"/>
    </w:pPr>
    <w:rPr>
      <w:rFonts w:ascii="Arial" w:eastAsia="Times New Roman" w:hAnsi="Arial" w:cs="Arial"/>
      <w:color w:val="000000"/>
      <w:sz w:val="20"/>
      <w:szCs w:val="20"/>
      <w:lang w:eastAsia="bg-BG"/>
    </w:rPr>
  </w:style>
  <w:style w:type="paragraph" w:customStyle="1" w:styleId="TableOutline3">
    <w:name w:val="Table Outline 3"/>
    <w:basedOn w:val="Normal"/>
    <w:rsid w:val="00684D95"/>
    <w:pPr>
      <w:tabs>
        <w:tab w:val="left" w:pos="643"/>
      </w:tabs>
      <w:spacing w:after="0" w:line="240" w:lineRule="auto"/>
      <w:ind w:left="643" w:hanging="360"/>
    </w:pPr>
    <w:rPr>
      <w:rFonts w:ascii="Verdana" w:eastAsia="Times New Roman" w:hAnsi="Verdana"/>
      <w:sz w:val="16"/>
      <w:szCs w:val="24"/>
      <w:lang w:eastAsia="bg-BG"/>
    </w:rPr>
  </w:style>
  <w:style w:type="paragraph" w:customStyle="1" w:styleId="TableRowHead10">
    <w:name w:val="Table Row Head 10"/>
    <w:basedOn w:val="Normal"/>
    <w:rsid w:val="00684D95"/>
    <w:pPr>
      <w:spacing w:after="0" w:line="240" w:lineRule="auto"/>
      <w:jc w:val="left"/>
    </w:pPr>
    <w:rPr>
      <w:rFonts w:ascii="Verdana" w:eastAsia="Times New Roman" w:hAnsi="Verdana"/>
      <w:b/>
      <w:i/>
      <w:sz w:val="16"/>
      <w:szCs w:val="24"/>
      <w:lang w:val="en-US"/>
    </w:rPr>
  </w:style>
  <w:style w:type="character" w:customStyle="1" w:styleId="ListParagraphChar">
    <w:name w:val="List Paragraph Char"/>
    <w:uiPriority w:val="34"/>
    <w:rsid w:val="00684D95"/>
    <w:rPr>
      <w:rFonts w:ascii="Arial Narrow" w:hAnsi="Arial Narrow"/>
      <w:sz w:val="24"/>
    </w:rPr>
  </w:style>
  <w:style w:type="paragraph" w:customStyle="1" w:styleId="TableSectionHead">
    <w:name w:val="Table Section Head"/>
    <w:basedOn w:val="Normal"/>
    <w:rsid w:val="00684D95"/>
    <w:pPr>
      <w:spacing w:after="0" w:line="240" w:lineRule="auto"/>
      <w:jc w:val="left"/>
    </w:pPr>
    <w:rPr>
      <w:rFonts w:ascii="Verdana" w:eastAsia="Times New Roman" w:hAnsi="Verdana"/>
      <w:b/>
      <w:sz w:val="20"/>
      <w:szCs w:val="24"/>
      <w:lang w:eastAsia="bg-BG"/>
    </w:rPr>
  </w:style>
  <w:style w:type="paragraph" w:customStyle="1" w:styleId="TableText">
    <w:name w:val="Table Text"/>
    <w:basedOn w:val="Normal"/>
    <w:rsid w:val="00684D95"/>
    <w:pPr>
      <w:spacing w:after="0" w:line="240" w:lineRule="auto"/>
      <w:jc w:val="center"/>
    </w:pPr>
    <w:rPr>
      <w:rFonts w:ascii="Times New Roman" w:hAnsi="Times New Roman"/>
      <w:sz w:val="22"/>
      <w:lang w:val="en-US"/>
    </w:rPr>
  </w:style>
  <w:style w:type="character" w:customStyle="1" w:styleId="TableTextChar">
    <w:name w:val="Table Text Char"/>
    <w:basedOn w:val="DefaultParagraphFont"/>
    <w:rsid w:val="00684D95"/>
    <w:rPr>
      <w:rFonts w:ascii="Times New Roman" w:hAnsi="Times New Roman" w:cs="Times New Roman"/>
      <w:lang w:val="en-US"/>
    </w:rPr>
  </w:style>
  <w:style w:type="paragraph" w:customStyle="1" w:styleId="TN1">
    <w:name w:val="TN1"/>
    <w:basedOn w:val="Normal"/>
    <w:rsid w:val="00684D95"/>
    <w:pPr>
      <w:keepNext/>
      <w:pageBreakBefore/>
      <w:numPr>
        <w:numId w:val="6"/>
      </w:numPr>
      <w:tabs>
        <w:tab w:val="left" w:pos="-1734"/>
      </w:tabs>
      <w:spacing w:before="60" w:after="60" w:line="240" w:lineRule="auto"/>
    </w:pPr>
    <w:rPr>
      <w:rFonts w:ascii="Arial" w:eastAsia="Times New Roman" w:hAnsi="Arial" w:cs="Arial"/>
      <w:b/>
      <w:i/>
      <w:iCs/>
      <w:sz w:val="20"/>
      <w:szCs w:val="20"/>
      <w:lang w:eastAsia="bg-BG"/>
    </w:rPr>
  </w:style>
  <w:style w:type="character" w:customStyle="1" w:styleId="TN1Char">
    <w:name w:val="TN1 Char"/>
    <w:basedOn w:val="DefaultParagraphFont"/>
    <w:rsid w:val="00684D95"/>
    <w:rPr>
      <w:rFonts w:ascii="Arial" w:eastAsia="Times New Roman" w:hAnsi="Arial" w:cs="Arial"/>
      <w:b/>
      <w:i/>
      <w:iCs/>
      <w:sz w:val="20"/>
      <w:szCs w:val="20"/>
    </w:rPr>
  </w:style>
  <w:style w:type="character" w:customStyle="1" w:styleId="shorttext">
    <w:name w:val="short_text"/>
    <w:basedOn w:val="DefaultParagraphFont"/>
    <w:rsid w:val="00684D95"/>
    <w:rPr>
      <w:rFonts w:cs="Times New Roman"/>
    </w:rPr>
  </w:style>
  <w:style w:type="paragraph" w:styleId="Revision">
    <w:name w:val="Revision"/>
    <w:rsid w:val="00684D95"/>
    <w:pPr>
      <w:suppressAutoHyphens/>
    </w:pPr>
    <w:rPr>
      <w:rFonts w:ascii="Arial Narrow" w:hAnsi="Arial Narrow"/>
      <w:sz w:val="24"/>
      <w:lang w:eastAsia="en-US"/>
    </w:rPr>
  </w:style>
  <w:style w:type="character" w:styleId="PageNumber">
    <w:name w:val="page number"/>
    <w:basedOn w:val="DefaultParagraphFont"/>
    <w:rsid w:val="00684D95"/>
    <w:rPr>
      <w:rFonts w:cs="Times New Roman"/>
    </w:rPr>
  </w:style>
  <w:style w:type="paragraph" w:styleId="EndnoteText">
    <w:name w:val="endnote text"/>
    <w:basedOn w:val="Normal"/>
    <w:rsid w:val="00684D95"/>
    <w:pPr>
      <w:spacing w:after="0" w:line="240" w:lineRule="auto"/>
    </w:pPr>
    <w:rPr>
      <w:sz w:val="20"/>
      <w:szCs w:val="20"/>
    </w:rPr>
  </w:style>
  <w:style w:type="character" w:customStyle="1" w:styleId="EndnoteTextChar">
    <w:name w:val="Endnote Text Char"/>
    <w:basedOn w:val="DefaultParagraphFont"/>
    <w:rsid w:val="00684D95"/>
    <w:rPr>
      <w:rFonts w:ascii="Arial Narrow" w:hAnsi="Arial Narrow" w:cs="Times New Roman"/>
      <w:sz w:val="20"/>
      <w:szCs w:val="20"/>
    </w:rPr>
  </w:style>
  <w:style w:type="character" w:styleId="EndnoteReference">
    <w:name w:val="endnote reference"/>
    <w:basedOn w:val="DefaultParagraphFont"/>
    <w:rsid w:val="00684D95"/>
    <w:rPr>
      <w:rFonts w:cs="Times New Roman"/>
      <w:position w:val="0"/>
      <w:vertAlign w:val="superscript"/>
    </w:rPr>
  </w:style>
  <w:style w:type="paragraph" w:customStyle="1" w:styleId="MoITableHeader">
    <w:name w:val="MoI Table Header"/>
    <w:rsid w:val="00684D95"/>
    <w:pPr>
      <w:suppressAutoHyphens/>
      <w:spacing w:before="60" w:after="60"/>
      <w:jc w:val="center"/>
    </w:pPr>
    <w:rPr>
      <w:rFonts w:ascii="Arial Narrow" w:hAnsi="Arial Narrow"/>
      <w:b/>
      <w:bCs/>
      <w:lang w:eastAsia="en-US"/>
    </w:rPr>
  </w:style>
  <w:style w:type="paragraph" w:customStyle="1" w:styleId="REQID">
    <w:name w:val="REQ_ID"/>
    <w:rsid w:val="00684D95"/>
    <w:pPr>
      <w:numPr>
        <w:numId w:val="8"/>
      </w:numPr>
      <w:suppressAutoHyphens/>
    </w:pPr>
    <w:rPr>
      <w:rFonts w:ascii="Arial Narrow" w:hAnsi="Arial Narrow"/>
      <w:sz w:val="24"/>
      <w:lang w:eastAsia="en-US"/>
    </w:rPr>
  </w:style>
  <w:style w:type="character" w:customStyle="1" w:styleId="newdocreference">
    <w:name w:val="newdocreference"/>
    <w:basedOn w:val="DefaultParagraphFont"/>
    <w:rsid w:val="00684D95"/>
  </w:style>
  <w:style w:type="paragraph" w:customStyle="1" w:styleId="REQTableSectionHeading">
    <w:name w:val="REQ Table Section Heading"/>
    <w:rsid w:val="00684D95"/>
    <w:pPr>
      <w:keepNext/>
      <w:suppressAutoHyphens/>
    </w:pPr>
    <w:rPr>
      <w:b/>
      <w:sz w:val="24"/>
      <w:lang w:eastAsia="en-US"/>
    </w:rPr>
  </w:style>
  <w:style w:type="paragraph" w:styleId="Subtitle">
    <w:name w:val="Subtitle"/>
    <w:basedOn w:val="Normal"/>
    <w:next w:val="Normal"/>
    <w:rsid w:val="00684D95"/>
    <w:pPr>
      <w:spacing w:after="0" w:line="240" w:lineRule="auto"/>
      <w:jc w:val="center"/>
    </w:pPr>
    <w:rPr>
      <w:rFonts w:ascii="Calibri" w:eastAsia="Times New Roman" w:hAnsi="Calibri"/>
      <w:b/>
      <w:sz w:val="28"/>
    </w:rPr>
  </w:style>
  <w:style w:type="character" w:customStyle="1" w:styleId="SubtitleChar">
    <w:name w:val="Subtitle Char"/>
    <w:basedOn w:val="DefaultParagraphFont"/>
    <w:rsid w:val="00684D95"/>
    <w:rPr>
      <w:rFonts w:ascii="Calibri" w:eastAsia="Times New Roman" w:hAnsi="Calibri" w:cs="Times New Roman"/>
      <w:b/>
      <w:sz w:val="28"/>
      <w:lang w:eastAsia="en-US"/>
    </w:rPr>
  </w:style>
  <w:style w:type="paragraph" w:customStyle="1" w:styleId="REQTableNumberList1">
    <w:name w:val="REQ Table Number List 1"/>
    <w:rsid w:val="00684D95"/>
    <w:pPr>
      <w:numPr>
        <w:numId w:val="9"/>
      </w:numPr>
      <w:suppressAutoHyphens/>
    </w:pPr>
    <w:rPr>
      <w:rFonts w:ascii="Arial Narrow" w:hAnsi="Arial Narrow" w:cs="Arial"/>
      <w:color w:val="000000"/>
      <w:sz w:val="24"/>
      <w:lang w:val="en-US" w:eastAsia="en-US"/>
    </w:rPr>
  </w:style>
  <w:style w:type="paragraph" w:customStyle="1" w:styleId="REQTableText">
    <w:name w:val="REQ Table Text"/>
    <w:rsid w:val="00684D95"/>
    <w:pPr>
      <w:suppressAutoHyphens/>
      <w:jc w:val="both"/>
    </w:pPr>
    <w:rPr>
      <w:rFonts w:ascii="Arial Narrow" w:hAnsi="Arial Narrow"/>
      <w:sz w:val="24"/>
      <w:lang w:eastAsia="en-US"/>
    </w:rPr>
  </w:style>
  <w:style w:type="paragraph" w:customStyle="1" w:styleId="REQTableHeading">
    <w:name w:val="REQ Table Heading"/>
    <w:rsid w:val="00684D95"/>
    <w:pPr>
      <w:keepNext/>
      <w:suppressAutoHyphens/>
      <w:spacing w:line="247" w:lineRule="auto"/>
    </w:pPr>
    <w:rPr>
      <w:rFonts w:ascii="Arial Narrow" w:hAnsi="Arial Narrow"/>
      <w:b/>
      <w:bCs/>
      <w:color w:val="FFFFFF"/>
      <w:sz w:val="24"/>
      <w:lang w:eastAsia="en-US"/>
    </w:rPr>
  </w:style>
  <w:style w:type="paragraph" w:customStyle="1" w:styleId="REQTableBullet1">
    <w:name w:val="REQ Table Bullet 1"/>
    <w:rsid w:val="00684D95"/>
    <w:pPr>
      <w:numPr>
        <w:numId w:val="10"/>
      </w:numPr>
      <w:suppressAutoHyphens/>
      <w:jc w:val="both"/>
    </w:pPr>
    <w:rPr>
      <w:rFonts w:ascii="Arial Narrow" w:hAnsi="Arial Narrow"/>
      <w:sz w:val="24"/>
      <w:szCs w:val="20"/>
    </w:rPr>
  </w:style>
  <w:style w:type="paragraph" w:customStyle="1" w:styleId="REQTableBullet2">
    <w:name w:val="REQ Table Bullet 2"/>
    <w:rsid w:val="00684D95"/>
    <w:pPr>
      <w:numPr>
        <w:numId w:val="7"/>
      </w:numPr>
      <w:suppressAutoHyphens/>
    </w:pPr>
    <w:rPr>
      <w:rFonts w:ascii="Arial Narrow" w:hAnsi="Arial Narrow"/>
      <w:sz w:val="24"/>
      <w:szCs w:val="24"/>
      <w:lang w:eastAsia="en-US"/>
    </w:rPr>
  </w:style>
  <w:style w:type="paragraph" w:customStyle="1" w:styleId="MoIBullet1">
    <w:name w:val="MoI Bullet 1"/>
    <w:rsid w:val="00684D95"/>
    <w:pPr>
      <w:numPr>
        <w:numId w:val="11"/>
      </w:numPr>
      <w:suppressAutoHyphens/>
      <w:spacing w:before="60"/>
      <w:jc w:val="both"/>
    </w:pPr>
    <w:rPr>
      <w:sz w:val="24"/>
      <w:szCs w:val="20"/>
    </w:rPr>
  </w:style>
  <w:style w:type="paragraph" w:customStyle="1" w:styleId="MoIBullet2">
    <w:name w:val="MoI Bullet 2"/>
    <w:rsid w:val="00684D95"/>
    <w:pPr>
      <w:numPr>
        <w:numId w:val="12"/>
      </w:numPr>
      <w:suppressAutoHyphens/>
      <w:spacing w:line="247" w:lineRule="auto"/>
      <w:jc w:val="both"/>
    </w:pPr>
    <w:rPr>
      <w:sz w:val="24"/>
      <w:szCs w:val="20"/>
    </w:rPr>
  </w:style>
  <w:style w:type="character" w:customStyle="1" w:styleId="FontStyle35">
    <w:name w:val="Font Style35"/>
    <w:rsid w:val="00684D95"/>
    <w:rPr>
      <w:rFonts w:ascii="Arial" w:hAnsi="Arial" w:cs="Arial"/>
      <w:sz w:val="20"/>
      <w:szCs w:val="20"/>
    </w:rPr>
  </w:style>
  <w:style w:type="paragraph" w:customStyle="1" w:styleId="TableCompactHeading">
    <w:name w:val="Table Compact Heading"/>
    <w:rsid w:val="00684D95"/>
    <w:pPr>
      <w:suppressAutoHyphens/>
    </w:pPr>
    <w:rPr>
      <w:rFonts w:ascii="Arial Narrow" w:hAnsi="Arial Narrow"/>
      <w:b/>
      <w:bCs/>
      <w:color w:val="FFFFFF"/>
      <w:sz w:val="20"/>
      <w:szCs w:val="20"/>
      <w:lang w:eastAsia="en-US"/>
    </w:rPr>
  </w:style>
  <w:style w:type="numbering" w:customStyle="1" w:styleId="WWOutlineListStyle1">
    <w:name w:val="WW_OutlineListStyle_1"/>
    <w:basedOn w:val="NoList"/>
    <w:rsid w:val="00684D95"/>
    <w:pPr>
      <w:numPr>
        <w:numId w:val="2"/>
      </w:numPr>
    </w:pPr>
  </w:style>
  <w:style w:type="numbering" w:customStyle="1" w:styleId="WWOutlineListStyle">
    <w:name w:val="WW_OutlineListStyle"/>
    <w:basedOn w:val="NoList"/>
    <w:rsid w:val="00684D95"/>
    <w:pPr>
      <w:numPr>
        <w:numId w:val="3"/>
      </w:numPr>
    </w:pPr>
  </w:style>
  <w:style w:type="numbering" w:customStyle="1" w:styleId="LFO2">
    <w:name w:val="LFO2"/>
    <w:basedOn w:val="NoList"/>
    <w:rsid w:val="00684D95"/>
    <w:pPr>
      <w:numPr>
        <w:numId w:val="4"/>
      </w:numPr>
    </w:pPr>
  </w:style>
  <w:style w:type="numbering" w:customStyle="1" w:styleId="LFO5">
    <w:name w:val="LFO5"/>
    <w:basedOn w:val="NoList"/>
    <w:rsid w:val="00684D95"/>
    <w:pPr>
      <w:numPr>
        <w:numId w:val="5"/>
      </w:numPr>
    </w:pPr>
  </w:style>
  <w:style w:type="numbering" w:customStyle="1" w:styleId="LFO6">
    <w:name w:val="LFO6"/>
    <w:basedOn w:val="NoList"/>
    <w:rsid w:val="00684D95"/>
    <w:pPr>
      <w:numPr>
        <w:numId w:val="6"/>
      </w:numPr>
    </w:pPr>
  </w:style>
  <w:style w:type="numbering" w:customStyle="1" w:styleId="LFO8">
    <w:name w:val="LFO8"/>
    <w:basedOn w:val="NoList"/>
    <w:rsid w:val="00684D95"/>
    <w:pPr>
      <w:numPr>
        <w:numId w:val="7"/>
      </w:numPr>
    </w:pPr>
  </w:style>
  <w:style w:type="numbering" w:customStyle="1" w:styleId="LFO9">
    <w:name w:val="LFO9"/>
    <w:basedOn w:val="NoList"/>
    <w:rsid w:val="00684D95"/>
    <w:pPr>
      <w:numPr>
        <w:numId w:val="8"/>
      </w:numPr>
    </w:pPr>
  </w:style>
  <w:style w:type="numbering" w:customStyle="1" w:styleId="LFO10">
    <w:name w:val="LFO10"/>
    <w:basedOn w:val="NoList"/>
    <w:rsid w:val="00684D95"/>
    <w:pPr>
      <w:numPr>
        <w:numId w:val="9"/>
      </w:numPr>
    </w:pPr>
  </w:style>
  <w:style w:type="numbering" w:customStyle="1" w:styleId="LFO13">
    <w:name w:val="LFO13"/>
    <w:basedOn w:val="NoList"/>
    <w:rsid w:val="00684D95"/>
    <w:pPr>
      <w:numPr>
        <w:numId w:val="10"/>
      </w:numPr>
    </w:pPr>
  </w:style>
  <w:style w:type="numbering" w:customStyle="1" w:styleId="LFO17">
    <w:name w:val="LFO17"/>
    <w:basedOn w:val="NoList"/>
    <w:rsid w:val="00684D95"/>
    <w:pPr>
      <w:numPr>
        <w:numId w:val="11"/>
      </w:numPr>
    </w:pPr>
  </w:style>
  <w:style w:type="numbering" w:customStyle="1" w:styleId="LFO18">
    <w:name w:val="LFO18"/>
    <w:basedOn w:val="NoList"/>
    <w:rsid w:val="00684D95"/>
    <w:pPr>
      <w:numPr>
        <w:numId w:val="12"/>
      </w:numPr>
    </w:pPr>
  </w:style>
  <w:style w:type="table" w:customStyle="1" w:styleId="ListTable3-Accent11">
    <w:name w:val="List Table 3 - Accent 11"/>
    <w:basedOn w:val="TableNormal"/>
    <w:uiPriority w:val="48"/>
    <w:rsid w:val="0019309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Bodytext">
    <w:name w:val="Body text_"/>
    <w:basedOn w:val="DefaultParagraphFont"/>
    <w:link w:val="Bodytext1"/>
    <w:uiPriority w:val="99"/>
    <w:locked/>
    <w:rsid w:val="00977872"/>
    <w:rPr>
      <w:rFonts w:ascii="Verdana" w:hAnsi="Verdana" w:cs="Verdana"/>
      <w:sz w:val="19"/>
      <w:szCs w:val="19"/>
      <w:shd w:val="clear" w:color="auto" w:fill="FFFFFF"/>
    </w:rPr>
  </w:style>
  <w:style w:type="paragraph" w:customStyle="1" w:styleId="Bodytext1">
    <w:name w:val="Body text1"/>
    <w:basedOn w:val="Normal"/>
    <w:link w:val="Bodytext"/>
    <w:uiPriority w:val="99"/>
    <w:rsid w:val="00977872"/>
    <w:pPr>
      <w:shd w:val="clear" w:color="auto" w:fill="FFFFFF"/>
      <w:suppressAutoHyphens w:val="0"/>
      <w:autoSpaceDN/>
      <w:spacing w:after="0" w:line="240" w:lineRule="atLeast"/>
      <w:ind w:hanging="420"/>
      <w:jc w:val="left"/>
      <w:textAlignment w:val="auto"/>
    </w:pPr>
    <w:rPr>
      <w:rFonts w:ascii="Verdana" w:hAnsi="Verdana" w:cs="Verdana"/>
      <w:sz w:val="19"/>
      <w:szCs w:val="19"/>
      <w:lang w:eastAsia="bg-BG"/>
    </w:rPr>
  </w:style>
  <w:style w:type="table" w:customStyle="1" w:styleId="ListTable3-Accent51">
    <w:name w:val="List Table 3 - Accent 51"/>
    <w:basedOn w:val="TableNormal"/>
    <w:uiPriority w:val="48"/>
    <w:rsid w:val="007D178B"/>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Grid">
    <w:name w:val="Table Grid"/>
    <w:basedOn w:val="TableNormal"/>
    <w:uiPriority w:val="39"/>
    <w:rsid w:val="00B85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0">
    <w:name w:val="List Table 3 - Accent 11"/>
    <w:basedOn w:val="TableNormal"/>
    <w:next w:val="ListTable3-Accent11"/>
    <w:uiPriority w:val="48"/>
    <w:rsid w:val="00B8592C"/>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BodyText0">
    <w:name w:val="Body Text"/>
    <w:basedOn w:val="Normal"/>
    <w:link w:val="BodyTextChar"/>
    <w:uiPriority w:val="99"/>
    <w:unhideWhenUsed/>
    <w:rsid w:val="00055370"/>
    <w:pPr>
      <w:suppressAutoHyphens w:val="0"/>
      <w:autoSpaceDN/>
      <w:spacing w:after="120" w:line="240" w:lineRule="auto"/>
      <w:jc w:val="left"/>
      <w:textAlignment w:val="auto"/>
    </w:pPr>
    <w:rPr>
      <w:rFonts w:ascii="Arial Unicode MS" w:eastAsia="Arial Unicode MS" w:hAnsi="Times New Roman" w:cs="Arial Unicode MS"/>
      <w:color w:val="000000"/>
      <w:szCs w:val="24"/>
      <w:lang w:eastAsia="bg-BG"/>
    </w:rPr>
  </w:style>
  <w:style w:type="character" w:customStyle="1" w:styleId="BodyTextChar">
    <w:name w:val="Body Text Char"/>
    <w:basedOn w:val="DefaultParagraphFont"/>
    <w:link w:val="BodyText0"/>
    <w:uiPriority w:val="99"/>
    <w:rsid w:val="00055370"/>
    <w:rPr>
      <w:rFonts w:ascii="Arial Unicode MS" w:eastAsia="Arial Unicode MS" w:hAnsi="Times New Roman" w:cs="Arial Unicode MS"/>
      <w:color w:val="000000"/>
      <w:sz w:val="24"/>
      <w:szCs w:val="24"/>
    </w:rPr>
  </w:style>
  <w:style w:type="character" w:customStyle="1" w:styleId="BodyText10">
    <w:name w:val="Body Text1"/>
    <w:basedOn w:val="Bodytext"/>
    <w:rsid w:val="0028585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rPr>
  </w:style>
  <w:style w:type="character" w:customStyle="1" w:styleId="Bodytext3">
    <w:name w:val="Body text (3)_"/>
    <w:basedOn w:val="DefaultParagraphFont"/>
    <w:link w:val="Bodytext30"/>
    <w:rsid w:val="00285851"/>
    <w:rPr>
      <w:rFonts w:ascii="Times New Roman" w:eastAsia="Times New Roman" w:hAnsi="Times New Roman"/>
      <w:b/>
      <w:bCs/>
      <w:shd w:val="clear" w:color="auto" w:fill="FFFFFF"/>
    </w:rPr>
  </w:style>
  <w:style w:type="paragraph" w:customStyle="1" w:styleId="Bodytext30">
    <w:name w:val="Body text (3)"/>
    <w:basedOn w:val="Normal"/>
    <w:link w:val="Bodytext3"/>
    <w:rsid w:val="00285851"/>
    <w:pPr>
      <w:widowControl w:val="0"/>
      <w:shd w:val="clear" w:color="auto" w:fill="FFFFFF"/>
      <w:suppressAutoHyphens w:val="0"/>
      <w:autoSpaceDN/>
      <w:spacing w:before="840" w:after="840" w:line="0" w:lineRule="atLeast"/>
      <w:ind w:hanging="640"/>
      <w:jc w:val="right"/>
      <w:textAlignment w:val="auto"/>
    </w:pPr>
    <w:rPr>
      <w:rFonts w:ascii="Times New Roman" w:eastAsia="Times New Roman" w:hAnsi="Times New Roman"/>
      <w:b/>
      <w:bCs/>
      <w:sz w:val="22"/>
      <w:lang w:eastAsia="bg-BG"/>
    </w:rPr>
  </w:style>
  <w:style w:type="paragraph" w:customStyle="1" w:styleId="GOVBody">
    <w:name w:val="GOV Body"/>
    <w:rsid w:val="00AE14CA"/>
    <w:pPr>
      <w:autoSpaceDN/>
      <w:spacing w:before="120" w:line="250" w:lineRule="auto"/>
      <w:jc w:val="both"/>
      <w:textAlignment w:val="auto"/>
    </w:pPr>
    <w:rPr>
      <w:rFonts w:eastAsia="Arial"/>
      <w:sz w:val="24"/>
      <w:szCs w:val="24"/>
      <w:lang w:bidi="bn-IN"/>
    </w:rPr>
  </w:style>
  <w:style w:type="character" w:styleId="Strong">
    <w:name w:val="Strong"/>
    <w:basedOn w:val="DefaultParagraphFont"/>
    <w:uiPriority w:val="22"/>
    <w:qFormat/>
    <w:rsid w:val="00561396"/>
    <w:rPr>
      <w:b/>
      <w:bCs/>
    </w:rPr>
  </w:style>
  <w:style w:type="character" w:styleId="PlaceholderText">
    <w:name w:val="Placeholder Text"/>
    <w:basedOn w:val="DefaultParagraphFont"/>
    <w:uiPriority w:val="99"/>
    <w:semiHidden/>
    <w:rsid w:val="00C66077"/>
    <w:rPr>
      <w:color w:val="808080"/>
    </w:rPr>
  </w:style>
  <w:style w:type="paragraph" w:customStyle="1" w:styleId="A1">
    <w:name w:val="A1"/>
    <w:basedOn w:val="Normal"/>
    <w:uiPriority w:val="99"/>
    <w:rsid w:val="00CC54C0"/>
    <w:pPr>
      <w:keepNext/>
      <w:keepLines/>
      <w:numPr>
        <w:numId w:val="13"/>
      </w:numPr>
      <w:suppressAutoHyphens w:val="0"/>
      <w:autoSpaceDN/>
      <w:spacing w:before="240" w:after="240" w:line="240" w:lineRule="auto"/>
      <w:textAlignment w:val="auto"/>
      <w:outlineLvl w:val="0"/>
    </w:pPr>
    <w:rPr>
      <w:rFonts w:ascii="Times New Roman" w:eastAsia="Times New Roman" w:hAnsi="Times New Roman"/>
      <w:b/>
      <w:szCs w:val="28"/>
      <w:lang w:eastAsia="bg-BG"/>
    </w:rPr>
  </w:style>
  <w:style w:type="paragraph" w:customStyle="1" w:styleId="A2">
    <w:name w:val="A2"/>
    <w:basedOn w:val="Normal"/>
    <w:uiPriority w:val="99"/>
    <w:rsid w:val="00CC54C0"/>
    <w:pPr>
      <w:keepNext/>
      <w:keepLines/>
      <w:numPr>
        <w:ilvl w:val="1"/>
        <w:numId w:val="13"/>
      </w:numPr>
      <w:tabs>
        <w:tab w:val="left" w:pos="907"/>
      </w:tabs>
      <w:suppressAutoHyphens w:val="0"/>
      <w:autoSpaceDN/>
      <w:spacing w:before="120" w:after="120" w:line="240" w:lineRule="auto"/>
      <w:textAlignment w:val="auto"/>
      <w:outlineLvl w:val="1"/>
    </w:pPr>
    <w:rPr>
      <w:rFonts w:ascii="Times New Roman" w:eastAsia="Times New Roman" w:hAnsi="Times New Roman"/>
      <w:b/>
      <w:szCs w:val="26"/>
      <w:lang w:eastAsia="bg-BG"/>
    </w:rPr>
  </w:style>
  <w:style w:type="paragraph" w:customStyle="1" w:styleId="A3">
    <w:name w:val="A3"/>
    <w:basedOn w:val="Normal"/>
    <w:uiPriority w:val="99"/>
    <w:rsid w:val="00CC54C0"/>
    <w:pPr>
      <w:keepNext/>
      <w:keepLines/>
      <w:numPr>
        <w:ilvl w:val="2"/>
        <w:numId w:val="13"/>
      </w:numPr>
      <w:tabs>
        <w:tab w:val="left" w:pos="1361"/>
      </w:tabs>
      <w:suppressAutoHyphens w:val="0"/>
      <w:autoSpaceDN/>
      <w:spacing w:before="120" w:after="120" w:line="240" w:lineRule="auto"/>
      <w:textAlignment w:val="auto"/>
      <w:outlineLvl w:val="2"/>
    </w:pPr>
    <w:rPr>
      <w:rFonts w:ascii="Times New Roman" w:eastAsia="Times New Roman" w:hAnsi="Times New Roman"/>
      <w:b/>
      <w:szCs w:val="24"/>
      <w:lang w:eastAsia="bg-BG"/>
    </w:rPr>
  </w:style>
  <w:style w:type="paragraph" w:customStyle="1" w:styleId="A4">
    <w:name w:val="A4"/>
    <w:basedOn w:val="Normal"/>
    <w:uiPriority w:val="99"/>
    <w:rsid w:val="00CC54C0"/>
    <w:pPr>
      <w:keepNext/>
      <w:keepLines/>
      <w:numPr>
        <w:ilvl w:val="3"/>
        <w:numId w:val="13"/>
      </w:numPr>
      <w:tabs>
        <w:tab w:val="left" w:pos="1985"/>
      </w:tabs>
      <w:suppressAutoHyphens w:val="0"/>
      <w:autoSpaceDN/>
      <w:spacing w:after="0" w:line="240" w:lineRule="auto"/>
      <w:textAlignment w:val="auto"/>
      <w:outlineLvl w:val="3"/>
    </w:pPr>
    <w:rPr>
      <w:rFonts w:ascii="Times New Roman" w:eastAsia="Times New Roman" w:hAnsi="Times New Roman"/>
      <w:iCs/>
      <w:szCs w:val="24"/>
      <w:lang w:eastAsia="bg-BG"/>
    </w:rPr>
  </w:style>
  <w:style w:type="paragraph" w:customStyle="1" w:styleId="A5">
    <w:name w:val="A5"/>
    <w:basedOn w:val="Normal"/>
    <w:uiPriority w:val="99"/>
    <w:rsid w:val="00CC54C0"/>
    <w:pPr>
      <w:keepNext/>
      <w:keepLines/>
      <w:numPr>
        <w:ilvl w:val="4"/>
        <w:numId w:val="13"/>
      </w:numPr>
      <w:tabs>
        <w:tab w:val="left" w:pos="2552"/>
      </w:tabs>
      <w:suppressAutoHyphens w:val="0"/>
      <w:autoSpaceDN/>
      <w:spacing w:after="0" w:line="240" w:lineRule="auto"/>
      <w:textAlignment w:val="auto"/>
      <w:outlineLvl w:val="4"/>
    </w:pPr>
    <w:rPr>
      <w:rFonts w:ascii="Times New Roman" w:eastAsia="Times New Roman" w:hAnsi="Times New Roman"/>
      <w:bCs/>
      <w:szCs w:val="24"/>
      <w:lang w:eastAsia="bg-BG"/>
    </w:rPr>
  </w:style>
  <w:style w:type="character" w:styleId="IntenseReference">
    <w:name w:val="Intense Reference"/>
    <w:basedOn w:val="DefaultParagraphFont"/>
    <w:uiPriority w:val="32"/>
    <w:qFormat/>
    <w:rsid w:val="00711EDC"/>
    <w:rPr>
      <w:b/>
      <w:bCs/>
      <w:smallCaps/>
      <w:color w:val="5B9BD5" w:themeColor="accent1"/>
      <w:spacing w:val="5"/>
    </w:rPr>
  </w:style>
  <w:style w:type="paragraph" w:customStyle="1" w:styleId="11">
    <w:name w:val="Списък на абзаци11"/>
    <w:basedOn w:val="Normal"/>
    <w:uiPriority w:val="99"/>
    <w:rsid w:val="00232CB3"/>
    <w:pPr>
      <w:suppressAutoHyphens w:val="0"/>
      <w:autoSpaceDN/>
      <w:spacing w:after="120" w:line="276" w:lineRule="auto"/>
      <w:textAlignment w:val="auto"/>
    </w:pPr>
    <w:rPr>
      <w:rFonts w:ascii="Trebuchet MS" w:eastAsia="Times New Roman" w:hAnsi="Trebuchet MS" w:cs="Arial"/>
      <w:sz w:val="20"/>
      <w:szCs w:val="20"/>
      <w:lang w:eastAsia="bg-BG"/>
    </w:rPr>
  </w:style>
  <w:style w:type="character" w:customStyle="1" w:styleId="a">
    <w:name w:val="Основен текст"/>
    <w:basedOn w:val="DefaultParagraphFont"/>
    <w:rsid w:val="00CD75E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75E4"/>
    <w:pPr>
      <w:suppressAutoHyphens/>
      <w:spacing w:after="160" w:line="251" w:lineRule="auto"/>
      <w:jc w:val="both"/>
    </w:pPr>
    <w:rPr>
      <w:rFonts w:ascii="Arial Narrow" w:hAnsi="Arial Narrow"/>
      <w:sz w:val="24"/>
      <w:lang w:eastAsia="en-US"/>
    </w:rPr>
  </w:style>
  <w:style w:type="paragraph" w:styleId="Heading1">
    <w:name w:val="heading 1"/>
    <w:basedOn w:val="Normal"/>
    <w:next w:val="MoIBody"/>
    <w:rsid w:val="00B069CD"/>
    <w:pPr>
      <w:keepNext/>
      <w:keepLines/>
      <w:numPr>
        <w:numId w:val="1"/>
      </w:numPr>
      <w:spacing w:before="240" w:after="0"/>
      <w:outlineLvl w:val="0"/>
    </w:pPr>
    <w:rPr>
      <w:rFonts w:ascii="Times New Roman" w:eastAsia="Times New Roman" w:hAnsi="Times New Roman"/>
      <w:b/>
      <w:color w:val="2E74B5"/>
      <w:sz w:val="28"/>
      <w:szCs w:val="28"/>
    </w:rPr>
  </w:style>
  <w:style w:type="paragraph" w:styleId="Heading2">
    <w:name w:val="heading 2"/>
    <w:basedOn w:val="Normal"/>
    <w:next w:val="MoIBody"/>
    <w:rsid w:val="00B069CD"/>
    <w:pPr>
      <w:keepNext/>
      <w:keepLines/>
      <w:numPr>
        <w:ilvl w:val="1"/>
        <w:numId w:val="1"/>
      </w:numPr>
      <w:spacing w:before="240" w:after="120" w:line="240" w:lineRule="auto"/>
      <w:jc w:val="left"/>
      <w:outlineLvl w:val="1"/>
    </w:pPr>
    <w:rPr>
      <w:rFonts w:ascii="Times New Roman" w:eastAsia="Times New Roman" w:hAnsi="Times New Roman"/>
      <w:b/>
      <w:color w:val="2E74B5"/>
      <w:sz w:val="28"/>
      <w:szCs w:val="26"/>
    </w:rPr>
  </w:style>
  <w:style w:type="paragraph" w:styleId="Heading3">
    <w:name w:val="heading 3"/>
    <w:basedOn w:val="Normal"/>
    <w:next w:val="MoIBody"/>
    <w:rsid w:val="00B069CD"/>
    <w:pPr>
      <w:keepNext/>
      <w:keepLines/>
      <w:numPr>
        <w:ilvl w:val="2"/>
        <w:numId w:val="1"/>
      </w:numPr>
      <w:spacing w:before="120" w:after="0"/>
      <w:outlineLvl w:val="2"/>
    </w:pPr>
    <w:rPr>
      <w:rFonts w:eastAsia="Times New Roman"/>
      <w:b/>
      <w:color w:val="2E74B5"/>
      <w:szCs w:val="24"/>
    </w:rPr>
  </w:style>
  <w:style w:type="paragraph" w:styleId="Heading4">
    <w:name w:val="heading 4"/>
    <w:basedOn w:val="Heading3"/>
    <w:next w:val="MoIBody"/>
    <w:autoRedefine/>
    <w:rsid w:val="00C12A60"/>
    <w:pPr>
      <w:numPr>
        <w:ilvl w:val="0"/>
        <w:numId w:val="0"/>
      </w:numPr>
      <w:outlineLvl w:val="3"/>
    </w:pPr>
    <w:rPr>
      <w:i/>
      <w:iCs/>
    </w:rPr>
  </w:style>
  <w:style w:type="paragraph" w:styleId="Heading5">
    <w:name w:val="heading 5"/>
    <w:basedOn w:val="Normal"/>
    <w:next w:val="Normal"/>
    <w:rsid w:val="00B069CD"/>
    <w:pPr>
      <w:keepNext/>
      <w:keepLines/>
      <w:numPr>
        <w:ilvl w:val="4"/>
        <w:numId w:val="1"/>
      </w:numPr>
      <w:spacing w:before="40" w:after="0"/>
      <w:outlineLvl w:val="4"/>
    </w:pPr>
    <w:rPr>
      <w:rFonts w:ascii="Times New Roman" w:eastAsia="Times New Roman" w:hAnsi="Times New Roman"/>
      <w:color w:val="2E74B5"/>
      <w:lang w:eastAsia="bg-BG"/>
    </w:rPr>
  </w:style>
  <w:style w:type="paragraph" w:styleId="Heading6">
    <w:name w:val="heading 6"/>
    <w:basedOn w:val="Normal"/>
    <w:next w:val="Normal"/>
    <w:rsid w:val="00684D95"/>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basedOn w:val="Normal"/>
    <w:next w:val="Normal"/>
    <w:rsid w:val="00684D95"/>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rsid w:val="00684D95"/>
    <w:pPr>
      <w:keepNext/>
      <w:keepLines/>
      <w:numPr>
        <w:ilvl w:val="7"/>
        <w:numId w:val="1"/>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rsid w:val="00684D95"/>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rsid w:val="00684D95"/>
    <w:pPr>
      <w:numPr>
        <w:numId w:val="1"/>
      </w:numPr>
    </w:pPr>
  </w:style>
  <w:style w:type="character" w:customStyle="1" w:styleId="Heading1Char">
    <w:name w:val="Heading 1 Char"/>
    <w:basedOn w:val="DefaultParagraphFont"/>
    <w:rsid w:val="00684D95"/>
    <w:rPr>
      <w:rFonts w:ascii="Arial Narrow" w:eastAsia="Times New Roman" w:hAnsi="Arial Narrow"/>
      <w:b/>
      <w:color w:val="2E74B5"/>
      <w:sz w:val="32"/>
      <w:szCs w:val="32"/>
      <w:lang w:eastAsia="en-US"/>
    </w:rPr>
  </w:style>
  <w:style w:type="character" w:customStyle="1" w:styleId="Heading2Char">
    <w:name w:val="Heading 2 Char"/>
    <w:basedOn w:val="DefaultParagraphFont"/>
    <w:rsid w:val="00684D95"/>
    <w:rPr>
      <w:rFonts w:ascii="Arial Narrow" w:eastAsia="Times New Roman" w:hAnsi="Arial Narrow"/>
      <w:b/>
      <w:color w:val="2E74B5"/>
      <w:sz w:val="28"/>
      <w:szCs w:val="26"/>
      <w:lang w:eastAsia="en-US"/>
    </w:rPr>
  </w:style>
  <w:style w:type="character" w:customStyle="1" w:styleId="Heading3Char">
    <w:name w:val="Heading 3 Char"/>
    <w:basedOn w:val="DefaultParagraphFont"/>
    <w:rsid w:val="00684D95"/>
    <w:rPr>
      <w:rFonts w:ascii="Arial Narrow" w:eastAsia="Times New Roman" w:hAnsi="Arial Narrow"/>
      <w:b/>
      <w:color w:val="2E74B5"/>
      <w:sz w:val="24"/>
      <w:szCs w:val="24"/>
      <w:lang w:eastAsia="en-US"/>
    </w:rPr>
  </w:style>
  <w:style w:type="character" w:customStyle="1" w:styleId="Heading4Char">
    <w:name w:val="Heading 4 Char"/>
    <w:basedOn w:val="DefaultParagraphFont"/>
    <w:rsid w:val="00684D95"/>
    <w:rPr>
      <w:rFonts w:ascii="Arial Narrow" w:eastAsia="Times New Roman" w:hAnsi="Arial Narrow"/>
      <w:b/>
      <w:i/>
      <w:iCs/>
      <w:color w:val="2E74B5"/>
      <w:sz w:val="24"/>
      <w:szCs w:val="24"/>
      <w:lang w:eastAsia="en-US"/>
    </w:rPr>
  </w:style>
  <w:style w:type="character" w:customStyle="1" w:styleId="Heading5Char">
    <w:name w:val="Heading 5 Char"/>
    <w:basedOn w:val="DefaultParagraphFont"/>
    <w:rsid w:val="00684D95"/>
    <w:rPr>
      <w:rFonts w:ascii="Arial Narrow" w:eastAsia="Times New Roman" w:hAnsi="Arial Narrow"/>
      <w:color w:val="2E74B5"/>
      <w:sz w:val="24"/>
      <w:lang w:eastAsia="en-US"/>
    </w:rPr>
  </w:style>
  <w:style w:type="character" w:customStyle="1" w:styleId="Heading6Char">
    <w:name w:val="Heading 6 Char"/>
    <w:basedOn w:val="DefaultParagraphFont"/>
    <w:rsid w:val="00684D95"/>
    <w:rPr>
      <w:rFonts w:ascii="Calibri Light" w:eastAsia="Times New Roman" w:hAnsi="Calibri Light"/>
      <w:color w:val="1F4D78"/>
      <w:sz w:val="24"/>
      <w:lang w:eastAsia="en-US"/>
    </w:rPr>
  </w:style>
  <w:style w:type="character" w:customStyle="1" w:styleId="Heading7Char">
    <w:name w:val="Heading 7 Char"/>
    <w:basedOn w:val="DefaultParagraphFont"/>
    <w:rsid w:val="00684D95"/>
    <w:rPr>
      <w:rFonts w:ascii="Calibri Light" w:eastAsia="Times New Roman" w:hAnsi="Calibri Light"/>
      <w:i/>
      <w:iCs/>
      <w:color w:val="1F4D78"/>
      <w:sz w:val="24"/>
      <w:lang w:eastAsia="en-US"/>
    </w:rPr>
  </w:style>
  <w:style w:type="character" w:customStyle="1" w:styleId="Heading8Char">
    <w:name w:val="Heading 8 Char"/>
    <w:basedOn w:val="DefaultParagraphFont"/>
    <w:rsid w:val="00684D95"/>
    <w:rPr>
      <w:rFonts w:ascii="Calibri Light" w:eastAsia="Times New Roman" w:hAnsi="Calibri Light"/>
      <w:color w:val="272727"/>
      <w:sz w:val="21"/>
      <w:szCs w:val="21"/>
      <w:lang w:eastAsia="en-US"/>
    </w:rPr>
  </w:style>
  <w:style w:type="character" w:customStyle="1" w:styleId="Heading9Char">
    <w:name w:val="Heading 9 Char"/>
    <w:basedOn w:val="DefaultParagraphFont"/>
    <w:rsid w:val="00684D95"/>
    <w:rPr>
      <w:rFonts w:ascii="Calibri Light" w:eastAsia="Times New Roman" w:hAnsi="Calibri Light"/>
      <w:i/>
      <w:iCs/>
      <w:color w:val="272727"/>
      <w:sz w:val="21"/>
      <w:szCs w:val="21"/>
      <w:lang w:eastAsia="en-US"/>
    </w:rPr>
  </w:style>
  <w:style w:type="paragraph" w:styleId="Title">
    <w:name w:val="Title"/>
    <w:next w:val="Normal"/>
    <w:rsid w:val="00684D95"/>
    <w:pPr>
      <w:suppressAutoHyphens/>
      <w:spacing w:before="720"/>
      <w:jc w:val="center"/>
    </w:pPr>
    <w:rPr>
      <w:rFonts w:ascii="Arial" w:eastAsia="Times New Roman" w:hAnsi="Arial"/>
      <w:b/>
      <w:spacing w:val="-10"/>
      <w:kern w:val="3"/>
      <w:sz w:val="36"/>
      <w:szCs w:val="56"/>
      <w:lang w:eastAsia="en-US"/>
    </w:rPr>
  </w:style>
  <w:style w:type="character" w:customStyle="1" w:styleId="TitleChar">
    <w:name w:val="Title Char"/>
    <w:basedOn w:val="DefaultParagraphFont"/>
    <w:rsid w:val="00684D95"/>
    <w:rPr>
      <w:rFonts w:ascii="Arial" w:eastAsia="Times New Roman" w:hAnsi="Arial"/>
      <w:b/>
      <w:spacing w:val="-10"/>
      <w:kern w:val="3"/>
      <w:sz w:val="36"/>
      <w:szCs w:val="56"/>
      <w:lang w:eastAsia="en-US"/>
    </w:rPr>
  </w:style>
  <w:style w:type="character" w:styleId="CommentReference">
    <w:name w:val="annotation reference"/>
    <w:basedOn w:val="DefaultParagraphFont"/>
    <w:rsid w:val="00684D95"/>
    <w:rPr>
      <w:rFonts w:cs="Times New Roman"/>
      <w:sz w:val="16"/>
      <w:szCs w:val="16"/>
    </w:rPr>
  </w:style>
  <w:style w:type="paragraph" w:styleId="CommentText">
    <w:name w:val="annotation text"/>
    <w:basedOn w:val="Normal"/>
    <w:rsid w:val="00684D95"/>
    <w:pPr>
      <w:spacing w:after="0" w:line="240" w:lineRule="auto"/>
    </w:pPr>
    <w:rPr>
      <w:rFonts w:ascii="Arial" w:hAnsi="Arial" w:cs="Arial"/>
      <w:color w:val="000000"/>
      <w:sz w:val="20"/>
      <w:szCs w:val="20"/>
      <w:lang w:val="en-US"/>
    </w:rPr>
  </w:style>
  <w:style w:type="character" w:customStyle="1" w:styleId="CommentTextChar">
    <w:name w:val="Comment Text Char"/>
    <w:basedOn w:val="DefaultParagraphFont"/>
    <w:rsid w:val="00684D95"/>
    <w:rPr>
      <w:rFonts w:ascii="Arial" w:eastAsia="Times New Roman" w:hAnsi="Arial" w:cs="Arial"/>
      <w:color w:val="000000"/>
      <w:sz w:val="20"/>
      <w:szCs w:val="20"/>
      <w:lang w:val="en-US"/>
    </w:rPr>
  </w:style>
  <w:style w:type="paragraph" w:styleId="BalloonText">
    <w:name w:val="Balloon Text"/>
    <w:basedOn w:val="Normal"/>
    <w:rsid w:val="00684D95"/>
    <w:pPr>
      <w:spacing w:after="0" w:line="240" w:lineRule="auto"/>
    </w:pPr>
    <w:rPr>
      <w:rFonts w:ascii="Segoe UI" w:hAnsi="Segoe UI" w:cs="Segoe UI"/>
      <w:sz w:val="18"/>
      <w:szCs w:val="18"/>
    </w:rPr>
  </w:style>
  <w:style w:type="character" w:customStyle="1" w:styleId="BalloonTextChar">
    <w:name w:val="Balloon Text Char"/>
    <w:basedOn w:val="DefaultParagraphFont"/>
    <w:rsid w:val="00684D95"/>
    <w:rPr>
      <w:rFonts w:ascii="Segoe UI" w:hAnsi="Segoe UI" w:cs="Segoe UI"/>
      <w:sz w:val="18"/>
      <w:szCs w:val="18"/>
    </w:rPr>
  </w:style>
  <w:style w:type="paragraph" w:styleId="TOC1">
    <w:name w:val="toc 1"/>
    <w:basedOn w:val="Normal"/>
    <w:next w:val="Normal"/>
    <w:autoRedefine/>
    <w:uiPriority w:val="39"/>
    <w:rsid w:val="00FB65B8"/>
    <w:pPr>
      <w:keepNext/>
      <w:tabs>
        <w:tab w:val="left" w:pos="426"/>
        <w:tab w:val="right" w:leader="dot" w:pos="10065"/>
      </w:tabs>
      <w:spacing w:before="120" w:after="0"/>
    </w:pPr>
    <w:rPr>
      <w:rFonts w:ascii="Times New Roman" w:eastAsia="Times New Roman" w:hAnsi="Times New Roman"/>
      <w:bCs/>
      <w:lang w:val="en-US"/>
    </w:rPr>
  </w:style>
  <w:style w:type="paragraph" w:styleId="TOC2">
    <w:name w:val="toc 2"/>
    <w:basedOn w:val="Normal"/>
    <w:next w:val="Normal"/>
    <w:autoRedefine/>
    <w:uiPriority w:val="39"/>
    <w:rsid w:val="00C66077"/>
    <w:pPr>
      <w:tabs>
        <w:tab w:val="left" w:pos="567"/>
        <w:tab w:val="right" w:leader="dot" w:pos="10065"/>
      </w:tabs>
      <w:spacing w:before="60" w:after="0"/>
    </w:pPr>
    <w:rPr>
      <w:rFonts w:ascii="Times New Roman" w:eastAsia="Times New Roman" w:hAnsi="Times New Roman"/>
      <w:noProof/>
      <w:lang w:val="en-US"/>
    </w:rPr>
  </w:style>
  <w:style w:type="paragraph" w:styleId="TOC3">
    <w:name w:val="toc 3"/>
    <w:basedOn w:val="Normal"/>
    <w:next w:val="Normal"/>
    <w:autoRedefine/>
    <w:uiPriority w:val="39"/>
    <w:rsid w:val="00C66077"/>
    <w:pPr>
      <w:tabs>
        <w:tab w:val="left" w:pos="1276"/>
        <w:tab w:val="right" w:leader="dot" w:pos="10065"/>
      </w:tabs>
      <w:spacing w:after="0"/>
      <w:ind w:left="567"/>
    </w:pPr>
    <w:rPr>
      <w:rFonts w:ascii="Times New Roman" w:eastAsia="Times New Roman" w:hAnsi="Times New Roman"/>
      <w:iCs/>
      <w:lang w:val="en-US"/>
    </w:rPr>
  </w:style>
  <w:style w:type="paragraph" w:styleId="TOC4">
    <w:name w:val="toc 4"/>
    <w:basedOn w:val="Normal"/>
    <w:next w:val="Normal"/>
    <w:autoRedefine/>
    <w:uiPriority w:val="39"/>
    <w:rsid w:val="00684D95"/>
    <w:pPr>
      <w:spacing w:after="0"/>
      <w:ind w:left="720"/>
    </w:pPr>
    <w:rPr>
      <w:sz w:val="18"/>
      <w:szCs w:val="18"/>
    </w:rPr>
  </w:style>
  <w:style w:type="paragraph" w:styleId="TOC5">
    <w:name w:val="toc 5"/>
    <w:basedOn w:val="Normal"/>
    <w:next w:val="Normal"/>
    <w:autoRedefine/>
    <w:uiPriority w:val="39"/>
    <w:rsid w:val="00684D95"/>
    <w:pPr>
      <w:spacing w:after="0"/>
      <w:ind w:left="960"/>
    </w:pPr>
    <w:rPr>
      <w:sz w:val="18"/>
      <w:szCs w:val="18"/>
    </w:rPr>
  </w:style>
  <w:style w:type="paragraph" w:styleId="TOC6">
    <w:name w:val="toc 6"/>
    <w:basedOn w:val="Normal"/>
    <w:next w:val="Normal"/>
    <w:autoRedefine/>
    <w:uiPriority w:val="39"/>
    <w:rsid w:val="00684D95"/>
    <w:pPr>
      <w:spacing w:after="0"/>
      <w:ind w:left="1200"/>
    </w:pPr>
    <w:rPr>
      <w:sz w:val="18"/>
      <w:szCs w:val="18"/>
    </w:rPr>
  </w:style>
  <w:style w:type="paragraph" w:styleId="TOC7">
    <w:name w:val="toc 7"/>
    <w:basedOn w:val="Normal"/>
    <w:next w:val="Normal"/>
    <w:autoRedefine/>
    <w:uiPriority w:val="39"/>
    <w:rsid w:val="00684D95"/>
    <w:pPr>
      <w:spacing w:after="0"/>
      <w:ind w:left="1440"/>
    </w:pPr>
    <w:rPr>
      <w:sz w:val="18"/>
      <w:szCs w:val="18"/>
    </w:rPr>
  </w:style>
  <w:style w:type="paragraph" w:styleId="TOC8">
    <w:name w:val="toc 8"/>
    <w:basedOn w:val="Normal"/>
    <w:next w:val="Normal"/>
    <w:autoRedefine/>
    <w:uiPriority w:val="39"/>
    <w:rsid w:val="00684D95"/>
    <w:pPr>
      <w:spacing w:after="0"/>
      <w:ind w:left="1680"/>
    </w:pPr>
    <w:rPr>
      <w:sz w:val="18"/>
      <w:szCs w:val="18"/>
    </w:rPr>
  </w:style>
  <w:style w:type="paragraph" w:styleId="TOC9">
    <w:name w:val="toc 9"/>
    <w:basedOn w:val="Normal"/>
    <w:next w:val="Normal"/>
    <w:autoRedefine/>
    <w:uiPriority w:val="39"/>
    <w:rsid w:val="00684D95"/>
    <w:pPr>
      <w:spacing w:after="0"/>
      <w:ind w:left="1920"/>
    </w:pPr>
    <w:rPr>
      <w:sz w:val="18"/>
      <w:szCs w:val="18"/>
    </w:rPr>
  </w:style>
  <w:style w:type="character" w:styleId="Hyperlink">
    <w:name w:val="Hyperlink"/>
    <w:basedOn w:val="DefaultParagraphFont"/>
    <w:uiPriority w:val="99"/>
    <w:rsid w:val="00684D95"/>
    <w:rPr>
      <w:rFonts w:cs="Times New Roman"/>
      <w:color w:val="0563C1"/>
      <w:u w:val="single"/>
    </w:rPr>
  </w:style>
  <w:style w:type="paragraph" w:styleId="Header">
    <w:name w:val="header"/>
    <w:basedOn w:val="Normal"/>
    <w:rsid w:val="00684D95"/>
    <w:pPr>
      <w:tabs>
        <w:tab w:val="center" w:pos="4536"/>
        <w:tab w:val="right" w:pos="9072"/>
      </w:tabs>
      <w:spacing w:after="0" w:line="240" w:lineRule="auto"/>
    </w:pPr>
  </w:style>
  <w:style w:type="character" w:customStyle="1" w:styleId="HeaderChar">
    <w:name w:val="Header Char"/>
    <w:basedOn w:val="DefaultParagraphFont"/>
    <w:rsid w:val="00684D95"/>
    <w:rPr>
      <w:rFonts w:cs="Times New Roman"/>
      <w:sz w:val="24"/>
    </w:rPr>
  </w:style>
  <w:style w:type="paragraph" w:styleId="Footer">
    <w:name w:val="footer"/>
    <w:aliases w:val="Stopka Znak"/>
    <w:basedOn w:val="Normal"/>
    <w:rsid w:val="00684D95"/>
    <w:pPr>
      <w:tabs>
        <w:tab w:val="center" w:pos="4536"/>
        <w:tab w:val="right" w:pos="9072"/>
      </w:tabs>
      <w:spacing w:after="0" w:line="240" w:lineRule="auto"/>
      <w:jc w:val="right"/>
    </w:pPr>
    <w:rPr>
      <w:rFonts w:ascii="Calibri" w:hAnsi="Calibri"/>
      <w:sz w:val="22"/>
    </w:rPr>
  </w:style>
  <w:style w:type="character" w:customStyle="1" w:styleId="FooterChar">
    <w:name w:val="Footer Char"/>
    <w:aliases w:val="Stopka Znak Char"/>
    <w:basedOn w:val="DefaultParagraphFont"/>
    <w:rsid w:val="00684D95"/>
    <w:rPr>
      <w:rFonts w:ascii="Calibri" w:hAnsi="Calibri"/>
      <w:lang w:eastAsia="en-US"/>
    </w:rPr>
  </w:style>
  <w:style w:type="paragraph" w:customStyle="1" w:styleId="CM1">
    <w:name w:val="CM1"/>
    <w:basedOn w:val="Normal"/>
    <w:next w:val="Normal"/>
    <w:rsid w:val="00684D95"/>
    <w:pPr>
      <w:autoSpaceDE w:val="0"/>
      <w:spacing w:after="0" w:line="240" w:lineRule="auto"/>
    </w:pPr>
    <w:rPr>
      <w:rFonts w:ascii="EUAlbertina" w:hAnsi="EUAlbertina"/>
      <w:szCs w:val="24"/>
    </w:rPr>
  </w:style>
  <w:style w:type="paragraph" w:customStyle="1" w:styleId="CM3">
    <w:name w:val="CM3"/>
    <w:basedOn w:val="Normal"/>
    <w:next w:val="Normal"/>
    <w:rsid w:val="00684D95"/>
    <w:pPr>
      <w:autoSpaceDE w:val="0"/>
      <w:spacing w:after="0" w:line="240" w:lineRule="auto"/>
    </w:pPr>
    <w:rPr>
      <w:rFonts w:ascii="EUAlbertina" w:hAnsi="EUAlbertina"/>
      <w:szCs w:val="24"/>
    </w:rPr>
  </w:style>
  <w:style w:type="paragraph" w:customStyle="1" w:styleId="MoIBody">
    <w:name w:val="MoI Body"/>
    <w:rsid w:val="00561396"/>
    <w:pPr>
      <w:suppressAutoHyphens/>
      <w:spacing w:before="120" w:after="120" w:line="271" w:lineRule="auto"/>
      <w:jc w:val="both"/>
    </w:pPr>
    <w:rPr>
      <w:rFonts w:ascii="Times New Roman" w:hAnsi="Times New Roman"/>
      <w:color w:val="000000"/>
      <w:sz w:val="24"/>
      <w:lang w:eastAsia="en-US"/>
    </w:rPr>
  </w:style>
  <w:style w:type="paragraph" w:styleId="ListParagraph">
    <w:name w:val="List Paragraph"/>
    <w:basedOn w:val="Normal"/>
    <w:uiPriority w:val="34"/>
    <w:qFormat/>
    <w:rsid w:val="00684D95"/>
    <w:pPr>
      <w:ind w:left="1440" w:hanging="360"/>
    </w:pPr>
    <w:rPr>
      <w:szCs w:val="20"/>
      <w:lang w:eastAsia="bg-BG"/>
    </w:rPr>
  </w:style>
  <w:style w:type="paragraph" w:customStyle="1" w:styleId="Default">
    <w:name w:val="Default"/>
    <w:rsid w:val="00684D95"/>
    <w:pPr>
      <w:suppressAutoHyphens/>
      <w:autoSpaceDE w:val="0"/>
    </w:pPr>
    <w:rPr>
      <w:rFonts w:cs="Calibri"/>
      <w:color w:val="000000"/>
      <w:sz w:val="24"/>
      <w:szCs w:val="24"/>
      <w:lang w:eastAsia="en-US"/>
    </w:rPr>
  </w:style>
  <w:style w:type="paragraph" w:customStyle="1" w:styleId="MoIListNumber1">
    <w:name w:val="MoI List Number 1"/>
    <w:rsid w:val="00684D95"/>
    <w:pPr>
      <w:numPr>
        <w:numId w:val="4"/>
      </w:numPr>
      <w:suppressAutoHyphens/>
      <w:spacing w:before="60" w:line="247" w:lineRule="auto"/>
      <w:jc w:val="both"/>
    </w:pPr>
    <w:rPr>
      <w:rFonts w:cs="Arial"/>
      <w:color w:val="000000"/>
      <w:sz w:val="24"/>
      <w:lang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rsid w:val="00684D95"/>
    <w:pPr>
      <w:spacing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uiPriority w:val="99"/>
    <w:rsid w:val="00684D95"/>
    <w:rPr>
      <w:rFonts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rsid w:val="00684D95"/>
    <w:rPr>
      <w:rFonts w:cs="Times New Roman"/>
      <w:position w:val="0"/>
      <w:vertAlign w:val="superscript"/>
    </w:rPr>
  </w:style>
  <w:style w:type="paragraph" w:styleId="Caption">
    <w:name w:val="caption"/>
    <w:basedOn w:val="Normal"/>
    <w:next w:val="Normal"/>
    <w:rsid w:val="001D53BA"/>
    <w:pPr>
      <w:tabs>
        <w:tab w:val="left" w:pos="1701"/>
      </w:tabs>
      <w:spacing w:after="200" w:line="240" w:lineRule="auto"/>
      <w:ind w:left="1701" w:hanging="993"/>
    </w:pPr>
    <w:rPr>
      <w:rFonts w:asciiTheme="minorHAnsi" w:hAnsiTheme="minorHAnsi" w:cstheme="minorHAnsi"/>
      <w:i/>
      <w:iCs/>
      <w:color w:val="0070C0"/>
      <w:sz w:val="20"/>
      <w:szCs w:val="20"/>
    </w:rPr>
  </w:style>
  <w:style w:type="character" w:customStyle="1" w:styleId="apple-converted-space">
    <w:name w:val="apple-converted-space"/>
    <w:basedOn w:val="DefaultParagraphFont"/>
    <w:rsid w:val="00684D95"/>
    <w:rPr>
      <w:rFonts w:cs="Times New Roman"/>
    </w:rPr>
  </w:style>
  <w:style w:type="character" w:customStyle="1" w:styleId="samedocreference">
    <w:name w:val="samedocreference"/>
    <w:basedOn w:val="DefaultParagraphFont"/>
    <w:rsid w:val="00684D95"/>
    <w:rPr>
      <w:rFonts w:cs="Times New Roman"/>
    </w:rPr>
  </w:style>
  <w:style w:type="paragraph" w:styleId="CommentSubject">
    <w:name w:val="annotation subject"/>
    <w:basedOn w:val="CommentText"/>
    <w:next w:val="CommentText"/>
    <w:rsid w:val="00684D95"/>
    <w:pPr>
      <w:spacing w:after="160"/>
    </w:pPr>
    <w:rPr>
      <w:rFonts w:ascii="Calibri" w:hAnsi="Calibri" w:cs="Times New Roman"/>
      <w:b/>
      <w:bCs/>
      <w:color w:val="auto"/>
      <w:lang w:val="bg-BG"/>
    </w:rPr>
  </w:style>
  <w:style w:type="character" w:customStyle="1" w:styleId="CommentSubjectChar">
    <w:name w:val="Comment Subject Char"/>
    <w:basedOn w:val="CommentTextChar"/>
    <w:rsid w:val="00684D95"/>
    <w:rPr>
      <w:rFonts w:ascii="Arial" w:eastAsia="Times New Roman" w:hAnsi="Arial" w:cs="Arial"/>
      <w:b/>
      <w:bCs/>
      <w:color w:val="000000"/>
      <w:sz w:val="20"/>
      <w:szCs w:val="20"/>
      <w:lang w:val="en-US"/>
    </w:rPr>
  </w:style>
  <w:style w:type="paragraph" w:styleId="NormalWeb">
    <w:name w:val="Normal (Web)"/>
    <w:basedOn w:val="Normal"/>
    <w:uiPriority w:val="99"/>
    <w:rsid w:val="00684D95"/>
    <w:pPr>
      <w:spacing w:before="100" w:after="100" w:line="240" w:lineRule="auto"/>
      <w:jc w:val="left"/>
    </w:pPr>
    <w:rPr>
      <w:rFonts w:ascii="Times New Roman" w:eastAsia="Times New Roman" w:hAnsi="Times New Roman"/>
      <w:szCs w:val="24"/>
      <w:lang w:eastAsia="bg-BG"/>
    </w:rPr>
  </w:style>
  <w:style w:type="paragraph" w:customStyle="1" w:styleId="MoIBodyHeading">
    <w:name w:val="MoI Body Heading"/>
    <w:rsid w:val="00684D95"/>
    <w:pPr>
      <w:keepNext/>
      <w:suppressAutoHyphens/>
      <w:spacing w:before="120"/>
      <w:jc w:val="both"/>
    </w:pPr>
    <w:rPr>
      <w:rFonts w:cs="Arial"/>
      <w:b/>
      <w:color w:val="000000"/>
      <w:sz w:val="24"/>
      <w:lang w:eastAsia="en-US"/>
    </w:rPr>
  </w:style>
  <w:style w:type="paragraph" w:customStyle="1" w:styleId="1">
    <w:name w:val="Списък на абзаци1"/>
    <w:basedOn w:val="Normal"/>
    <w:rsid w:val="00684D95"/>
    <w:pPr>
      <w:widowControl w:val="0"/>
      <w:shd w:val="clear" w:color="auto" w:fill="FFFFFF"/>
      <w:autoSpaceDE w:val="0"/>
      <w:spacing w:after="120" w:line="240" w:lineRule="auto"/>
      <w:ind w:left="720" w:firstLine="708"/>
    </w:pPr>
    <w:rPr>
      <w:rFonts w:ascii="Arial" w:eastAsia="Times New Roman" w:hAnsi="Arial" w:cs="Arial"/>
      <w:sz w:val="20"/>
      <w:szCs w:val="20"/>
      <w:lang w:val="en-US"/>
    </w:rPr>
  </w:style>
  <w:style w:type="character" w:styleId="FollowedHyperlink">
    <w:name w:val="FollowedHyperlink"/>
    <w:basedOn w:val="DefaultParagraphFont"/>
    <w:rsid w:val="00684D95"/>
    <w:rPr>
      <w:rFonts w:cs="Times New Roman"/>
      <w:color w:val="954F72"/>
      <w:u w:val="single"/>
    </w:rPr>
  </w:style>
  <w:style w:type="paragraph" w:customStyle="1" w:styleId="TableOutline2">
    <w:name w:val="Table Outline 2"/>
    <w:basedOn w:val="Normal"/>
    <w:rsid w:val="00684D95"/>
    <w:pPr>
      <w:keepNext/>
      <w:numPr>
        <w:numId w:val="5"/>
      </w:numPr>
      <w:spacing w:after="0" w:line="240" w:lineRule="auto"/>
      <w:outlineLvl w:val="1"/>
    </w:pPr>
    <w:rPr>
      <w:rFonts w:ascii="Arial" w:eastAsia="Times New Roman" w:hAnsi="Arial" w:cs="Arial"/>
      <w:color w:val="000000"/>
      <w:sz w:val="20"/>
      <w:szCs w:val="20"/>
      <w:lang w:eastAsia="bg-BG"/>
    </w:rPr>
  </w:style>
  <w:style w:type="paragraph" w:customStyle="1" w:styleId="TableOutline3">
    <w:name w:val="Table Outline 3"/>
    <w:basedOn w:val="Normal"/>
    <w:rsid w:val="00684D95"/>
    <w:pPr>
      <w:tabs>
        <w:tab w:val="left" w:pos="643"/>
      </w:tabs>
      <w:spacing w:after="0" w:line="240" w:lineRule="auto"/>
      <w:ind w:left="643" w:hanging="360"/>
    </w:pPr>
    <w:rPr>
      <w:rFonts w:ascii="Verdana" w:eastAsia="Times New Roman" w:hAnsi="Verdana"/>
      <w:sz w:val="16"/>
      <w:szCs w:val="24"/>
      <w:lang w:eastAsia="bg-BG"/>
    </w:rPr>
  </w:style>
  <w:style w:type="paragraph" w:customStyle="1" w:styleId="TableRowHead10">
    <w:name w:val="Table Row Head 10"/>
    <w:basedOn w:val="Normal"/>
    <w:rsid w:val="00684D95"/>
    <w:pPr>
      <w:spacing w:after="0" w:line="240" w:lineRule="auto"/>
      <w:jc w:val="left"/>
    </w:pPr>
    <w:rPr>
      <w:rFonts w:ascii="Verdana" w:eastAsia="Times New Roman" w:hAnsi="Verdana"/>
      <w:b/>
      <w:i/>
      <w:sz w:val="16"/>
      <w:szCs w:val="24"/>
      <w:lang w:val="en-US"/>
    </w:rPr>
  </w:style>
  <w:style w:type="character" w:customStyle="1" w:styleId="ListParagraphChar">
    <w:name w:val="List Paragraph Char"/>
    <w:uiPriority w:val="34"/>
    <w:rsid w:val="00684D95"/>
    <w:rPr>
      <w:rFonts w:ascii="Arial Narrow" w:hAnsi="Arial Narrow"/>
      <w:sz w:val="24"/>
    </w:rPr>
  </w:style>
  <w:style w:type="paragraph" w:customStyle="1" w:styleId="TableSectionHead">
    <w:name w:val="Table Section Head"/>
    <w:basedOn w:val="Normal"/>
    <w:rsid w:val="00684D95"/>
    <w:pPr>
      <w:spacing w:after="0" w:line="240" w:lineRule="auto"/>
      <w:jc w:val="left"/>
    </w:pPr>
    <w:rPr>
      <w:rFonts w:ascii="Verdana" w:eastAsia="Times New Roman" w:hAnsi="Verdana"/>
      <w:b/>
      <w:sz w:val="20"/>
      <w:szCs w:val="24"/>
      <w:lang w:eastAsia="bg-BG"/>
    </w:rPr>
  </w:style>
  <w:style w:type="paragraph" w:customStyle="1" w:styleId="TableText">
    <w:name w:val="Table Text"/>
    <w:basedOn w:val="Normal"/>
    <w:rsid w:val="00684D95"/>
    <w:pPr>
      <w:spacing w:after="0" w:line="240" w:lineRule="auto"/>
      <w:jc w:val="center"/>
    </w:pPr>
    <w:rPr>
      <w:rFonts w:ascii="Times New Roman" w:hAnsi="Times New Roman"/>
      <w:sz w:val="22"/>
      <w:lang w:val="en-US"/>
    </w:rPr>
  </w:style>
  <w:style w:type="character" w:customStyle="1" w:styleId="TableTextChar">
    <w:name w:val="Table Text Char"/>
    <w:basedOn w:val="DefaultParagraphFont"/>
    <w:rsid w:val="00684D95"/>
    <w:rPr>
      <w:rFonts w:ascii="Times New Roman" w:hAnsi="Times New Roman" w:cs="Times New Roman"/>
      <w:lang w:val="en-US"/>
    </w:rPr>
  </w:style>
  <w:style w:type="paragraph" w:customStyle="1" w:styleId="TN1">
    <w:name w:val="TN1"/>
    <w:basedOn w:val="Normal"/>
    <w:rsid w:val="00684D95"/>
    <w:pPr>
      <w:keepNext/>
      <w:pageBreakBefore/>
      <w:numPr>
        <w:numId w:val="6"/>
      </w:numPr>
      <w:tabs>
        <w:tab w:val="left" w:pos="-1734"/>
      </w:tabs>
      <w:spacing w:before="60" w:after="60" w:line="240" w:lineRule="auto"/>
    </w:pPr>
    <w:rPr>
      <w:rFonts w:ascii="Arial" w:eastAsia="Times New Roman" w:hAnsi="Arial" w:cs="Arial"/>
      <w:b/>
      <w:i/>
      <w:iCs/>
      <w:sz w:val="20"/>
      <w:szCs w:val="20"/>
      <w:lang w:eastAsia="bg-BG"/>
    </w:rPr>
  </w:style>
  <w:style w:type="character" w:customStyle="1" w:styleId="TN1Char">
    <w:name w:val="TN1 Char"/>
    <w:basedOn w:val="DefaultParagraphFont"/>
    <w:rsid w:val="00684D95"/>
    <w:rPr>
      <w:rFonts w:ascii="Arial" w:eastAsia="Times New Roman" w:hAnsi="Arial" w:cs="Arial"/>
      <w:b/>
      <w:i/>
      <w:iCs/>
      <w:sz w:val="20"/>
      <w:szCs w:val="20"/>
    </w:rPr>
  </w:style>
  <w:style w:type="character" w:customStyle="1" w:styleId="shorttext">
    <w:name w:val="short_text"/>
    <w:basedOn w:val="DefaultParagraphFont"/>
    <w:rsid w:val="00684D95"/>
    <w:rPr>
      <w:rFonts w:cs="Times New Roman"/>
    </w:rPr>
  </w:style>
  <w:style w:type="paragraph" w:styleId="Revision">
    <w:name w:val="Revision"/>
    <w:rsid w:val="00684D95"/>
    <w:pPr>
      <w:suppressAutoHyphens/>
    </w:pPr>
    <w:rPr>
      <w:rFonts w:ascii="Arial Narrow" w:hAnsi="Arial Narrow"/>
      <w:sz w:val="24"/>
      <w:lang w:eastAsia="en-US"/>
    </w:rPr>
  </w:style>
  <w:style w:type="character" w:styleId="PageNumber">
    <w:name w:val="page number"/>
    <w:basedOn w:val="DefaultParagraphFont"/>
    <w:rsid w:val="00684D95"/>
    <w:rPr>
      <w:rFonts w:cs="Times New Roman"/>
    </w:rPr>
  </w:style>
  <w:style w:type="paragraph" w:styleId="EndnoteText">
    <w:name w:val="endnote text"/>
    <w:basedOn w:val="Normal"/>
    <w:rsid w:val="00684D95"/>
    <w:pPr>
      <w:spacing w:after="0" w:line="240" w:lineRule="auto"/>
    </w:pPr>
    <w:rPr>
      <w:sz w:val="20"/>
      <w:szCs w:val="20"/>
    </w:rPr>
  </w:style>
  <w:style w:type="character" w:customStyle="1" w:styleId="EndnoteTextChar">
    <w:name w:val="Endnote Text Char"/>
    <w:basedOn w:val="DefaultParagraphFont"/>
    <w:rsid w:val="00684D95"/>
    <w:rPr>
      <w:rFonts w:ascii="Arial Narrow" w:hAnsi="Arial Narrow" w:cs="Times New Roman"/>
      <w:sz w:val="20"/>
      <w:szCs w:val="20"/>
    </w:rPr>
  </w:style>
  <w:style w:type="character" w:styleId="EndnoteReference">
    <w:name w:val="endnote reference"/>
    <w:basedOn w:val="DefaultParagraphFont"/>
    <w:rsid w:val="00684D95"/>
    <w:rPr>
      <w:rFonts w:cs="Times New Roman"/>
      <w:position w:val="0"/>
      <w:vertAlign w:val="superscript"/>
    </w:rPr>
  </w:style>
  <w:style w:type="paragraph" w:customStyle="1" w:styleId="MoITableHeader">
    <w:name w:val="MoI Table Header"/>
    <w:rsid w:val="00684D95"/>
    <w:pPr>
      <w:suppressAutoHyphens/>
      <w:spacing w:before="60" w:after="60"/>
      <w:jc w:val="center"/>
    </w:pPr>
    <w:rPr>
      <w:rFonts w:ascii="Arial Narrow" w:hAnsi="Arial Narrow"/>
      <w:b/>
      <w:bCs/>
      <w:lang w:eastAsia="en-US"/>
    </w:rPr>
  </w:style>
  <w:style w:type="paragraph" w:customStyle="1" w:styleId="REQID">
    <w:name w:val="REQ_ID"/>
    <w:rsid w:val="00684D95"/>
    <w:pPr>
      <w:numPr>
        <w:numId w:val="8"/>
      </w:numPr>
      <w:suppressAutoHyphens/>
    </w:pPr>
    <w:rPr>
      <w:rFonts w:ascii="Arial Narrow" w:hAnsi="Arial Narrow"/>
      <w:sz w:val="24"/>
      <w:lang w:eastAsia="en-US"/>
    </w:rPr>
  </w:style>
  <w:style w:type="character" w:customStyle="1" w:styleId="newdocreference">
    <w:name w:val="newdocreference"/>
    <w:basedOn w:val="DefaultParagraphFont"/>
    <w:rsid w:val="00684D95"/>
  </w:style>
  <w:style w:type="paragraph" w:customStyle="1" w:styleId="REQTableSectionHeading">
    <w:name w:val="REQ Table Section Heading"/>
    <w:rsid w:val="00684D95"/>
    <w:pPr>
      <w:keepNext/>
      <w:suppressAutoHyphens/>
    </w:pPr>
    <w:rPr>
      <w:b/>
      <w:sz w:val="24"/>
      <w:lang w:eastAsia="en-US"/>
    </w:rPr>
  </w:style>
  <w:style w:type="paragraph" w:styleId="Subtitle">
    <w:name w:val="Subtitle"/>
    <w:basedOn w:val="Normal"/>
    <w:next w:val="Normal"/>
    <w:rsid w:val="00684D95"/>
    <w:pPr>
      <w:spacing w:after="0" w:line="240" w:lineRule="auto"/>
      <w:jc w:val="center"/>
    </w:pPr>
    <w:rPr>
      <w:rFonts w:ascii="Calibri" w:eastAsia="Times New Roman" w:hAnsi="Calibri"/>
      <w:b/>
      <w:sz w:val="28"/>
    </w:rPr>
  </w:style>
  <w:style w:type="character" w:customStyle="1" w:styleId="SubtitleChar">
    <w:name w:val="Subtitle Char"/>
    <w:basedOn w:val="DefaultParagraphFont"/>
    <w:rsid w:val="00684D95"/>
    <w:rPr>
      <w:rFonts w:ascii="Calibri" w:eastAsia="Times New Roman" w:hAnsi="Calibri" w:cs="Times New Roman"/>
      <w:b/>
      <w:sz w:val="28"/>
      <w:lang w:eastAsia="en-US"/>
    </w:rPr>
  </w:style>
  <w:style w:type="paragraph" w:customStyle="1" w:styleId="REQTableNumberList1">
    <w:name w:val="REQ Table Number List 1"/>
    <w:rsid w:val="00684D95"/>
    <w:pPr>
      <w:numPr>
        <w:numId w:val="9"/>
      </w:numPr>
      <w:suppressAutoHyphens/>
    </w:pPr>
    <w:rPr>
      <w:rFonts w:ascii="Arial Narrow" w:hAnsi="Arial Narrow" w:cs="Arial"/>
      <w:color w:val="000000"/>
      <w:sz w:val="24"/>
      <w:lang w:val="en-US" w:eastAsia="en-US"/>
    </w:rPr>
  </w:style>
  <w:style w:type="paragraph" w:customStyle="1" w:styleId="REQTableText">
    <w:name w:val="REQ Table Text"/>
    <w:rsid w:val="00684D95"/>
    <w:pPr>
      <w:suppressAutoHyphens/>
      <w:jc w:val="both"/>
    </w:pPr>
    <w:rPr>
      <w:rFonts w:ascii="Arial Narrow" w:hAnsi="Arial Narrow"/>
      <w:sz w:val="24"/>
      <w:lang w:eastAsia="en-US"/>
    </w:rPr>
  </w:style>
  <w:style w:type="paragraph" w:customStyle="1" w:styleId="REQTableHeading">
    <w:name w:val="REQ Table Heading"/>
    <w:rsid w:val="00684D95"/>
    <w:pPr>
      <w:keepNext/>
      <w:suppressAutoHyphens/>
      <w:spacing w:line="247" w:lineRule="auto"/>
    </w:pPr>
    <w:rPr>
      <w:rFonts w:ascii="Arial Narrow" w:hAnsi="Arial Narrow"/>
      <w:b/>
      <w:bCs/>
      <w:color w:val="FFFFFF"/>
      <w:sz w:val="24"/>
      <w:lang w:eastAsia="en-US"/>
    </w:rPr>
  </w:style>
  <w:style w:type="paragraph" w:customStyle="1" w:styleId="REQTableBullet1">
    <w:name w:val="REQ Table Bullet 1"/>
    <w:rsid w:val="00684D95"/>
    <w:pPr>
      <w:numPr>
        <w:numId w:val="10"/>
      </w:numPr>
      <w:suppressAutoHyphens/>
      <w:jc w:val="both"/>
    </w:pPr>
    <w:rPr>
      <w:rFonts w:ascii="Arial Narrow" w:hAnsi="Arial Narrow"/>
      <w:sz w:val="24"/>
      <w:szCs w:val="20"/>
    </w:rPr>
  </w:style>
  <w:style w:type="paragraph" w:customStyle="1" w:styleId="REQTableBullet2">
    <w:name w:val="REQ Table Bullet 2"/>
    <w:rsid w:val="00684D95"/>
    <w:pPr>
      <w:numPr>
        <w:numId w:val="7"/>
      </w:numPr>
      <w:suppressAutoHyphens/>
    </w:pPr>
    <w:rPr>
      <w:rFonts w:ascii="Arial Narrow" w:hAnsi="Arial Narrow"/>
      <w:sz w:val="24"/>
      <w:szCs w:val="24"/>
      <w:lang w:eastAsia="en-US"/>
    </w:rPr>
  </w:style>
  <w:style w:type="paragraph" w:customStyle="1" w:styleId="MoIBullet1">
    <w:name w:val="MoI Bullet 1"/>
    <w:rsid w:val="00684D95"/>
    <w:pPr>
      <w:numPr>
        <w:numId w:val="11"/>
      </w:numPr>
      <w:suppressAutoHyphens/>
      <w:spacing w:before="60"/>
      <w:jc w:val="both"/>
    </w:pPr>
    <w:rPr>
      <w:sz w:val="24"/>
      <w:szCs w:val="20"/>
    </w:rPr>
  </w:style>
  <w:style w:type="paragraph" w:customStyle="1" w:styleId="MoIBullet2">
    <w:name w:val="MoI Bullet 2"/>
    <w:rsid w:val="00684D95"/>
    <w:pPr>
      <w:numPr>
        <w:numId w:val="12"/>
      </w:numPr>
      <w:suppressAutoHyphens/>
      <w:spacing w:line="247" w:lineRule="auto"/>
      <w:jc w:val="both"/>
    </w:pPr>
    <w:rPr>
      <w:sz w:val="24"/>
      <w:szCs w:val="20"/>
    </w:rPr>
  </w:style>
  <w:style w:type="character" w:customStyle="1" w:styleId="FontStyle35">
    <w:name w:val="Font Style35"/>
    <w:rsid w:val="00684D95"/>
    <w:rPr>
      <w:rFonts w:ascii="Arial" w:hAnsi="Arial" w:cs="Arial"/>
      <w:sz w:val="20"/>
      <w:szCs w:val="20"/>
    </w:rPr>
  </w:style>
  <w:style w:type="paragraph" w:customStyle="1" w:styleId="TableCompactHeading">
    <w:name w:val="Table Compact Heading"/>
    <w:rsid w:val="00684D95"/>
    <w:pPr>
      <w:suppressAutoHyphens/>
    </w:pPr>
    <w:rPr>
      <w:rFonts w:ascii="Arial Narrow" w:hAnsi="Arial Narrow"/>
      <w:b/>
      <w:bCs/>
      <w:color w:val="FFFFFF"/>
      <w:sz w:val="20"/>
      <w:szCs w:val="20"/>
      <w:lang w:eastAsia="en-US"/>
    </w:rPr>
  </w:style>
  <w:style w:type="numbering" w:customStyle="1" w:styleId="WWOutlineListStyle1">
    <w:name w:val="WW_OutlineListStyle_1"/>
    <w:basedOn w:val="NoList"/>
    <w:rsid w:val="00684D95"/>
    <w:pPr>
      <w:numPr>
        <w:numId w:val="2"/>
      </w:numPr>
    </w:pPr>
  </w:style>
  <w:style w:type="numbering" w:customStyle="1" w:styleId="WWOutlineListStyle">
    <w:name w:val="WW_OutlineListStyle"/>
    <w:basedOn w:val="NoList"/>
    <w:rsid w:val="00684D95"/>
    <w:pPr>
      <w:numPr>
        <w:numId w:val="3"/>
      </w:numPr>
    </w:pPr>
  </w:style>
  <w:style w:type="numbering" w:customStyle="1" w:styleId="LFO2">
    <w:name w:val="LFO2"/>
    <w:basedOn w:val="NoList"/>
    <w:rsid w:val="00684D95"/>
    <w:pPr>
      <w:numPr>
        <w:numId w:val="4"/>
      </w:numPr>
    </w:pPr>
  </w:style>
  <w:style w:type="numbering" w:customStyle="1" w:styleId="LFO5">
    <w:name w:val="LFO5"/>
    <w:basedOn w:val="NoList"/>
    <w:rsid w:val="00684D95"/>
    <w:pPr>
      <w:numPr>
        <w:numId w:val="5"/>
      </w:numPr>
    </w:pPr>
  </w:style>
  <w:style w:type="numbering" w:customStyle="1" w:styleId="LFO6">
    <w:name w:val="LFO6"/>
    <w:basedOn w:val="NoList"/>
    <w:rsid w:val="00684D95"/>
    <w:pPr>
      <w:numPr>
        <w:numId w:val="6"/>
      </w:numPr>
    </w:pPr>
  </w:style>
  <w:style w:type="numbering" w:customStyle="1" w:styleId="LFO8">
    <w:name w:val="LFO8"/>
    <w:basedOn w:val="NoList"/>
    <w:rsid w:val="00684D95"/>
    <w:pPr>
      <w:numPr>
        <w:numId w:val="7"/>
      </w:numPr>
    </w:pPr>
  </w:style>
  <w:style w:type="numbering" w:customStyle="1" w:styleId="LFO9">
    <w:name w:val="LFO9"/>
    <w:basedOn w:val="NoList"/>
    <w:rsid w:val="00684D95"/>
    <w:pPr>
      <w:numPr>
        <w:numId w:val="8"/>
      </w:numPr>
    </w:pPr>
  </w:style>
  <w:style w:type="numbering" w:customStyle="1" w:styleId="LFO10">
    <w:name w:val="LFO10"/>
    <w:basedOn w:val="NoList"/>
    <w:rsid w:val="00684D95"/>
    <w:pPr>
      <w:numPr>
        <w:numId w:val="9"/>
      </w:numPr>
    </w:pPr>
  </w:style>
  <w:style w:type="numbering" w:customStyle="1" w:styleId="LFO13">
    <w:name w:val="LFO13"/>
    <w:basedOn w:val="NoList"/>
    <w:rsid w:val="00684D95"/>
    <w:pPr>
      <w:numPr>
        <w:numId w:val="10"/>
      </w:numPr>
    </w:pPr>
  </w:style>
  <w:style w:type="numbering" w:customStyle="1" w:styleId="LFO17">
    <w:name w:val="LFO17"/>
    <w:basedOn w:val="NoList"/>
    <w:rsid w:val="00684D95"/>
    <w:pPr>
      <w:numPr>
        <w:numId w:val="11"/>
      </w:numPr>
    </w:pPr>
  </w:style>
  <w:style w:type="numbering" w:customStyle="1" w:styleId="LFO18">
    <w:name w:val="LFO18"/>
    <w:basedOn w:val="NoList"/>
    <w:rsid w:val="00684D95"/>
    <w:pPr>
      <w:numPr>
        <w:numId w:val="12"/>
      </w:numPr>
    </w:pPr>
  </w:style>
  <w:style w:type="table" w:customStyle="1" w:styleId="ListTable3-Accent11">
    <w:name w:val="List Table 3 - Accent 11"/>
    <w:basedOn w:val="TableNormal"/>
    <w:uiPriority w:val="48"/>
    <w:rsid w:val="0019309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Bodytext">
    <w:name w:val="Body text_"/>
    <w:basedOn w:val="DefaultParagraphFont"/>
    <w:link w:val="Bodytext1"/>
    <w:uiPriority w:val="99"/>
    <w:locked/>
    <w:rsid w:val="00977872"/>
    <w:rPr>
      <w:rFonts w:ascii="Verdana" w:hAnsi="Verdana" w:cs="Verdana"/>
      <w:sz w:val="19"/>
      <w:szCs w:val="19"/>
      <w:shd w:val="clear" w:color="auto" w:fill="FFFFFF"/>
    </w:rPr>
  </w:style>
  <w:style w:type="paragraph" w:customStyle="1" w:styleId="Bodytext1">
    <w:name w:val="Body text1"/>
    <w:basedOn w:val="Normal"/>
    <w:link w:val="Bodytext"/>
    <w:uiPriority w:val="99"/>
    <w:rsid w:val="00977872"/>
    <w:pPr>
      <w:shd w:val="clear" w:color="auto" w:fill="FFFFFF"/>
      <w:suppressAutoHyphens w:val="0"/>
      <w:autoSpaceDN/>
      <w:spacing w:after="0" w:line="240" w:lineRule="atLeast"/>
      <w:ind w:hanging="420"/>
      <w:jc w:val="left"/>
      <w:textAlignment w:val="auto"/>
    </w:pPr>
    <w:rPr>
      <w:rFonts w:ascii="Verdana" w:hAnsi="Verdana" w:cs="Verdana"/>
      <w:sz w:val="19"/>
      <w:szCs w:val="19"/>
      <w:lang w:eastAsia="bg-BG"/>
    </w:rPr>
  </w:style>
  <w:style w:type="table" w:customStyle="1" w:styleId="ListTable3-Accent51">
    <w:name w:val="List Table 3 - Accent 51"/>
    <w:basedOn w:val="TableNormal"/>
    <w:uiPriority w:val="48"/>
    <w:rsid w:val="007D178B"/>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Grid">
    <w:name w:val="Table Grid"/>
    <w:basedOn w:val="TableNormal"/>
    <w:uiPriority w:val="39"/>
    <w:rsid w:val="00B85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0">
    <w:name w:val="List Table 3 - Accent 11"/>
    <w:basedOn w:val="TableNormal"/>
    <w:next w:val="ListTable3-Accent11"/>
    <w:uiPriority w:val="48"/>
    <w:rsid w:val="00B8592C"/>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BodyText0">
    <w:name w:val="Body Text"/>
    <w:basedOn w:val="Normal"/>
    <w:link w:val="BodyTextChar"/>
    <w:uiPriority w:val="99"/>
    <w:unhideWhenUsed/>
    <w:rsid w:val="00055370"/>
    <w:pPr>
      <w:suppressAutoHyphens w:val="0"/>
      <w:autoSpaceDN/>
      <w:spacing w:after="120" w:line="240" w:lineRule="auto"/>
      <w:jc w:val="left"/>
      <w:textAlignment w:val="auto"/>
    </w:pPr>
    <w:rPr>
      <w:rFonts w:ascii="Arial Unicode MS" w:eastAsia="Arial Unicode MS" w:hAnsi="Times New Roman" w:cs="Arial Unicode MS"/>
      <w:color w:val="000000"/>
      <w:szCs w:val="24"/>
      <w:lang w:eastAsia="bg-BG"/>
    </w:rPr>
  </w:style>
  <w:style w:type="character" w:customStyle="1" w:styleId="BodyTextChar">
    <w:name w:val="Body Text Char"/>
    <w:basedOn w:val="DefaultParagraphFont"/>
    <w:link w:val="BodyText0"/>
    <w:uiPriority w:val="99"/>
    <w:rsid w:val="00055370"/>
    <w:rPr>
      <w:rFonts w:ascii="Arial Unicode MS" w:eastAsia="Arial Unicode MS" w:hAnsi="Times New Roman" w:cs="Arial Unicode MS"/>
      <w:color w:val="000000"/>
      <w:sz w:val="24"/>
      <w:szCs w:val="24"/>
    </w:rPr>
  </w:style>
  <w:style w:type="character" w:customStyle="1" w:styleId="BodyText10">
    <w:name w:val="Body Text1"/>
    <w:basedOn w:val="Bodytext"/>
    <w:rsid w:val="0028585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rPr>
  </w:style>
  <w:style w:type="character" w:customStyle="1" w:styleId="Bodytext3">
    <w:name w:val="Body text (3)_"/>
    <w:basedOn w:val="DefaultParagraphFont"/>
    <w:link w:val="Bodytext30"/>
    <w:rsid w:val="00285851"/>
    <w:rPr>
      <w:rFonts w:ascii="Times New Roman" w:eastAsia="Times New Roman" w:hAnsi="Times New Roman"/>
      <w:b/>
      <w:bCs/>
      <w:shd w:val="clear" w:color="auto" w:fill="FFFFFF"/>
    </w:rPr>
  </w:style>
  <w:style w:type="paragraph" w:customStyle="1" w:styleId="Bodytext30">
    <w:name w:val="Body text (3)"/>
    <w:basedOn w:val="Normal"/>
    <w:link w:val="Bodytext3"/>
    <w:rsid w:val="00285851"/>
    <w:pPr>
      <w:widowControl w:val="0"/>
      <w:shd w:val="clear" w:color="auto" w:fill="FFFFFF"/>
      <w:suppressAutoHyphens w:val="0"/>
      <w:autoSpaceDN/>
      <w:spacing w:before="840" w:after="840" w:line="0" w:lineRule="atLeast"/>
      <w:ind w:hanging="640"/>
      <w:jc w:val="right"/>
      <w:textAlignment w:val="auto"/>
    </w:pPr>
    <w:rPr>
      <w:rFonts w:ascii="Times New Roman" w:eastAsia="Times New Roman" w:hAnsi="Times New Roman"/>
      <w:b/>
      <w:bCs/>
      <w:sz w:val="22"/>
      <w:lang w:eastAsia="bg-BG"/>
    </w:rPr>
  </w:style>
  <w:style w:type="paragraph" w:customStyle="1" w:styleId="GOVBody">
    <w:name w:val="GOV Body"/>
    <w:rsid w:val="00AE14CA"/>
    <w:pPr>
      <w:autoSpaceDN/>
      <w:spacing w:before="120" w:line="250" w:lineRule="auto"/>
      <w:jc w:val="both"/>
      <w:textAlignment w:val="auto"/>
    </w:pPr>
    <w:rPr>
      <w:rFonts w:eastAsia="Arial"/>
      <w:sz w:val="24"/>
      <w:szCs w:val="24"/>
      <w:lang w:bidi="bn-IN"/>
    </w:rPr>
  </w:style>
  <w:style w:type="character" w:styleId="Strong">
    <w:name w:val="Strong"/>
    <w:basedOn w:val="DefaultParagraphFont"/>
    <w:uiPriority w:val="22"/>
    <w:qFormat/>
    <w:rsid w:val="00561396"/>
    <w:rPr>
      <w:b/>
      <w:bCs/>
    </w:rPr>
  </w:style>
  <w:style w:type="character" w:styleId="PlaceholderText">
    <w:name w:val="Placeholder Text"/>
    <w:basedOn w:val="DefaultParagraphFont"/>
    <w:uiPriority w:val="99"/>
    <w:semiHidden/>
    <w:rsid w:val="00C66077"/>
    <w:rPr>
      <w:color w:val="808080"/>
    </w:rPr>
  </w:style>
  <w:style w:type="paragraph" w:customStyle="1" w:styleId="A1">
    <w:name w:val="A1"/>
    <w:basedOn w:val="Normal"/>
    <w:uiPriority w:val="99"/>
    <w:rsid w:val="00CC54C0"/>
    <w:pPr>
      <w:keepNext/>
      <w:keepLines/>
      <w:numPr>
        <w:numId w:val="13"/>
      </w:numPr>
      <w:suppressAutoHyphens w:val="0"/>
      <w:autoSpaceDN/>
      <w:spacing w:before="240" w:after="240" w:line="240" w:lineRule="auto"/>
      <w:textAlignment w:val="auto"/>
      <w:outlineLvl w:val="0"/>
    </w:pPr>
    <w:rPr>
      <w:rFonts w:ascii="Times New Roman" w:eastAsia="Times New Roman" w:hAnsi="Times New Roman"/>
      <w:b/>
      <w:szCs w:val="28"/>
      <w:lang w:eastAsia="bg-BG"/>
    </w:rPr>
  </w:style>
  <w:style w:type="paragraph" w:customStyle="1" w:styleId="A2">
    <w:name w:val="A2"/>
    <w:basedOn w:val="Normal"/>
    <w:uiPriority w:val="99"/>
    <w:rsid w:val="00CC54C0"/>
    <w:pPr>
      <w:keepNext/>
      <w:keepLines/>
      <w:numPr>
        <w:ilvl w:val="1"/>
        <w:numId w:val="13"/>
      </w:numPr>
      <w:tabs>
        <w:tab w:val="left" w:pos="907"/>
      </w:tabs>
      <w:suppressAutoHyphens w:val="0"/>
      <w:autoSpaceDN/>
      <w:spacing w:before="120" w:after="120" w:line="240" w:lineRule="auto"/>
      <w:textAlignment w:val="auto"/>
      <w:outlineLvl w:val="1"/>
    </w:pPr>
    <w:rPr>
      <w:rFonts w:ascii="Times New Roman" w:eastAsia="Times New Roman" w:hAnsi="Times New Roman"/>
      <w:b/>
      <w:szCs w:val="26"/>
      <w:lang w:eastAsia="bg-BG"/>
    </w:rPr>
  </w:style>
  <w:style w:type="paragraph" w:customStyle="1" w:styleId="A3">
    <w:name w:val="A3"/>
    <w:basedOn w:val="Normal"/>
    <w:uiPriority w:val="99"/>
    <w:rsid w:val="00CC54C0"/>
    <w:pPr>
      <w:keepNext/>
      <w:keepLines/>
      <w:numPr>
        <w:ilvl w:val="2"/>
        <w:numId w:val="13"/>
      </w:numPr>
      <w:tabs>
        <w:tab w:val="left" w:pos="1361"/>
      </w:tabs>
      <w:suppressAutoHyphens w:val="0"/>
      <w:autoSpaceDN/>
      <w:spacing w:before="120" w:after="120" w:line="240" w:lineRule="auto"/>
      <w:textAlignment w:val="auto"/>
      <w:outlineLvl w:val="2"/>
    </w:pPr>
    <w:rPr>
      <w:rFonts w:ascii="Times New Roman" w:eastAsia="Times New Roman" w:hAnsi="Times New Roman"/>
      <w:b/>
      <w:szCs w:val="24"/>
      <w:lang w:eastAsia="bg-BG"/>
    </w:rPr>
  </w:style>
  <w:style w:type="paragraph" w:customStyle="1" w:styleId="A4">
    <w:name w:val="A4"/>
    <w:basedOn w:val="Normal"/>
    <w:uiPriority w:val="99"/>
    <w:rsid w:val="00CC54C0"/>
    <w:pPr>
      <w:keepNext/>
      <w:keepLines/>
      <w:numPr>
        <w:ilvl w:val="3"/>
        <w:numId w:val="13"/>
      </w:numPr>
      <w:tabs>
        <w:tab w:val="left" w:pos="1985"/>
      </w:tabs>
      <w:suppressAutoHyphens w:val="0"/>
      <w:autoSpaceDN/>
      <w:spacing w:after="0" w:line="240" w:lineRule="auto"/>
      <w:textAlignment w:val="auto"/>
      <w:outlineLvl w:val="3"/>
    </w:pPr>
    <w:rPr>
      <w:rFonts w:ascii="Times New Roman" w:eastAsia="Times New Roman" w:hAnsi="Times New Roman"/>
      <w:iCs/>
      <w:szCs w:val="24"/>
      <w:lang w:eastAsia="bg-BG"/>
    </w:rPr>
  </w:style>
  <w:style w:type="paragraph" w:customStyle="1" w:styleId="A5">
    <w:name w:val="A5"/>
    <w:basedOn w:val="Normal"/>
    <w:uiPriority w:val="99"/>
    <w:rsid w:val="00CC54C0"/>
    <w:pPr>
      <w:keepNext/>
      <w:keepLines/>
      <w:numPr>
        <w:ilvl w:val="4"/>
        <w:numId w:val="13"/>
      </w:numPr>
      <w:tabs>
        <w:tab w:val="left" w:pos="2552"/>
      </w:tabs>
      <w:suppressAutoHyphens w:val="0"/>
      <w:autoSpaceDN/>
      <w:spacing w:after="0" w:line="240" w:lineRule="auto"/>
      <w:textAlignment w:val="auto"/>
      <w:outlineLvl w:val="4"/>
    </w:pPr>
    <w:rPr>
      <w:rFonts w:ascii="Times New Roman" w:eastAsia="Times New Roman" w:hAnsi="Times New Roman"/>
      <w:bCs/>
      <w:szCs w:val="24"/>
      <w:lang w:eastAsia="bg-BG"/>
    </w:rPr>
  </w:style>
  <w:style w:type="character" w:styleId="IntenseReference">
    <w:name w:val="Intense Reference"/>
    <w:basedOn w:val="DefaultParagraphFont"/>
    <w:uiPriority w:val="32"/>
    <w:qFormat/>
    <w:rsid w:val="00711EDC"/>
    <w:rPr>
      <w:b/>
      <w:bCs/>
      <w:smallCaps/>
      <w:color w:val="5B9BD5" w:themeColor="accent1"/>
      <w:spacing w:val="5"/>
    </w:rPr>
  </w:style>
  <w:style w:type="paragraph" w:customStyle="1" w:styleId="11">
    <w:name w:val="Списък на абзаци11"/>
    <w:basedOn w:val="Normal"/>
    <w:uiPriority w:val="99"/>
    <w:rsid w:val="00232CB3"/>
    <w:pPr>
      <w:suppressAutoHyphens w:val="0"/>
      <w:autoSpaceDN/>
      <w:spacing w:after="120" w:line="276" w:lineRule="auto"/>
      <w:textAlignment w:val="auto"/>
    </w:pPr>
    <w:rPr>
      <w:rFonts w:ascii="Trebuchet MS" w:eastAsia="Times New Roman" w:hAnsi="Trebuchet MS" w:cs="Arial"/>
      <w:sz w:val="20"/>
      <w:szCs w:val="20"/>
      <w:lang w:eastAsia="bg-BG"/>
    </w:rPr>
  </w:style>
  <w:style w:type="character" w:customStyle="1" w:styleId="a">
    <w:name w:val="Основен текст"/>
    <w:basedOn w:val="DefaultParagraphFont"/>
    <w:rsid w:val="00CD75E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591">
      <w:bodyDiv w:val="1"/>
      <w:marLeft w:val="0"/>
      <w:marRight w:val="0"/>
      <w:marTop w:val="0"/>
      <w:marBottom w:val="0"/>
      <w:divBdr>
        <w:top w:val="none" w:sz="0" w:space="0" w:color="auto"/>
        <w:left w:val="none" w:sz="0" w:space="0" w:color="auto"/>
        <w:bottom w:val="none" w:sz="0" w:space="0" w:color="auto"/>
        <w:right w:val="none" w:sz="0" w:space="0" w:color="auto"/>
      </w:divBdr>
    </w:div>
    <w:div w:id="58790689">
      <w:bodyDiv w:val="1"/>
      <w:marLeft w:val="0"/>
      <w:marRight w:val="0"/>
      <w:marTop w:val="0"/>
      <w:marBottom w:val="0"/>
      <w:divBdr>
        <w:top w:val="none" w:sz="0" w:space="0" w:color="auto"/>
        <w:left w:val="none" w:sz="0" w:space="0" w:color="auto"/>
        <w:bottom w:val="none" w:sz="0" w:space="0" w:color="auto"/>
        <w:right w:val="none" w:sz="0" w:space="0" w:color="auto"/>
      </w:divBdr>
    </w:div>
    <w:div w:id="59134020">
      <w:bodyDiv w:val="1"/>
      <w:marLeft w:val="0"/>
      <w:marRight w:val="0"/>
      <w:marTop w:val="0"/>
      <w:marBottom w:val="0"/>
      <w:divBdr>
        <w:top w:val="none" w:sz="0" w:space="0" w:color="auto"/>
        <w:left w:val="none" w:sz="0" w:space="0" w:color="auto"/>
        <w:bottom w:val="none" w:sz="0" w:space="0" w:color="auto"/>
        <w:right w:val="none" w:sz="0" w:space="0" w:color="auto"/>
      </w:divBdr>
    </w:div>
    <w:div w:id="227807405">
      <w:bodyDiv w:val="1"/>
      <w:marLeft w:val="0"/>
      <w:marRight w:val="0"/>
      <w:marTop w:val="0"/>
      <w:marBottom w:val="0"/>
      <w:divBdr>
        <w:top w:val="none" w:sz="0" w:space="0" w:color="auto"/>
        <w:left w:val="none" w:sz="0" w:space="0" w:color="auto"/>
        <w:bottom w:val="none" w:sz="0" w:space="0" w:color="auto"/>
        <w:right w:val="none" w:sz="0" w:space="0" w:color="auto"/>
      </w:divBdr>
    </w:div>
    <w:div w:id="234165323">
      <w:bodyDiv w:val="1"/>
      <w:marLeft w:val="0"/>
      <w:marRight w:val="0"/>
      <w:marTop w:val="0"/>
      <w:marBottom w:val="0"/>
      <w:divBdr>
        <w:top w:val="none" w:sz="0" w:space="0" w:color="auto"/>
        <w:left w:val="none" w:sz="0" w:space="0" w:color="auto"/>
        <w:bottom w:val="none" w:sz="0" w:space="0" w:color="auto"/>
        <w:right w:val="none" w:sz="0" w:space="0" w:color="auto"/>
      </w:divBdr>
    </w:div>
    <w:div w:id="239757024">
      <w:bodyDiv w:val="1"/>
      <w:marLeft w:val="0"/>
      <w:marRight w:val="0"/>
      <w:marTop w:val="0"/>
      <w:marBottom w:val="0"/>
      <w:divBdr>
        <w:top w:val="none" w:sz="0" w:space="0" w:color="auto"/>
        <w:left w:val="none" w:sz="0" w:space="0" w:color="auto"/>
        <w:bottom w:val="none" w:sz="0" w:space="0" w:color="auto"/>
        <w:right w:val="none" w:sz="0" w:space="0" w:color="auto"/>
      </w:divBdr>
    </w:div>
    <w:div w:id="286591589">
      <w:bodyDiv w:val="1"/>
      <w:marLeft w:val="0"/>
      <w:marRight w:val="0"/>
      <w:marTop w:val="0"/>
      <w:marBottom w:val="0"/>
      <w:divBdr>
        <w:top w:val="none" w:sz="0" w:space="0" w:color="auto"/>
        <w:left w:val="none" w:sz="0" w:space="0" w:color="auto"/>
        <w:bottom w:val="none" w:sz="0" w:space="0" w:color="auto"/>
        <w:right w:val="none" w:sz="0" w:space="0" w:color="auto"/>
      </w:divBdr>
    </w:div>
    <w:div w:id="360324635">
      <w:bodyDiv w:val="1"/>
      <w:marLeft w:val="0"/>
      <w:marRight w:val="0"/>
      <w:marTop w:val="0"/>
      <w:marBottom w:val="0"/>
      <w:divBdr>
        <w:top w:val="none" w:sz="0" w:space="0" w:color="auto"/>
        <w:left w:val="none" w:sz="0" w:space="0" w:color="auto"/>
        <w:bottom w:val="none" w:sz="0" w:space="0" w:color="auto"/>
        <w:right w:val="none" w:sz="0" w:space="0" w:color="auto"/>
      </w:divBdr>
    </w:div>
    <w:div w:id="391469492">
      <w:bodyDiv w:val="1"/>
      <w:marLeft w:val="0"/>
      <w:marRight w:val="0"/>
      <w:marTop w:val="0"/>
      <w:marBottom w:val="0"/>
      <w:divBdr>
        <w:top w:val="none" w:sz="0" w:space="0" w:color="auto"/>
        <w:left w:val="none" w:sz="0" w:space="0" w:color="auto"/>
        <w:bottom w:val="none" w:sz="0" w:space="0" w:color="auto"/>
        <w:right w:val="none" w:sz="0" w:space="0" w:color="auto"/>
      </w:divBdr>
    </w:div>
    <w:div w:id="439762998">
      <w:bodyDiv w:val="1"/>
      <w:marLeft w:val="0"/>
      <w:marRight w:val="0"/>
      <w:marTop w:val="0"/>
      <w:marBottom w:val="0"/>
      <w:divBdr>
        <w:top w:val="none" w:sz="0" w:space="0" w:color="auto"/>
        <w:left w:val="none" w:sz="0" w:space="0" w:color="auto"/>
        <w:bottom w:val="none" w:sz="0" w:space="0" w:color="auto"/>
        <w:right w:val="none" w:sz="0" w:space="0" w:color="auto"/>
      </w:divBdr>
    </w:div>
    <w:div w:id="450323878">
      <w:bodyDiv w:val="1"/>
      <w:marLeft w:val="0"/>
      <w:marRight w:val="0"/>
      <w:marTop w:val="0"/>
      <w:marBottom w:val="0"/>
      <w:divBdr>
        <w:top w:val="none" w:sz="0" w:space="0" w:color="auto"/>
        <w:left w:val="none" w:sz="0" w:space="0" w:color="auto"/>
        <w:bottom w:val="none" w:sz="0" w:space="0" w:color="auto"/>
        <w:right w:val="none" w:sz="0" w:space="0" w:color="auto"/>
      </w:divBdr>
    </w:div>
    <w:div w:id="511770800">
      <w:bodyDiv w:val="1"/>
      <w:marLeft w:val="0"/>
      <w:marRight w:val="0"/>
      <w:marTop w:val="0"/>
      <w:marBottom w:val="0"/>
      <w:divBdr>
        <w:top w:val="none" w:sz="0" w:space="0" w:color="auto"/>
        <w:left w:val="none" w:sz="0" w:space="0" w:color="auto"/>
        <w:bottom w:val="none" w:sz="0" w:space="0" w:color="auto"/>
        <w:right w:val="none" w:sz="0" w:space="0" w:color="auto"/>
      </w:divBdr>
    </w:div>
    <w:div w:id="543173353">
      <w:bodyDiv w:val="1"/>
      <w:marLeft w:val="0"/>
      <w:marRight w:val="0"/>
      <w:marTop w:val="0"/>
      <w:marBottom w:val="0"/>
      <w:divBdr>
        <w:top w:val="none" w:sz="0" w:space="0" w:color="auto"/>
        <w:left w:val="none" w:sz="0" w:space="0" w:color="auto"/>
        <w:bottom w:val="none" w:sz="0" w:space="0" w:color="auto"/>
        <w:right w:val="none" w:sz="0" w:space="0" w:color="auto"/>
      </w:divBdr>
      <w:divsChild>
        <w:div w:id="2037268485">
          <w:marLeft w:val="0"/>
          <w:marRight w:val="0"/>
          <w:marTop w:val="0"/>
          <w:marBottom w:val="0"/>
          <w:divBdr>
            <w:top w:val="none" w:sz="0" w:space="0" w:color="auto"/>
            <w:left w:val="none" w:sz="0" w:space="0" w:color="auto"/>
            <w:bottom w:val="none" w:sz="0" w:space="0" w:color="auto"/>
            <w:right w:val="none" w:sz="0" w:space="0" w:color="auto"/>
          </w:divBdr>
          <w:divsChild>
            <w:div w:id="1308826676">
              <w:marLeft w:val="0"/>
              <w:marRight w:val="0"/>
              <w:marTop w:val="0"/>
              <w:marBottom w:val="0"/>
              <w:divBdr>
                <w:top w:val="none" w:sz="0" w:space="0" w:color="auto"/>
                <w:left w:val="none" w:sz="0" w:space="0" w:color="auto"/>
                <w:bottom w:val="none" w:sz="0" w:space="0" w:color="auto"/>
                <w:right w:val="none" w:sz="0" w:space="0" w:color="auto"/>
              </w:divBdr>
              <w:divsChild>
                <w:div w:id="460341478">
                  <w:marLeft w:val="0"/>
                  <w:marRight w:val="0"/>
                  <w:marTop w:val="0"/>
                  <w:marBottom w:val="0"/>
                  <w:divBdr>
                    <w:top w:val="none" w:sz="0" w:space="0" w:color="auto"/>
                    <w:left w:val="none" w:sz="0" w:space="0" w:color="auto"/>
                    <w:bottom w:val="none" w:sz="0" w:space="0" w:color="auto"/>
                    <w:right w:val="none" w:sz="0" w:space="0" w:color="auto"/>
                  </w:divBdr>
                  <w:divsChild>
                    <w:div w:id="58792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78398">
      <w:bodyDiv w:val="1"/>
      <w:marLeft w:val="0"/>
      <w:marRight w:val="0"/>
      <w:marTop w:val="0"/>
      <w:marBottom w:val="0"/>
      <w:divBdr>
        <w:top w:val="none" w:sz="0" w:space="0" w:color="auto"/>
        <w:left w:val="none" w:sz="0" w:space="0" w:color="auto"/>
        <w:bottom w:val="none" w:sz="0" w:space="0" w:color="auto"/>
        <w:right w:val="none" w:sz="0" w:space="0" w:color="auto"/>
      </w:divBdr>
    </w:div>
    <w:div w:id="555093096">
      <w:bodyDiv w:val="1"/>
      <w:marLeft w:val="0"/>
      <w:marRight w:val="0"/>
      <w:marTop w:val="0"/>
      <w:marBottom w:val="0"/>
      <w:divBdr>
        <w:top w:val="none" w:sz="0" w:space="0" w:color="auto"/>
        <w:left w:val="none" w:sz="0" w:space="0" w:color="auto"/>
        <w:bottom w:val="none" w:sz="0" w:space="0" w:color="auto"/>
        <w:right w:val="none" w:sz="0" w:space="0" w:color="auto"/>
      </w:divBdr>
    </w:div>
    <w:div w:id="585576695">
      <w:bodyDiv w:val="1"/>
      <w:marLeft w:val="0"/>
      <w:marRight w:val="0"/>
      <w:marTop w:val="0"/>
      <w:marBottom w:val="0"/>
      <w:divBdr>
        <w:top w:val="none" w:sz="0" w:space="0" w:color="auto"/>
        <w:left w:val="none" w:sz="0" w:space="0" w:color="auto"/>
        <w:bottom w:val="none" w:sz="0" w:space="0" w:color="auto"/>
        <w:right w:val="none" w:sz="0" w:space="0" w:color="auto"/>
      </w:divBdr>
    </w:div>
    <w:div w:id="609581126">
      <w:bodyDiv w:val="1"/>
      <w:marLeft w:val="0"/>
      <w:marRight w:val="0"/>
      <w:marTop w:val="0"/>
      <w:marBottom w:val="0"/>
      <w:divBdr>
        <w:top w:val="none" w:sz="0" w:space="0" w:color="auto"/>
        <w:left w:val="none" w:sz="0" w:space="0" w:color="auto"/>
        <w:bottom w:val="none" w:sz="0" w:space="0" w:color="auto"/>
        <w:right w:val="none" w:sz="0" w:space="0" w:color="auto"/>
      </w:divBdr>
    </w:div>
    <w:div w:id="645088128">
      <w:bodyDiv w:val="1"/>
      <w:marLeft w:val="0"/>
      <w:marRight w:val="0"/>
      <w:marTop w:val="0"/>
      <w:marBottom w:val="0"/>
      <w:divBdr>
        <w:top w:val="none" w:sz="0" w:space="0" w:color="auto"/>
        <w:left w:val="none" w:sz="0" w:space="0" w:color="auto"/>
        <w:bottom w:val="none" w:sz="0" w:space="0" w:color="auto"/>
        <w:right w:val="none" w:sz="0" w:space="0" w:color="auto"/>
      </w:divBdr>
    </w:div>
    <w:div w:id="653485526">
      <w:bodyDiv w:val="1"/>
      <w:marLeft w:val="0"/>
      <w:marRight w:val="0"/>
      <w:marTop w:val="0"/>
      <w:marBottom w:val="0"/>
      <w:divBdr>
        <w:top w:val="none" w:sz="0" w:space="0" w:color="auto"/>
        <w:left w:val="none" w:sz="0" w:space="0" w:color="auto"/>
        <w:bottom w:val="none" w:sz="0" w:space="0" w:color="auto"/>
        <w:right w:val="none" w:sz="0" w:space="0" w:color="auto"/>
      </w:divBdr>
    </w:div>
    <w:div w:id="720858774">
      <w:bodyDiv w:val="1"/>
      <w:marLeft w:val="0"/>
      <w:marRight w:val="0"/>
      <w:marTop w:val="0"/>
      <w:marBottom w:val="0"/>
      <w:divBdr>
        <w:top w:val="none" w:sz="0" w:space="0" w:color="auto"/>
        <w:left w:val="none" w:sz="0" w:space="0" w:color="auto"/>
        <w:bottom w:val="none" w:sz="0" w:space="0" w:color="auto"/>
        <w:right w:val="none" w:sz="0" w:space="0" w:color="auto"/>
      </w:divBdr>
    </w:div>
    <w:div w:id="732317994">
      <w:bodyDiv w:val="1"/>
      <w:marLeft w:val="0"/>
      <w:marRight w:val="0"/>
      <w:marTop w:val="0"/>
      <w:marBottom w:val="0"/>
      <w:divBdr>
        <w:top w:val="none" w:sz="0" w:space="0" w:color="auto"/>
        <w:left w:val="none" w:sz="0" w:space="0" w:color="auto"/>
        <w:bottom w:val="none" w:sz="0" w:space="0" w:color="auto"/>
        <w:right w:val="none" w:sz="0" w:space="0" w:color="auto"/>
      </w:divBdr>
    </w:div>
    <w:div w:id="780608727">
      <w:bodyDiv w:val="1"/>
      <w:marLeft w:val="0"/>
      <w:marRight w:val="0"/>
      <w:marTop w:val="0"/>
      <w:marBottom w:val="0"/>
      <w:divBdr>
        <w:top w:val="none" w:sz="0" w:space="0" w:color="auto"/>
        <w:left w:val="none" w:sz="0" w:space="0" w:color="auto"/>
        <w:bottom w:val="none" w:sz="0" w:space="0" w:color="auto"/>
        <w:right w:val="none" w:sz="0" w:space="0" w:color="auto"/>
      </w:divBdr>
    </w:div>
    <w:div w:id="785125564">
      <w:bodyDiv w:val="1"/>
      <w:marLeft w:val="0"/>
      <w:marRight w:val="0"/>
      <w:marTop w:val="0"/>
      <w:marBottom w:val="0"/>
      <w:divBdr>
        <w:top w:val="none" w:sz="0" w:space="0" w:color="auto"/>
        <w:left w:val="none" w:sz="0" w:space="0" w:color="auto"/>
        <w:bottom w:val="none" w:sz="0" w:space="0" w:color="auto"/>
        <w:right w:val="none" w:sz="0" w:space="0" w:color="auto"/>
      </w:divBdr>
    </w:div>
    <w:div w:id="802698911">
      <w:bodyDiv w:val="1"/>
      <w:marLeft w:val="0"/>
      <w:marRight w:val="0"/>
      <w:marTop w:val="0"/>
      <w:marBottom w:val="0"/>
      <w:divBdr>
        <w:top w:val="none" w:sz="0" w:space="0" w:color="auto"/>
        <w:left w:val="none" w:sz="0" w:space="0" w:color="auto"/>
        <w:bottom w:val="none" w:sz="0" w:space="0" w:color="auto"/>
        <w:right w:val="none" w:sz="0" w:space="0" w:color="auto"/>
      </w:divBdr>
    </w:div>
    <w:div w:id="817570404">
      <w:bodyDiv w:val="1"/>
      <w:marLeft w:val="0"/>
      <w:marRight w:val="0"/>
      <w:marTop w:val="0"/>
      <w:marBottom w:val="0"/>
      <w:divBdr>
        <w:top w:val="none" w:sz="0" w:space="0" w:color="auto"/>
        <w:left w:val="none" w:sz="0" w:space="0" w:color="auto"/>
        <w:bottom w:val="none" w:sz="0" w:space="0" w:color="auto"/>
        <w:right w:val="none" w:sz="0" w:space="0" w:color="auto"/>
      </w:divBdr>
      <w:divsChild>
        <w:div w:id="1046567376">
          <w:marLeft w:val="0"/>
          <w:marRight w:val="0"/>
          <w:marTop w:val="2250"/>
          <w:marBottom w:val="0"/>
          <w:divBdr>
            <w:top w:val="none" w:sz="0" w:space="0" w:color="auto"/>
            <w:left w:val="none" w:sz="0" w:space="0" w:color="auto"/>
            <w:bottom w:val="single" w:sz="6" w:space="0" w:color="DDDDDD"/>
            <w:right w:val="none" w:sz="0" w:space="0" w:color="auto"/>
          </w:divBdr>
          <w:divsChild>
            <w:div w:id="140342719">
              <w:marLeft w:val="0"/>
              <w:marRight w:val="0"/>
              <w:marTop w:val="0"/>
              <w:marBottom w:val="0"/>
              <w:divBdr>
                <w:top w:val="none" w:sz="0" w:space="0" w:color="auto"/>
                <w:left w:val="none" w:sz="0" w:space="0" w:color="auto"/>
                <w:bottom w:val="none" w:sz="0" w:space="0" w:color="auto"/>
                <w:right w:val="none" w:sz="0" w:space="0" w:color="auto"/>
              </w:divBdr>
              <w:divsChild>
                <w:div w:id="40130259">
                  <w:marLeft w:val="0"/>
                  <w:marRight w:val="0"/>
                  <w:marTop w:val="0"/>
                  <w:marBottom w:val="0"/>
                  <w:divBdr>
                    <w:top w:val="none" w:sz="0" w:space="0" w:color="auto"/>
                    <w:left w:val="none" w:sz="0" w:space="0" w:color="auto"/>
                    <w:bottom w:val="none" w:sz="0" w:space="0" w:color="auto"/>
                    <w:right w:val="none" w:sz="0" w:space="0" w:color="auto"/>
                  </w:divBdr>
                  <w:divsChild>
                    <w:div w:id="1414083844">
                      <w:marLeft w:val="0"/>
                      <w:marRight w:val="0"/>
                      <w:marTop w:val="0"/>
                      <w:marBottom w:val="0"/>
                      <w:divBdr>
                        <w:top w:val="none" w:sz="0" w:space="0" w:color="auto"/>
                        <w:left w:val="none" w:sz="0" w:space="0" w:color="auto"/>
                        <w:bottom w:val="none" w:sz="0" w:space="0" w:color="auto"/>
                        <w:right w:val="none" w:sz="0" w:space="0" w:color="auto"/>
                      </w:divBdr>
                      <w:divsChild>
                        <w:div w:id="529728888">
                          <w:marLeft w:val="0"/>
                          <w:marRight w:val="0"/>
                          <w:marTop w:val="0"/>
                          <w:marBottom w:val="0"/>
                          <w:divBdr>
                            <w:top w:val="none" w:sz="0" w:space="0" w:color="auto"/>
                            <w:left w:val="none" w:sz="0" w:space="0" w:color="auto"/>
                            <w:bottom w:val="none" w:sz="0" w:space="0" w:color="auto"/>
                            <w:right w:val="none" w:sz="0" w:space="0" w:color="auto"/>
                          </w:divBdr>
                          <w:divsChild>
                            <w:div w:id="162479002">
                              <w:marLeft w:val="150"/>
                              <w:marRight w:val="150"/>
                              <w:marTop w:val="0"/>
                              <w:marBottom w:val="15"/>
                              <w:divBdr>
                                <w:top w:val="none" w:sz="0" w:space="0" w:color="auto"/>
                                <w:left w:val="none" w:sz="0" w:space="0" w:color="auto"/>
                                <w:bottom w:val="none" w:sz="0" w:space="0" w:color="auto"/>
                                <w:right w:val="none" w:sz="0" w:space="0" w:color="auto"/>
                              </w:divBdr>
                              <w:divsChild>
                                <w:div w:id="1181817511">
                                  <w:marLeft w:val="0"/>
                                  <w:marRight w:val="0"/>
                                  <w:marTop w:val="0"/>
                                  <w:marBottom w:val="0"/>
                                  <w:divBdr>
                                    <w:top w:val="none" w:sz="0" w:space="0" w:color="auto"/>
                                    <w:left w:val="none" w:sz="0" w:space="0" w:color="auto"/>
                                    <w:bottom w:val="none" w:sz="0" w:space="0" w:color="auto"/>
                                    <w:right w:val="none" w:sz="0" w:space="0" w:color="auto"/>
                                  </w:divBdr>
                                  <w:divsChild>
                                    <w:div w:id="1035157043">
                                      <w:marLeft w:val="150"/>
                                      <w:marRight w:val="150"/>
                                      <w:marTop w:val="0"/>
                                      <w:marBottom w:val="15"/>
                                      <w:divBdr>
                                        <w:top w:val="none" w:sz="0" w:space="0" w:color="auto"/>
                                        <w:left w:val="none" w:sz="0" w:space="0" w:color="auto"/>
                                        <w:bottom w:val="none" w:sz="0" w:space="0" w:color="auto"/>
                                        <w:right w:val="none" w:sz="0" w:space="0" w:color="auto"/>
                                      </w:divBdr>
                                      <w:divsChild>
                                        <w:div w:id="338624640">
                                          <w:marLeft w:val="0"/>
                                          <w:marRight w:val="0"/>
                                          <w:marTop w:val="120"/>
                                          <w:marBottom w:val="480"/>
                                          <w:divBdr>
                                            <w:top w:val="none" w:sz="0" w:space="0" w:color="auto"/>
                                            <w:left w:val="none" w:sz="0" w:space="0" w:color="auto"/>
                                            <w:bottom w:val="none" w:sz="0" w:space="0" w:color="auto"/>
                                            <w:right w:val="none" w:sz="0" w:space="0" w:color="auto"/>
                                          </w:divBdr>
                                          <w:divsChild>
                                            <w:div w:id="154660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9634594">
      <w:bodyDiv w:val="1"/>
      <w:marLeft w:val="0"/>
      <w:marRight w:val="0"/>
      <w:marTop w:val="0"/>
      <w:marBottom w:val="0"/>
      <w:divBdr>
        <w:top w:val="none" w:sz="0" w:space="0" w:color="auto"/>
        <w:left w:val="none" w:sz="0" w:space="0" w:color="auto"/>
        <w:bottom w:val="none" w:sz="0" w:space="0" w:color="auto"/>
        <w:right w:val="none" w:sz="0" w:space="0" w:color="auto"/>
      </w:divBdr>
    </w:div>
    <w:div w:id="850028638">
      <w:bodyDiv w:val="1"/>
      <w:marLeft w:val="0"/>
      <w:marRight w:val="0"/>
      <w:marTop w:val="0"/>
      <w:marBottom w:val="0"/>
      <w:divBdr>
        <w:top w:val="none" w:sz="0" w:space="0" w:color="auto"/>
        <w:left w:val="none" w:sz="0" w:space="0" w:color="auto"/>
        <w:bottom w:val="none" w:sz="0" w:space="0" w:color="auto"/>
        <w:right w:val="none" w:sz="0" w:space="0" w:color="auto"/>
      </w:divBdr>
    </w:div>
    <w:div w:id="866453767">
      <w:bodyDiv w:val="1"/>
      <w:marLeft w:val="0"/>
      <w:marRight w:val="0"/>
      <w:marTop w:val="0"/>
      <w:marBottom w:val="0"/>
      <w:divBdr>
        <w:top w:val="none" w:sz="0" w:space="0" w:color="auto"/>
        <w:left w:val="none" w:sz="0" w:space="0" w:color="auto"/>
        <w:bottom w:val="none" w:sz="0" w:space="0" w:color="auto"/>
        <w:right w:val="none" w:sz="0" w:space="0" w:color="auto"/>
      </w:divBdr>
    </w:div>
    <w:div w:id="868686293">
      <w:bodyDiv w:val="1"/>
      <w:marLeft w:val="0"/>
      <w:marRight w:val="0"/>
      <w:marTop w:val="0"/>
      <w:marBottom w:val="0"/>
      <w:divBdr>
        <w:top w:val="none" w:sz="0" w:space="0" w:color="auto"/>
        <w:left w:val="none" w:sz="0" w:space="0" w:color="auto"/>
        <w:bottom w:val="none" w:sz="0" w:space="0" w:color="auto"/>
        <w:right w:val="none" w:sz="0" w:space="0" w:color="auto"/>
      </w:divBdr>
    </w:div>
    <w:div w:id="887179010">
      <w:bodyDiv w:val="1"/>
      <w:marLeft w:val="0"/>
      <w:marRight w:val="0"/>
      <w:marTop w:val="0"/>
      <w:marBottom w:val="0"/>
      <w:divBdr>
        <w:top w:val="none" w:sz="0" w:space="0" w:color="auto"/>
        <w:left w:val="none" w:sz="0" w:space="0" w:color="auto"/>
        <w:bottom w:val="none" w:sz="0" w:space="0" w:color="auto"/>
        <w:right w:val="none" w:sz="0" w:space="0" w:color="auto"/>
      </w:divBdr>
    </w:div>
    <w:div w:id="928659846">
      <w:bodyDiv w:val="1"/>
      <w:marLeft w:val="0"/>
      <w:marRight w:val="0"/>
      <w:marTop w:val="0"/>
      <w:marBottom w:val="0"/>
      <w:divBdr>
        <w:top w:val="none" w:sz="0" w:space="0" w:color="auto"/>
        <w:left w:val="none" w:sz="0" w:space="0" w:color="auto"/>
        <w:bottom w:val="none" w:sz="0" w:space="0" w:color="auto"/>
        <w:right w:val="none" w:sz="0" w:space="0" w:color="auto"/>
      </w:divBdr>
    </w:div>
    <w:div w:id="931204394">
      <w:bodyDiv w:val="1"/>
      <w:marLeft w:val="0"/>
      <w:marRight w:val="0"/>
      <w:marTop w:val="0"/>
      <w:marBottom w:val="0"/>
      <w:divBdr>
        <w:top w:val="none" w:sz="0" w:space="0" w:color="auto"/>
        <w:left w:val="none" w:sz="0" w:space="0" w:color="auto"/>
        <w:bottom w:val="none" w:sz="0" w:space="0" w:color="auto"/>
        <w:right w:val="none" w:sz="0" w:space="0" w:color="auto"/>
      </w:divBdr>
    </w:div>
    <w:div w:id="932054161">
      <w:bodyDiv w:val="1"/>
      <w:marLeft w:val="0"/>
      <w:marRight w:val="0"/>
      <w:marTop w:val="0"/>
      <w:marBottom w:val="0"/>
      <w:divBdr>
        <w:top w:val="none" w:sz="0" w:space="0" w:color="auto"/>
        <w:left w:val="none" w:sz="0" w:space="0" w:color="auto"/>
        <w:bottom w:val="none" w:sz="0" w:space="0" w:color="auto"/>
        <w:right w:val="none" w:sz="0" w:space="0" w:color="auto"/>
      </w:divBdr>
    </w:div>
    <w:div w:id="965238800">
      <w:bodyDiv w:val="1"/>
      <w:marLeft w:val="0"/>
      <w:marRight w:val="0"/>
      <w:marTop w:val="0"/>
      <w:marBottom w:val="0"/>
      <w:divBdr>
        <w:top w:val="none" w:sz="0" w:space="0" w:color="auto"/>
        <w:left w:val="none" w:sz="0" w:space="0" w:color="auto"/>
        <w:bottom w:val="none" w:sz="0" w:space="0" w:color="auto"/>
        <w:right w:val="none" w:sz="0" w:space="0" w:color="auto"/>
      </w:divBdr>
    </w:div>
    <w:div w:id="1006588792">
      <w:bodyDiv w:val="1"/>
      <w:marLeft w:val="0"/>
      <w:marRight w:val="0"/>
      <w:marTop w:val="0"/>
      <w:marBottom w:val="0"/>
      <w:divBdr>
        <w:top w:val="none" w:sz="0" w:space="0" w:color="auto"/>
        <w:left w:val="none" w:sz="0" w:space="0" w:color="auto"/>
        <w:bottom w:val="none" w:sz="0" w:space="0" w:color="auto"/>
        <w:right w:val="none" w:sz="0" w:space="0" w:color="auto"/>
      </w:divBdr>
    </w:div>
    <w:div w:id="1029915121">
      <w:bodyDiv w:val="1"/>
      <w:marLeft w:val="0"/>
      <w:marRight w:val="0"/>
      <w:marTop w:val="0"/>
      <w:marBottom w:val="0"/>
      <w:divBdr>
        <w:top w:val="none" w:sz="0" w:space="0" w:color="auto"/>
        <w:left w:val="none" w:sz="0" w:space="0" w:color="auto"/>
        <w:bottom w:val="none" w:sz="0" w:space="0" w:color="auto"/>
        <w:right w:val="none" w:sz="0" w:space="0" w:color="auto"/>
      </w:divBdr>
    </w:div>
    <w:div w:id="1066685053">
      <w:bodyDiv w:val="1"/>
      <w:marLeft w:val="0"/>
      <w:marRight w:val="0"/>
      <w:marTop w:val="0"/>
      <w:marBottom w:val="0"/>
      <w:divBdr>
        <w:top w:val="none" w:sz="0" w:space="0" w:color="auto"/>
        <w:left w:val="none" w:sz="0" w:space="0" w:color="auto"/>
        <w:bottom w:val="none" w:sz="0" w:space="0" w:color="auto"/>
        <w:right w:val="none" w:sz="0" w:space="0" w:color="auto"/>
      </w:divBdr>
      <w:divsChild>
        <w:div w:id="838421364">
          <w:marLeft w:val="0"/>
          <w:marRight w:val="0"/>
          <w:marTop w:val="0"/>
          <w:marBottom w:val="0"/>
          <w:divBdr>
            <w:top w:val="none" w:sz="0" w:space="0" w:color="auto"/>
            <w:left w:val="none" w:sz="0" w:space="0" w:color="auto"/>
            <w:bottom w:val="none" w:sz="0" w:space="0" w:color="auto"/>
            <w:right w:val="none" w:sz="0" w:space="0" w:color="auto"/>
          </w:divBdr>
          <w:divsChild>
            <w:div w:id="1907185364">
              <w:marLeft w:val="0"/>
              <w:marRight w:val="0"/>
              <w:marTop w:val="0"/>
              <w:marBottom w:val="0"/>
              <w:divBdr>
                <w:top w:val="none" w:sz="0" w:space="0" w:color="auto"/>
                <w:left w:val="none" w:sz="0" w:space="0" w:color="auto"/>
                <w:bottom w:val="none" w:sz="0" w:space="0" w:color="auto"/>
                <w:right w:val="none" w:sz="0" w:space="0" w:color="auto"/>
              </w:divBdr>
              <w:divsChild>
                <w:div w:id="491218554">
                  <w:marLeft w:val="0"/>
                  <w:marRight w:val="0"/>
                  <w:marTop w:val="0"/>
                  <w:marBottom w:val="0"/>
                  <w:divBdr>
                    <w:top w:val="none" w:sz="0" w:space="0" w:color="auto"/>
                    <w:left w:val="none" w:sz="0" w:space="0" w:color="auto"/>
                    <w:bottom w:val="none" w:sz="0" w:space="0" w:color="auto"/>
                    <w:right w:val="none" w:sz="0" w:space="0" w:color="auto"/>
                  </w:divBdr>
                  <w:divsChild>
                    <w:div w:id="187527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754632">
      <w:bodyDiv w:val="1"/>
      <w:marLeft w:val="0"/>
      <w:marRight w:val="0"/>
      <w:marTop w:val="0"/>
      <w:marBottom w:val="0"/>
      <w:divBdr>
        <w:top w:val="none" w:sz="0" w:space="0" w:color="auto"/>
        <w:left w:val="none" w:sz="0" w:space="0" w:color="auto"/>
        <w:bottom w:val="none" w:sz="0" w:space="0" w:color="auto"/>
        <w:right w:val="none" w:sz="0" w:space="0" w:color="auto"/>
      </w:divBdr>
    </w:div>
    <w:div w:id="1105731613">
      <w:bodyDiv w:val="1"/>
      <w:marLeft w:val="0"/>
      <w:marRight w:val="0"/>
      <w:marTop w:val="0"/>
      <w:marBottom w:val="0"/>
      <w:divBdr>
        <w:top w:val="none" w:sz="0" w:space="0" w:color="auto"/>
        <w:left w:val="none" w:sz="0" w:space="0" w:color="auto"/>
        <w:bottom w:val="none" w:sz="0" w:space="0" w:color="auto"/>
        <w:right w:val="none" w:sz="0" w:space="0" w:color="auto"/>
      </w:divBdr>
    </w:div>
    <w:div w:id="1107654371">
      <w:bodyDiv w:val="1"/>
      <w:marLeft w:val="0"/>
      <w:marRight w:val="0"/>
      <w:marTop w:val="0"/>
      <w:marBottom w:val="0"/>
      <w:divBdr>
        <w:top w:val="none" w:sz="0" w:space="0" w:color="auto"/>
        <w:left w:val="none" w:sz="0" w:space="0" w:color="auto"/>
        <w:bottom w:val="none" w:sz="0" w:space="0" w:color="auto"/>
        <w:right w:val="none" w:sz="0" w:space="0" w:color="auto"/>
      </w:divBdr>
    </w:div>
    <w:div w:id="1110054512">
      <w:bodyDiv w:val="1"/>
      <w:marLeft w:val="0"/>
      <w:marRight w:val="0"/>
      <w:marTop w:val="0"/>
      <w:marBottom w:val="0"/>
      <w:divBdr>
        <w:top w:val="none" w:sz="0" w:space="0" w:color="auto"/>
        <w:left w:val="none" w:sz="0" w:space="0" w:color="auto"/>
        <w:bottom w:val="none" w:sz="0" w:space="0" w:color="auto"/>
        <w:right w:val="none" w:sz="0" w:space="0" w:color="auto"/>
      </w:divBdr>
    </w:div>
    <w:div w:id="1116020995">
      <w:bodyDiv w:val="1"/>
      <w:marLeft w:val="0"/>
      <w:marRight w:val="0"/>
      <w:marTop w:val="0"/>
      <w:marBottom w:val="0"/>
      <w:divBdr>
        <w:top w:val="none" w:sz="0" w:space="0" w:color="auto"/>
        <w:left w:val="none" w:sz="0" w:space="0" w:color="auto"/>
        <w:bottom w:val="none" w:sz="0" w:space="0" w:color="auto"/>
        <w:right w:val="none" w:sz="0" w:space="0" w:color="auto"/>
      </w:divBdr>
    </w:div>
    <w:div w:id="1155027532">
      <w:bodyDiv w:val="1"/>
      <w:marLeft w:val="0"/>
      <w:marRight w:val="0"/>
      <w:marTop w:val="0"/>
      <w:marBottom w:val="0"/>
      <w:divBdr>
        <w:top w:val="none" w:sz="0" w:space="0" w:color="auto"/>
        <w:left w:val="none" w:sz="0" w:space="0" w:color="auto"/>
        <w:bottom w:val="none" w:sz="0" w:space="0" w:color="auto"/>
        <w:right w:val="none" w:sz="0" w:space="0" w:color="auto"/>
      </w:divBdr>
    </w:div>
    <w:div w:id="1214807960">
      <w:bodyDiv w:val="1"/>
      <w:marLeft w:val="0"/>
      <w:marRight w:val="0"/>
      <w:marTop w:val="0"/>
      <w:marBottom w:val="0"/>
      <w:divBdr>
        <w:top w:val="none" w:sz="0" w:space="0" w:color="auto"/>
        <w:left w:val="none" w:sz="0" w:space="0" w:color="auto"/>
        <w:bottom w:val="none" w:sz="0" w:space="0" w:color="auto"/>
        <w:right w:val="none" w:sz="0" w:space="0" w:color="auto"/>
      </w:divBdr>
    </w:div>
    <w:div w:id="1222668287">
      <w:bodyDiv w:val="1"/>
      <w:marLeft w:val="0"/>
      <w:marRight w:val="0"/>
      <w:marTop w:val="0"/>
      <w:marBottom w:val="0"/>
      <w:divBdr>
        <w:top w:val="none" w:sz="0" w:space="0" w:color="auto"/>
        <w:left w:val="none" w:sz="0" w:space="0" w:color="auto"/>
        <w:bottom w:val="none" w:sz="0" w:space="0" w:color="auto"/>
        <w:right w:val="none" w:sz="0" w:space="0" w:color="auto"/>
      </w:divBdr>
    </w:div>
    <w:div w:id="1255897811">
      <w:bodyDiv w:val="1"/>
      <w:marLeft w:val="0"/>
      <w:marRight w:val="0"/>
      <w:marTop w:val="0"/>
      <w:marBottom w:val="0"/>
      <w:divBdr>
        <w:top w:val="none" w:sz="0" w:space="0" w:color="auto"/>
        <w:left w:val="none" w:sz="0" w:space="0" w:color="auto"/>
        <w:bottom w:val="none" w:sz="0" w:space="0" w:color="auto"/>
        <w:right w:val="none" w:sz="0" w:space="0" w:color="auto"/>
      </w:divBdr>
    </w:div>
    <w:div w:id="1330332738">
      <w:bodyDiv w:val="1"/>
      <w:marLeft w:val="0"/>
      <w:marRight w:val="0"/>
      <w:marTop w:val="0"/>
      <w:marBottom w:val="0"/>
      <w:divBdr>
        <w:top w:val="none" w:sz="0" w:space="0" w:color="auto"/>
        <w:left w:val="none" w:sz="0" w:space="0" w:color="auto"/>
        <w:bottom w:val="none" w:sz="0" w:space="0" w:color="auto"/>
        <w:right w:val="none" w:sz="0" w:space="0" w:color="auto"/>
      </w:divBdr>
    </w:div>
    <w:div w:id="1335885999">
      <w:bodyDiv w:val="1"/>
      <w:marLeft w:val="0"/>
      <w:marRight w:val="0"/>
      <w:marTop w:val="0"/>
      <w:marBottom w:val="0"/>
      <w:divBdr>
        <w:top w:val="none" w:sz="0" w:space="0" w:color="auto"/>
        <w:left w:val="none" w:sz="0" w:space="0" w:color="auto"/>
        <w:bottom w:val="none" w:sz="0" w:space="0" w:color="auto"/>
        <w:right w:val="none" w:sz="0" w:space="0" w:color="auto"/>
      </w:divBdr>
    </w:div>
    <w:div w:id="1337852057">
      <w:bodyDiv w:val="1"/>
      <w:marLeft w:val="0"/>
      <w:marRight w:val="0"/>
      <w:marTop w:val="0"/>
      <w:marBottom w:val="0"/>
      <w:divBdr>
        <w:top w:val="none" w:sz="0" w:space="0" w:color="auto"/>
        <w:left w:val="none" w:sz="0" w:space="0" w:color="auto"/>
        <w:bottom w:val="none" w:sz="0" w:space="0" w:color="auto"/>
        <w:right w:val="none" w:sz="0" w:space="0" w:color="auto"/>
      </w:divBdr>
    </w:div>
    <w:div w:id="1420829270">
      <w:bodyDiv w:val="1"/>
      <w:marLeft w:val="0"/>
      <w:marRight w:val="0"/>
      <w:marTop w:val="0"/>
      <w:marBottom w:val="0"/>
      <w:divBdr>
        <w:top w:val="none" w:sz="0" w:space="0" w:color="auto"/>
        <w:left w:val="none" w:sz="0" w:space="0" w:color="auto"/>
        <w:bottom w:val="none" w:sz="0" w:space="0" w:color="auto"/>
        <w:right w:val="none" w:sz="0" w:space="0" w:color="auto"/>
      </w:divBdr>
    </w:div>
    <w:div w:id="1454716665">
      <w:bodyDiv w:val="1"/>
      <w:marLeft w:val="0"/>
      <w:marRight w:val="0"/>
      <w:marTop w:val="0"/>
      <w:marBottom w:val="0"/>
      <w:divBdr>
        <w:top w:val="none" w:sz="0" w:space="0" w:color="auto"/>
        <w:left w:val="none" w:sz="0" w:space="0" w:color="auto"/>
        <w:bottom w:val="none" w:sz="0" w:space="0" w:color="auto"/>
        <w:right w:val="none" w:sz="0" w:space="0" w:color="auto"/>
      </w:divBdr>
    </w:div>
    <w:div w:id="1469784376">
      <w:bodyDiv w:val="1"/>
      <w:marLeft w:val="0"/>
      <w:marRight w:val="0"/>
      <w:marTop w:val="0"/>
      <w:marBottom w:val="0"/>
      <w:divBdr>
        <w:top w:val="none" w:sz="0" w:space="0" w:color="auto"/>
        <w:left w:val="none" w:sz="0" w:space="0" w:color="auto"/>
        <w:bottom w:val="none" w:sz="0" w:space="0" w:color="auto"/>
        <w:right w:val="none" w:sz="0" w:space="0" w:color="auto"/>
      </w:divBdr>
    </w:div>
    <w:div w:id="1503157014">
      <w:bodyDiv w:val="1"/>
      <w:marLeft w:val="0"/>
      <w:marRight w:val="0"/>
      <w:marTop w:val="0"/>
      <w:marBottom w:val="0"/>
      <w:divBdr>
        <w:top w:val="none" w:sz="0" w:space="0" w:color="auto"/>
        <w:left w:val="none" w:sz="0" w:space="0" w:color="auto"/>
        <w:bottom w:val="none" w:sz="0" w:space="0" w:color="auto"/>
        <w:right w:val="none" w:sz="0" w:space="0" w:color="auto"/>
      </w:divBdr>
    </w:div>
    <w:div w:id="1517188681">
      <w:bodyDiv w:val="1"/>
      <w:marLeft w:val="0"/>
      <w:marRight w:val="0"/>
      <w:marTop w:val="0"/>
      <w:marBottom w:val="0"/>
      <w:divBdr>
        <w:top w:val="none" w:sz="0" w:space="0" w:color="auto"/>
        <w:left w:val="none" w:sz="0" w:space="0" w:color="auto"/>
        <w:bottom w:val="none" w:sz="0" w:space="0" w:color="auto"/>
        <w:right w:val="none" w:sz="0" w:space="0" w:color="auto"/>
      </w:divBdr>
    </w:div>
    <w:div w:id="1527519573">
      <w:bodyDiv w:val="1"/>
      <w:marLeft w:val="0"/>
      <w:marRight w:val="0"/>
      <w:marTop w:val="0"/>
      <w:marBottom w:val="0"/>
      <w:divBdr>
        <w:top w:val="none" w:sz="0" w:space="0" w:color="auto"/>
        <w:left w:val="none" w:sz="0" w:space="0" w:color="auto"/>
        <w:bottom w:val="none" w:sz="0" w:space="0" w:color="auto"/>
        <w:right w:val="none" w:sz="0" w:space="0" w:color="auto"/>
      </w:divBdr>
      <w:divsChild>
        <w:div w:id="3368142">
          <w:marLeft w:val="0"/>
          <w:marRight w:val="0"/>
          <w:marTop w:val="2250"/>
          <w:marBottom w:val="0"/>
          <w:divBdr>
            <w:top w:val="none" w:sz="0" w:space="0" w:color="auto"/>
            <w:left w:val="none" w:sz="0" w:space="0" w:color="auto"/>
            <w:bottom w:val="single" w:sz="6" w:space="0" w:color="DDDDDD"/>
            <w:right w:val="none" w:sz="0" w:space="0" w:color="auto"/>
          </w:divBdr>
          <w:divsChild>
            <w:div w:id="654452075">
              <w:marLeft w:val="0"/>
              <w:marRight w:val="0"/>
              <w:marTop w:val="0"/>
              <w:marBottom w:val="0"/>
              <w:divBdr>
                <w:top w:val="none" w:sz="0" w:space="0" w:color="auto"/>
                <w:left w:val="none" w:sz="0" w:space="0" w:color="auto"/>
                <w:bottom w:val="none" w:sz="0" w:space="0" w:color="auto"/>
                <w:right w:val="none" w:sz="0" w:space="0" w:color="auto"/>
              </w:divBdr>
              <w:divsChild>
                <w:div w:id="1834175264">
                  <w:marLeft w:val="0"/>
                  <w:marRight w:val="0"/>
                  <w:marTop w:val="0"/>
                  <w:marBottom w:val="0"/>
                  <w:divBdr>
                    <w:top w:val="none" w:sz="0" w:space="0" w:color="auto"/>
                    <w:left w:val="none" w:sz="0" w:space="0" w:color="auto"/>
                    <w:bottom w:val="none" w:sz="0" w:space="0" w:color="auto"/>
                    <w:right w:val="none" w:sz="0" w:space="0" w:color="auto"/>
                  </w:divBdr>
                  <w:divsChild>
                    <w:div w:id="1047535915">
                      <w:marLeft w:val="0"/>
                      <w:marRight w:val="0"/>
                      <w:marTop w:val="0"/>
                      <w:marBottom w:val="0"/>
                      <w:divBdr>
                        <w:top w:val="none" w:sz="0" w:space="0" w:color="auto"/>
                        <w:left w:val="none" w:sz="0" w:space="0" w:color="auto"/>
                        <w:bottom w:val="none" w:sz="0" w:space="0" w:color="auto"/>
                        <w:right w:val="none" w:sz="0" w:space="0" w:color="auto"/>
                      </w:divBdr>
                      <w:divsChild>
                        <w:div w:id="1185443235">
                          <w:marLeft w:val="0"/>
                          <w:marRight w:val="0"/>
                          <w:marTop w:val="0"/>
                          <w:marBottom w:val="0"/>
                          <w:divBdr>
                            <w:top w:val="none" w:sz="0" w:space="0" w:color="auto"/>
                            <w:left w:val="none" w:sz="0" w:space="0" w:color="auto"/>
                            <w:bottom w:val="none" w:sz="0" w:space="0" w:color="auto"/>
                            <w:right w:val="none" w:sz="0" w:space="0" w:color="auto"/>
                          </w:divBdr>
                          <w:divsChild>
                            <w:div w:id="900752519">
                              <w:marLeft w:val="150"/>
                              <w:marRight w:val="150"/>
                              <w:marTop w:val="0"/>
                              <w:marBottom w:val="15"/>
                              <w:divBdr>
                                <w:top w:val="none" w:sz="0" w:space="0" w:color="auto"/>
                                <w:left w:val="none" w:sz="0" w:space="0" w:color="auto"/>
                                <w:bottom w:val="none" w:sz="0" w:space="0" w:color="auto"/>
                                <w:right w:val="none" w:sz="0" w:space="0" w:color="auto"/>
                              </w:divBdr>
                              <w:divsChild>
                                <w:div w:id="903444289">
                                  <w:marLeft w:val="0"/>
                                  <w:marRight w:val="0"/>
                                  <w:marTop w:val="0"/>
                                  <w:marBottom w:val="0"/>
                                  <w:divBdr>
                                    <w:top w:val="none" w:sz="0" w:space="0" w:color="auto"/>
                                    <w:left w:val="none" w:sz="0" w:space="0" w:color="auto"/>
                                    <w:bottom w:val="none" w:sz="0" w:space="0" w:color="auto"/>
                                    <w:right w:val="none" w:sz="0" w:space="0" w:color="auto"/>
                                  </w:divBdr>
                                  <w:divsChild>
                                    <w:div w:id="967978352">
                                      <w:marLeft w:val="150"/>
                                      <w:marRight w:val="150"/>
                                      <w:marTop w:val="0"/>
                                      <w:marBottom w:val="15"/>
                                      <w:divBdr>
                                        <w:top w:val="none" w:sz="0" w:space="0" w:color="auto"/>
                                        <w:left w:val="none" w:sz="0" w:space="0" w:color="auto"/>
                                        <w:bottom w:val="none" w:sz="0" w:space="0" w:color="auto"/>
                                        <w:right w:val="none" w:sz="0" w:space="0" w:color="auto"/>
                                      </w:divBdr>
                                      <w:divsChild>
                                        <w:div w:id="1342274353">
                                          <w:marLeft w:val="0"/>
                                          <w:marRight w:val="0"/>
                                          <w:marTop w:val="120"/>
                                          <w:marBottom w:val="480"/>
                                          <w:divBdr>
                                            <w:top w:val="none" w:sz="0" w:space="0" w:color="auto"/>
                                            <w:left w:val="none" w:sz="0" w:space="0" w:color="auto"/>
                                            <w:bottom w:val="none" w:sz="0" w:space="0" w:color="auto"/>
                                            <w:right w:val="none" w:sz="0" w:space="0" w:color="auto"/>
                                          </w:divBdr>
                                          <w:divsChild>
                                            <w:div w:id="41971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168014">
      <w:bodyDiv w:val="1"/>
      <w:marLeft w:val="0"/>
      <w:marRight w:val="0"/>
      <w:marTop w:val="0"/>
      <w:marBottom w:val="0"/>
      <w:divBdr>
        <w:top w:val="none" w:sz="0" w:space="0" w:color="auto"/>
        <w:left w:val="none" w:sz="0" w:space="0" w:color="auto"/>
        <w:bottom w:val="none" w:sz="0" w:space="0" w:color="auto"/>
        <w:right w:val="none" w:sz="0" w:space="0" w:color="auto"/>
      </w:divBdr>
    </w:div>
    <w:div w:id="1616449041">
      <w:bodyDiv w:val="1"/>
      <w:marLeft w:val="0"/>
      <w:marRight w:val="0"/>
      <w:marTop w:val="0"/>
      <w:marBottom w:val="0"/>
      <w:divBdr>
        <w:top w:val="none" w:sz="0" w:space="0" w:color="auto"/>
        <w:left w:val="none" w:sz="0" w:space="0" w:color="auto"/>
        <w:bottom w:val="none" w:sz="0" w:space="0" w:color="auto"/>
        <w:right w:val="none" w:sz="0" w:space="0" w:color="auto"/>
      </w:divBdr>
    </w:div>
    <w:div w:id="1631202604">
      <w:bodyDiv w:val="1"/>
      <w:marLeft w:val="0"/>
      <w:marRight w:val="0"/>
      <w:marTop w:val="0"/>
      <w:marBottom w:val="0"/>
      <w:divBdr>
        <w:top w:val="none" w:sz="0" w:space="0" w:color="auto"/>
        <w:left w:val="none" w:sz="0" w:space="0" w:color="auto"/>
        <w:bottom w:val="none" w:sz="0" w:space="0" w:color="auto"/>
        <w:right w:val="none" w:sz="0" w:space="0" w:color="auto"/>
      </w:divBdr>
    </w:div>
    <w:div w:id="1688629695">
      <w:bodyDiv w:val="1"/>
      <w:marLeft w:val="0"/>
      <w:marRight w:val="0"/>
      <w:marTop w:val="0"/>
      <w:marBottom w:val="0"/>
      <w:divBdr>
        <w:top w:val="none" w:sz="0" w:space="0" w:color="auto"/>
        <w:left w:val="none" w:sz="0" w:space="0" w:color="auto"/>
        <w:bottom w:val="none" w:sz="0" w:space="0" w:color="auto"/>
        <w:right w:val="none" w:sz="0" w:space="0" w:color="auto"/>
      </w:divBdr>
    </w:div>
    <w:div w:id="1705669815">
      <w:bodyDiv w:val="1"/>
      <w:marLeft w:val="0"/>
      <w:marRight w:val="0"/>
      <w:marTop w:val="0"/>
      <w:marBottom w:val="0"/>
      <w:divBdr>
        <w:top w:val="none" w:sz="0" w:space="0" w:color="auto"/>
        <w:left w:val="none" w:sz="0" w:space="0" w:color="auto"/>
        <w:bottom w:val="none" w:sz="0" w:space="0" w:color="auto"/>
        <w:right w:val="none" w:sz="0" w:space="0" w:color="auto"/>
      </w:divBdr>
    </w:div>
    <w:div w:id="1782456227">
      <w:bodyDiv w:val="1"/>
      <w:marLeft w:val="0"/>
      <w:marRight w:val="0"/>
      <w:marTop w:val="0"/>
      <w:marBottom w:val="0"/>
      <w:divBdr>
        <w:top w:val="none" w:sz="0" w:space="0" w:color="auto"/>
        <w:left w:val="none" w:sz="0" w:space="0" w:color="auto"/>
        <w:bottom w:val="none" w:sz="0" w:space="0" w:color="auto"/>
        <w:right w:val="none" w:sz="0" w:space="0" w:color="auto"/>
      </w:divBdr>
    </w:div>
    <w:div w:id="1801919050">
      <w:bodyDiv w:val="1"/>
      <w:marLeft w:val="0"/>
      <w:marRight w:val="0"/>
      <w:marTop w:val="0"/>
      <w:marBottom w:val="0"/>
      <w:divBdr>
        <w:top w:val="none" w:sz="0" w:space="0" w:color="auto"/>
        <w:left w:val="none" w:sz="0" w:space="0" w:color="auto"/>
        <w:bottom w:val="none" w:sz="0" w:space="0" w:color="auto"/>
        <w:right w:val="none" w:sz="0" w:space="0" w:color="auto"/>
      </w:divBdr>
    </w:div>
    <w:div w:id="1833833018">
      <w:bodyDiv w:val="1"/>
      <w:marLeft w:val="0"/>
      <w:marRight w:val="0"/>
      <w:marTop w:val="0"/>
      <w:marBottom w:val="0"/>
      <w:divBdr>
        <w:top w:val="none" w:sz="0" w:space="0" w:color="auto"/>
        <w:left w:val="none" w:sz="0" w:space="0" w:color="auto"/>
        <w:bottom w:val="none" w:sz="0" w:space="0" w:color="auto"/>
        <w:right w:val="none" w:sz="0" w:space="0" w:color="auto"/>
      </w:divBdr>
      <w:divsChild>
        <w:div w:id="1779180466">
          <w:marLeft w:val="0"/>
          <w:marRight w:val="0"/>
          <w:marTop w:val="0"/>
          <w:marBottom w:val="0"/>
          <w:divBdr>
            <w:top w:val="none" w:sz="0" w:space="0" w:color="auto"/>
            <w:left w:val="none" w:sz="0" w:space="0" w:color="auto"/>
            <w:bottom w:val="none" w:sz="0" w:space="0" w:color="auto"/>
            <w:right w:val="none" w:sz="0" w:space="0" w:color="auto"/>
          </w:divBdr>
        </w:div>
      </w:divsChild>
    </w:div>
    <w:div w:id="1856653925">
      <w:bodyDiv w:val="1"/>
      <w:marLeft w:val="0"/>
      <w:marRight w:val="0"/>
      <w:marTop w:val="0"/>
      <w:marBottom w:val="0"/>
      <w:divBdr>
        <w:top w:val="none" w:sz="0" w:space="0" w:color="auto"/>
        <w:left w:val="none" w:sz="0" w:space="0" w:color="auto"/>
        <w:bottom w:val="none" w:sz="0" w:space="0" w:color="auto"/>
        <w:right w:val="none" w:sz="0" w:space="0" w:color="auto"/>
      </w:divBdr>
    </w:div>
    <w:div w:id="1869638061">
      <w:bodyDiv w:val="1"/>
      <w:marLeft w:val="0"/>
      <w:marRight w:val="0"/>
      <w:marTop w:val="0"/>
      <w:marBottom w:val="0"/>
      <w:divBdr>
        <w:top w:val="none" w:sz="0" w:space="0" w:color="auto"/>
        <w:left w:val="none" w:sz="0" w:space="0" w:color="auto"/>
        <w:bottom w:val="none" w:sz="0" w:space="0" w:color="auto"/>
        <w:right w:val="none" w:sz="0" w:space="0" w:color="auto"/>
      </w:divBdr>
    </w:div>
    <w:div w:id="1931810680">
      <w:bodyDiv w:val="1"/>
      <w:marLeft w:val="0"/>
      <w:marRight w:val="0"/>
      <w:marTop w:val="0"/>
      <w:marBottom w:val="0"/>
      <w:divBdr>
        <w:top w:val="none" w:sz="0" w:space="0" w:color="auto"/>
        <w:left w:val="none" w:sz="0" w:space="0" w:color="auto"/>
        <w:bottom w:val="none" w:sz="0" w:space="0" w:color="auto"/>
        <w:right w:val="none" w:sz="0" w:space="0" w:color="auto"/>
      </w:divBdr>
    </w:div>
    <w:div w:id="2004967383">
      <w:bodyDiv w:val="1"/>
      <w:marLeft w:val="0"/>
      <w:marRight w:val="0"/>
      <w:marTop w:val="0"/>
      <w:marBottom w:val="0"/>
      <w:divBdr>
        <w:top w:val="none" w:sz="0" w:space="0" w:color="auto"/>
        <w:left w:val="none" w:sz="0" w:space="0" w:color="auto"/>
        <w:bottom w:val="none" w:sz="0" w:space="0" w:color="auto"/>
        <w:right w:val="none" w:sz="0" w:space="0" w:color="auto"/>
      </w:divBdr>
    </w:div>
    <w:div w:id="2064523386">
      <w:bodyDiv w:val="1"/>
      <w:marLeft w:val="0"/>
      <w:marRight w:val="0"/>
      <w:marTop w:val="0"/>
      <w:marBottom w:val="0"/>
      <w:divBdr>
        <w:top w:val="none" w:sz="0" w:space="0" w:color="auto"/>
        <w:left w:val="none" w:sz="0" w:space="0" w:color="auto"/>
        <w:bottom w:val="none" w:sz="0" w:space="0" w:color="auto"/>
        <w:right w:val="none" w:sz="0" w:space="0" w:color="auto"/>
      </w:divBdr>
    </w:div>
    <w:div w:id="2136874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hart" Target="charts/chart1.xml"/><Relationship Id="rId3" Type="http://schemas.openxmlformats.org/officeDocument/2006/relationships/numbering" Target="numbering.xml"/><Relationship Id="rId21" Type="http://schemas.openxmlformats.org/officeDocument/2006/relationships/fontTable" Target="fontTable.xml"/><Relationship Id="rId42"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nsi.bg/bg/content/1755/&#1084;&#1086;&#1088;&#1089;&#1082;&#1080;-&#1090;&#1088;&#1072;&#1085;&#1089;&#1087;&#1086;&#1088;&#1090;" TargetMode="External"/><Relationship Id="rId2" Type="http://schemas.openxmlformats.org/officeDocument/2006/relationships/customXml" Target="../customXml/item1.xml"/><Relationship Id="rId16" Type="http://schemas.openxmlformats.org/officeDocument/2006/relationships/hyperlink" Target="https://www.minfin.bg/bg/page/868" TargetMode="External"/><Relationship Id="rId20" Type="http://schemas.openxmlformats.org/officeDocument/2006/relationships/image" Target="media/image3.emf"/><Relationship Id="rId41" Type="http://schemas.microsoft.com/office/2016/09/relationships/commentsIds" Target="commentsIds.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nsi.bg/bg/content/2445/%20%D0%B8%D0%BD%D1%84%D0%BB%D0%B0%D1%86%D0%B8%D1%8F-%D0%B8-%D0%B8%D0%BD%D0%B4%D0%B5%D0%BA%D1%81%D0%B8-%D0%BD%D0%B0-%D0%BF%D0%BE%D1%82%D1%80%D0%B5%D0%B1%D0%B8%D1%82%D0%B5%D0%BB%D1%81%D0%BA%D0%B8%D1%82%D0%B5-%D1%86%D0%B5%D0%BD%D0%B8"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minfin.bg/bg/page/868"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s://www.profitwell.com/blog/discount-rate-formula" TargetMode="External"/><Relationship Id="rId3" Type="http://schemas.openxmlformats.org/officeDocument/2006/relationships/hyperlink" Target="http://www.marad.bg/page.php?category=22&amp;id=22" TargetMode="External"/><Relationship Id="rId7" Type="http://schemas.openxmlformats.org/officeDocument/2006/relationships/hyperlink" Target="https://hbr.org/2014/11/a-refresher-on-net-present-value#:~:text=It's%20the%20rate%20of%20return,CFO's%20office%20sets%20the%20rate" TargetMode="External"/><Relationship Id="rId2" Type="http://schemas.openxmlformats.org/officeDocument/2006/relationships/hyperlink" Target="https://eur-lex.europa.eu/legal-content/BG/TXT/?uri=CELEX:32019L0883" TargetMode="External"/><Relationship Id="rId1" Type="http://schemas.openxmlformats.org/officeDocument/2006/relationships/hyperlink" Target="https://eur-lex.europa.eu/legal-content/BG/TXT/?uri=CELEX%3A32000L0059" TargetMode="External"/><Relationship Id="rId6" Type="http://schemas.openxmlformats.org/officeDocument/2006/relationships/hyperlink" Target="https://www.focus-economics.com/countries/bulgaria" TargetMode="External"/><Relationship Id="rId11" Type="http://schemas.openxmlformats.org/officeDocument/2006/relationships/hyperlink" Target="https://tradingeconomics.com/germany/5-year-note-yield" TargetMode="External"/><Relationship Id="rId5" Type="http://schemas.openxmlformats.org/officeDocument/2006/relationships/hyperlink" Target="https://www.minfin.bg/bg/868" TargetMode="External"/><Relationship Id="rId10" Type="http://schemas.openxmlformats.org/officeDocument/2006/relationships/hyperlink" Target="https://www.minfin.bg/bg/news/10703" TargetMode="External"/><Relationship Id="rId4" Type="http://schemas.openxmlformats.org/officeDocument/2006/relationships/hyperlink" Target="http://www.nsi.bg" TargetMode="External"/><Relationship Id="rId9" Type="http://schemas.openxmlformats.org/officeDocument/2006/relationships/hyperlink" Target="https://corporatefinanceinstitute.com/resources/knowledge/finance/discount-rat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r>
              <a:rPr lang="bg-BG" sz="1200"/>
              <a:t>Динамика</a:t>
            </a:r>
            <a:r>
              <a:rPr lang="bg-BG" sz="1200" baseline="0"/>
              <a:t> на товарите в х.тона</a:t>
            </a:r>
            <a:endParaRPr lang="en-US" sz="1200"/>
          </a:p>
        </c:rich>
      </c:tx>
      <c:overlay val="0"/>
      <c:spPr>
        <a:noFill/>
        <a:ln>
          <a:noFill/>
        </a:ln>
        <a:effectLst/>
      </c:spPr>
    </c:title>
    <c:autoTitleDeleted val="0"/>
    <c:plotArea>
      <c:layout/>
      <c:barChart>
        <c:barDir val="col"/>
        <c:grouping val="clustered"/>
        <c:varyColors val="0"/>
        <c:ser>
          <c:idx val="0"/>
          <c:order val="0"/>
          <c:tx>
            <c:strRef>
              <c:f>морски!$A$19</c:f>
              <c:strCache>
                <c:ptCount val="1"/>
                <c:pt idx="0">
                  <c:v>Морски транспорт товари</c:v>
                </c:pt>
              </c:strCache>
            </c:strRef>
          </c:tx>
          <c:spPr>
            <a:solidFill>
              <a:schemeClr val="accent1"/>
            </a:solidFill>
            <a:ln>
              <a:noFill/>
            </a:ln>
            <a:effectLst/>
          </c:spPr>
          <c:invertIfNegative val="0"/>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морски!$B$19:$I$19</c:f>
              <c:numCache>
                <c:formatCode>General</c:formatCode>
                <c:ptCount val="8"/>
                <c:pt idx="0">
                  <c:v>25185</c:v>
                </c:pt>
                <c:pt idx="1">
                  <c:v>26012</c:v>
                </c:pt>
                <c:pt idx="2">
                  <c:v>28841</c:v>
                </c:pt>
                <c:pt idx="3">
                  <c:v>27235</c:v>
                </c:pt>
                <c:pt idx="4">
                  <c:v>27166</c:v>
                </c:pt>
                <c:pt idx="5">
                  <c:v>28685</c:v>
                </c:pt>
                <c:pt idx="6">
                  <c:v>30953</c:v>
                </c:pt>
                <c:pt idx="7" formatCode="#,##0">
                  <c:v>31956.915422702034</c:v>
                </c:pt>
              </c:numCache>
            </c:numRef>
          </c:val>
          <c:extLst xmlns:c16r2="http://schemas.microsoft.com/office/drawing/2015/06/chart">
            <c:ext xmlns:c16="http://schemas.microsoft.com/office/drawing/2014/chart" uri="{C3380CC4-5D6E-409C-BE32-E72D297353CC}">
              <c16:uniqueId val="{00000000-0605-4D77-84E4-CDFFD3274844}"/>
            </c:ext>
          </c:extLst>
        </c:ser>
        <c:ser>
          <c:idx val="1"/>
          <c:order val="1"/>
          <c:tx>
            <c:strRef>
              <c:f>морски!$A$20</c:f>
              <c:strCache>
                <c:ptCount val="1"/>
                <c:pt idx="0">
                  <c:v>Речен транспорт товари</c:v>
                </c:pt>
              </c:strCache>
            </c:strRef>
          </c:tx>
          <c:spPr>
            <a:solidFill>
              <a:schemeClr val="accent2"/>
            </a:solidFill>
            <a:ln>
              <a:noFill/>
            </a:ln>
            <a:effectLst/>
          </c:spPr>
          <c:invertIfNegative val="0"/>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морски!$B$20:$I$20</c:f>
              <c:numCache>
                <c:formatCode>General</c:formatCode>
                <c:ptCount val="8"/>
                <c:pt idx="0">
                  <c:v>4230</c:v>
                </c:pt>
                <c:pt idx="1">
                  <c:v>3894</c:v>
                </c:pt>
                <c:pt idx="2">
                  <c:v>3831</c:v>
                </c:pt>
                <c:pt idx="3">
                  <c:v>4529</c:v>
                </c:pt>
                <c:pt idx="4">
                  <c:v>4568</c:v>
                </c:pt>
                <c:pt idx="5">
                  <c:v>3993</c:v>
                </c:pt>
                <c:pt idx="6">
                  <c:v>3705</c:v>
                </c:pt>
                <c:pt idx="7">
                  <c:v>3891</c:v>
                </c:pt>
              </c:numCache>
            </c:numRef>
          </c:val>
          <c:extLst xmlns:c16r2="http://schemas.microsoft.com/office/drawing/2015/06/chart">
            <c:ext xmlns:c16="http://schemas.microsoft.com/office/drawing/2014/chart" uri="{C3380CC4-5D6E-409C-BE32-E72D297353CC}">
              <c16:uniqueId val="{00000001-0605-4D77-84E4-CDFFD3274844}"/>
            </c:ext>
          </c:extLst>
        </c:ser>
        <c:dLbls>
          <c:showLegendKey val="0"/>
          <c:showVal val="0"/>
          <c:showCatName val="0"/>
          <c:showSerName val="0"/>
          <c:showPercent val="0"/>
          <c:showBubbleSize val="0"/>
        </c:dLbls>
        <c:gapWidth val="150"/>
        <c:axId val="124035456"/>
        <c:axId val="124036992"/>
      </c:barChart>
      <c:lineChart>
        <c:grouping val="standard"/>
        <c:varyColors val="0"/>
        <c:ser>
          <c:idx val="2"/>
          <c:order val="2"/>
          <c:tx>
            <c:strRef>
              <c:f>морски!$A$21</c:f>
              <c:strCache>
                <c:ptCount val="1"/>
                <c:pt idx="0">
                  <c:v>Общо товари за ДППИ</c:v>
                </c:pt>
              </c:strCache>
            </c:strRef>
          </c:tx>
          <c:spPr>
            <a:ln w="28575" cap="rnd">
              <a:solidFill>
                <a:schemeClr val="accent3"/>
              </a:solidFill>
              <a:round/>
            </a:ln>
            <a:effectLst/>
          </c:spPr>
          <c:marker>
            <c:symbol val="none"/>
          </c:marker>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морски!$B$21:$I$21</c:f>
              <c:numCache>
                <c:formatCode>General</c:formatCode>
                <c:ptCount val="8"/>
                <c:pt idx="0">
                  <c:v>29415</c:v>
                </c:pt>
                <c:pt idx="1">
                  <c:v>29906</c:v>
                </c:pt>
                <c:pt idx="2">
                  <c:v>32672</c:v>
                </c:pt>
                <c:pt idx="3">
                  <c:v>31764</c:v>
                </c:pt>
                <c:pt idx="4">
                  <c:v>31734</c:v>
                </c:pt>
                <c:pt idx="5">
                  <c:v>32678</c:v>
                </c:pt>
                <c:pt idx="6">
                  <c:v>34658</c:v>
                </c:pt>
                <c:pt idx="7" formatCode="0">
                  <c:v>35847.915422702004</c:v>
                </c:pt>
              </c:numCache>
            </c:numRef>
          </c:val>
          <c:smooth val="0"/>
          <c:extLst xmlns:c16r2="http://schemas.microsoft.com/office/drawing/2015/06/chart">
            <c:ext xmlns:c16="http://schemas.microsoft.com/office/drawing/2014/chart" uri="{C3380CC4-5D6E-409C-BE32-E72D297353CC}">
              <c16:uniqueId val="{00000002-0605-4D77-84E4-CDFFD3274844}"/>
            </c:ext>
          </c:extLst>
        </c:ser>
        <c:dLbls>
          <c:showLegendKey val="0"/>
          <c:showVal val="0"/>
          <c:showCatName val="0"/>
          <c:showSerName val="0"/>
          <c:showPercent val="0"/>
          <c:showBubbleSize val="0"/>
        </c:dLbls>
        <c:marker val="1"/>
        <c:smooth val="0"/>
        <c:axId val="144798848"/>
        <c:axId val="124038528"/>
      </c:lineChart>
      <c:catAx>
        <c:axId val="12403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24036992"/>
        <c:crosses val="autoZero"/>
        <c:auto val="1"/>
        <c:lblAlgn val="ctr"/>
        <c:lblOffset val="100"/>
        <c:noMultiLvlLbl val="0"/>
      </c:catAx>
      <c:valAx>
        <c:axId val="1240369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24035456"/>
        <c:crosses val="autoZero"/>
        <c:crossBetween val="between"/>
      </c:valAx>
      <c:valAx>
        <c:axId val="124038528"/>
        <c:scaling>
          <c:orientation val="minMax"/>
        </c:scaling>
        <c:delete val="0"/>
        <c:axPos val="r"/>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44798848"/>
        <c:crosses val="max"/>
        <c:crossBetween val="between"/>
      </c:valAx>
      <c:catAx>
        <c:axId val="144798848"/>
        <c:scaling>
          <c:orientation val="minMax"/>
        </c:scaling>
        <c:delete val="1"/>
        <c:axPos val="b"/>
        <c:numFmt formatCode="General" sourceLinked="1"/>
        <c:majorTickMark val="none"/>
        <c:minorTickMark val="none"/>
        <c:tickLblPos val="none"/>
        <c:crossAx val="12403852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F4BEDD13834F6A968B1851BCA57389"/>
        <w:category>
          <w:name w:val="General"/>
          <w:gallery w:val="placeholder"/>
        </w:category>
        <w:types>
          <w:type w:val="bbPlcHdr"/>
        </w:types>
        <w:behaviors>
          <w:behavior w:val="content"/>
        </w:behaviors>
        <w:guid w:val="{1D692588-2C45-4A1F-B9B4-A041B740EC3D}"/>
      </w:docPartPr>
      <w:docPartBody>
        <w:p w:rsidR="00A3752F" w:rsidRDefault="00A3752F" w:rsidP="00A3752F">
          <w:pPr>
            <w:pStyle w:val="8BF4BEDD13834F6A968B1851BCA57389"/>
          </w:pPr>
          <w:r w:rsidRPr="008E250D">
            <w:rPr>
              <w:rStyle w:val="PlaceholderText"/>
            </w:rPr>
            <w:t>[Title]</w:t>
          </w:r>
        </w:p>
      </w:docPartBody>
    </w:docPart>
    <w:docPart>
      <w:docPartPr>
        <w:name w:val="A6A4EEBC624F4DCE95E979C2E7B589ED"/>
        <w:category>
          <w:name w:val="General"/>
          <w:gallery w:val="placeholder"/>
        </w:category>
        <w:types>
          <w:type w:val="bbPlcHdr"/>
        </w:types>
        <w:behaviors>
          <w:behavior w:val="content"/>
        </w:behaviors>
        <w:guid w:val="{F5591991-2A65-4780-B1B0-A6087733B25E}"/>
      </w:docPartPr>
      <w:docPartBody>
        <w:p w:rsidR="00A3752F" w:rsidRDefault="00A3752F" w:rsidP="00A3752F">
          <w:pPr>
            <w:pStyle w:val="A6A4EEBC624F4DCE95E979C2E7B589ED"/>
          </w:pPr>
          <w:r w:rsidRPr="008E250D">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EUAlbertina">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285E97"/>
    <w:rsid w:val="00025F3C"/>
    <w:rsid w:val="000F3468"/>
    <w:rsid w:val="00124C1F"/>
    <w:rsid w:val="00136711"/>
    <w:rsid w:val="0014166B"/>
    <w:rsid w:val="00285E97"/>
    <w:rsid w:val="002B1FED"/>
    <w:rsid w:val="00304946"/>
    <w:rsid w:val="003121DA"/>
    <w:rsid w:val="003E094D"/>
    <w:rsid w:val="003E6638"/>
    <w:rsid w:val="0048345D"/>
    <w:rsid w:val="004E54BD"/>
    <w:rsid w:val="005E0BC7"/>
    <w:rsid w:val="005F7B84"/>
    <w:rsid w:val="00616252"/>
    <w:rsid w:val="006C0515"/>
    <w:rsid w:val="006D2271"/>
    <w:rsid w:val="006D4D8D"/>
    <w:rsid w:val="008349AD"/>
    <w:rsid w:val="008655A5"/>
    <w:rsid w:val="00913337"/>
    <w:rsid w:val="009F6BEC"/>
    <w:rsid w:val="00A161D8"/>
    <w:rsid w:val="00A3752F"/>
    <w:rsid w:val="00AA49C1"/>
    <w:rsid w:val="00AB080D"/>
    <w:rsid w:val="00AB2195"/>
    <w:rsid w:val="00AE1665"/>
    <w:rsid w:val="00CA008F"/>
    <w:rsid w:val="00DF5CDA"/>
    <w:rsid w:val="00F544BB"/>
    <w:rsid w:val="00F806BD"/>
    <w:rsid w:val="00F957B6"/>
    <w:rsid w:val="00FC1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5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49C1"/>
    <w:rPr>
      <w:color w:val="808080"/>
    </w:rPr>
  </w:style>
  <w:style w:type="paragraph" w:customStyle="1" w:styleId="8BF4BEDD13834F6A968B1851BCA57389">
    <w:name w:val="8BF4BEDD13834F6A968B1851BCA57389"/>
    <w:rsid w:val="00A3752F"/>
    <w:pPr>
      <w:spacing w:after="200" w:line="276" w:lineRule="auto"/>
    </w:pPr>
  </w:style>
  <w:style w:type="paragraph" w:customStyle="1" w:styleId="A6A4EEBC624F4DCE95E979C2E7B589ED">
    <w:name w:val="A6A4EEBC624F4DCE95E979C2E7B589ED"/>
    <w:rsid w:val="00A3752F"/>
    <w:pPr>
      <w:spacing w:after="200" w:line="276" w:lineRule="auto"/>
    </w:pPr>
  </w:style>
  <w:style w:type="paragraph" w:customStyle="1" w:styleId="C081E5076AE34370A848F3E10E28F7E1">
    <w:name w:val="C081E5076AE34370A848F3E10E28F7E1"/>
    <w:rsid w:val="00AA49C1"/>
    <w:pPr>
      <w:spacing w:after="200" w:line="276" w:lineRule="auto"/>
    </w:pPr>
  </w:style>
  <w:style w:type="paragraph" w:customStyle="1" w:styleId="9C8154CED6B1485B9AD5C38E0C0BFC04">
    <w:name w:val="9C8154CED6B1485B9AD5C38E0C0BFC04"/>
    <w:rsid w:val="00AA49C1"/>
    <w:pPr>
      <w:spacing w:after="200" w:line="276" w:lineRule="auto"/>
    </w:pPr>
  </w:style>
  <w:style w:type="paragraph" w:customStyle="1" w:styleId="124C49B66CF7478AB26D2C25B2E62100">
    <w:name w:val="124C49B66CF7478AB26D2C25B2E62100"/>
    <w:rsid w:val="00AA49C1"/>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A6C8A-CC66-47AB-8288-BBE8BE9FE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31</Pages>
  <Words>6883</Words>
  <Characters>39236</Characters>
  <Application>Microsoft Office Word</Application>
  <DocSecurity>0</DocSecurity>
  <Lines>326</Lines>
  <Paragraphs>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АНАЛИЗ РАЗХОДИ - ПОЛЗИ</vt:lpstr>
      <vt:lpstr>ЗАГЛАВИЕ</vt:lpstr>
    </vt:vector>
  </TitlesOfParts>
  <Company>Hewlett-Packard Company</Company>
  <LinksUpToDate>false</LinksUpToDate>
  <CharactersWithSpaces>46027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Borislava Stoilova</cp:lastModifiedBy>
  <cp:revision>2</cp:revision>
  <cp:lastPrinted>2019-08-14T11:41:00Z</cp:lastPrinted>
  <dcterms:created xsi:type="dcterms:W3CDTF">2020-08-01T15:03:00Z</dcterms:created>
  <dcterms:modified xsi:type="dcterms:W3CDTF">2020-08-13T11:35:00Z</dcterms:modified>
</cp:coreProperties>
</file>