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668" w:rsidRDefault="00FD6668">
      <w:r>
        <w:rPr>
          <w:noProof/>
        </w:rPr>
        <w:drawing>
          <wp:inline distT="0" distB="0" distL="0" distR="0" wp14:anchorId="77AA3D8D">
            <wp:extent cx="6353092" cy="16379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6378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4E90" w:rsidRPr="00611776" w:rsidRDefault="00BC3F44" w:rsidP="00611776">
      <w:pPr>
        <w:jc w:val="right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Приложение № 1</w:t>
      </w:r>
      <w:r w:rsidR="00463563">
        <w:rPr>
          <w:rFonts w:cstheme="minorHAnsi"/>
          <w:b/>
          <w:sz w:val="24"/>
          <w:szCs w:val="24"/>
          <w:lang w:val="bg-BG"/>
        </w:rPr>
        <w:t>8</w:t>
      </w:r>
    </w:p>
    <w:p w:rsidR="00D00C10" w:rsidRDefault="00DF1314" w:rsidP="00C2066A">
      <w:pPr>
        <w:spacing w:after="0"/>
        <w:jc w:val="center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Определяне</w:t>
      </w:r>
      <w:r w:rsidR="00FD6668" w:rsidRPr="00611776">
        <w:rPr>
          <w:rFonts w:cstheme="minorHAnsi"/>
          <w:b/>
          <w:sz w:val="24"/>
          <w:szCs w:val="24"/>
          <w:lang w:val="bg-BG"/>
        </w:rPr>
        <w:t xml:space="preserve"> </w:t>
      </w:r>
      <w:r w:rsidR="002A1BF5" w:rsidRPr="00611776">
        <w:rPr>
          <w:rFonts w:cstheme="minorHAnsi"/>
          <w:b/>
          <w:sz w:val="24"/>
          <w:szCs w:val="24"/>
          <w:lang w:val="bg-BG"/>
        </w:rPr>
        <w:t>на възнагражденията</w:t>
      </w:r>
      <w:r w:rsidR="00FD6668" w:rsidRPr="00611776">
        <w:rPr>
          <w:rFonts w:cstheme="minorHAnsi"/>
          <w:b/>
          <w:sz w:val="24"/>
          <w:szCs w:val="24"/>
          <w:lang w:val="bg-BG"/>
        </w:rPr>
        <w:t xml:space="preserve"> на участниците </w:t>
      </w:r>
      <w:r w:rsidR="00932870">
        <w:rPr>
          <w:rFonts w:cstheme="minorHAnsi"/>
          <w:b/>
          <w:sz w:val="24"/>
          <w:szCs w:val="24"/>
          <w:lang w:val="bg-BG"/>
        </w:rPr>
        <w:t xml:space="preserve">в </w:t>
      </w:r>
      <w:r w:rsidR="00D90B14" w:rsidRPr="00611776">
        <w:rPr>
          <w:rFonts w:cstheme="minorHAnsi"/>
          <w:b/>
          <w:sz w:val="24"/>
          <w:szCs w:val="24"/>
          <w:lang w:val="bg-BG"/>
        </w:rPr>
        <w:t>екип</w:t>
      </w:r>
      <w:r w:rsidR="00932870">
        <w:rPr>
          <w:rFonts w:cstheme="minorHAnsi"/>
          <w:b/>
          <w:sz w:val="24"/>
          <w:szCs w:val="24"/>
          <w:lang w:val="bg-BG"/>
        </w:rPr>
        <w:t>ите</w:t>
      </w:r>
      <w:r w:rsidR="00D90B14" w:rsidRPr="00611776">
        <w:rPr>
          <w:rFonts w:cstheme="minorHAnsi"/>
          <w:b/>
          <w:sz w:val="24"/>
          <w:szCs w:val="24"/>
          <w:lang w:val="bg-BG"/>
        </w:rPr>
        <w:t xml:space="preserve"> </w:t>
      </w:r>
      <w:r w:rsidR="00FD6668" w:rsidRPr="00611776">
        <w:rPr>
          <w:rFonts w:cstheme="minorHAnsi"/>
          <w:b/>
          <w:sz w:val="24"/>
          <w:szCs w:val="24"/>
          <w:lang w:val="bg-BG"/>
        </w:rPr>
        <w:t>при изпълнение на дейностите по проект</w:t>
      </w:r>
      <w:r w:rsidR="00D90B14" w:rsidRPr="00611776">
        <w:rPr>
          <w:rFonts w:cstheme="minorHAnsi"/>
          <w:b/>
          <w:sz w:val="24"/>
          <w:szCs w:val="24"/>
          <w:lang w:val="bg-BG"/>
        </w:rPr>
        <w:t>ите</w:t>
      </w:r>
      <w:r w:rsidR="00E83AEA" w:rsidRPr="00611776">
        <w:rPr>
          <w:rFonts w:cstheme="minorHAnsi"/>
          <w:b/>
          <w:sz w:val="24"/>
          <w:szCs w:val="24"/>
        </w:rPr>
        <w:t xml:space="preserve"> </w:t>
      </w:r>
      <w:r w:rsidR="00E83AEA" w:rsidRPr="00611776">
        <w:rPr>
          <w:rFonts w:cstheme="minorHAnsi"/>
          <w:b/>
          <w:sz w:val="24"/>
          <w:szCs w:val="24"/>
          <w:lang w:val="bg-BG"/>
        </w:rPr>
        <w:t xml:space="preserve">по процедура </w:t>
      </w:r>
      <w:r w:rsidR="00D00C10" w:rsidRPr="00D00C10">
        <w:rPr>
          <w:rFonts w:cstheme="minorHAnsi"/>
          <w:b/>
          <w:sz w:val="24"/>
          <w:szCs w:val="24"/>
          <w:lang w:val="bg-BG"/>
        </w:rPr>
        <w:t xml:space="preserve">чрез подбор на проекти BG14MFOP001-2.001 „Иновации в </w:t>
      </w:r>
      <w:proofErr w:type="spellStart"/>
      <w:r w:rsidR="00D00C10" w:rsidRPr="00D00C10">
        <w:rPr>
          <w:rFonts w:cstheme="minorHAnsi"/>
          <w:b/>
          <w:sz w:val="24"/>
          <w:szCs w:val="24"/>
          <w:lang w:val="bg-BG"/>
        </w:rPr>
        <w:t>аквакултурата</w:t>
      </w:r>
      <w:proofErr w:type="spellEnd"/>
      <w:r w:rsidR="00D00C10" w:rsidRPr="00D00C10">
        <w:rPr>
          <w:rFonts w:cstheme="minorHAnsi"/>
          <w:b/>
          <w:sz w:val="24"/>
          <w:szCs w:val="24"/>
          <w:lang w:val="bg-BG"/>
        </w:rPr>
        <w:t xml:space="preserve">”, мярка  2.1. „Иновации в </w:t>
      </w:r>
      <w:proofErr w:type="spellStart"/>
      <w:r w:rsidR="00D00C10" w:rsidRPr="00D00C10">
        <w:rPr>
          <w:rFonts w:cstheme="minorHAnsi"/>
          <w:b/>
          <w:sz w:val="24"/>
          <w:szCs w:val="24"/>
          <w:lang w:val="bg-BG"/>
        </w:rPr>
        <w:t>аквакултурата</w:t>
      </w:r>
      <w:proofErr w:type="spellEnd"/>
      <w:r w:rsidR="00D00C10" w:rsidRPr="00D00C10">
        <w:rPr>
          <w:rFonts w:cstheme="minorHAnsi"/>
          <w:b/>
          <w:sz w:val="24"/>
          <w:szCs w:val="24"/>
          <w:lang w:val="bg-BG"/>
        </w:rPr>
        <w:t>”, по Програмата за морско дело и рибарство 2014-2020 г.</w:t>
      </w:r>
    </w:p>
    <w:p w:rsidR="00D00C10" w:rsidRDefault="00D00C10" w:rsidP="00C2066A">
      <w:pPr>
        <w:spacing w:after="0"/>
        <w:jc w:val="center"/>
        <w:rPr>
          <w:rFonts w:cstheme="minorHAnsi"/>
          <w:b/>
          <w:sz w:val="24"/>
          <w:szCs w:val="24"/>
          <w:lang w:val="bg-BG"/>
        </w:rPr>
      </w:pPr>
    </w:p>
    <w:p w:rsidR="00D00C10" w:rsidRDefault="00C2066A" w:rsidP="00D00C10">
      <w:pPr>
        <w:tabs>
          <w:tab w:val="left" w:pos="540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eastAsia="bg-BG"/>
        </w:rPr>
        <w:tab/>
      </w:r>
      <w:r w:rsidRPr="00C2066A">
        <w:rPr>
          <w:rFonts w:eastAsia="Times New Roman" w:cstheme="minorHAnsi"/>
          <w:sz w:val="24"/>
          <w:szCs w:val="24"/>
          <w:lang w:val="bg-BG" w:eastAsia="bg-BG"/>
        </w:rPr>
        <w:t xml:space="preserve">Чрез прилагането на дейностите, предвидени по процедура </w:t>
      </w:r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чрез подбор на проекти BG14MFOP001-2.001 „Иновации в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аквакултурата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”, мярка  2.1. „Иновации в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аквакултурата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”, по Програмата за морско дело и рибарство 2014-2020 г.</w:t>
      </w:r>
      <w:r w:rsidR="00D00C10">
        <w:rPr>
          <w:rFonts w:eastAsia="Times New Roman" w:cstheme="minorHAnsi"/>
          <w:sz w:val="24"/>
          <w:szCs w:val="24"/>
          <w:lang w:val="bg-BG" w:eastAsia="bg-BG"/>
        </w:rPr>
        <w:t xml:space="preserve">, </w:t>
      </w:r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ще се даде възможност на научно-изследователските организации / структури да ориентират своите изследвания в областта на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аквакултурите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 към приложни дейности, свързани с практиката, ще се скъси пътя на тяхната развойна дейност до производителите на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аквакултури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 xml:space="preserve">, които ще могат да се възползват по-лесно от достиженията на науката и директно да ги прилагат в производството си. Може да се очаква издигане на нивото на използваните технологии в производството на </w:t>
      </w:r>
      <w:proofErr w:type="spellStart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аквакултури</w:t>
      </w:r>
      <w:proofErr w:type="spellEnd"/>
      <w:r w:rsidR="00D00C10" w:rsidRPr="00D00C10">
        <w:rPr>
          <w:rFonts w:eastAsia="Times New Roman" w:cstheme="minorHAnsi"/>
          <w:sz w:val="24"/>
          <w:szCs w:val="24"/>
          <w:lang w:val="bg-BG" w:eastAsia="bg-BG"/>
        </w:rPr>
        <w:t>, прилагане на иновативни практики, осигуряване на по-лек достъп на производителите до иновативни решения и технологии, по-високо равнище на опазване на околната среда, повишаване на конкурентоспособността и жизнеспособността им, цялостно ще се оптимизират процесите на производство и управление на стопанствата.</w:t>
      </w:r>
    </w:p>
    <w:p w:rsidR="00416FDC" w:rsidRPr="002E0372" w:rsidRDefault="0059516D" w:rsidP="00C2066A">
      <w:pPr>
        <w:tabs>
          <w:tab w:val="left" w:pos="567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>
        <w:rPr>
          <w:rFonts w:eastAsia="Times New Roman" w:cstheme="minorHAnsi"/>
          <w:sz w:val="24"/>
          <w:szCs w:val="24"/>
          <w:lang w:val="bg-BG" w:eastAsia="bg-BG"/>
        </w:rPr>
        <w:tab/>
      </w:r>
      <w:r w:rsidR="00416FDC" w:rsidRPr="002E0372">
        <w:rPr>
          <w:rFonts w:eastAsia="Times New Roman" w:cstheme="minorHAnsi"/>
          <w:sz w:val="24"/>
          <w:szCs w:val="24"/>
          <w:lang w:val="bg-BG" w:eastAsia="bg-BG"/>
        </w:rPr>
        <w:t xml:space="preserve">В Условията за кандидатстване по </w:t>
      </w:r>
      <w:r w:rsidR="00D00C10" w:rsidRPr="002E0372">
        <w:rPr>
          <w:rFonts w:eastAsia="Times New Roman" w:cstheme="minorHAnsi"/>
          <w:sz w:val="24"/>
          <w:szCs w:val="24"/>
          <w:lang w:val="bg-BG" w:eastAsia="bg-BG"/>
        </w:rPr>
        <w:t xml:space="preserve">процедура чрез подбор на проекти BG14MFOP001-2.001 „Иновации в </w:t>
      </w:r>
      <w:proofErr w:type="spellStart"/>
      <w:r w:rsidR="00D00C10" w:rsidRPr="002E0372">
        <w:rPr>
          <w:rFonts w:eastAsia="Times New Roman" w:cstheme="minorHAnsi"/>
          <w:sz w:val="24"/>
          <w:szCs w:val="24"/>
          <w:lang w:val="bg-BG" w:eastAsia="bg-BG"/>
        </w:rPr>
        <w:t>аквакултурата</w:t>
      </w:r>
      <w:proofErr w:type="spellEnd"/>
      <w:r w:rsidR="00D00C10" w:rsidRPr="002E0372">
        <w:rPr>
          <w:rFonts w:eastAsia="Times New Roman" w:cstheme="minorHAnsi"/>
          <w:sz w:val="24"/>
          <w:szCs w:val="24"/>
          <w:lang w:val="bg-BG" w:eastAsia="bg-BG"/>
        </w:rPr>
        <w:t xml:space="preserve">”, мярка  2.1. „Иновации в </w:t>
      </w:r>
      <w:proofErr w:type="spellStart"/>
      <w:r w:rsidR="00D00C10" w:rsidRPr="002E0372">
        <w:rPr>
          <w:rFonts w:eastAsia="Times New Roman" w:cstheme="minorHAnsi"/>
          <w:sz w:val="24"/>
          <w:szCs w:val="24"/>
          <w:lang w:val="bg-BG" w:eastAsia="bg-BG"/>
        </w:rPr>
        <w:t>аквакултурата</w:t>
      </w:r>
      <w:proofErr w:type="spellEnd"/>
      <w:r w:rsidR="00D00C10" w:rsidRPr="002E0372">
        <w:rPr>
          <w:rFonts w:eastAsia="Times New Roman" w:cstheme="minorHAnsi"/>
          <w:sz w:val="24"/>
          <w:szCs w:val="24"/>
          <w:lang w:val="bg-BG" w:eastAsia="bg-BG"/>
        </w:rPr>
        <w:t xml:space="preserve">”, по Програмата за морско дело и рибарство 2014-2020 г., </w:t>
      </w:r>
      <w:r w:rsidR="00416FDC" w:rsidRPr="002E0372">
        <w:rPr>
          <w:rFonts w:eastAsia="Times New Roman" w:cstheme="minorHAnsi"/>
          <w:sz w:val="24"/>
          <w:szCs w:val="24"/>
          <w:lang w:val="bg-BG" w:eastAsia="bg-BG"/>
        </w:rPr>
        <w:t xml:space="preserve">като допустими разходи са предвидени </w:t>
      </w:r>
      <w:r w:rsidR="00F1783B" w:rsidRPr="002E0372">
        <w:rPr>
          <w:rFonts w:eastAsia="Times New Roman" w:cstheme="minorHAnsi"/>
          <w:sz w:val="24"/>
          <w:szCs w:val="24"/>
          <w:lang w:val="bg-BG" w:eastAsia="bg-BG"/>
        </w:rPr>
        <w:t xml:space="preserve">разходите </w:t>
      </w:r>
      <w:r w:rsidR="00416FDC" w:rsidRPr="002E0372">
        <w:rPr>
          <w:rFonts w:eastAsia="Times New Roman" w:cstheme="minorHAnsi"/>
          <w:sz w:val="24"/>
          <w:szCs w:val="24"/>
          <w:lang w:val="bg-BG" w:eastAsia="bg-BG"/>
        </w:rPr>
        <w:t>за организаци</w:t>
      </w:r>
      <w:r w:rsidR="00DF1314" w:rsidRPr="002E0372">
        <w:rPr>
          <w:rFonts w:eastAsia="Times New Roman" w:cstheme="minorHAnsi"/>
          <w:sz w:val="24"/>
          <w:szCs w:val="24"/>
          <w:lang w:val="bg-BG" w:eastAsia="bg-BG"/>
        </w:rPr>
        <w:t xml:space="preserve">я и управление на дейностите по </w:t>
      </w:r>
      <w:r w:rsidR="00F1783B" w:rsidRPr="002E0372">
        <w:rPr>
          <w:rFonts w:eastAsia="Times New Roman" w:cstheme="minorHAnsi"/>
          <w:sz w:val="24"/>
          <w:szCs w:val="24"/>
          <w:lang w:val="bg-BG" w:eastAsia="bg-BG"/>
        </w:rPr>
        <w:t xml:space="preserve">изпълнявания </w:t>
      </w:r>
      <w:r w:rsidR="00416FDC" w:rsidRPr="002E0372">
        <w:rPr>
          <w:rFonts w:eastAsia="Times New Roman" w:cstheme="minorHAnsi"/>
          <w:sz w:val="24"/>
          <w:szCs w:val="24"/>
          <w:lang w:val="bg-BG" w:eastAsia="bg-BG"/>
        </w:rPr>
        <w:t>проект</w:t>
      </w:r>
      <w:r w:rsidR="00F1783B" w:rsidRPr="002E0372">
        <w:rPr>
          <w:rFonts w:eastAsia="Times New Roman" w:cstheme="minorHAnsi"/>
          <w:sz w:val="24"/>
          <w:szCs w:val="24"/>
          <w:lang w:val="bg-BG" w:eastAsia="bg-BG"/>
        </w:rPr>
        <w:t xml:space="preserve">, като техния размер е </w:t>
      </w:r>
      <w:r w:rsidR="00296F51" w:rsidRPr="002E0372">
        <w:rPr>
          <w:rFonts w:eastAsia="Times New Roman" w:cstheme="minorHAnsi"/>
          <w:sz w:val="24"/>
          <w:szCs w:val="24"/>
          <w:lang w:val="bg-BG" w:eastAsia="bg-BG"/>
        </w:rPr>
        <w:t>до</w:t>
      </w:r>
      <w:r w:rsidR="00416FDC" w:rsidRPr="002E0372">
        <w:rPr>
          <w:rFonts w:eastAsia="Times New Roman" w:cstheme="minorHAnsi"/>
          <w:sz w:val="24"/>
          <w:szCs w:val="24"/>
          <w:lang w:val="bg-BG" w:eastAsia="bg-BG"/>
        </w:rPr>
        <w:t xml:space="preserve"> 10% от общите допустими разходи</w:t>
      </w:r>
      <w:r w:rsidR="00F1783B" w:rsidRPr="002E0372">
        <w:rPr>
          <w:rFonts w:eastAsia="Times New Roman" w:cstheme="minorHAnsi"/>
          <w:sz w:val="24"/>
          <w:szCs w:val="24"/>
          <w:lang w:val="bg-BG" w:eastAsia="bg-BG"/>
        </w:rPr>
        <w:t xml:space="preserve"> по проекта</w:t>
      </w:r>
      <w:r w:rsidR="00416FDC" w:rsidRPr="002E0372">
        <w:rPr>
          <w:rFonts w:eastAsia="Times New Roman" w:cstheme="minorHAnsi"/>
          <w:sz w:val="24"/>
          <w:szCs w:val="24"/>
          <w:lang w:val="bg-BG" w:eastAsia="bg-BG"/>
        </w:rPr>
        <w:t>.</w:t>
      </w:r>
    </w:p>
    <w:p w:rsidR="00416FDC" w:rsidRPr="002E0372" w:rsidRDefault="00416FDC" w:rsidP="00416FDC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2E0372">
        <w:rPr>
          <w:rFonts w:eastAsia="Times New Roman" w:cstheme="minorHAnsi"/>
          <w:sz w:val="24"/>
          <w:szCs w:val="24"/>
          <w:lang w:val="bg-BG" w:eastAsia="bg-BG"/>
        </w:rPr>
        <w:t>Разходите за организация и управление включват:</w:t>
      </w:r>
    </w:p>
    <w:p w:rsidR="00D00C10" w:rsidRPr="002E0372" w:rsidRDefault="00D00C10" w:rsidP="00D00C10">
      <w:pPr>
        <w:pStyle w:val="ListParagraph"/>
        <w:numPr>
          <w:ilvl w:val="0"/>
          <w:numId w:val="4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2E0372">
        <w:rPr>
          <w:rFonts w:eastAsia="Times New Roman" w:cstheme="minorHAnsi"/>
          <w:sz w:val="24"/>
          <w:szCs w:val="24"/>
          <w:lang w:val="bg-BG" w:eastAsia="bg-BG"/>
        </w:rPr>
        <w:t xml:space="preserve">Разходи за възнаграждения на персонала и на външни експерти, които не са част от щатния персонал на кандидата по администриране на проекта в съответствие с чл. 10 и </w:t>
      </w:r>
      <w:r w:rsidRPr="002E0372">
        <w:rPr>
          <w:rFonts w:eastAsia="Times New Roman" w:cstheme="minorHAnsi"/>
          <w:sz w:val="24"/>
          <w:szCs w:val="24"/>
          <w:lang w:val="bg-BG" w:eastAsia="bg-BG"/>
        </w:rPr>
        <w:lastRenderedPageBreak/>
        <w:t>чл. 11 от ПМС №189/2016 г., включително осигуровки, дължими от работодателя, с изключение за заплати на служители в националните администрации.</w:t>
      </w:r>
    </w:p>
    <w:p w:rsidR="00D00C10" w:rsidRPr="002E0372" w:rsidRDefault="00D00C10" w:rsidP="00D00C10">
      <w:pPr>
        <w:pStyle w:val="ListParagraph"/>
        <w:numPr>
          <w:ilvl w:val="0"/>
          <w:numId w:val="4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2E0372">
        <w:rPr>
          <w:rFonts w:eastAsia="Times New Roman" w:cstheme="minorHAnsi"/>
          <w:sz w:val="24"/>
          <w:szCs w:val="24"/>
          <w:lang w:val="bg-BG" w:eastAsia="bg-BG"/>
        </w:rPr>
        <w:t>Разходи за командировъчни пари (пътни, дневни и квартирни) на персонала и на външни експерти, които не са част от щатния персонал на кандидата по администриране на проекта,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- членка на ЕС, в случаите, когато не е приложимо българското законодателство.</w:t>
      </w:r>
    </w:p>
    <w:p w:rsidR="00D00C10" w:rsidRDefault="00D00C10" w:rsidP="00416FDC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2E0372">
        <w:rPr>
          <w:rFonts w:eastAsia="Times New Roman" w:cstheme="minorHAnsi"/>
          <w:sz w:val="24"/>
          <w:szCs w:val="24"/>
          <w:lang w:val="bg-BG" w:eastAsia="bg-BG"/>
        </w:rPr>
        <w:t>В допълнение, допустими са и следните разходи:</w:t>
      </w:r>
      <w:bookmarkStart w:id="0" w:name="_GoBack"/>
      <w:bookmarkEnd w:id="0"/>
      <w:r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</w:p>
    <w:p w:rsidR="00D00C10" w:rsidRDefault="00D00C10" w:rsidP="00D00C10">
      <w:pPr>
        <w:pStyle w:val="ListParagraph"/>
        <w:numPr>
          <w:ilvl w:val="0"/>
          <w:numId w:val="1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D00C10">
        <w:rPr>
          <w:rFonts w:eastAsia="Times New Roman" w:cstheme="minorHAnsi"/>
          <w:sz w:val="24"/>
          <w:szCs w:val="24"/>
          <w:lang w:val="bg-BG" w:eastAsia="bg-BG"/>
        </w:rPr>
        <w:t>Разходи за възнаграждения на персонала и на външни експерти, които не са част от щатния персонал на кандидата, включително осигуровки, дължими от работодателя – изследователи, технически персонал и друг помощен персонал, доколкото техните услуги се използват за проекта.</w:t>
      </w:r>
    </w:p>
    <w:p w:rsidR="00D00C10" w:rsidRDefault="00D00C10" w:rsidP="00D00C10">
      <w:pPr>
        <w:pStyle w:val="ListParagraph"/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</w:p>
    <w:p w:rsidR="002B6D1A" w:rsidRPr="00D00C10" w:rsidRDefault="00D00C10" w:rsidP="002B6D1A">
      <w:pPr>
        <w:pStyle w:val="ListParagraph"/>
        <w:numPr>
          <w:ilvl w:val="0"/>
          <w:numId w:val="1"/>
        </w:num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D00C10">
        <w:rPr>
          <w:rFonts w:cstheme="minorHAnsi"/>
          <w:sz w:val="24"/>
          <w:szCs w:val="24"/>
          <w:lang w:val="bg-BG"/>
        </w:rPr>
        <w:t>Разходи за командировъчни пари (пътни, дневни и квартирни) на персонала и на външни експерти, които не са част от щатния персонал на кандидата във връзка с реализацията на проекта, съгласно Наредбата за командировките в страната и Наредбата за служебните командировки и специализации в чужбина или съответните нормативни актове на друга държава - членка на ЕС, в случаите, когато не е приложимо българското законодателство.</w:t>
      </w:r>
    </w:p>
    <w:p w:rsidR="002B6D1A" w:rsidRPr="00611776" w:rsidRDefault="00296F51" w:rsidP="002B6D1A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>С настоящият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>документ се определя начина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>на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изчисление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на </w:t>
      </w:r>
      <w:r w:rsidR="000A5F8C" w:rsidRPr="00611776">
        <w:rPr>
          <w:rFonts w:eastAsia="Times New Roman" w:cstheme="minorHAnsi"/>
          <w:i/>
          <w:sz w:val="24"/>
          <w:szCs w:val="24"/>
          <w:lang w:val="bg-BG" w:eastAsia="bg-BG"/>
        </w:rPr>
        <w:t>р</w:t>
      </w:r>
      <w:r w:rsidR="002B6D1A" w:rsidRPr="00611776">
        <w:rPr>
          <w:rFonts w:eastAsia="Times New Roman" w:cstheme="minorHAnsi"/>
          <w:i/>
          <w:sz w:val="24"/>
          <w:szCs w:val="24"/>
          <w:lang w:val="bg-BG" w:eastAsia="bg-BG"/>
        </w:rPr>
        <w:t>азходи за въ</w:t>
      </w:r>
      <w:r w:rsidR="00DF1314"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знаграждения на персонала и на </w:t>
      </w:r>
      <w:r w:rsidR="002B6D1A" w:rsidRPr="00611776">
        <w:rPr>
          <w:rFonts w:eastAsia="Times New Roman" w:cstheme="minorHAnsi"/>
          <w:i/>
          <w:sz w:val="24"/>
          <w:szCs w:val="24"/>
          <w:lang w:val="bg-BG" w:eastAsia="bg-BG"/>
        </w:rPr>
        <w:t>външни експерти, които не са част от щатния персонал на кандидата по администриране на проекта.</w:t>
      </w:r>
    </w:p>
    <w:p w:rsidR="00376E89" w:rsidRPr="00611776" w:rsidRDefault="00376E89" w:rsidP="002B6D1A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</w:p>
    <w:p w:rsidR="0059516D" w:rsidRDefault="00376E89" w:rsidP="00F1783B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b/>
          <w:sz w:val="24"/>
          <w:szCs w:val="24"/>
          <w:lang w:val="bg-BG" w:eastAsia="bg-BG"/>
        </w:rPr>
        <w:t>А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.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За изчисление на конкретните нива на почасовата ставка за възнаграждение на участниците </w:t>
      </w:r>
      <w:r w:rsidR="00932870">
        <w:rPr>
          <w:rFonts w:eastAsia="Times New Roman" w:cstheme="minorHAnsi"/>
          <w:sz w:val="24"/>
          <w:szCs w:val="24"/>
          <w:lang w:val="bg-BG" w:eastAsia="bg-BG"/>
        </w:rPr>
        <w:t xml:space="preserve">в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екипи</w:t>
      </w:r>
      <w:r w:rsidR="00932870">
        <w:rPr>
          <w:rFonts w:eastAsia="Times New Roman" w:cstheme="minorHAnsi"/>
          <w:sz w:val="24"/>
          <w:szCs w:val="24"/>
          <w:lang w:val="bg-BG" w:eastAsia="bg-BG"/>
        </w:rPr>
        <w:t>те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 xml:space="preserve"> при изпълнение на дейностите по проектите, Управляващият орган </w:t>
      </w:r>
      <w:r w:rsidR="00F1783B" w:rsidRPr="00611776">
        <w:rPr>
          <w:rFonts w:eastAsia="Times New Roman" w:cstheme="minorHAnsi"/>
          <w:sz w:val="24"/>
          <w:szCs w:val="24"/>
          <w:lang w:val="bg-BG" w:eastAsia="bg-BG"/>
        </w:rPr>
        <w:t xml:space="preserve">на ПМДР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е използвал определената ставка за професионални дейности и научни изследвания,</w:t>
      </w:r>
      <w:r w:rsidR="002B6D1A" w:rsidRPr="00611776">
        <w:rPr>
          <w:rFonts w:cstheme="minorHAnsi"/>
          <w:sz w:val="24"/>
          <w:szCs w:val="24"/>
          <w:lang w:val="bg-BG"/>
        </w:rPr>
        <w:t xml:space="preserve"> </w:t>
      </w:r>
      <w:r w:rsidR="002B6D1A" w:rsidRPr="00611776">
        <w:rPr>
          <w:rFonts w:eastAsia="Times New Roman" w:cstheme="minorHAnsi"/>
          <w:sz w:val="24"/>
          <w:szCs w:val="24"/>
          <w:lang w:val="bg-BG" w:eastAsia="bg-BG"/>
        </w:rPr>
        <w:t>заложени в Работната програма от Хоризонт 2020 на Европейската к</w:t>
      </w:r>
      <w:r w:rsidR="00794C97" w:rsidRPr="00611776">
        <w:rPr>
          <w:rFonts w:eastAsia="Times New Roman" w:cstheme="minorHAnsi"/>
          <w:sz w:val="24"/>
          <w:szCs w:val="24"/>
          <w:lang w:val="bg-BG" w:eastAsia="bg-BG"/>
        </w:rPr>
        <w:t>омисия (ЕК)</w:t>
      </w:r>
      <w:r w:rsidR="0059516D">
        <w:rPr>
          <w:rFonts w:eastAsia="Times New Roman" w:cstheme="minorHAnsi"/>
          <w:sz w:val="24"/>
          <w:szCs w:val="24"/>
          <w:lang w:val="bg-BG" w:eastAsia="bg-BG"/>
        </w:rPr>
        <w:t xml:space="preserve">: </w:t>
      </w:r>
    </w:p>
    <w:p w:rsidR="00794C97" w:rsidRPr="00611776" w:rsidRDefault="002B6D1A" w:rsidP="00F1783B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</w:t>
      </w:r>
    </w:p>
    <w:p w:rsidR="002B6D1A" w:rsidRPr="00611776" w:rsidRDefault="002E0372" w:rsidP="00F1783B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  <w:hyperlink r:id="rId8" w:history="1">
        <w:r w:rsidR="002B6D1A" w:rsidRPr="00611776">
          <w:rPr>
            <w:rStyle w:val="Hyperlink"/>
            <w:rFonts w:eastAsia="Times New Roman" w:cstheme="minorHAnsi"/>
            <w:i/>
            <w:sz w:val="24"/>
            <w:szCs w:val="24"/>
            <w:lang w:val="bg-BG" w:eastAsia="bg-BG"/>
          </w:rPr>
          <w:t>http://ec.europa.eu/research/participants/data/ref/h2020/wp/2018-2020/main/h2020-wp1820-msca_en.pdf</w:t>
        </w:r>
      </w:hyperlink>
    </w:p>
    <w:p w:rsidR="00E83AEA" w:rsidRPr="00611776" w:rsidRDefault="00E83AEA" w:rsidP="002B6D1A">
      <w:pPr>
        <w:spacing w:after="0"/>
        <w:ind w:firstLine="720"/>
        <w:jc w:val="both"/>
        <w:rPr>
          <w:rFonts w:eastAsia="Times New Roman" w:cstheme="minorHAnsi"/>
          <w:i/>
          <w:sz w:val="24"/>
          <w:szCs w:val="24"/>
          <w:lang w:val="bg-BG" w:eastAsia="bg-BG"/>
        </w:rPr>
      </w:pP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Млади учени – левовата равностойност на 39 240 € на година</w:t>
      </w:r>
      <w:r w:rsidRPr="00611776">
        <w:rPr>
          <w:rFonts w:cstheme="minorHAnsi"/>
          <w:sz w:val="24"/>
          <w:szCs w:val="24"/>
        </w:rPr>
        <w:t>;</w:t>
      </w: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на година</w:t>
      </w:r>
      <w:r w:rsidRPr="00611776">
        <w:rPr>
          <w:rFonts w:cstheme="minorHAnsi"/>
          <w:sz w:val="24"/>
          <w:szCs w:val="24"/>
        </w:rPr>
        <w:t>.</w:t>
      </w:r>
      <w:r w:rsidRPr="00611776">
        <w:rPr>
          <w:rFonts w:cstheme="minorHAnsi"/>
          <w:sz w:val="24"/>
          <w:szCs w:val="24"/>
          <w:lang w:val="bg-BG"/>
        </w:rPr>
        <w:t xml:space="preserve"> </w:t>
      </w:r>
    </w:p>
    <w:p w:rsidR="002B6D1A" w:rsidRPr="00611776" w:rsidRDefault="002B6D1A" w:rsidP="002B6D1A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eastAsia="bg-BG"/>
        </w:rPr>
      </w:pPr>
    </w:p>
    <w:p w:rsidR="002B6D1A" w:rsidRPr="00611776" w:rsidRDefault="002A1BF5" w:rsidP="002B6D1A">
      <w:pPr>
        <w:tabs>
          <w:tab w:val="left" w:pos="3882"/>
        </w:tabs>
        <w:jc w:val="both"/>
        <w:rPr>
          <w:rFonts w:eastAsia="Times New Roman" w:cstheme="minorHAnsi"/>
          <w:sz w:val="24"/>
          <w:szCs w:val="24"/>
          <w:lang w:val="bg-BG" w:eastAsia="bg-BG"/>
        </w:rPr>
      </w:pPr>
      <w:r w:rsidRPr="00611776">
        <w:rPr>
          <w:rFonts w:eastAsia="Times New Roman" w:cstheme="minorHAnsi"/>
          <w:sz w:val="24"/>
          <w:szCs w:val="24"/>
          <w:lang w:val="bg-BG" w:eastAsia="bg-BG"/>
        </w:rPr>
        <w:lastRenderedPageBreak/>
        <w:t xml:space="preserve">Посочените по-горе суми се променят при отчитане на </w:t>
      </w:r>
      <w:proofErr w:type="spellStart"/>
      <w:r w:rsidRPr="00611776">
        <w:rPr>
          <w:rFonts w:eastAsia="Times New Roman" w:cstheme="minorHAnsi"/>
          <w:sz w:val="24"/>
          <w:szCs w:val="24"/>
          <w:lang w:val="bg-BG" w:eastAsia="bg-BG"/>
        </w:rPr>
        <w:t>корекционния</w:t>
      </w:r>
      <w:proofErr w:type="spellEnd"/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коефициент за България</w:t>
      </w:r>
      <w:r w:rsidR="00376E89" w:rsidRPr="00611776">
        <w:rPr>
          <w:rFonts w:eastAsia="Times New Roman" w:cstheme="minorHAnsi"/>
          <w:sz w:val="24"/>
          <w:szCs w:val="24"/>
          <w:lang w:val="bg-BG" w:eastAsia="bg-BG"/>
        </w:rPr>
        <w:t>, който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за 201</w:t>
      </w:r>
      <w:r w:rsidR="00DF1314" w:rsidRPr="00611776">
        <w:rPr>
          <w:rFonts w:eastAsia="Times New Roman" w:cstheme="minorHAnsi"/>
          <w:sz w:val="24"/>
          <w:szCs w:val="24"/>
          <w:lang w:val="bg-BG" w:eastAsia="bg-BG"/>
        </w:rPr>
        <w:t>8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г. </w:t>
      </w:r>
      <w:r w:rsidR="00376E89" w:rsidRPr="00611776">
        <w:rPr>
          <w:rFonts w:eastAsia="Times New Roman" w:cstheme="minorHAnsi"/>
          <w:sz w:val="24"/>
          <w:szCs w:val="24"/>
          <w:lang w:val="bg-BG" w:eastAsia="bg-BG"/>
        </w:rPr>
        <w:t>е</w:t>
      </w:r>
      <w:r w:rsidRPr="00611776">
        <w:rPr>
          <w:rFonts w:eastAsia="Times New Roman" w:cstheme="minorHAnsi"/>
          <w:sz w:val="24"/>
          <w:szCs w:val="24"/>
          <w:lang w:val="bg-BG" w:eastAsia="bg-BG"/>
        </w:rPr>
        <w:t xml:space="preserve"> 62%</w:t>
      </w:r>
      <w:r w:rsidR="00C616AE" w:rsidRPr="00611776">
        <w:rPr>
          <w:rFonts w:eastAsia="Times New Roman" w:cstheme="minorHAnsi"/>
          <w:sz w:val="24"/>
          <w:szCs w:val="24"/>
          <w:lang w:val="bg-BG" w:eastAsia="bg-BG"/>
        </w:rPr>
        <w:t>:</w:t>
      </w:r>
    </w:p>
    <w:p w:rsidR="002A1BF5" w:rsidRPr="00611776" w:rsidRDefault="002A1BF5" w:rsidP="002A1BF5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Млади учени – левовата равностойност на 39 240  Х 62%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24 328.8 </w:t>
      </w:r>
      <w:r w:rsidRPr="00611776">
        <w:rPr>
          <w:rFonts w:cstheme="minorHAnsi"/>
          <w:sz w:val="24"/>
          <w:szCs w:val="24"/>
          <w:lang w:val="bg-BG"/>
        </w:rPr>
        <w:t>€ на година</w:t>
      </w:r>
      <w:r w:rsidR="00C616AE" w:rsidRPr="00611776">
        <w:rPr>
          <w:rFonts w:cstheme="minorHAnsi"/>
          <w:sz w:val="24"/>
          <w:szCs w:val="24"/>
        </w:rPr>
        <w:t>;</w:t>
      </w:r>
    </w:p>
    <w:p w:rsidR="00416FDC" w:rsidRPr="00611776" w:rsidRDefault="002A1BF5" w:rsidP="00794C97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Х 62%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 36 307.2 </w:t>
      </w:r>
      <w:r w:rsidRPr="00611776">
        <w:rPr>
          <w:rFonts w:cstheme="minorHAnsi"/>
          <w:sz w:val="24"/>
          <w:szCs w:val="24"/>
          <w:lang w:val="bg-BG"/>
        </w:rPr>
        <w:t>€ на година</w:t>
      </w:r>
      <w:r w:rsidRPr="00611776">
        <w:rPr>
          <w:rFonts w:cstheme="minorHAnsi"/>
          <w:sz w:val="24"/>
          <w:szCs w:val="24"/>
        </w:rPr>
        <w:t>.</w:t>
      </w:r>
    </w:p>
    <w:p w:rsidR="00794C97" w:rsidRPr="00611776" w:rsidRDefault="00794C97" w:rsidP="00794C97">
      <w:pPr>
        <w:pStyle w:val="ListParagraph"/>
        <w:spacing w:after="0"/>
        <w:ind w:left="1440"/>
        <w:jc w:val="both"/>
        <w:rPr>
          <w:rFonts w:cstheme="minorHAnsi"/>
          <w:sz w:val="24"/>
          <w:szCs w:val="24"/>
          <w:lang w:val="bg-BG"/>
        </w:rPr>
      </w:pPr>
    </w:p>
    <w:p w:rsidR="00D90B14" w:rsidRPr="00611776" w:rsidRDefault="00500E86" w:rsidP="00C616AE">
      <w:pPr>
        <w:tabs>
          <w:tab w:val="left" w:pos="3882"/>
        </w:tabs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Направено е следното изчисление за </w:t>
      </w:r>
      <w:r w:rsidR="00C616AE" w:rsidRPr="00611776">
        <w:rPr>
          <w:rFonts w:cstheme="minorHAnsi"/>
          <w:sz w:val="24"/>
          <w:szCs w:val="24"/>
          <w:lang w:val="bg-BG"/>
        </w:rPr>
        <w:t>получ</w:t>
      </w:r>
      <w:r w:rsidRPr="00611776">
        <w:rPr>
          <w:rFonts w:cstheme="minorHAnsi"/>
          <w:sz w:val="24"/>
          <w:szCs w:val="24"/>
          <w:lang w:val="bg-BG"/>
        </w:rPr>
        <w:t xml:space="preserve">аване на </w:t>
      </w:r>
      <w:r w:rsidR="00C616AE" w:rsidRPr="00611776">
        <w:rPr>
          <w:rFonts w:cstheme="minorHAnsi"/>
          <w:sz w:val="24"/>
          <w:szCs w:val="24"/>
          <w:lang w:val="bg-BG"/>
        </w:rPr>
        <w:t>месечната ставка</w:t>
      </w:r>
      <w:r w:rsidRPr="00611776">
        <w:rPr>
          <w:rFonts w:cstheme="minorHAnsi"/>
          <w:sz w:val="24"/>
          <w:szCs w:val="24"/>
          <w:lang w:val="bg-BG"/>
        </w:rPr>
        <w:t>:</w:t>
      </w:r>
    </w:p>
    <w:p w:rsidR="00C616AE" w:rsidRPr="00611776" w:rsidRDefault="00C616AE" w:rsidP="00C616AE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Млади учени – левовата равностойност на 39 240 </w:t>
      </w:r>
      <w:r w:rsidR="005E1D7E" w:rsidRPr="00611776">
        <w:rPr>
          <w:rFonts w:cstheme="minorHAnsi"/>
          <w:sz w:val="24"/>
          <w:szCs w:val="24"/>
          <w:lang w:val="bg-BG"/>
        </w:rPr>
        <w:t>€</w:t>
      </w:r>
      <w:r w:rsidRPr="00611776">
        <w:rPr>
          <w:rFonts w:cstheme="minorHAnsi"/>
          <w:sz w:val="24"/>
          <w:szCs w:val="24"/>
          <w:lang w:val="bg-BG"/>
        </w:rPr>
        <w:t xml:space="preserve"> / 12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2 027.4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€ на месец</w:t>
      </w:r>
      <w:r w:rsidRPr="00611776">
        <w:rPr>
          <w:rFonts w:cstheme="minorHAnsi"/>
          <w:sz w:val="24"/>
          <w:szCs w:val="24"/>
        </w:rPr>
        <w:t>;</w:t>
      </w:r>
    </w:p>
    <w:p w:rsidR="00D90B14" w:rsidRPr="00611776" w:rsidRDefault="00C616AE" w:rsidP="00C616AE">
      <w:pPr>
        <w:pStyle w:val="ListParagraph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Учени с опит – левовата равностойност на 58 560 € / 12</w:t>
      </w:r>
      <w:r w:rsidR="00500E86" w:rsidRPr="00611776">
        <w:rPr>
          <w:rFonts w:cstheme="minorHAnsi"/>
          <w:sz w:val="24"/>
          <w:szCs w:val="24"/>
          <w:lang w:val="bg-BG"/>
        </w:rPr>
        <w:t xml:space="preserve"> 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=</w:t>
      </w:r>
      <w:r w:rsidRPr="00611776">
        <w:rPr>
          <w:rFonts w:cstheme="minorHAnsi"/>
          <w:sz w:val="24"/>
          <w:szCs w:val="24"/>
        </w:rPr>
        <w:t xml:space="preserve">  </w:t>
      </w:r>
      <w:r w:rsidRPr="00611776">
        <w:rPr>
          <w:rFonts w:cstheme="minorHAnsi"/>
          <w:sz w:val="24"/>
          <w:szCs w:val="24"/>
          <w:lang w:val="bg-BG"/>
        </w:rPr>
        <w:t>3 025</w:t>
      </w:r>
      <w:r w:rsidRPr="00611776">
        <w:rPr>
          <w:rFonts w:cstheme="minorHAnsi"/>
          <w:sz w:val="24"/>
          <w:szCs w:val="24"/>
        </w:rPr>
        <w:t>.</w:t>
      </w:r>
      <w:r w:rsidRPr="00611776">
        <w:rPr>
          <w:rFonts w:cstheme="minorHAnsi"/>
          <w:sz w:val="24"/>
          <w:szCs w:val="24"/>
          <w:lang w:val="bg-BG"/>
        </w:rPr>
        <w:t>6</w:t>
      </w:r>
      <w:r w:rsidRPr="00611776">
        <w:rPr>
          <w:rFonts w:cstheme="minorHAnsi"/>
          <w:sz w:val="24"/>
          <w:szCs w:val="24"/>
        </w:rPr>
        <w:t xml:space="preserve"> </w:t>
      </w:r>
      <w:r w:rsidRPr="00611776">
        <w:rPr>
          <w:rFonts w:cstheme="minorHAnsi"/>
          <w:sz w:val="24"/>
          <w:szCs w:val="24"/>
          <w:lang w:val="bg-BG"/>
        </w:rPr>
        <w:t>€ на месец.</w:t>
      </w:r>
    </w:p>
    <w:p w:rsidR="00DF1314" w:rsidRPr="00932870" w:rsidRDefault="00DF1314" w:rsidP="00DF1314">
      <w:pPr>
        <w:tabs>
          <w:tab w:val="left" w:pos="3882"/>
        </w:tabs>
        <w:rPr>
          <w:b/>
          <w:sz w:val="18"/>
          <w:szCs w:val="18"/>
          <w:lang w:val="bg-BG"/>
        </w:rPr>
      </w:pPr>
    </w:p>
    <w:p w:rsidR="00932870" w:rsidRPr="00932870" w:rsidRDefault="00932870" w:rsidP="00DF1314">
      <w:pPr>
        <w:tabs>
          <w:tab w:val="left" w:pos="3882"/>
        </w:tabs>
        <w:rPr>
          <w:rFonts w:cstheme="minorHAnsi"/>
          <w:b/>
          <w:sz w:val="24"/>
          <w:szCs w:val="24"/>
          <w:lang w:val="bg-BG"/>
        </w:rPr>
      </w:pPr>
    </w:p>
    <w:p w:rsidR="00DF1314" w:rsidRPr="00611776" w:rsidRDefault="00DF1314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center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>Пример за изчисляване на възнагражденията</w:t>
      </w:r>
    </w:p>
    <w:p w:rsidR="000A1143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ab/>
        <w:t xml:space="preserve">Б. </w:t>
      </w:r>
      <w:r w:rsidR="000A1143" w:rsidRPr="00611776">
        <w:rPr>
          <w:rFonts w:cstheme="minorHAnsi"/>
          <w:b/>
          <w:sz w:val="24"/>
          <w:szCs w:val="24"/>
          <w:lang w:val="bg-BG"/>
        </w:rPr>
        <w:t xml:space="preserve">Изчисляване на продуктивните часове за една година: </w:t>
      </w:r>
    </w:p>
    <w:p w:rsidR="000A1143" w:rsidRPr="00611776" w:rsidRDefault="000A1143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Продуктивните часове за даден учен (действителният брой отчетени часове) се определят след като от броя на дните за предишната година се приспаднат съботи и недели, официалните празници и отпуските, а така полученият брой работни дни се умножи по 8 часа на ден, или:</w:t>
      </w:r>
    </w:p>
    <w:p w:rsidR="000A1143" w:rsidRPr="00611776" w:rsidRDefault="006D4B1B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((365-11</w:t>
      </w:r>
      <w:r w:rsidR="00500E86" w:rsidRPr="00611776">
        <w:rPr>
          <w:rFonts w:cstheme="minorHAnsi"/>
          <w:sz w:val="24"/>
          <w:szCs w:val="24"/>
          <w:lang w:val="bg-BG"/>
        </w:rPr>
        <w:t>7</w:t>
      </w:r>
      <w:r w:rsidRPr="00611776">
        <w:rPr>
          <w:rFonts w:cstheme="minorHAnsi"/>
          <w:sz w:val="24"/>
          <w:szCs w:val="24"/>
          <w:lang w:val="bg-BG"/>
        </w:rPr>
        <w:t>)</w:t>
      </w:r>
      <w:r w:rsidR="000A1143" w:rsidRPr="00611776">
        <w:rPr>
          <w:rFonts w:cstheme="minorHAnsi"/>
          <w:sz w:val="24"/>
          <w:szCs w:val="24"/>
          <w:lang w:val="bg-BG"/>
        </w:rPr>
        <w:t xml:space="preserve">-40) х 8 = </w:t>
      </w:r>
      <w:r w:rsidR="000A1143" w:rsidRPr="00611776">
        <w:rPr>
          <w:rFonts w:cstheme="minorHAnsi"/>
          <w:b/>
          <w:sz w:val="24"/>
          <w:szCs w:val="24"/>
          <w:lang w:val="bg-BG"/>
        </w:rPr>
        <w:t>1</w:t>
      </w:r>
      <w:r w:rsidR="00500E86" w:rsidRPr="00611776">
        <w:rPr>
          <w:rFonts w:cstheme="minorHAnsi"/>
          <w:b/>
          <w:sz w:val="24"/>
          <w:szCs w:val="24"/>
          <w:lang w:val="bg-BG"/>
        </w:rPr>
        <w:t> </w:t>
      </w:r>
      <w:r w:rsidR="000A1143" w:rsidRPr="00611776">
        <w:rPr>
          <w:rFonts w:cstheme="minorHAnsi"/>
          <w:b/>
          <w:sz w:val="24"/>
          <w:szCs w:val="24"/>
          <w:lang w:val="bg-BG"/>
        </w:rPr>
        <w:t>6</w:t>
      </w:r>
      <w:r w:rsidR="00500E86" w:rsidRPr="00611776">
        <w:rPr>
          <w:rFonts w:cstheme="minorHAnsi"/>
          <w:b/>
          <w:sz w:val="24"/>
          <w:szCs w:val="24"/>
          <w:lang w:val="bg-BG"/>
        </w:rPr>
        <w:t xml:space="preserve">64 </w:t>
      </w:r>
      <w:r w:rsidR="000A1143" w:rsidRPr="00611776">
        <w:rPr>
          <w:rFonts w:cstheme="minorHAnsi"/>
          <w:b/>
          <w:sz w:val="24"/>
          <w:szCs w:val="24"/>
          <w:lang w:val="bg-BG"/>
        </w:rPr>
        <w:t>продуктивни часа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за </w:t>
      </w:r>
      <w:r w:rsidRPr="00611776">
        <w:rPr>
          <w:rFonts w:cstheme="minorHAnsi"/>
          <w:sz w:val="24"/>
          <w:szCs w:val="24"/>
          <w:lang w:val="bg-BG"/>
        </w:rPr>
        <w:t>„У</w:t>
      </w:r>
      <w:r w:rsidR="000A1143" w:rsidRPr="00611776">
        <w:rPr>
          <w:rFonts w:cstheme="minorHAnsi"/>
          <w:sz w:val="24"/>
          <w:szCs w:val="24"/>
          <w:lang w:val="bg-BG"/>
        </w:rPr>
        <w:t>чения</w:t>
      </w:r>
      <w:r w:rsidRPr="00611776">
        <w:rPr>
          <w:rFonts w:cstheme="minorHAnsi"/>
          <w:sz w:val="24"/>
          <w:szCs w:val="24"/>
          <w:lang w:val="bg-BG"/>
        </w:rPr>
        <w:t>“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за 201</w:t>
      </w:r>
      <w:r w:rsidRPr="00611776">
        <w:rPr>
          <w:rFonts w:cstheme="minorHAnsi"/>
          <w:sz w:val="24"/>
          <w:szCs w:val="24"/>
          <w:lang w:val="bg-BG"/>
        </w:rPr>
        <w:t>7</w:t>
      </w:r>
      <w:r w:rsidR="000A1143" w:rsidRPr="00611776">
        <w:rPr>
          <w:rFonts w:cstheme="minorHAnsi"/>
          <w:sz w:val="24"/>
          <w:szCs w:val="24"/>
          <w:lang w:val="bg-BG"/>
        </w:rPr>
        <w:t xml:space="preserve"> г., където:</w:t>
      </w:r>
    </w:p>
    <w:p w:rsidR="00FD6668" w:rsidRPr="00611776" w:rsidRDefault="000A1143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  <w:r w:rsidRPr="00611776">
        <w:rPr>
          <w:rFonts w:cstheme="minorHAnsi"/>
          <w:i/>
          <w:sz w:val="24"/>
          <w:szCs w:val="24"/>
          <w:lang w:val="bg-BG"/>
        </w:rPr>
        <w:t>365 е общ брой на дните в годината; 11</w:t>
      </w:r>
      <w:r w:rsidR="00500E86" w:rsidRPr="00611776">
        <w:rPr>
          <w:rFonts w:cstheme="minorHAnsi"/>
          <w:i/>
          <w:sz w:val="24"/>
          <w:szCs w:val="24"/>
          <w:lang w:val="bg-BG"/>
        </w:rPr>
        <w:t>7</w:t>
      </w:r>
      <w:r w:rsidRPr="00611776">
        <w:rPr>
          <w:rFonts w:cstheme="minorHAnsi"/>
          <w:i/>
          <w:sz w:val="24"/>
          <w:szCs w:val="24"/>
          <w:lang w:val="bg-BG"/>
        </w:rPr>
        <w:t xml:space="preserve"> е брой на съботите, неделите </w:t>
      </w:r>
      <w:r w:rsidR="00500E86" w:rsidRPr="00611776">
        <w:rPr>
          <w:rFonts w:cstheme="minorHAnsi"/>
          <w:i/>
          <w:sz w:val="24"/>
          <w:szCs w:val="24"/>
          <w:lang w:val="bg-BG"/>
        </w:rPr>
        <w:t>и официалните празници</w:t>
      </w:r>
      <w:r w:rsidRPr="00611776">
        <w:rPr>
          <w:rFonts w:cstheme="minorHAnsi"/>
          <w:i/>
          <w:sz w:val="24"/>
          <w:szCs w:val="24"/>
          <w:lang w:val="bg-BG"/>
        </w:rPr>
        <w:t>; 40 са дните за платен отпуск, ко</w:t>
      </w:r>
      <w:r w:rsidR="00500E86" w:rsidRPr="00611776">
        <w:rPr>
          <w:rFonts w:cstheme="minorHAnsi"/>
          <w:i/>
          <w:sz w:val="24"/>
          <w:szCs w:val="24"/>
          <w:lang w:val="bg-BG"/>
        </w:rPr>
        <w:t>и</w:t>
      </w:r>
      <w:r w:rsidRPr="00611776">
        <w:rPr>
          <w:rFonts w:cstheme="minorHAnsi"/>
          <w:i/>
          <w:sz w:val="24"/>
          <w:szCs w:val="24"/>
          <w:lang w:val="bg-BG"/>
        </w:rPr>
        <w:t>то „Ученият” има право да ползва по основен трудов договор.</w:t>
      </w:r>
    </w:p>
    <w:p w:rsidR="006D4B1B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rFonts w:cstheme="minorHAnsi"/>
          <w:b/>
          <w:i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ab/>
        <w:t xml:space="preserve">В. </w:t>
      </w:r>
      <w:r w:rsidR="006D4B1B" w:rsidRPr="00611776">
        <w:rPr>
          <w:rFonts w:cstheme="minorHAnsi"/>
          <w:b/>
          <w:sz w:val="24"/>
          <w:szCs w:val="24"/>
          <w:lang w:val="bg-BG"/>
        </w:rPr>
        <w:t xml:space="preserve">Изчисление на почасовата ставка за </w:t>
      </w:r>
      <w:r w:rsidR="006D4B1B" w:rsidRPr="00611776">
        <w:rPr>
          <w:rFonts w:cstheme="minorHAnsi"/>
          <w:b/>
          <w:i/>
          <w:sz w:val="24"/>
          <w:szCs w:val="24"/>
          <w:lang w:val="bg-BG"/>
        </w:rPr>
        <w:t>Млади учени: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1: </w:t>
      </w:r>
      <w:r w:rsidRPr="00611776">
        <w:rPr>
          <w:rFonts w:cstheme="minorHAnsi"/>
          <w:sz w:val="24"/>
          <w:szCs w:val="24"/>
          <w:lang w:val="bg-BG"/>
        </w:rPr>
        <w:t>Определяне на брой продуктивни часове на месец:</w:t>
      </w:r>
    </w:p>
    <w:p w:rsidR="0066436C" w:rsidRPr="00611776" w:rsidRDefault="00F4127A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1 664 </w:t>
      </w:r>
      <w:r w:rsidR="0066436C" w:rsidRPr="00611776">
        <w:rPr>
          <w:rFonts w:cstheme="minorHAnsi"/>
          <w:sz w:val="24"/>
          <w:szCs w:val="24"/>
          <w:lang w:val="bg-BG"/>
        </w:rPr>
        <w:t>/12 = 1</w:t>
      </w:r>
      <w:r w:rsidR="00500E86" w:rsidRPr="00611776">
        <w:rPr>
          <w:rFonts w:cstheme="minorHAnsi"/>
          <w:sz w:val="24"/>
          <w:szCs w:val="24"/>
          <w:lang w:val="bg-BG"/>
        </w:rPr>
        <w:t>38</w:t>
      </w:r>
      <w:r w:rsidR="0066436C" w:rsidRPr="00611776">
        <w:rPr>
          <w:rFonts w:cstheme="minorHAnsi"/>
          <w:sz w:val="24"/>
          <w:szCs w:val="24"/>
          <w:lang w:val="bg-BG"/>
        </w:rPr>
        <w:t>.</w:t>
      </w:r>
      <w:r w:rsidR="00500E86" w:rsidRPr="00611776">
        <w:rPr>
          <w:rFonts w:cstheme="minorHAnsi"/>
          <w:sz w:val="24"/>
          <w:szCs w:val="24"/>
          <w:lang w:val="bg-BG"/>
        </w:rPr>
        <w:t>66666</w:t>
      </w:r>
      <w:r w:rsidR="0066436C" w:rsidRPr="00611776">
        <w:rPr>
          <w:rFonts w:cstheme="minorHAnsi"/>
          <w:sz w:val="24"/>
          <w:szCs w:val="24"/>
          <w:lang w:val="bg-BG"/>
        </w:rPr>
        <w:t xml:space="preserve"> часа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2: </w:t>
      </w:r>
      <w:r w:rsidRPr="00611776">
        <w:rPr>
          <w:rFonts w:cstheme="minorHAnsi"/>
          <w:sz w:val="24"/>
          <w:szCs w:val="24"/>
          <w:lang w:val="bg-BG"/>
        </w:rPr>
        <w:t>Изчисляване на почасовата ставка:</w:t>
      </w:r>
    </w:p>
    <w:p w:rsidR="0066436C" w:rsidRPr="00611776" w:rsidRDefault="00500E86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b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 xml:space="preserve">2 027.4 /138.66666 </w:t>
      </w:r>
      <w:r w:rsidR="0066436C" w:rsidRPr="00611776">
        <w:rPr>
          <w:rFonts w:cstheme="minorHAnsi"/>
          <w:sz w:val="24"/>
          <w:szCs w:val="24"/>
          <w:lang w:val="bg-BG"/>
        </w:rPr>
        <w:t xml:space="preserve">= </w:t>
      </w:r>
      <w:r w:rsidR="0066436C" w:rsidRPr="00611776">
        <w:rPr>
          <w:rFonts w:cstheme="minorHAnsi"/>
          <w:b/>
          <w:sz w:val="24"/>
          <w:szCs w:val="24"/>
          <w:lang w:val="bg-BG"/>
        </w:rPr>
        <w:t>14.</w:t>
      </w:r>
      <w:r w:rsidRPr="00611776">
        <w:rPr>
          <w:rFonts w:cstheme="minorHAnsi"/>
          <w:b/>
          <w:sz w:val="24"/>
          <w:szCs w:val="24"/>
          <w:lang w:val="bg-BG"/>
        </w:rPr>
        <w:t>62</w:t>
      </w:r>
      <w:r w:rsidR="0066436C" w:rsidRPr="00611776">
        <w:rPr>
          <w:rFonts w:cstheme="minorHAnsi"/>
          <w:b/>
          <w:sz w:val="24"/>
          <w:szCs w:val="24"/>
          <w:lang w:val="bg-BG"/>
        </w:rPr>
        <w:t xml:space="preserve"> € на час.</w:t>
      </w:r>
    </w:p>
    <w:p w:rsidR="0066436C" w:rsidRPr="00611776" w:rsidRDefault="00376E89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ind w:firstLine="720"/>
        <w:jc w:val="both"/>
        <w:rPr>
          <w:rFonts w:cstheme="minorHAnsi"/>
          <w:b/>
          <w:i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Г. </w:t>
      </w:r>
      <w:r w:rsidR="0066436C" w:rsidRPr="00611776">
        <w:rPr>
          <w:rFonts w:cstheme="minorHAnsi"/>
          <w:b/>
          <w:sz w:val="24"/>
          <w:szCs w:val="24"/>
          <w:lang w:val="bg-BG"/>
        </w:rPr>
        <w:t>Изчисление на почасовата ставка за У</w:t>
      </w:r>
      <w:r w:rsidR="0066436C" w:rsidRPr="00611776">
        <w:rPr>
          <w:rFonts w:cstheme="minorHAnsi"/>
          <w:b/>
          <w:i/>
          <w:sz w:val="24"/>
          <w:szCs w:val="24"/>
          <w:lang w:val="bg-BG"/>
        </w:rPr>
        <w:t>чени с опит: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t xml:space="preserve">Стъпка 1: </w:t>
      </w:r>
      <w:r w:rsidRPr="00611776">
        <w:rPr>
          <w:rFonts w:cstheme="minorHAnsi"/>
          <w:sz w:val="24"/>
          <w:szCs w:val="24"/>
          <w:lang w:val="bg-BG"/>
        </w:rPr>
        <w:t>Определяне на брой продуктивни часове на месец:</w:t>
      </w:r>
    </w:p>
    <w:p w:rsidR="0066436C" w:rsidRPr="00611776" w:rsidRDefault="00F4127A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sz w:val="24"/>
          <w:szCs w:val="24"/>
          <w:lang w:val="bg-BG"/>
        </w:rPr>
        <w:t xml:space="preserve">1 664 </w:t>
      </w:r>
      <w:r w:rsidR="0066436C" w:rsidRPr="00611776">
        <w:rPr>
          <w:rFonts w:cstheme="minorHAnsi"/>
          <w:sz w:val="24"/>
          <w:szCs w:val="24"/>
          <w:lang w:val="bg-BG"/>
        </w:rPr>
        <w:t xml:space="preserve"> /12 = </w:t>
      </w:r>
      <w:r w:rsidRPr="00611776">
        <w:rPr>
          <w:rFonts w:cstheme="minorHAnsi"/>
          <w:sz w:val="24"/>
          <w:szCs w:val="24"/>
          <w:lang w:val="bg-BG"/>
        </w:rPr>
        <w:t xml:space="preserve">138.66666 </w:t>
      </w:r>
      <w:r w:rsidR="0066436C" w:rsidRPr="00611776">
        <w:rPr>
          <w:rFonts w:cstheme="minorHAnsi"/>
          <w:sz w:val="24"/>
          <w:szCs w:val="24"/>
          <w:lang w:val="bg-BG"/>
        </w:rPr>
        <w:t>часа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b/>
          <w:i/>
          <w:sz w:val="24"/>
          <w:szCs w:val="24"/>
          <w:lang w:val="bg-BG"/>
        </w:rPr>
        <w:lastRenderedPageBreak/>
        <w:t xml:space="preserve">Стъпка 2: </w:t>
      </w:r>
      <w:r w:rsidRPr="00611776">
        <w:rPr>
          <w:rFonts w:cstheme="minorHAnsi"/>
          <w:sz w:val="24"/>
          <w:szCs w:val="24"/>
          <w:lang w:val="bg-BG"/>
        </w:rPr>
        <w:t>Изчисляване на почасовата ставка:</w:t>
      </w:r>
    </w:p>
    <w:p w:rsidR="0066436C" w:rsidRPr="00611776" w:rsidRDefault="0066436C" w:rsidP="0007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882"/>
        </w:tabs>
        <w:jc w:val="both"/>
        <w:rPr>
          <w:rFonts w:cstheme="minorHAnsi"/>
          <w:b/>
          <w:sz w:val="24"/>
          <w:szCs w:val="24"/>
        </w:rPr>
      </w:pPr>
      <w:r w:rsidRPr="00611776">
        <w:rPr>
          <w:rFonts w:cstheme="minorHAnsi"/>
          <w:sz w:val="24"/>
          <w:szCs w:val="24"/>
          <w:lang w:val="bg-BG"/>
        </w:rPr>
        <w:t xml:space="preserve">3 025.6 / </w:t>
      </w:r>
      <w:r w:rsidR="00F4127A" w:rsidRPr="00611776">
        <w:rPr>
          <w:rFonts w:cstheme="minorHAnsi"/>
          <w:sz w:val="24"/>
          <w:szCs w:val="24"/>
          <w:lang w:val="bg-BG"/>
        </w:rPr>
        <w:t xml:space="preserve">138.66666 </w:t>
      </w:r>
      <w:r w:rsidRPr="00611776">
        <w:rPr>
          <w:rFonts w:cstheme="minorHAnsi"/>
          <w:sz w:val="24"/>
          <w:szCs w:val="24"/>
          <w:lang w:val="bg-BG"/>
        </w:rPr>
        <w:t xml:space="preserve">= </w:t>
      </w:r>
      <w:r w:rsidRPr="00611776">
        <w:rPr>
          <w:rFonts w:cstheme="minorHAnsi"/>
          <w:b/>
          <w:sz w:val="24"/>
          <w:szCs w:val="24"/>
          <w:lang w:val="bg-BG"/>
        </w:rPr>
        <w:t>21.</w:t>
      </w:r>
      <w:r w:rsidR="00F4127A" w:rsidRPr="00611776">
        <w:rPr>
          <w:rFonts w:cstheme="minorHAnsi"/>
          <w:b/>
          <w:sz w:val="24"/>
          <w:szCs w:val="24"/>
          <w:lang w:val="bg-BG"/>
        </w:rPr>
        <w:t>82</w:t>
      </w:r>
      <w:r w:rsidR="00A27718" w:rsidRPr="00611776">
        <w:rPr>
          <w:rFonts w:cstheme="minorHAnsi"/>
          <w:b/>
          <w:sz w:val="24"/>
          <w:szCs w:val="24"/>
          <w:lang w:val="bg-BG"/>
        </w:rPr>
        <w:t xml:space="preserve"> € на час</w:t>
      </w:r>
    </w:p>
    <w:p w:rsidR="000735EF" w:rsidRDefault="000735EF" w:rsidP="000A1143">
      <w:pPr>
        <w:tabs>
          <w:tab w:val="left" w:pos="3882"/>
        </w:tabs>
        <w:jc w:val="both"/>
        <w:rPr>
          <w:b/>
          <w:sz w:val="18"/>
          <w:szCs w:val="18"/>
          <w:lang w:val="bg-BG"/>
        </w:rPr>
      </w:pPr>
    </w:p>
    <w:p w:rsidR="002B0835" w:rsidRPr="00611776" w:rsidRDefault="002E0372" w:rsidP="000A1143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>
        <w:rPr>
          <w:b/>
          <w:sz w:val="18"/>
          <w:szCs w:val="1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7.6pt;height:25.65pt" adj="6924" fillcolor="#60c" strokecolor="#c9f">
            <v:fill r:id="rId9" o:title="" color2="#c0c" focus="100%" type="gradient"/>
            <v:stroke r:id="rId9" o:title=""/>
            <v:shadow on="t" color="#99f" opacity="52429f" offset="3pt,3pt"/>
            <v:textpath style="font-family:&quot;Impact&quot;;font-size:14pt;v-text-kern:t" trim="t" fitpath="t" string="ВАЖНО! "/>
          </v:shape>
        </w:pict>
      </w:r>
    </w:p>
    <w:p w:rsidR="00932870" w:rsidRDefault="00932870" w:rsidP="002B0835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CC01BA">
        <w:rPr>
          <w:rFonts w:cstheme="minorHAnsi"/>
          <w:sz w:val="24"/>
          <w:szCs w:val="24"/>
          <w:lang w:val="bg-BG"/>
        </w:rPr>
        <w:t xml:space="preserve">За административно обслужване (технически оператор по проекта, счетоводител): ставките се определят от ръководителя на проекта, в зависимост от размера на </w:t>
      </w:r>
      <w:r w:rsidR="00B4750C">
        <w:rPr>
          <w:rFonts w:cstheme="minorHAnsi"/>
          <w:sz w:val="24"/>
          <w:szCs w:val="24"/>
          <w:lang w:val="bg-BG"/>
        </w:rPr>
        <w:t>общите допустим</w:t>
      </w:r>
      <w:r w:rsidRPr="00CC01BA">
        <w:rPr>
          <w:rFonts w:cstheme="minorHAnsi"/>
          <w:sz w:val="24"/>
          <w:szCs w:val="24"/>
          <w:lang w:val="bg-BG"/>
        </w:rPr>
        <w:t xml:space="preserve"> разходи по всеки проект</w:t>
      </w:r>
      <w:r w:rsidR="00D13E9A">
        <w:rPr>
          <w:rFonts w:cstheme="minorHAnsi"/>
          <w:sz w:val="24"/>
          <w:szCs w:val="24"/>
          <w:lang w:val="bg-BG"/>
        </w:rPr>
        <w:t>, като размерът им не трябва  да надвишава този на ставките за млади учени.</w:t>
      </w:r>
    </w:p>
    <w:p w:rsidR="00F4127A" w:rsidRPr="00611776" w:rsidRDefault="002B0835" w:rsidP="002B0835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Посочените по-горе ставки са брутни и включват законно установените отчисления от страна на работодателя и се начисляват на база продуктивните часове за една година.</w:t>
      </w:r>
    </w:p>
    <w:p w:rsidR="00A5066D" w:rsidRPr="00611776" w:rsidRDefault="00A5066D" w:rsidP="000A1143">
      <w:pPr>
        <w:tabs>
          <w:tab w:val="left" w:pos="3882"/>
        </w:tabs>
        <w:jc w:val="both"/>
        <w:rPr>
          <w:rFonts w:cstheme="minorHAnsi"/>
          <w:sz w:val="24"/>
          <w:szCs w:val="24"/>
          <w:lang w:val="bg-BG"/>
        </w:rPr>
      </w:pPr>
      <w:r w:rsidRPr="00611776">
        <w:rPr>
          <w:rFonts w:cstheme="minorHAnsi"/>
          <w:sz w:val="24"/>
          <w:szCs w:val="24"/>
          <w:lang w:val="bg-BG"/>
        </w:rPr>
        <w:t>Използвани източници:</w:t>
      </w:r>
    </w:p>
    <w:p w:rsidR="00A27718" w:rsidRPr="00611776" w:rsidRDefault="00A5066D" w:rsidP="00A27718">
      <w:pPr>
        <w:pStyle w:val="ListParagraph"/>
        <w:numPr>
          <w:ilvl w:val="0"/>
          <w:numId w:val="3"/>
        </w:numPr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>Ставка за професионални дейности и научни изследвания,</w:t>
      </w:r>
      <w:r w:rsidRPr="00611776">
        <w:rPr>
          <w:rFonts w:cstheme="minorHAnsi"/>
          <w:i/>
          <w:sz w:val="24"/>
          <w:szCs w:val="24"/>
          <w:lang w:val="bg-BG"/>
        </w:rPr>
        <w:t xml:space="preserve"> </w:t>
      </w:r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заложени в Работната програма от Хоризонт 2020 на Европейската комисия (ЕК), при отчитане на </w:t>
      </w:r>
      <w:proofErr w:type="spellStart"/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>корекционния</w:t>
      </w:r>
      <w:proofErr w:type="spellEnd"/>
      <w:r w:rsidRPr="00611776">
        <w:rPr>
          <w:rFonts w:eastAsia="Times New Roman" w:cstheme="minorHAnsi"/>
          <w:i/>
          <w:sz w:val="24"/>
          <w:szCs w:val="24"/>
          <w:lang w:val="bg-BG" w:eastAsia="bg-BG"/>
        </w:rPr>
        <w:t xml:space="preserve"> коефициент за България определен от ЕК за 2018 г. </w:t>
      </w:r>
      <w:r w:rsidR="00A27718" w:rsidRPr="00611776">
        <w:rPr>
          <w:rFonts w:eastAsia="Calibri" w:cstheme="minorHAnsi"/>
          <w:i/>
          <w:iCs/>
          <w:noProof/>
          <w:sz w:val="24"/>
          <w:szCs w:val="24"/>
        </w:rPr>
        <w:t xml:space="preserve">- </w:t>
      </w:r>
      <w:hyperlink r:id="rId10" w:history="1">
        <w:r w:rsidR="00A27718" w:rsidRPr="00611776">
          <w:rPr>
            <w:rStyle w:val="Hyperlink"/>
            <w:rFonts w:cstheme="minorHAnsi"/>
            <w:i/>
            <w:sz w:val="24"/>
            <w:szCs w:val="24"/>
            <w:lang w:val="bg-BG"/>
          </w:rPr>
          <w:t>http://ec.europa.eu/research/participants/data/ref/h2020/wp/2018-2020/main/h2020-wp1820-msca_en.pdf</w:t>
        </w:r>
      </w:hyperlink>
    </w:p>
    <w:p w:rsidR="00A27718" w:rsidRPr="00611776" w:rsidRDefault="00A27718" w:rsidP="00A27718">
      <w:pPr>
        <w:pStyle w:val="ListParagraph"/>
        <w:tabs>
          <w:tab w:val="left" w:pos="3882"/>
        </w:tabs>
        <w:jc w:val="both"/>
        <w:rPr>
          <w:rFonts w:cstheme="minorHAnsi"/>
          <w:i/>
          <w:sz w:val="24"/>
          <w:szCs w:val="24"/>
          <w:lang w:val="bg-BG"/>
        </w:rPr>
      </w:pPr>
    </w:p>
    <w:sectPr w:rsidR="00A27718" w:rsidRPr="00611776" w:rsidSect="00FD6668">
      <w:pgSz w:w="12240" w:h="15840"/>
      <w:pgMar w:top="1417" w:right="1417" w:bottom="1417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9364E"/>
    <w:multiLevelType w:val="hybridMultilevel"/>
    <w:tmpl w:val="06589BF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BE3590"/>
    <w:multiLevelType w:val="hybridMultilevel"/>
    <w:tmpl w:val="7E14495E"/>
    <w:lvl w:ilvl="0" w:tplc="0D746C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5652F"/>
    <w:multiLevelType w:val="hybridMultilevel"/>
    <w:tmpl w:val="365CDA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D1E9E"/>
    <w:multiLevelType w:val="hybridMultilevel"/>
    <w:tmpl w:val="982697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60185"/>
    <w:multiLevelType w:val="hybridMultilevel"/>
    <w:tmpl w:val="1102E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B1"/>
    <w:rsid w:val="000735EF"/>
    <w:rsid w:val="000A1143"/>
    <w:rsid w:val="000A5F8C"/>
    <w:rsid w:val="00121AA4"/>
    <w:rsid w:val="00184318"/>
    <w:rsid w:val="001C652F"/>
    <w:rsid w:val="001E3D07"/>
    <w:rsid w:val="00202DA8"/>
    <w:rsid w:val="00296F51"/>
    <w:rsid w:val="002A1BF5"/>
    <w:rsid w:val="002B0835"/>
    <w:rsid w:val="002B6D1A"/>
    <w:rsid w:val="002E0372"/>
    <w:rsid w:val="00376E89"/>
    <w:rsid w:val="00416FDC"/>
    <w:rsid w:val="004474F7"/>
    <w:rsid w:val="00463563"/>
    <w:rsid w:val="00464C50"/>
    <w:rsid w:val="00500E86"/>
    <w:rsid w:val="0059516D"/>
    <w:rsid w:val="005C7F99"/>
    <w:rsid w:val="005E1D7E"/>
    <w:rsid w:val="00611776"/>
    <w:rsid w:val="0066436C"/>
    <w:rsid w:val="006D4B1B"/>
    <w:rsid w:val="00783859"/>
    <w:rsid w:val="00794C97"/>
    <w:rsid w:val="00850C57"/>
    <w:rsid w:val="00932870"/>
    <w:rsid w:val="00954725"/>
    <w:rsid w:val="00A27718"/>
    <w:rsid w:val="00A5066D"/>
    <w:rsid w:val="00A80123"/>
    <w:rsid w:val="00B4750C"/>
    <w:rsid w:val="00B94794"/>
    <w:rsid w:val="00BC3F44"/>
    <w:rsid w:val="00C14E90"/>
    <w:rsid w:val="00C2066A"/>
    <w:rsid w:val="00C437B1"/>
    <w:rsid w:val="00C47404"/>
    <w:rsid w:val="00C616AE"/>
    <w:rsid w:val="00CC01BA"/>
    <w:rsid w:val="00D00C10"/>
    <w:rsid w:val="00D11FDB"/>
    <w:rsid w:val="00D13A47"/>
    <w:rsid w:val="00D13E9A"/>
    <w:rsid w:val="00D90B14"/>
    <w:rsid w:val="00DF1314"/>
    <w:rsid w:val="00E83AEA"/>
    <w:rsid w:val="00EB707F"/>
    <w:rsid w:val="00F1783B"/>
    <w:rsid w:val="00F4127A"/>
    <w:rsid w:val="00F434DD"/>
    <w:rsid w:val="00F90FEE"/>
    <w:rsid w:val="00FB6EF4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6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D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6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D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6D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research/participants/data/ref/h2020/wp/2018-2020/main/h2020-wp1820-msca_en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ec.europa.eu/research/participants/data/ref/h2020/wp/2018-2020/main/h2020-wp1820-msca_en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56528-267D-489B-9332-6908B449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Greta D. Dimitrova</cp:lastModifiedBy>
  <cp:revision>4</cp:revision>
  <dcterms:created xsi:type="dcterms:W3CDTF">2018-12-31T09:41:00Z</dcterms:created>
  <dcterms:modified xsi:type="dcterms:W3CDTF">2018-12-31T10:57:00Z</dcterms:modified>
</cp:coreProperties>
</file>