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F9" w:rsidRDefault="00B138F9" w:rsidP="00B138F9">
      <w:pPr>
        <w:pStyle w:val="Header"/>
      </w:pPr>
      <w:r>
        <w:rPr>
          <w:noProof/>
          <w:lang w:val="en-US"/>
        </w:rPr>
        <w:drawing>
          <wp:inline distT="0" distB="0" distL="0" distR="0" wp14:anchorId="141CCFA0" wp14:editId="3055EB9E">
            <wp:extent cx="6243955" cy="171279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955" cy="1712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4067" w:rsidRDefault="00A4201E" w:rsidP="00DD29C5">
      <w:pPr>
        <w:spacing w:after="120" w:line="240" w:lineRule="auto"/>
        <w:ind w:left="5760" w:right="9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B138F9">
        <w:rPr>
          <w:b/>
        </w:rPr>
        <w:t>8</w:t>
      </w:r>
    </w:p>
    <w:p w:rsidR="00DD29C5" w:rsidRPr="00B138F9" w:rsidRDefault="00DD29C5" w:rsidP="00485C7B">
      <w:pPr>
        <w:spacing w:after="120" w:line="240" w:lineRule="auto"/>
        <w:jc w:val="center"/>
        <w:outlineLvl w:val="0"/>
        <w:rPr>
          <w:rStyle w:val="indented"/>
          <w:b/>
          <w:bCs/>
        </w:rPr>
      </w:pPr>
    </w:p>
    <w:p w:rsidR="002F20A9" w:rsidRPr="00B138F9" w:rsidRDefault="00A50911" w:rsidP="00485C7B">
      <w:pPr>
        <w:spacing w:after="120" w:line="240" w:lineRule="auto"/>
        <w:jc w:val="center"/>
        <w:outlineLvl w:val="0"/>
        <w:rPr>
          <w:rStyle w:val="indented"/>
          <w:b/>
          <w:bCs/>
        </w:rPr>
      </w:pPr>
      <w:r w:rsidRPr="00B138F9">
        <w:rPr>
          <w:rStyle w:val="indented"/>
          <w:b/>
          <w:bCs/>
        </w:rPr>
        <w:t>към Условията за изпълнение по процедура чрез подбор на проекти BG14MFOP001-2.010 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</w:p>
    <w:p w:rsidR="00A50911" w:rsidRDefault="00A50911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F20832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F20832">
        <w:rPr>
          <w:rStyle w:val="FootnoteReference"/>
          <w:b/>
          <w:snapToGrid w:val="0"/>
          <w:lang w:val="bg-BG"/>
        </w:rPr>
        <w:t>1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="00B138F9">
        <w:rPr>
          <w:b/>
          <w:bCs/>
          <w:snapToGrid w:val="0"/>
        </w:rPr>
        <w:t>ТА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B138F9">
        <w:rPr>
          <w:b/>
          <w:bCs/>
          <w:snapToGrid w:val="0"/>
        </w:rPr>
        <w:t xml:space="preserve"> г.</w:t>
      </w:r>
    </w:p>
    <w:p w:rsidR="00A4201E" w:rsidRPr="002B15A9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2B15A9" w:rsidRDefault="00A4201E" w:rsidP="004B466E">
      <w:pPr>
        <w:spacing w:after="0" w:line="360" w:lineRule="auto"/>
        <w:jc w:val="center"/>
        <w:rPr>
          <w:b/>
          <w:bCs/>
        </w:rPr>
      </w:pPr>
      <w:r w:rsidRPr="002B15A9">
        <w:rPr>
          <w:b/>
          <w:bCs/>
        </w:rPr>
        <w:t xml:space="preserve">ПО ПРОЦЕДУРА </w:t>
      </w:r>
      <w:r w:rsidR="00B65C36">
        <w:rPr>
          <w:b/>
          <w:bCs/>
        </w:rPr>
        <w:t xml:space="preserve">ЧРЕЗ </w:t>
      </w:r>
      <w:r w:rsidRPr="002B15A9">
        <w:rPr>
          <w:b/>
          <w:bCs/>
        </w:rPr>
        <w:t xml:space="preserve">ПОДБОР НА ПРОЕКТИ </w:t>
      </w:r>
    </w:p>
    <w:p w:rsidR="00A50911" w:rsidRDefault="00A50911" w:rsidP="00A50911">
      <w:pPr>
        <w:spacing w:after="0" w:line="276" w:lineRule="auto"/>
        <w:jc w:val="center"/>
        <w:rPr>
          <w:rStyle w:val="indented"/>
          <w:b/>
          <w:bCs/>
          <w:sz w:val="28"/>
          <w:szCs w:val="28"/>
        </w:rPr>
      </w:pPr>
      <w:r w:rsidRPr="00531CBE">
        <w:rPr>
          <w:rStyle w:val="indented"/>
          <w:b/>
          <w:bCs/>
          <w:sz w:val="28"/>
          <w:szCs w:val="28"/>
        </w:rPr>
        <w:t>BG14MFOP001-2.010 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</w:p>
    <w:p w:rsidR="00A50911" w:rsidRPr="004B579C" w:rsidRDefault="00A50911" w:rsidP="00A50911">
      <w:pPr>
        <w:spacing w:after="0" w:line="276" w:lineRule="auto"/>
        <w:jc w:val="center"/>
        <w:rPr>
          <w:b/>
          <w:bCs/>
          <w:sz w:val="28"/>
          <w:szCs w:val="28"/>
          <w:lang w:val="en-US"/>
        </w:rPr>
      </w:pPr>
    </w:p>
    <w:tbl>
      <w:tblPr>
        <w:tblW w:w="9215" w:type="dxa"/>
        <w:jc w:val="center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DD29C5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D29C5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DD29C5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lastRenderedPageBreak/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DD29C5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A50911" w:rsidRPr="004B579C">
        <w:rPr>
          <w:rFonts w:eastAsia="Times New Roman"/>
        </w:rPr>
        <w:t>BG14MFOP001-2.010 „Насърчаване на нови производители на аквакултури, развиващи устойчиви аквакултури“, мярка 2.3 “Насърчаване на нови производители на аквакултури, развиващи устойчиви аквакултури”</w:t>
      </w:r>
      <w:r w:rsidR="00A50911">
        <w:rPr>
          <w:rFonts w:eastAsia="Times New Roman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67A25">
      <w:pPr>
        <w:spacing w:after="0" w:line="360" w:lineRule="auto"/>
        <w:ind w:right="426"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67A25">
      <w:pPr>
        <w:widowControl w:val="0"/>
        <w:autoSpaceDE w:val="0"/>
        <w:autoSpaceDN w:val="0"/>
        <w:adjustRightInd w:val="0"/>
        <w:spacing w:after="0" w:line="360" w:lineRule="auto"/>
        <w:ind w:right="426"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67A25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67A25">
      <w:pPr>
        <w:spacing w:after="0" w:line="360" w:lineRule="auto"/>
        <w:ind w:right="426"/>
        <w:jc w:val="both"/>
        <w:rPr>
          <w:snapToGrid w:val="0"/>
          <w:sz w:val="16"/>
          <w:szCs w:val="16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A7D04" w:rsidRDefault="004D50D0" w:rsidP="002872B4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lang w:val="en-US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67A25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2872B4" w:rsidRDefault="002872B4" w:rsidP="002872B4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2872B4">
        <w:rPr>
          <w:lang w:val="en-US"/>
        </w:rPr>
        <w:t xml:space="preserve">6.2. </w:t>
      </w:r>
      <w:proofErr w:type="spellStart"/>
      <w:r w:rsidR="00830A74" w:rsidRPr="00830A74">
        <w:rPr>
          <w:lang w:val="en-US"/>
        </w:rPr>
        <w:t>Размерът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финансовата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</w:t>
      </w:r>
      <w:proofErr w:type="spellEnd"/>
      <w:r w:rsidR="00830A74" w:rsidRPr="00830A74">
        <w:rPr>
          <w:lang w:val="en-US"/>
        </w:rPr>
        <w:t xml:space="preserve"> т. 6.1. </w:t>
      </w:r>
      <w:proofErr w:type="spellStart"/>
      <w:proofErr w:type="gramStart"/>
      <w:r w:rsidR="00830A74" w:rsidRPr="00830A74">
        <w:rPr>
          <w:lang w:val="en-US"/>
        </w:rPr>
        <w:t>се</w:t>
      </w:r>
      <w:proofErr w:type="spellEnd"/>
      <w:proofErr w:type="gram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определя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съгласно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Приложение</w:t>
      </w:r>
      <w:proofErr w:type="spellEnd"/>
      <w:r w:rsidR="00830A74" w:rsidRPr="00830A74">
        <w:rPr>
          <w:lang w:val="en-US"/>
        </w:rPr>
        <w:t xml:space="preserve"> № 2 </w:t>
      </w:r>
      <w:proofErr w:type="spellStart"/>
      <w:r w:rsidR="00830A74" w:rsidRPr="00830A74">
        <w:rPr>
          <w:lang w:val="en-US"/>
        </w:rPr>
        <w:t>към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чл</w:t>
      </w:r>
      <w:proofErr w:type="spellEnd"/>
      <w:r w:rsidR="00830A74" w:rsidRPr="00830A74">
        <w:rPr>
          <w:lang w:val="en-US"/>
        </w:rPr>
        <w:t xml:space="preserve">. </w:t>
      </w:r>
      <w:proofErr w:type="gramStart"/>
      <w:r w:rsidR="00830A74" w:rsidRPr="00830A74">
        <w:rPr>
          <w:lang w:val="en-US"/>
        </w:rPr>
        <w:t xml:space="preserve">2, </w:t>
      </w:r>
      <w:proofErr w:type="spellStart"/>
      <w:r w:rsidR="00830A74" w:rsidRPr="00830A74">
        <w:rPr>
          <w:lang w:val="en-US"/>
        </w:rPr>
        <w:t>ал</w:t>
      </w:r>
      <w:proofErr w:type="spellEnd"/>
      <w:r w:rsidR="00830A74" w:rsidRPr="00830A74">
        <w:rPr>
          <w:lang w:val="en-US"/>
        </w:rPr>
        <w:t>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 xml:space="preserve">2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Наредбатa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посочване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нередности</w:t>
      </w:r>
      <w:proofErr w:type="spellEnd"/>
      <w:r w:rsidR="00830A74" w:rsidRPr="00830A74">
        <w:rPr>
          <w:lang w:val="en-US"/>
        </w:rPr>
        <w:t xml:space="preserve">, </w:t>
      </w:r>
      <w:proofErr w:type="spellStart"/>
      <w:r w:rsidR="00830A74" w:rsidRPr="00830A74">
        <w:rPr>
          <w:lang w:val="en-US"/>
        </w:rPr>
        <w:t>представляващи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основания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извършване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корекции</w:t>
      </w:r>
      <w:proofErr w:type="spellEnd"/>
      <w:r w:rsidR="00830A74" w:rsidRPr="00830A74">
        <w:rPr>
          <w:lang w:val="en-US"/>
        </w:rPr>
        <w:t xml:space="preserve">, и </w:t>
      </w:r>
      <w:proofErr w:type="spellStart"/>
      <w:r w:rsidR="00830A74" w:rsidRPr="00830A74">
        <w:rPr>
          <w:lang w:val="en-US"/>
        </w:rPr>
        <w:t>процентните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показатели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определяне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финансовите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корекции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по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реда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Закона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за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управление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на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средствата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от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Европейските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структурни</w:t>
      </w:r>
      <w:proofErr w:type="spellEnd"/>
      <w:r w:rsidR="00830A74" w:rsidRPr="00830A74">
        <w:rPr>
          <w:lang w:val="en-US"/>
        </w:rPr>
        <w:t xml:space="preserve"> и </w:t>
      </w:r>
      <w:proofErr w:type="spellStart"/>
      <w:r w:rsidR="00830A74" w:rsidRPr="00830A74">
        <w:rPr>
          <w:lang w:val="en-US"/>
        </w:rPr>
        <w:t>инвестиционни</w:t>
      </w:r>
      <w:proofErr w:type="spell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фондове</w:t>
      </w:r>
      <w:proofErr w:type="spellEnd"/>
      <w:r w:rsidR="00830A74" w:rsidRPr="00830A74">
        <w:rPr>
          <w:lang w:val="en-US"/>
        </w:rPr>
        <w:t xml:space="preserve"> (</w:t>
      </w:r>
      <w:proofErr w:type="spellStart"/>
      <w:r w:rsidR="00830A74" w:rsidRPr="00830A74">
        <w:rPr>
          <w:lang w:val="en-US"/>
        </w:rPr>
        <w:t>обн</w:t>
      </w:r>
      <w:proofErr w:type="spellEnd"/>
      <w:r w:rsidR="00830A74" w:rsidRPr="00830A74">
        <w:rPr>
          <w:lang w:val="en-US"/>
        </w:rPr>
        <w:t>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>ДВ.</w:t>
      </w:r>
      <w:proofErr w:type="gramEnd"/>
      <w:r w:rsidR="00830A74" w:rsidRPr="00830A74">
        <w:rPr>
          <w:lang w:val="en-US"/>
        </w:rPr>
        <w:t xml:space="preserve"> </w:t>
      </w:r>
      <w:proofErr w:type="gramStart"/>
      <w:r w:rsidR="00830A74" w:rsidRPr="00830A74">
        <w:rPr>
          <w:lang w:val="en-US"/>
        </w:rPr>
        <w:t>бр.27</w:t>
      </w:r>
      <w:proofErr w:type="gramEnd"/>
      <w:r w:rsidR="00830A74" w:rsidRPr="00830A74">
        <w:rPr>
          <w:lang w:val="en-US"/>
        </w:rPr>
        <w:t xml:space="preserve"> </w:t>
      </w:r>
      <w:proofErr w:type="spellStart"/>
      <w:r w:rsidR="00830A74" w:rsidRPr="00830A74">
        <w:rPr>
          <w:lang w:val="en-US"/>
        </w:rPr>
        <w:t>от</w:t>
      </w:r>
      <w:proofErr w:type="spellEnd"/>
      <w:r w:rsidR="00830A74" w:rsidRPr="00830A74">
        <w:rPr>
          <w:lang w:val="en-US"/>
        </w:rPr>
        <w:t xml:space="preserve"> 31 </w:t>
      </w:r>
      <w:proofErr w:type="spellStart"/>
      <w:r w:rsidR="00830A74" w:rsidRPr="00830A74">
        <w:rPr>
          <w:lang w:val="en-US"/>
        </w:rPr>
        <w:t>март</w:t>
      </w:r>
      <w:proofErr w:type="spellEnd"/>
      <w:r w:rsidR="00830A74" w:rsidRPr="00830A74">
        <w:rPr>
          <w:lang w:val="en-US"/>
        </w:rPr>
        <w:t xml:space="preserve"> 2017 г.).</w:t>
      </w:r>
    </w:p>
    <w:p w:rsidR="004D50D0" w:rsidRDefault="004D50D0" w:rsidP="00F67A25">
      <w:pPr>
        <w:spacing w:after="0" w:line="360" w:lineRule="auto"/>
        <w:ind w:right="426"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B138F9">
      <w:pPr>
        <w:spacing w:after="0" w:line="360" w:lineRule="auto"/>
        <w:ind w:right="426" w:firstLine="1287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B138F9">
      <w:pPr>
        <w:spacing w:after="0" w:line="360" w:lineRule="auto"/>
        <w:ind w:right="426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B138F9">
      <w:pPr>
        <w:spacing w:after="0" w:line="360" w:lineRule="auto"/>
        <w:ind w:right="426" w:firstLine="1287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B138F9">
      <w:pPr>
        <w:spacing w:after="0" w:line="360" w:lineRule="auto"/>
        <w:ind w:right="426" w:firstLine="1287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2872B4">
      <w:pPr>
        <w:keepNext/>
        <w:spacing w:after="0" w:line="360" w:lineRule="auto"/>
        <w:ind w:left="567" w:right="426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830A74" w:rsidRDefault="00830A74" w:rsidP="00B138F9">
      <w:pPr>
        <w:keepNext/>
        <w:spacing w:after="0" w:line="360" w:lineRule="auto"/>
        <w:ind w:right="426" w:firstLine="1469"/>
        <w:jc w:val="both"/>
        <w:outlineLvl w:val="1"/>
        <w:rPr>
          <w:rFonts w:eastAsia="Times New Roman"/>
          <w:szCs w:val="20"/>
          <w:lang w:eastAsia="en-GB"/>
        </w:rPr>
      </w:pPr>
      <w:r w:rsidRPr="00830A74">
        <w:rPr>
          <w:rFonts w:eastAsia="Times New Roman"/>
          <w:szCs w:val="20"/>
          <w:lang w:eastAsia="en-GB"/>
        </w:rPr>
        <w:t>7.3. След подаване на Формуляра за кандидатстване, кандидатът/бенефициентът трябва да продължава да спазва условията, посочени</w:t>
      </w:r>
      <w:r w:rsidR="00221D1F">
        <w:rPr>
          <w:rFonts w:eastAsia="Times New Roman"/>
          <w:szCs w:val="20"/>
          <w:lang w:eastAsia="en-GB"/>
        </w:rPr>
        <w:t xml:space="preserve"> в чл. 10 параграф 1, букви а) -</w:t>
      </w:r>
      <w:r w:rsidRPr="00830A74">
        <w:rPr>
          <w:rFonts w:eastAsia="Times New Roman"/>
          <w:szCs w:val="20"/>
          <w:lang w:eastAsia="en-GB"/>
        </w:rPr>
        <w:t xml:space="preserve">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</w:p>
    <w:p w:rsidR="004D50D0" w:rsidRPr="00FD5C06" w:rsidRDefault="004D50D0" w:rsidP="002872B4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A50911">
        <w:rPr>
          <w:snapToGrid w:val="0"/>
        </w:rPr>
        <w:t xml:space="preserve">при реда и условията на Раздел Х  на </w:t>
      </w:r>
      <w:r w:rsidR="00B97C29" w:rsidRPr="00A50911">
        <w:rPr>
          <w:snapToGrid w:val="0"/>
        </w:rPr>
        <w:t>Общите</w:t>
      </w:r>
      <w:r w:rsidR="00591FCF" w:rsidRPr="00A50911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221D1F" w:rsidRDefault="00221D1F" w:rsidP="00221D1F">
      <w:pPr>
        <w:spacing w:after="120" w:line="360" w:lineRule="auto"/>
        <w:ind w:right="426" w:firstLine="567"/>
        <w:jc w:val="both"/>
      </w:pPr>
      <w:r>
        <w:t>9</w:t>
      </w:r>
      <w:r w:rsidRPr="00221D1F">
        <w:t>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221D1F" w:rsidRPr="00FD5C06" w:rsidRDefault="00221D1F" w:rsidP="00221D1F">
      <w:pPr>
        <w:spacing w:after="0" w:line="360" w:lineRule="auto"/>
        <w:ind w:right="426" w:firstLine="567"/>
        <w:jc w:val="both"/>
        <w:rPr>
          <w:snapToGrid w:val="0"/>
        </w:rPr>
      </w:pPr>
      <w:r>
        <w:rPr>
          <w:snapToGrid w:val="0"/>
        </w:rPr>
        <w:t xml:space="preserve">10.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221D1F" w:rsidRDefault="00221D1F" w:rsidP="00221D1F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  <w:rPr>
          <w:snapToGrid w:val="0"/>
          <w:lang w:eastAsia="bg-BG"/>
        </w:rPr>
      </w:pPr>
      <w:r>
        <w:t>10</w:t>
      </w:r>
      <w:r w:rsidRPr="00002B39">
        <w:t xml:space="preserve">.1. </w:t>
      </w:r>
      <w:r w:rsidRPr="005D18B6">
        <w:rPr>
          <w:snapToGrid w:val="0"/>
          <w:lang w:eastAsia="bg-BG"/>
        </w:rPr>
        <w:t>Плащан</w:t>
      </w:r>
      <w:r>
        <w:rPr>
          <w:snapToGrid w:val="0"/>
          <w:lang w:eastAsia="bg-BG"/>
        </w:rPr>
        <w:t>ето</w:t>
      </w:r>
      <w:r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</w:t>
      </w:r>
      <w:r w:rsidR="00BE4807">
        <w:rPr>
          <w:snapToGrid w:val="0"/>
          <w:lang w:eastAsia="bg-BG"/>
        </w:rPr>
        <w:t>О</w:t>
      </w:r>
      <w:r w:rsidR="00BE4807" w:rsidRPr="005D18B6">
        <w:rPr>
          <w:snapToGrid w:val="0"/>
          <w:lang w:eastAsia="bg-BG"/>
        </w:rPr>
        <w:t xml:space="preserve">бщите </w:t>
      </w:r>
      <w:r w:rsidRPr="005D18B6">
        <w:rPr>
          <w:snapToGrid w:val="0"/>
          <w:lang w:eastAsia="bg-BG"/>
        </w:rPr>
        <w:t>условия.</w:t>
      </w:r>
    </w:p>
    <w:p w:rsidR="00221D1F" w:rsidRDefault="00221D1F" w:rsidP="00221D1F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B138F9">
        <w:t>т. 10.1</w:t>
      </w:r>
      <w:r w:rsidRPr="0044374A">
        <w:t xml:space="preserve"> се извършват въз основа на искане за плащане, </w:t>
      </w:r>
      <w:r w:rsidR="004E7B32" w:rsidRPr="00002B39">
        <w:t>пода</w:t>
      </w:r>
      <w:r w:rsidR="004E7B32">
        <w:t>дено</w:t>
      </w:r>
      <w:r w:rsidR="004E7B32" w:rsidRPr="00002B39">
        <w:t xml:space="preserve"> </w:t>
      </w:r>
      <w:r w:rsidRPr="00002B39">
        <w:t>по следния ред:</w:t>
      </w:r>
    </w:p>
    <w:p w:rsidR="00221D1F" w:rsidRPr="00196BC7" w:rsidRDefault="00221D1F" w:rsidP="00221D1F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right="426" w:firstLine="720"/>
        <w:jc w:val="both"/>
      </w:pPr>
      <w:r>
        <w:rPr>
          <w:color w:val="FF0000"/>
        </w:rPr>
        <w:tab/>
      </w:r>
      <w:r w:rsidRPr="00000B6F">
        <w:t>10.2.1</w:t>
      </w:r>
      <w:r w:rsidRPr="00196BC7">
        <w:t xml:space="preserve">. Искане за авансово плащане се подава </w:t>
      </w:r>
      <w:r w:rsidR="00BE4807">
        <w:t xml:space="preserve">по реда и </w:t>
      </w:r>
      <w:r w:rsidR="009B3AF3">
        <w:t xml:space="preserve">при </w:t>
      </w:r>
      <w:r w:rsidR="00BE4807">
        <w:t xml:space="preserve">условията на </w:t>
      </w:r>
      <w:r w:rsidR="009B3AF3">
        <w:t>чл. 78, ал. 1, б. „а“ от Общите условия</w:t>
      </w:r>
      <w:ins w:id="2" w:author="Stoimen Yochev" w:date="2019-03-05T14:48:00Z">
        <w:r w:rsidR="0045778F">
          <w:t xml:space="preserve"> </w:t>
        </w:r>
      </w:ins>
      <w:r w:rsidRPr="00196BC7">
        <w:t>и може да е в размер на</w:t>
      </w:r>
      <w:r w:rsidRPr="00196BC7">
        <w:rPr>
          <w:lang w:val="en-US"/>
        </w:rPr>
        <w:t>…………………………</w:t>
      </w:r>
      <w:r w:rsidRPr="00196BC7">
        <w:t xml:space="preserve"> </w:t>
      </w:r>
      <w:proofErr w:type="spellStart"/>
      <w:r w:rsidRPr="00196BC7">
        <w:rPr>
          <w:lang w:val="en-US"/>
        </w:rPr>
        <w:t>Размерът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на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заявеното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авансово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плащане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може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да</w:t>
      </w:r>
      <w:proofErr w:type="spellEnd"/>
      <w:r w:rsidRPr="00196BC7">
        <w:rPr>
          <w:lang w:val="en-US"/>
        </w:rPr>
        <w:t xml:space="preserve"> е </w:t>
      </w:r>
      <w:r w:rsidRPr="00196BC7">
        <w:t>до 40% от размера на БФП по т.3.</w:t>
      </w:r>
    </w:p>
    <w:p w:rsidR="00221D1F" w:rsidRPr="00196BC7" w:rsidRDefault="00221D1F" w:rsidP="00221D1F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Pr="00196BC7">
        <w:tab/>
      </w:r>
      <w:r w:rsidRPr="00196BC7">
        <w:tab/>
      </w:r>
      <w:r>
        <w:t>10</w:t>
      </w:r>
      <w:r w:rsidRPr="00196BC7">
        <w:t>.2.2. Искане за междинно плащане</w:t>
      </w:r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се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подава</w:t>
      </w:r>
      <w:proofErr w:type="spellEnd"/>
      <w:r w:rsidRPr="00196BC7">
        <w:rPr>
          <w:lang w:val="en-US"/>
        </w:rPr>
        <w:t xml:space="preserve"> </w:t>
      </w:r>
      <w:r w:rsidR="009B3AF3">
        <w:t>по реда и при условията на</w:t>
      </w:r>
      <w:r w:rsidR="009B3AF3" w:rsidRPr="009B3AF3">
        <w:t xml:space="preserve"> чл. 78, ал. 1, б. „</w:t>
      </w:r>
      <w:r w:rsidR="009B3AF3">
        <w:t>б</w:t>
      </w:r>
      <w:r w:rsidR="009B3AF3" w:rsidRPr="009B3AF3">
        <w:t>“ от</w:t>
      </w:r>
      <w:r w:rsidR="009B3AF3">
        <w:t xml:space="preserve"> </w:t>
      </w:r>
      <w:proofErr w:type="spellStart"/>
      <w:r w:rsidRPr="00196BC7">
        <w:rPr>
          <w:lang w:val="en-US"/>
        </w:rPr>
        <w:t>Общите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условия</w:t>
      </w:r>
      <w:proofErr w:type="spellEnd"/>
      <w:r w:rsidRPr="00196BC7">
        <w:rPr>
          <w:lang w:val="en-US"/>
        </w:rPr>
        <w:t xml:space="preserve"> и </w:t>
      </w:r>
      <w:proofErr w:type="spellStart"/>
      <w:r w:rsidRPr="00196BC7">
        <w:rPr>
          <w:lang w:val="en-US"/>
        </w:rPr>
        <w:t>може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да</w:t>
      </w:r>
      <w:proofErr w:type="spellEnd"/>
      <w:r w:rsidRPr="00196BC7">
        <w:rPr>
          <w:lang w:val="en-US"/>
        </w:rPr>
        <w:t xml:space="preserve"> e </w:t>
      </w:r>
      <w:r w:rsidRPr="00196BC7">
        <w:t>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частта от одобрения проект, предвиден за междинно плащане е …………….</w:t>
      </w:r>
      <w:r w:rsidR="004E7B32">
        <w:t xml:space="preserve"> </w:t>
      </w:r>
      <w:r w:rsidR="00FD46E1">
        <w:t>о</w:t>
      </w:r>
      <w:r w:rsidR="004E7B32">
        <w:t>т</w:t>
      </w:r>
      <w:r w:rsidR="00FD46E1">
        <w:t xml:space="preserve"> датата на подписване на АДБФП</w:t>
      </w:r>
      <w:r w:rsidR="004E7B32">
        <w:t xml:space="preserve"> .</w:t>
      </w:r>
    </w:p>
    <w:p w:rsidR="00221D1F" w:rsidRPr="00002B39" w:rsidRDefault="00221D1F" w:rsidP="00221D1F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 </w:t>
      </w:r>
      <w:r w:rsidRPr="00196BC7">
        <w:tab/>
      </w:r>
      <w:r>
        <w:t>10</w:t>
      </w:r>
      <w:r w:rsidRPr="00196BC7">
        <w:rPr>
          <w:lang w:val="en-US"/>
        </w:rPr>
        <w:t>.2.</w:t>
      </w:r>
      <w:r w:rsidRPr="00196BC7">
        <w:t>3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</w:t>
      </w:r>
      <w:r w:rsidR="009B3AF3" w:rsidRPr="009B3AF3">
        <w:t xml:space="preserve"> по реда и при условията на чл. 78, ал. 1, б. „</w:t>
      </w:r>
      <w:r w:rsidR="009B3AF3">
        <w:t>в</w:t>
      </w:r>
      <w:r w:rsidR="009B3AF3" w:rsidRPr="009B3AF3">
        <w:t>“ от</w:t>
      </w:r>
      <w:r w:rsidRPr="00196BC7">
        <w:t xml:space="preserve">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</w:p>
    <w:p w:rsidR="00221D1F" w:rsidRPr="00002B39" w:rsidRDefault="00221D1F" w:rsidP="00B138F9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10</w:t>
      </w:r>
      <w:r w:rsidRPr="00002B39">
        <w:rPr>
          <w:snapToGrid w:val="0"/>
        </w:rPr>
        <w:t>.3. Плащан</w:t>
      </w:r>
      <w:r>
        <w:rPr>
          <w:snapToGrid w:val="0"/>
        </w:rPr>
        <w:t>ето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lang w:val="en-US"/>
        </w:rPr>
      </w:pPr>
      <w:r>
        <w:lastRenderedPageBreak/>
        <w:t>………………………………..</w:t>
      </w:r>
      <w:r w:rsidRPr="00002B39">
        <w:t>(посочва се банката на Бенефициента)</w:t>
      </w:r>
      <w:r w:rsidRPr="00002B39">
        <w:rPr>
          <w:lang w:val="en-US"/>
        </w:rPr>
        <w:t>;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lang w:val="en-US"/>
        </w:rPr>
      </w:pPr>
      <w:r>
        <w:t>………………………………..</w:t>
      </w:r>
      <w:r w:rsidRPr="00002B39">
        <w:t>(посочва се BIC КОД)</w:t>
      </w:r>
      <w:r w:rsidRPr="00002B39">
        <w:rPr>
          <w:lang w:val="en-US"/>
        </w:rPr>
        <w:t>;</w:t>
      </w:r>
    </w:p>
    <w:p w:rsidR="00221D1F" w:rsidRPr="00002B39" w:rsidRDefault="00221D1F" w:rsidP="00221D1F">
      <w:pPr>
        <w:tabs>
          <w:tab w:val="left" w:pos="1080"/>
        </w:tabs>
        <w:spacing w:after="0" w:line="360" w:lineRule="auto"/>
        <w:ind w:right="426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Pr="00002B39">
        <w:t>(посочва се банковата сметка в левове - IBAN)</w:t>
      </w:r>
      <w:r w:rsidRPr="00002B39">
        <w:rPr>
          <w:lang w:val="en-US"/>
        </w:rPr>
        <w:t>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21D1F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 xml:space="preserve">VIII  </w:t>
      </w:r>
      <w:r>
        <w:rPr>
          <w:snapToGrid w:val="0"/>
        </w:rPr>
        <w:t>от Общите условия</w:t>
      </w:r>
      <w:r w:rsidRPr="002C78F5">
        <w:rPr>
          <w:snapToGrid w:val="0"/>
          <w:lang w:eastAsia="bg-BG"/>
        </w:rPr>
        <w:t>.</w:t>
      </w:r>
    </w:p>
    <w:p w:rsidR="00221D1F" w:rsidRPr="00095B87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15.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21D1F">
        <w:rPr>
          <w:snapToGrid w:val="0"/>
          <w:lang w:eastAsia="bg-BG"/>
        </w:rPr>
        <w:t>16. След подписване на настоящия договор, бенефициентът е задължен да проведе процедурa за избор на изпълнител по съответния ред, посочен в т. 1.1 от Условията за изпълнение.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221D1F" w:rsidRPr="002872B4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21D1F">
        <w:rPr>
          <w:snapToGrid w:val="0"/>
          <w:lang w:eastAsia="bg-BG"/>
        </w:rPr>
        <w:t xml:space="preserve">18. След приключване на процедурата по т. </w:t>
      </w:r>
      <w:r w:rsidR="009B3AF3" w:rsidRPr="00221D1F">
        <w:rPr>
          <w:snapToGrid w:val="0"/>
          <w:lang w:eastAsia="bg-BG"/>
        </w:rPr>
        <w:t>1</w:t>
      </w:r>
      <w:bookmarkStart w:id="3" w:name="_GoBack"/>
      <w:bookmarkEnd w:id="3"/>
      <w:r w:rsidR="009B3AF3">
        <w:rPr>
          <w:snapToGrid w:val="0"/>
          <w:lang w:eastAsia="bg-BG"/>
        </w:rPr>
        <w:t>6</w:t>
      </w:r>
      <w:r w:rsidR="009B3AF3" w:rsidRPr="00221D1F">
        <w:rPr>
          <w:snapToGrid w:val="0"/>
          <w:lang w:eastAsia="bg-BG"/>
        </w:rPr>
        <w:t xml:space="preserve"> </w:t>
      </w:r>
      <w:r w:rsidRPr="00221D1F">
        <w:rPr>
          <w:snapToGrid w:val="0"/>
          <w:lang w:eastAsia="bg-BG"/>
        </w:rPr>
        <w:t>бенефициентът и УО на ПМДР сключват допълнително споразумение, в което се посочват избраните изпълнители и окончателния размер на БФП</w:t>
      </w:r>
      <w:r w:rsidRPr="00221D1F">
        <w:rPr>
          <w:i/>
          <w:snapToGrid w:val="0"/>
          <w:lang w:eastAsia="bg-BG"/>
        </w:rPr>
        <w:t>.</w:t>
      </w:r>
    </w:p>
    <w:p w:rsidR="00221D1F" w:rsidRDefault="00221D1F" w:rsidP="00221D1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221D1F" w:rsidRPr="00002B39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221D1F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.1. Приложение № 1 -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);</w:t>
      </w:r>
    </w:p>
    <w:p w:rsidR="00221D1F" w:rsidRPr="00002B39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20.2. Приложение № 1А – таблица с инвестиционни разходи;</w:t>
      </w:r>
    </w:p>
    <w:p w:rsidR="00221D1F" w:rsidRPr="00002B39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БФП;</w:t>
      </w:r>
      <w:r w:rsidRPr="00002B39">
        <w:rPr>
          <w:snapToGrid w:val="0"/>
        </w:rPr>
        <w:t xml:space="preserve"> </w:t>
      </w:r>
    </w:p>
    <w:p w:rsidR="00221D1F" w:rsidRPr="00002B39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4. Декларация № 7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кандидатстване.;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 xml:space="preserve">5. </w:t>
      </w:r>
      <w:proofErr w:type="spellStart"/>
      <w:r w:rsidRPr="0035688A">
        <w:rPr>
          <w:snapToGrid w:val="0"/>
          <w:lang w:val="en-US"/>
        </w:rPr>
        <w:t>Декларация</w:t>
      </w:r>
      <w:proofErr w:type="spellEnd"/>
      <w:r>
        <w:rPr>
          <w:snapToGrid w:val="0"/>
        </w:rPr>
        <w:t xml:space="preserve"> № 8 </w:t>
      </w:r>
      <w:r w:rsidR="00210BD8" w:rsidRPr="00002B39">
        <w:rPr>
          <w:snapToGrid w:val="0"/>
        </w:rPr>
        <w:t>за нередности</w:t>
      </w:r>
      <w:r w:rsidR="00210BD8" w:rsidRPr="0035688A">
        <w:rPr>
          <w:snapToGrid w:val="0"/>
          <w:lang w:val="en-US"/>
        </w:rPr>
        <w:t xml:space="preserve">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20.6. Декларация № 9</w:t>
      </w:r>
      <w:r w:rsidR="00210BD8">
        <w:rPr>
          <w:snapToGrid w:val="0"/>
        </w:rPr>
        <w:t xml:space="preserve"> за свързаност;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 w:rsidRPr="00221D1F">
        <w:rPr>
          <w:snapToGrid w:val="0"/>
        </w:rPr>
        <w:t xml:space="preserve">20.7. Декларация №10 </w:t>
      </w:r>
      <w:proofErr w:type="spellStart"/>
      <w:r w:rsidR="00210BD8" w:rsidRPr="0035688A">
        <w:rPr>
          <w:snapToGrid w:val="0"/>
          <w:lang w:val="en-US"/>
        </w:rPr>
        <w:t>за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липса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на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конфликт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на</w:t>
      </w:r>
      <w:proofErr w:type="spellEnd"/>
      <w:r w:rsidR="00210BD8" w:rsidRPr="0035688A">
        <w:rPr>
          <w:snapToGrid w:val="0"/>
          <w:lang w:val="en-US"/>
        </w:rPr>
        <w:t xml:space="preserve"> </w:t>
      </w:r>
      <w:proofErr w:type="spellStart"/>
      <w:r w:rsidR="00210BD8" w:rsidRPr="0035688A">
        <w:rPr>
          <w:snapToGrid w:val="0"/>
          <w:lang w:val="en-US"/>
        </w:rPr>
        <w:t>интереси</w:t>
      </w:r>
      <w:proofErr w:type="spellEnd"/>
      <w:r w:rsidR="00210BD8">
        <w:rPr>
          <w:snapToGrid w:val="0"/>
        </w:rPr>
        <w:t>;</w:t>
      </w:r>
      <w:r>
        <w:rPr>
          <w:snapToGrid w:val="0"/>
        </w:rPr>
        <w:t xml:space="preserve"> </w:t>
      </w:r>
    </w:p>
    <w:p w:rsidR="00221D1F" w:rsidRDefault="00221D1F" w:rsidP="00221D1F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20.8. Декларация №</w:t>
      </w:r>
      <w:r w:rsidR="00210BD8">
        <w:rPr>
          <w:snapToGrid w:val="0"/>
        </w:rPr>
        <w:t xml:space="preserve"> </w:t>
      </w:r>
      <w:r>
        <w:rPr>
          <w:snapToGrid w:val="0"/>
        </w:rPr>
        <w:t>1</w:t>
      </w:r>
      <w:r>
        <w:rPr>
          <w:snapToGrid w:val="0"/>
          <w:lang w:val="en-US"/>
        </w:rPr>
        <w:t>1</w:t>
      </w:r>
      <w:r w:rsidR="00210BD8">
        <w:rPr>
          <w:snapToGrid w:val="0"/>
        </w:rPr>
        <w:t xml:space="preserve"> </w:t>
      </w:r>
      <w:r w:rsidR="00210BD8" w:rsidRPr="00221D1F">
        <w:rPr>
          <w:snapToGrid w:val="0"/>
        </w:rPr>
        <w:t>по чл. 10, параграф 5 от Регламент (ЕС) №508/2014 г.</w:t>
      </w:r>
      <w:r w:rsidR="00210BD8">
        <w:rPr>
          <w:snapToGrid w:val="0"/>
        </w:rPr>
        <w:t>;</w:t>
      </w:r>
    </w:p>
    <w:p w:rsidR="00221D1F" w:rsidRDefault="00221D1F" w:rsidP="00210BD8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20</w:t>
      </w:r>
      <w:r w:rsidRPr="00415E16">
        <w:rPr>
          <w:snapToGrid w:val="0"/>
          <w:lang w:val="en-US"/>
        </w:rPr>
        <w:t>.</w:t>
      </w:r>
      <w:r>
        <w:rPr>
          <w:snapToGrid w:val="0"/>
        </w:rPr>
        <w:t>9</w:t>
      </w:r>
      <w:r w:rsidRPr="00415E16">
        <w:rPr>
          <w:snapToGrid w:val="0"/>
          <w:lang w:val="en-US"/>
        </w:rPr>
        <w:t xml:space="preserve">. </w:t>
      </w:r>
      <w:r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221D1F" w:rsidRPr="00F950C0" w:rsidRDefault="00221D1F" w:rsidP="00210BD8">
      <w:pPr>
        <w:spacing w:after="0" w:line="360" w:lineRule="auto"/>
        <w:ind w:right="426" w:firstLine="1440"/>
        <w:jc w:val="both"/>
        <w:rPr>
          <w:snapToGrid w:val="0"/>
          <w:lang w:val="en-US"/>
        </w:rPr>
      </w:pPr>
      <w:r>
        <w:rPr>
          <w:snapToGrid w:val="0"/>
        </w:rPr>
        <w:t xml:space="preserve">20.10. </w:t>
      </w:r>
      <w:proofErr w:type="spellStart"/>
      <w:proofErr w:type="gramStart"/>
      <w:r w:rsidRPr="00415E16">
        <w:rPr>
          <w:snapToGrid w:val="0"/>
          <w:lang w:val="en-US"/>
        </w:rPr>
        <w:t>Методика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за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определяне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размера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на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финансовите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корекции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по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проекти</w:t>
      </w:r>
      <w:proofErr w:type="spellEnd"/>
      <w:r w:rsidRPr="00415E16">
        <w:rPr>
          <w:snapToGrid w:val="0"/>
          <w:lang w:val="en-US"/>
        </w:rPr>
        <w:t xml:space="preserve">, </w:t>
      </w:r>
      <w:proofErr w:type="spellStart"/>
      <w:r w:rsidRPr="00415E16">
        <w:rPr>
          <w:snapToGrid w:val="0"/>
          <w:lang w:val="en-US"/>
        </w:rPr>
        <w:t>финансирани</w:t>
      </w:r>
      <w:proofErr w:type="spellEnd"/>
      <w:r w:rsidRPr="00415E16">
        <w:rPr>
          <w:snapToGrid w:val="0"/>
          <w:lang w:val="en-US"/>
        </w:rPr>
        <w:t xml:space="preserve"> </w:t>
      </w:r>
      <w:proofErr w:type="spellStart"/>
      <w:r w:rsidRPr="00415E16">
        <w:rPr>
          <w:snapToGrid w:val="0"/>
          <w:lang w:val="en-US"/>
        </w:rPr>
        <w:t>от</w:t>
      </w:r>
      <w:proofErr w:type="spellEnd"/>
      <w:r w:rsidRPr="00415E16">
        <w:rPr>
          <w:snapToGrid w:val="0"/>
          <w:lang w:val="en-US"/>
        </w:rPr>
        <w:t xml:space="preserve"> ПМДР.</w:t>
      </w:r>
      <w:proofErr w:type="gramEnd"/>
    </w:p>
    <w:p w:rsidR="00221D1F" w:rsidRPr="00002B39" w:rsidRDefault="00221D1F" w:rsidP="00221D1F">
      <w:pPr>
        <w:spacing w:after="0" w:line="360" w:lineRule="auto"/>
        <w:ind w:right="426" w:firstLine="720"/>
        <w:jc w:val="both"/>
      </w:pPr>
      <w:r w:rsidRPr="00002B39">
        <w:rPr>
          <w:snapToGrid w:val="0"/>
        </w:rPr>
        <w:t xml:space="preserve"> 2</w:t>
      </w:r>
      <w:r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210BD8" w:rsidRDefault="00210BD8" w:rsidP="00221D1F">
      <w:pPr>
        <w:spacing w:after="0" w:line="360" w:lineRule="auto"/>
        <w:ind w:right="426" w:firstLine="720"/>
        <w:jc w:val="both"/>
        <w:rPr>
          <w:snapToGrid w:val="0"/>
        </w:rPr>
      </w:pPr>
    </w:p>
    <w:p w:rsidR="00221D1F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</w:t>
      </w:r>
      <w:r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221D1F" w:rsidRPr="002872B4" w:rsidRDefault="00221D1F" w:rsidP="00221D1F">
      <w:pPr>
        <w:spacing w:after="0" w:line="360" w:lineRule="auto"/>
        <w:ind w:right="426" w:firstLine="720"/>
        <w:jc w:val="both"/>
        <w:rPr>
          <w:snapToGrid w:val="0"/>
          <w:sz w:val="16"/>
          <w:szCs w:val="16"/>
        </w:rPr>
      </w:pPr>
    </w:p>
    <w:p w:rsidR="00221D1F" w:rsidRPr="00002B39" w:rsidRDefault="00221D1F" w:rsidP="00221D1F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DD29C5">
      <w:headerReference w:type="default" r:id="rId10"/>
      <w:footerReference w:type="default" r:id="rId11"/>
      <w:pgSz w:w="11906" w:h="16838"/>
      <w:pgMar w:top="142" w:right="656" w:bottom="993" w:left="1350" w:header="708" w:footer="3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6F3" w:rsidRDefault="007976F3" w:rsidP="004B466E">
      <w:pPr>
        <w:spacing w:after="0" w:line="240" w:lineRule="auto"/>
      </w:pPr>
      <w:r>
        <w:separator/>
      </w:r>
    </w:p>
  </w:endnote>
  <w:endnote w:type="continuationSeparator" w:id="0">
    <w:p w:rsidR="007976F3" w:rsidRDefault="007976F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2682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29C5" w:rsidRDefault="00DD29C5" w:rsidP="00DD29C5">
        <w:pPr>
          <w:pStyle w:val="Footer"/>
          <w:tabs>
            <w:tab w:val="clear" w:pos="9406"/>
          </w:tabs>
          <w:ind w:right="360"/>
          <w:jc w:val="right"/>
        </w:pPr>
        <w:r w:rsidRPr="00DD29C5">
          <w:rPr>
            <w:rFonts w:ascii="Arial" w:hAnsi="Arial" w:cs="Arial"/>
            <w:sz w:val="20"/>
            <w:szCs w:val="20"/>
          </w:rPr>
          <w:fldChar w:fldCharType="begin"/>
        </w:r>
        <w:r w:rsidRPr="00DD29C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D29C5">
          <w:rPr>
            <w:rFonts w:ascii="Arial" w:hAnsi="Arial" w:cs="Arial"/>
            <w:sz w:val="20"/>
            <w:szCs w:val="20"/>
          </w:rPr>
          <w:fldChar w:fldCharType="separate"/>
        </w:r>
        <w:r w:rsidR="00FD46E1">
          <w:rPr>
            <w:rFonts w:ascii="Arial" w:hAnsi="Arial" w:cs="Arial"/>
            <w:noProof/>
            <w:sz w:val="20"/>
            <w:szCs w:val="20"/>
          </w:rPr>
          <w:t>1</w:t>
        </w:r>
        <w:r w:rsidRPr="00DD29C5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F20832" w:rsidRPr="00DD29C5" w:rsidRDefault="00F20832" w:rsidP="00DD29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6F3" w:rsidRDefault="007976F3" w:rsidP="004B466E">
      <w:pPr>
        <w:spacing w:after="0" w:line="240" w:lineRule="auto"/>
      </w:pPr>
      <w:r>
        <w:separator/>
      </w:r>
    </w:p>
  </w:footnote>
  <w:footnote w:type="continuationSeparator" w:id="0">
    <w:p w:rsidR="007976F3" w:rsidRDefault="007976F3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Pr="002B1F07" w:rsidRDefault="00A4201E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7843"/>
    <w:rsid w:val="00031B35"/>
    <w:rsid w:val="0003458A"/>
    <w:rsid w:val="000376B9"/>
    <w:rsid w:val="000450D7"/>
    <w:rsid w:val="0005439D"/>
    <w:rsid w:val="000B6038"/>
    <w:rsid w:val="000C3E32"/>
    <w:rsid w:val="000C6D5A"/>
    <w:rsid w:val="000D6B63"/>
    <w:rsid w:val="000D7B5A"/>
    <w:rsid w:val="00117D93"/>
    <w:rsid w:val="00143C01"/>
    <w:rsid w:val="001449EC"/>
    <w:rsid w:val="0014750E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6A2E"/>
    <w:rsid w:val="00200BF1"/>
    <w:rsid w:val="00206CEE"/>
    <w:rsid w:val="00210BD8"/>
    <w:rsid w:val="00212A9E"/>
    <w:rsid w:val="00221D1F"/>
    <w:rsid w:val="002231BE"/>
    <w:rsid w:val="00233CE8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729C"/>
    <w:rsid w:val="00316605"/>
    <w:rsid w:val="00320CC9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78F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4E7B32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93D2C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5F52C8"/>
    <w:rsid w:val="0063457D"/>
    <w:rsid w:val="00635F66"/>
    <w:rsid w:val="00636796"/>
    <w:rsid w:val="00655ECA"/>
    <w:rsid w:val="00661126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71A4"/>
    <w:rsid w:val="00781991"/>
    <w:rsid w:val="007976F3"/>
    <w:rsid w:val="007D666F"/>
    <w:rsid w:val="007E1561"/>
    <w:rsid w:val="007E589C"/>
    <w:rsid w:val="007E5B5D"/>
    <w:rsid w:val="007F414A"/>
    <w:rsid w:val="00803D65"/>
    <w:rsid w:val="008230F0"/>
    <w:rsid w:val="0083079B"/>
    <w:rsid w:val="00830A74"/>
    <w:rsid w:val="00830E8A"/>
    <w:rsid w:val="00857C68"/>
    <w:rsid w:val="00862526"/>
    <w:rsid w:val="008637E8"/>
    <w:rsid w:val="00865334"/>
    <w:rsid w:val="008707CD"/>
    <w:rsid w:val="008755FE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859CD"/>
    <w:rsid w:val="009A5277"/>
    <w:rsid w:val="009A7804"/>
    <w:rsid w:val="009B2A5E"/>
    <w:rsid w:val="009B3AF3"/>
    <w:rsid w:val="009C1B67"/>
    <w:rsid w:val="009D752A"/>
    <w:rsid w:val="009E170A"/>
    <w:rsid w:val="009E3C9F"/>
    <w:rsid w:val="009E6AE2"/>
    <w:rsid w:val="00A01829"/>
    <w:rsid w:val="00A149F8"/>
    <w:rsid w:val="00A233FD"/>
    <w:rsid w:val="00A310B3"/>
    <w:rsid w:val="00A318A2"/>
    <w:rsid w:val="00A4201E"/>
    <w:rsid w:val="00A50911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16A"/>
    <w:rsid w:val="00B1120A"/>
    <w:rsid w:val="00B127CB"/>
    <w:rsid w:val="00B138F9"/>
    <w:rsid w:val="00B236C3"/>
    <w:rsid w:val="00B2537D"/>
    <w:rsid w:val="00B57056"/>
    <w:rsid w:val="00B61A41"/>
    <w:rsid w:val="00B64783"/>
    <w:rsid w:val="00B65C36"/>
    <w:rsid w:val="00B75FCD"/>
    <w:rsid w:val="00B82DFA"/>
    <w:rsid w:val="00B86B44"/>
    <w:rsid w:val="00B97C29"/>
    <w:rsid w:val="00BA33DD"/>
    <w:rsid w:val="00BB48D9"/>
    <w:rsid w:val="00BC43EB"/>
    <w:rsid w:val="00BD0DCF"/>
    <w:rsid w:val="00BD3276"/>
    <w:rsid w:val="00BE4067"/>
    <w:rsid w:val="00BE480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D29C5"/>
    <w:rsid w:val="00E1465E"/>
    <w:rsid w:val="00E4380B"/>
    <w:rsid w:val="00E4382D"/>
    <w:rsid w:val="00E44C06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F032D4"/>
    <w:rsid w:val="00F0360E"/>
    <w:rsid w:val="00F04253"/>
    <w:rsid w:val="00F20832"/>
    <w:rsid w:val="00F43117"/>
    <w:rsid w:val="00F53B3C"/>
    <w:rsid w:val="00F67A25"/>
    <w:rsid w:val="00F72386"/>
    <w:rsid w:val="00F950C0"/>
    <w:rsid w:val="00FA2FFF"/>
    <w:rsid w:val="00FB15CA"/>
    <w:rsid w:val="00FC129D"/>
    <w:rsid w:val="00FC63A7"/>
    <w:rsid w:val="00FD19F3"/>
    <w:rsid w:val="00FD34FF"/>
    <w:rsid w:val="00FD46E1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B9E56-8C38-4E62-865E-8F5A570E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3</cp:revision>
  <cp:lastPrinted>2019-02-13T15:17:00Z</cp:lastPrinted>
  <dcterms:created xsi:type="dcterms:W3CDTF">2019-03-05T09:10:00Z</dcterms:created>
  <dcterms:modified xsi:type="dcterms:W3CDTF">2019-03-05T12:58:00Z</dcterms:modified>
</cp:coreProperties>
</file>