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AFC48" w14:textId="77777777" w:rsidR="002B6BA8" w:rsidRPr="002B6BA8" w:rsidRDefault="002B6BA8" w:rsidP="002B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Cs/>
          <w:i/>
          <w:sz w:val="18"/>
          <w:szCs w:val="18"/>
        </w:rPr>
      </w:pPr>
      <w:r w:rsidRPr="002B6BA8">
        <w:rPr>
          <w:rFonts w:ascii="Calibri" w:eastAsia="Calibri" w:hAnsi="Calibri" w:cs="Calibri"/>
          <w:bCs/>
          <w:i/>
          <w:sz w:val="18"/>
          <w:szCs w:val="18"/>
          <w:lang w:val="bg-BG"/>
        </w:rPr>
        <w:t>Приложение № 5</w:t>
      </w:r>
    </w:p>
    <w:p w14:paraId="60BD061C" w14:textId="4DA7D0C6" w:rsidR="002B6BA8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3A01292D" w14:textId="77777777" w:rsidR="002B6BA8" w:rsidRPr="00497289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4EA0439A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  <w:bookmarkStart w:id="0" w:name="_GoBack"/>
      <w:bookmarkEnd w:id="0"/>
    </w:p>
    <w:p w14:paraId="754E4634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  <w:lang w:val="bg-BG"/>
        </w:rPr>
      </w:pPr>
    </w:p>
    <w:tbl>
      <w:tblPr>
        <w:tblW w:w="500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6834"/>
      </w:tblGrid>
      <w:tr w:rsidR="002B6BA8" w:rsidRPr="00AF36FA" w14:paraId="22C96F40" w14:textId="77777777" w:rsidTr="002B6BA8">
        <w:tc>
          <w:tcPr>
            <w:tcW w:w="1230" w:type="pct"/>
            <w:shd w:val="clear" w:color="auto" w:fill="D9D9D9"/>
            <w:vAlign w:val="center"/>
          </w:tcPr>
          <w:p w14:paraId="56E842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741CFB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2B6BA8" w:rsidRPr="00AF36FA" w14:paraId="49F32A2E" w14:textId="77777777" w:rsidTr="002B6BA8">
        <w:tc>
          <w:tcPr>
            <w:tcW w:w="1230" w:type="pct"/>
            <w:shd w:val="clear" w:color="auto" w:fill="D9D9D9"/>
            <w:vAlign w:val="center"/>
          </w:tcPr>
          <w:p w14:paraId="24BDBBB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DD6868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2B6BA8" w:rsidRPr="00AF36FA" w14:paraId="2EF01CC7" w14:textId="77777777" w:rsidTr="002B6BA8">
        <w:tc>
          <w:tcPr>
            <w:tcW w:w="1230" w:type="pct"/>
            <w:shd w:val="clear" w:color="auto" w:fill="D9D9D9"/>
            <w:vAlign w:val="center"/>
          </w:tcPr>
          <w:p w14:paraId="10A5F15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286D26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2B6BA8" w:rsidRPr="00AF36FA" w14:paraId="7330F588" w14:textId="77777777" w:rsidTr="002B6BA8">
        <w:tc>
          <w:tcPr>
            <w:tcW w:w="1230" w:type="pct"/>
            <w:shd w:val="clear" w:color="auto" w:fill="D9D9D9"/>
            <w:vAlign w:val="center"/>
          </w:tcPr>
          <w:p w14:paraId="4C8CCD3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0A8B4E7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2B6BA8" w:rsidRPr="00AF36FA" w14:paraId="69489BE1" w14:textId="77777777" w:rsidTr="002B6BA8">
        <w:trPr>
          <w:trHeight w:val="463"/>
        </w:trPr>
        <w:tc>
          <w:tcPr>
            <w:tcW w:w="1230" w:type="pct"/>
            <w:shd w:val="clear" w:color="auto" w:fill="D9D9D9"/>
            <w:vAlign w:val="center"/>
          </w:tcPr>
          <w:p w14:paraId="384846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7CB9CB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2B6BA8" w:rsidRPr="00AF36FA" w14:paraId="53140210" w14:textId="77777777" w:rsidTr="002B6BA8">
        <w:tc>
          <w:tcPr>
            <w:tcW w:w="1230" w:type="pct"/>
            <w:shd w:val="clear" w:color="auto" w:fill="D9D9D9"/>
            <w:vAlign w:val="center"/>
          </w:tcPr>
          <w:p w14:paraId="219100CC" w14:textId="77777777" w:rsidR="002B6BA8" w:rsidRPr="00AF36FA" w:rsidDel="00C47DC3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D867D4" w14:textId="77777777" w:rsidR="002B6BA8" w:rsidRPr="00AF36FA" w:rsidDel="00C47DC3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2B6BA8" w:rsidRPr="00AF36FA" w14:paraId="29C4EFCB" w14:textId="77777777" w:rsidTr="002B6BA8">
        <w:tc>
          <w:tcPr>
            <w:tcW w:w="1230" w:type="pct"/>
            <w:shd w:val="clear" w:color="auto" w:fill="D9D9D9"/>
            <w:vAlign w:val="center"/>
          </w:tcPr>
          <w:p w14:paraId="419FF5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0A0F432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</w:t>
            </w: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Разплащателна агенция</w:t>
            </w:r>
          </w:p>
        </w:tc>
      </w:tr>
      <w:tr w:rsidR="002B6BA8" w:rsidRPr="00AF36FA" w14:paraId="3322DE92" w14:textId="77777777" w:rsidTr="002B6BA8">
        <w:tc>
          <w:tcPr>
            <w:tcW w:w="1230" w:type="pct"/>
            <w:shd w:val="clear" w:color="auto" w:fill="D9D9D9"/>
            <w:vAlign w:val="center"/>
          </w:tcPr>
          <w:p w14:paraId="032FF91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274BA7B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e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 процесуален кодекс</w:t>
            </w:r>
          </w:p>
        </w:tc>
      </w:tr>
      <w:tr w:rsidR="002B6BA8" w:rsidRPr="00AF36FA" w14:paraId="65901799" w14:textId="77777777" w:rsidTr="002B6BA8">
        <w:tc>
          <w:tcPr>
            <w:tcW w:w="1230" w:type="pct"/>
            <w:shd w:val="clear" w:color="auto" w:fill="D9D9D9"/>
            <w:vAlign w:val="center"/>
          </w:tcPr>
          <w:p w14:paraId="5BC1685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5CDDC7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2B6BA8" w:rsidRPr="00AF36FA" w14:paraId="146803F4" w14:textId="77777777" w:rsidTr="002B6BA8">
        <w:tc>
          <w:tcPr>
            <w:tcW w:w="1230" w:type="pct"/>
            <w:shd w:val="clear" w:color="auto" w:fill="D9D9D9"/>
            <w:vAlign w:val="center"/>
          </w:tcPr>
          <w:p w14:paraId="63E63C4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A30E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2B6BA8" w:rsidRPr="00AF36FA" w14:paraId="3DE94DB6" w14:textId="77777777" w:rsidTr="002B6BA8">
        <w:tc>
          <w:tcPr>
            <w:tcW w:w="1230" w:type="pct"/>
            <w:shd w:val="clear" w:color="auto" w:fill="D9D9D9"/>
            <w:vAlign w:val="center"/>
          </w:tcPr>
          <w:p w14:paraId="756C5D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521B2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2B6BA8" w:rsidRPr="00AF36FA" w14:paraId="4F8F3A99" w14:textId="77777777" w:rsidTr="002B6BA8">
        <w:tc>
          <w:tcPr>
            <w:tcW w:w="1230" w:type="pct"/>
            <w:shd w:val="clear" w:color="auto" w:fill="D9D9D9"/>
            <w:vAlign w:val="center"/>
          </w:tcPr>
          <w:p w14:paraId="3A571A1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A905EB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2B6BA8" w:rsidRPr="00AF36FA" w14:paraId="3FD5E76B" w14:textId="77777777" w:rsidTr="002B6BA8">
        <w:tc>
          <w:tcPr>
            <w:tcW w:w="1230" w:type="pct"/>
            <w:shd w:val="clear" w:color="auto" w:fill="D9D9D9"/>
            <w:vAlign w:val="center"/>
          </w:tcPr>
          <w:p w14:paraId="44C7D36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106E04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2B6BA8" w:rsidRPr="00AF36FA" w14:paraId="617EA579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0C1BCA7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133F65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2B6BA8" w:rsidRPr="00AF36FA" w14:paraId="5CB1D185" w14:textId="77777777" w:rsidTr="002B6BA8">
        <w:tc>
          <w:tcPr>
            <w:tcW w:w="1230" w:type="pct"/>
            <w:shd w:val="clear" w:color="auto" w:fill="D9D9D9"/>
            <w:vAlign w:val="center"/>
          </w:tcPr>
          <w:p w14:paraId="529EF76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7874D6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2B6BA8" w:rsidRPr="00AF36FA" w14:paraId="77C41A93" w14:textId="77777777" w:rsidTr="002B6BA8">
        <w:tc>
          <w:tcPr>
            <w:tcW w:w="1230" w:type="pct"/>
            <w:shd w:val="clear" w:color="auto" w:fill="D9D9D9"/>
            <w:vAlign w:val="center"/>
          </w:tcPr>
          <w:p w14:paraId="2CBFB86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112BA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2B6BA8" w:rsidRPr="00AF36FA" w14:paraId="064027E3" w14:textId="77777777" w:rsidTr="002B6BA8">
        <w:tc>
          <w:tcPr>
            <w:tcW w:w="1230" w:type="pct"/>
            <w:shd w:val="clear" w:color="auto" w:fill="D9D9D9"/>
            <w:vAlign w:val="center"/>
          </w:tcPr>
          <w:p w14:paraId="393C7E1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0BE79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2B6BA8" w:rsidRPr="00AF36FA" w14:paraId="4498E342" w14:textId="77777777" w:rsidTr="002B6BA8">
        <w:tc>
          <w:tcPr>
            <w:tcW w:w="1230" w:type="pct"/>
            <w:shd w:val="clear" w:color="auto" w:fill="D9D9D9"/>
            <w:vAlign w:val="center"/>
          </w:tcPr>
          <w:p w14:paraId="6646E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7FBD9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2B6BA8" w:rsidRPr="00AF36FA" w14:paraId="00668FB4" w14:textId="77777777" w:rsidTr="002B6BA8">
        <w:tc>
          <w:tcPr>
            <w:tcW w:w="1230" w:type="pct"/>
            <w:shd w:val="clear" w:color="auto" w:fill="D9D9D9"/>
            <w:vAlign w:val="center"/>
          </w:tcPr>
          <w:p w14:paraId="3853248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8AE43A9" w14:textId="77777777" w:rsidR="002B6BA8" w:rsidRPr="00AF36FA" w:rsidRDefault="002B6BA8" w:rsidP="00CF4A27">
            <w:pPr>
              <w:spacing w:before="120" w:after="120" w:line="24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2B6BA8" w:rsidRPr="00AF36FA" w14:paraId="358CAE2F" w14:textId="77777777" w:rsidTr="002B6BA8">
        <w:tc>
          <w:tcPr>
            <w:tcW w:w="1230" w:type="pct"/>
            <w:shd w:val="clear" w:color="auto" w:fill="D9D9D9"/>
            <w:vAlign w:val="center"/>
          </w:tcPr>
          <w:p w14:paraId="79A38F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CBF5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2B6BA8" w:rsidRPr="00AF36FA" w14:paraId="0D15B0BF" w14:textId="77777777" w:rsidTr="002B6BA8">
        <w:tc>
          <w:tcPr>
            <w:tcW w:w="1230" w:type="pct"/>
            <w:shd w:val="clear" w:color="auto" w:fill="D9D9D9"/>
            <w:vAlign w:val="center"/>
          </w:tcPr>
          <w:p w14:paraId="7103064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C15D83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2B6BA8" w:rsidRPr="00AF36FA" w14:paraId="377E2892" w14:textId="77777777" w:rsidTr="002B6BA8">
        <w:tc>
          <w:tcPr>
            <w:tcW w:w="1230" w:type="pct"/>
            <w:shd w:val="clear" w:color="auto" w:fill="D9D9D9"/>
            <w:vAlign w:val="center"/>
          </w:tcPr>
          <w:p w14:paraId="142A4A4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5707D2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2B6BA8" w:rsidRPr="00AF36FA" w14:paraId="2058077E" w14:textId="77777777" w:rsidTr="002B6BA8">
        <w:tc>
          <w:tcPr>
            <w:tcW w:w="1230" w:type="pct"/>
            <w:shd w:val="clear" w:color="auto" w:fill="D9D9D9"/>
            <w:vAlign w:val="center"/>
          </w:tcPr>
          <w:p w14:paraId="7DE735F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A0F19A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2B6BA8" w:rsidRPr="00AF36FA" w14:paraId="3963C7E1" w14:textId="77777777" w:rsidTr="002B6BA8">
        <w:trPr>
          <w:trHeight w:val="370"/>
        </w:trPr>
        <w:tc>
          <w:tcPr>
            <w:tcW w:w="1230" w:type="pct"/>
            <w:shd w:val="clear" w:color="auto" w:fill="D9D9D9"/>
            <w:vAlign w:val="center"/>
          </w:tcPr>
          <w:p w14:paraId="6C242ED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3268FB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2B6BA8" w:rsidRPr="00AF36FA" w14:paraId="572E1736" w14:textId="77777777" w:rsidTr="002B6BA8">
        <w:tc>
          <w:tcPr>
            <w:tcW w:w="1230" w:type="pct"/>
            <w:shd w:val="clear" w:color="auto" w:fill="D9D9D9"/>
            <w:vAlign w:val="center"/>
          </w:tcPr>
          <w:p w14:paraId="43F7D443" w14:textId="77777777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МЗХГ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596D9CC" w14:textId="77777777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Министерство на земеделието, храните и горите</w:t>
            </w:r>
          </w:p>
        </w:tc>
      </w:tr>
      <w:tr w:rsidR="002B6BA8" w:rsidRPr="00AF36FA" w14:paraId="6C10D767" w14:textId="77777777" w:rsidTr="002B6BA8">
        <w:tc>
          <w:tcPr>
            <w:tcW w:w="1230" w:type="pct"/>
            <w:shd w:val="clear" w:color="auto" w:fill="D9D9D9"/>
            <w:vAlign w:val="center"/>
          </w:tcPr>
          <w:p w14:paraId="1E3D63FC" w14:textId="77777777" w:rsidR="002B6BA8" w:rsidRPr="00F54D1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4318D9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</w:p>
        </w:tc>
      </w:tr>
      <w:tr w:rsidR="002B6BA8" w:rsidRPr="00AF36FA" w14:paraId="36B813F4" w14:textId="77777777" w:rsidTr="002B6BA8">
        <w:trPr>
          <w:trHeight w:val="886"/>
        </w:trPr>
        <w:tc>
          <w:tcPr>
            <w:tcW w:w="1230" w:type="pct"/>
            <w:shd w:val="clear" w:color="auto" w:fill="D9D9D9"/>
            <w:vAlign w:val="center"/>
          </w:tcPr>
          <w:p w14:paraId="5D24818D" w14:textId="77777777" w:rsidR="002B6BA8" w:rsidRDefault="002B6BA8" w:rsidP="00CF4A27">
            <w:pPr>
              <w:spacing w:before="120" w:after="120" w:line="240" w:lineRule="auto"/>
              <w:ind w:left="288"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МИРГ </w:t>
            </w:r>
          </w:p>
          <w:p w14:paraId="5C8AF73B" w14:textId="77777777" w:rsidR="002B6BA8" w:rsidRDefault="002B6BA8" w:rsidP="00CF4A27">
            <w:pPr>
              <w:spacing w:before="120" w:after="120" w:line="240" w:lineRule="auto"/>
              <w:ind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Бургас - Камено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A3B7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 Бургас - Камено</w:t>
            </w:r>
          </w:p>
        </w:tc>
      </w:tr>
      <w:tr w:rsidR="002B6BA8" w:rsidRPr="00AF36FA" w14:paraId="119E74E6" w14:textId="77777777" w:rsidTr="002B6BA8">
        <w:tc>
          <w:tcPr>
            <w:tcW w:w="1230" w:type="pct"/>
            <w:shd w:val="clear" w:color="auto" w:fill="D9D9D9"/>
            <w:vAlign w:val="center"/>
          </w:tcPr>
          <w:p w14:paraId="4EE248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FB1D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2B6BA8" w:rsidRPr="00AF36FA" w14:paraId="6C2F9262" w14:textId="77777777" w:rsidTr="002B6BA8">
        <w:tc>
          <w:tcPr>
            <w:tcW w:w="1230" w:type="pct"/>
            <w:shd w:val="clear" w:color="auto" w:fill="D9D9D9"/>
            <w:vAlign w:val="center"/>
          </w:tcPr>
          <w:p w14:paraId="06F7621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B79D6B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2B6BA8" w:rsidRPr="00AF36FA" w14:paraId="347E9AE9" w14:textId="77777777" w:rsidTr="002B6BA8">
        <w:tc>
          <w:tcPr>
            <w:tcW w:w="1230" w:type="pct"/>
            <w:shd w:val="clear" w:color="auto" w:fill="D9D9D9"/>
            <w:vAlign w:val="center"/>
          </w:tcPr>
          <w:p w14:paraId="780F9A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99DBC1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14:paraId="0346217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2B6BA8" w:rsidRPr="00AF36FA" w14:paraId="0E1961E5" w14:textId="77777777" w:rsidTr="002B6BA8">
        <w:tc>
          <w:tcPr>
            <w:tcW w:w="1230" w:type="pct"/>
            <w:shd w:val="clear" w:color="auto" w:fill="D9D9D9"/>
            <w:vAlign w:val="center"/>
          </w:tcPr>
          <w:p w14:paraId="7809BDD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8C44F0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2B6BA8" w:rsidRPr="00AF36FA" w14:paraId="51F92931" w14:textId="77777777" w:rsidTr="002B6BA8">
        <w:trPr>
          <w:trHeight w:val="616"/>
        </w:trPr>
        <w:tc>
          <w:tcPr>
            <w:tcW w:w="1230" w:type="pct"/>
            <w:shd w:val="clear" w:color="auto" w:fill="D9D9D9"/>
            <w:vAlign w:val="center"/>
          </w:tcPr>
          <w:p w14:paraId="7ECD3C3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28B38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2B6BA8" w:rsidRPr="00AF36FA" w14:paraId="68F89058" w14:textId="77777777" w:rsidTr="002B6BA8">
        <w:tc>
          <w:tcPr>
            <w:tcW w:w="1230" w:type="pct"/>
            <w:shd w:val="clear" w:color="auto" w:fill="D9D9D9"/>
            <w:vAlign w:val="center"/>
          </w:tcPr>
          <w:p w14:paraId="5EAE1D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89BB8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2B6BA8" w:rsidRPr="00AF36FA" w14:paraId="6E9391E1" w14:textId="77777777" w:rsidTr="002B6BA8">
        <w:tc>
          <w:tcPr>
            <w:tcW w:w="1230" w:type="pct"/>
            <w:shd w:val="clear" w:color="auto" w:fill="D9D9D9"/>
            <w:vAlign w:val="center"/>
          </w:tcPr>
          <w:p w14:paraId="22C66E0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17848F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2B6BA8" w:rsidRPr="00AF36FA" w14:paraId="2E836E20" w14:textId="77777777" w:rsidTr="002B6BA8">
        <w:tc>
          <w:tcPr>
            <w:tcW w:w="1230" w:type="pct"/>
            <w:shd w:val="clear" w:color="auto" w:fill="D9D9D9"/>
            <w:vAlign w:val="center"/>
          </w:tcPr>
          <w:p w14:paraId="2E504B6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690F7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2B6BA8" w:rsidRPr="00AF36FA" w14:paraId="31C2F3C3" w14:textId="77777777" w:rsidTr="002B6BA8">
        <w:tc>
          <w:tcPr>
            <w:tcW w:w="1230" w:type="pct"/>
            <w:shd w:val="clear" w:color="auto" w:fill="D9D9D9"/>
            <w:vAlign w:val="center"/>
          </w:tcPr>
          <w:p w14:paraId="03247AF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98D6E0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2B6BA8" w:rsidRPr="00AF36FA" w14:paraId="0B60D537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1F0E5BE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4E976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14:paraId="1CE05216" w14:textId="599576BE" w:rsidR="002B6BA8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55F9373B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64B9C4D2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14:paraId="45C09A49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B6BA8" w:rsidRPr="00AF36FA" w14:paraId="6C1B64E6" w14:textId="77777777" w:rsidTr="002B6BA8">
        <w:tc>
          <w:tcPr>
            <w:tcW w:w="2248" w:type="dxa"/>
            <w:shd w:val="clear" w:color="auto" w:fill="E6E6E6"/>
          </w:tcPr>
          <w:p w14:paraId="08EBAEE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  <w:p w14:paraId="54A07E5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14:paraId="2C1CE8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2B6BA8" w:rsidRPr="00AF36FA" w14:paraId="351AF160" w14:textId="77777777" w:rsidTr="002B6BA8">
        <w:tc>
          <w:tcPr>
            <w:tcW w:w="2248" w:type="dxa"/>
            <w:shd w:val="clear" w:color="auto" w:fill="E6E6E6"/>
          </w:tcPr>
          <w:p w14:paraId="71FAAB6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Авансово плащане</w:t>
            </w:r>
          </w:p>
        </w:tc>
        <w:tc>
          <w:tcPr>
            <w:tcW w:w="6932" w:type="dxa"/>
            <w:shd w:val="clear" w:color="auto" w:fill="F3F3F3"/>
          </w:tcPr>
          <w:p w14:paraId="388DDB1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Плащане след одобрение на проекта и преди извършване на инвестиционните разходи при условията описани в Общите условия и Условията за изпълнение към /АДБФП/.</w:t>
            </w:r>
          </w:p>
        </w:tc>
      </w:tr>
      <w:tr w:rsidR="002B6BA8" w:rsidRPr="00AF36FA" w14:paraId="2D654F99" w14:textId="77777777" w:rsidTr="002B6BA8">
        <w:tc>
          <w:tcPr>
            <w:tcW w:w="2248" w:type="dxa"/>
            <w:shd w:val="clear" w:color="auto" w:fill="E6E6E6"/>
          </w:tcPr>
          <w:p w14:paraId="65AAB88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14:paraId="617700C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2B6BA8" w:rsidRPr="00AF36FA" w14:paraId="36833DD9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22AB65B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14:paraId="246AF69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Лицата, посочени в чл. 2, пар. 10 от Регламент (ЕО) № 1303/2013 - публична или частна организация, и — само за целите на Регламента за ЕЗФРСР и Регламента за ЕФМДР — физическо лице, които отговарят за започването или за започването и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lastRenderedPageBreak/>
              <w:t>изпълнението на операции. В рамките на схемите за помощ по член 107 от Договора за функционирането на Европейския съюз (предишен член 87 от Договора за създаване на ЕО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),  бенефициентите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са публични или частни предприятия, които изпълняват отделен проект и получават публична помощ. </w:t>
            </w:r>
          </w:p>
        </w:tc>
      </w:tr>
      <w:tr w:rsidR="002B6BA8" w:rsidRPr="00AF36FA" w14:paraId="772B78CF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63E887BE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7D0EE573" w14:textId="1A2459C7" w:rsidR="00AB4245" w:rsidRPr="007667FD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>„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Водено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общностите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местно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>“ (</w:t>
            </w:r>
            <w:proofErr w:type="gram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ВОМР) е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един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подходите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който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структурни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фондове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финансират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интегрираното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териториално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страната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периода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2014 – 2020 г.</w:t>
            </w:r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</w:p>
          <w:p w14:paraId="6AAC8306" w14:textId="1951111C" w:rsidR="002B6BA8" w:rsidRPr="00AF36FA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 е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подход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насочен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към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подобряване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качеството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живот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ускоряване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развитието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местните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общности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селските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рибарските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райони</w:t>
            </w:r>
            <w:proofErr w:type="spellEnd"/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използване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местния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потенциал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.  </w:t>
            </w:r>
          </w:p>
        </w:tc>
      </w:tr>
      <w:tr w:rsidR="002B6BA8" w:rsidRPr="00AF36FA" w14:paraId="4A950204" w14:textId="77777777" w:rsidTr="002B6BA8">
        <w:tc>
          <w:tcPr>
            <w:tcW w:w="2248" w:type="dxa"/>
            <w:shd w:val="clear" w:color="auto" w:fill="E6E6E6"/>
          </w:tcPr>
          <w:p w14:paraId="59C6922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Възобновяеми енергийни източници</w:t>
            </w:r>
          </w:p>
        </w:tc>
        <w:tc>
          <w:tcPr>
            <w:tcW w:w="6932" w:type="dxa"/>
            <w:shd w:val="clear" w:color="auto" w:fill="F3F3F3"/>
          </w:tcPr>
          <w:p w14:paraId="31E21D9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Вятърна, слънчева, аеротермална, геотермална, хидротермална и, водноелектрическа енергия, биомаса, сметищен газ, газ от пречиствателни инсталации за отпадни води и биогазове. </w:t>
            </w:r>
          </w:p>
        </w:tc>
      </w:tr>
      <w:tr w:rsidR="002B6BA8" w:rsidRPr="00AF36FA" w14:paraId="138AF4C4" w14:textId="77777777" w:rsidTr="002B6BA8">
        <w:tc>
          <w:tcPr>
            <w:tcW w:w="2248" w:type="dxa"/>
            <w:shd w:val="clear" w:color="auto" w:fill="E6E6E6"/>
          </w:tcPr>
          <w:p w14:paraId="517B32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Видове с пазарен потенциал</w:t>
            </w:r>
          </w:p>
        </w:tc>
        <w:tc>
          <w:tcPr>
            <w:tcW w:w="6932" w:type="dxa"/>
            <w:shd w:val="clear" w:color="auto" w:fill="F3F3F3"/>
          </w:tcPr>
          <w:p w14:paraId="7E3D5FA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Видове, за които средносрочните прогнози показват, че е вероятно пазарното търсене да надвиши предлагането</w:t>
            </w:r>
            <w:r w:rsidRPr="00AF36FA">
              <w:rPr>
                <w:rFonts w:eastAsia="EUAlbertina-Regular-Identity-H" w:cstheme="minorHAnsi"/>
                <w:sz w:val="24"/>
                <w:szCs w:val="24"/>
              </w:rPr>
              <w:t>.</w:t>
            </w:r>
          </w:p>
        </w:tc>
      </w:tr>
      <w:tr w:rsidR="002B6BA8" w:rsidRPr="00AF36FA" w14:paraId="1D791B58" w14:textId="77777777" w:rsidTr="002B6BA8">
        <w:tc>
          <w:tcPr>
            <w:tcW w:w="2248" w:type="dxa"/>
            <w:shd w:val="clear" w:color="auto" w:fill="E6E6E6"/>
          </w:tcPr>
          <w:p w14:paraId="54DCC31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Воден обект</w:t>
            </w:r>
          </w:p>
        </w:tc>
        <w:tc>
          <w:tcPr>
            <w:tcW w:w="6932" w:type="dxa"/>
            <w:shd w:val="clear" w:color="auto" w:fill="F3F3F3"/>
          </w:tcPr>
          <w:p w14:paraId="34362D6A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Постоянно или временно съсредоточаване на води със съответни граници, обем и воден режим в земните недра и в естествено или изкуствено създадени форми на релефа заедно с принадлежащите към тях земи.</w:t>
            </w:r>
          </w:p>
        </w:tc>
      </w:tr>
      <w:tr w:rsidR="002B6BA8" w:rsidRPr="00AF36FA" w14:paraId="4E6C3E8F" w14:textId="77777777" w:rsidTr="002B6BA8">
        <w:tc>
          <w:tcPr>
            <w:tcW w:w="2248" w:type="dxa"/>
            <w:shd w:val="clear" w:color="auto" w:fill="E6E6E6"/>
          </w:tcPr>
          <w:p w14:paraId="4A1ABEA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Водовземане</w:t>
            </w:r>
          </w:p>
        </w:tc>
        <w:tc>
          <w:tcPr>
            <w:tcW w:w="6932" w:type="dxa"/>
            <w:shd w:val="clear" w:color="auto" w:fill="F3F3F3"/>
          </w:tcPr>
          <w:p w14:paraId="7F111C01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Обхваща всички дейности, свързани с отнемане на води от водните обекти и/или отклоняването им от тях, както и използването на енергията на водата</w:t>
            </w:r>
          </w:p>
        </w:tc>
      </w:tr>
      <w:tr w:rsidR="002B6BA8" w:rsidRPr="00AF36FA" w14:paraId="67B77A4B" w14:textId="77777777" w:rsidTr="002B6BA8">
        <w:tc>
          <w:tcPr>
            <w:tcW w:w="2248" w:type="dxa"/>
            <w:shd w:val="clear" w:color="auto" w:fill="E6E6E6"/>
          </w:tcPr>
          <w:p w14:paraId="29A8D8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Група предприятия</w:t>
            </w:r>
          </w:p>
        </w:tc>
        <w:tc>
          <w:tcPr>
            <w:tcW w:w="6932" w:type="dxa"/>
            <w:shd w:val="clear" w:color="auto" w:fill="F3F3F3"/>
          </w:tcPr>
          <w:p w14:paraId="4D94FCE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„Група" означава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</w:t>
            </w:r>
          </w:p>
        </w:tc>
      </w:tr>
      <w:tr w:rsidR="002B6BA8" w:rsidRPr="00AF36FA" w14:paraId="6A2D7F2A" w14:textId="77777777" w:rsidTr="002B6BA8">
        <w:tc>
          <w:tcPr>
            <w:tcW w:w="2248" w:type="dxa"/>
            <w:shd w:val="clear" w:color="auto" w:fill="E6E6E6"/>
          </w:tcPr>
          <w:p w14:paraId="04DB6E8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Дата на започване на работата</w:t>
            </w:r>
          </w:p>
        </w:tc>
        <w:tc>
          <w:tcPr>
            <w:tcW w:w="6932" w:type="dxa"/>
            <w:shd w:val="clear" w:color="auto" w:fill="F3F3F3"/>
          </w:tcPr>
          <w:p w14:paraId="712D193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Означава първото от следните събития: започване на строителните работи, свързани с инвестицията, или поемане на първия правнообвързващ ангажимент за поръчка на оборудване или всеки друг ангажимент, който прави инвестицията необратима.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проекта. При поглъщания на предприятия „започване на работите по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проекта“ означава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момента на придобиване на активите, пряко свързани с придобития стопански обект.</w:t>
            </w:r>
          </w:p>
        </w:tc>
      </w:tr>
      <w:tr w:rsidR="002B6BA8" w:rsidRPr="00AF36FA" w14:paraId="02524E7A" w14:textId="77777777" w:rsidTr="002B6BA8">
        <w:trPr>
          <w:trHeight w:val="895"/>
        </w:trPr>
        <w:tc>
          <w:tcPr>
            <w:tcW w:w="2248" w:type="dxa"/>
            <w:shd w:val="clear" w:color="auto" w:fill="E6E6E6"/>
          </w:tcPr>
          <w:p w14:paraId="6E7457F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Дейност</w:t>
            </w:r>
          </w:p>
        </w:tc>
        <w:tc>
          <w:tcPr>
            <w:tcW w:w="6932" w:type="dxa"/>
            <w:shd w:val="clear" w:color="auto" w:fill="F3F3F3"/>
          </w:tcPr>
          <w:p w14:paraId="00601D57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2B6BA8" w:rsidRPr="00AF36FA" w14:paraId="5B628CE9" w14:textId="77777777" w:rsidTr="002B6BA8">
        <w:tc>
          <w:tcPr>
            <w:tcW w:w="2248" w:type="dxa"/>
            <w:shd w:val="clear" w:color="auto" w:fill="E6E6E6"/>
          </w:tcPr>
          <w:p w14:paraId="2A9956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14:paraId="57A4767D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</w:p>
        </w:tc>
      </w:tr>
      <w:tr w:rsidR="002B6BA8" w:rsidRPr="00AF36FA" w14:paraId="7CA00198" w14:textId="77777777" w:rsidTr="002B6BA8">
        <w:tc>
          <w:tcPr>
            <w:tcW w:w="2248" w:type="dxa"/>
            <w:shd w:val="clear" w:color="auto" w:fill="E6E6E6"/>
          </w:tcPr>
          <w:p w14:paraId="6EC4B39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Енергийна ефективност </w:t>
            </w:r>
          </w:p>
          <w:p w14:paraId="0B2A85B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14:paraId="795994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Количеството спестена енергия, определено чрез измерване и/или оценка на потреблението преди и след прилагането на мярка за повишаване на енергийната ефективност, като същевременно се осигурява нормализиране на външните условия, които оказват въздействие върху потреблението на енергия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102692FC" w14:textId="77777777" w:rsidTr="002B6BA8">
        <w:tc>
          <w:tcPr>
            <w:tcW w:w="2248" w:type="dxa"/>
            <w:shd w:val="clear" w:color="auto" w:fill="E6E6E6"/>
          </w:tcPr>
          <w:p w14:paraId="216A28E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14:paraId="00B08D3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разпоредбите на чл. 54 от ЗУСЕСИФ, а именно след сключване на АДБФП бенефициентът е задължен да проведе предвидените процедури за избор на изпълнител</w:t>
            </w:r>
          </w:p>
        </w:tc>
      </w:tr>
      <w:tr w:rsidR="002B6BA8" w:rsidRPr="00AF36FA" w14:paraId="6D18BEE4" w14:textId="77777777" w:rsidTr="002B6BA8">
        <w:tc>
          <w:tcPr>
            <w:tcW w:w="2248" w:type="dxa"/>
            <w:shd w:val="clear" w:color="auto" w:fill="E6E6E6"/>
          </w:tcPr>
          <w:p w14:paraId="32E187C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14:paraId="112254B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МД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Р, с изключение на държавата при изпълнение на нейните правомощия на публична власт.</w:t>
            </w:r>
          </w:p>
        </w:tc>
      </w:tr>
      <w:tr w:rsidR="002B6BA8" w:rsidRPr="00AF36FA" w14:paraId="385AE837" w14:textId="77777777" w:rsidTr="002B6BA8">
        <w:tc>
          <w:tcPr>
            <w:tcW w:w="2248" w:type="dxa"/>
            <w:shd w:val="clear" w:color="auto" w:fill="E6E6E6"/>
          </w:tcPr>
          <w:p w14:paraId="6960212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Икономическа жизнеспособност</w:t>
            </w:r>
          </w:p>
        </w:tc>
        <w:tc>
          <w:tcPr>
            <w:tcW w:w="6932" w:type="dxa"/>
            <w:shd w:val="clear" w:color="auto" w:fill="F3F3F3"/>
          </w:tcPr>
          <w:p w14:paraId="27E5DCF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Определяне на икономическия ефект от инвестицията, измерен в положително парично изражение към началния момент на инвестиционния период</w:t>
            </w:r>
          </w:p>
        </w:tc>
      </w:tr>
      <w:tr w:rsidR="002B6BA8" w:rsidRPr="00AF36FA" w14:paraId="1DAF5E63" w14:textId="77777777" w:rsidTr="002B6BA8">
        <w:tc>
          <w:tcPr>
            <w:tcW w:w="2248" w:type="dxa"/>
            <w:shd w:val="clear" w:color="auto" w:fill="E6E6E6"/>
          </w:tcPr>
          <w:p w14:paraId="128B62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14:paraId="085AC7C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2B6BA8" w:rsidRPr="00AF36FA" w14:paraId="257856C1" w14:textId="77777777" w:rsidTr="002B6BA8">
        <w:trPr>
          <w:trHeight w:val="965"/>
        </w:trPr>
        <w:tc>
          <w:tcPr>
            <w:tcW w:w="2248" w:type="dxa"/>
            <w:shd w:val="clear" w:color="auto" w:fill="E6E6E6"/>
          </w:tcPr>
          <w:p w14:paraId="6BC4B2C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Мярка</w:t>
            </w:r>
          </w:p>
        </w:tc>
        <w:tc>
          <w:tcPr>
            <w:tcW w:w="6932" w:type="dxa"/>
            <w:shd w:val="clear" w:color="auto" w:fill="F3F3F3"/>
          </w:tcPr>
          <w:p w14:paraId="740CADE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Мярка е набор от операции</w:t>
            </w:r>
          </w:p>
        </w:tc>
      </w:tr>
      <w:tr w:rsidR="002B6BA8" w:rsidRPr="00AF36FA" w14:paraId="2EA3D981" w14:textId="77777777" w:rsidTr="002B6BA8">
        <w:tc>
          <w:tcPr>
            <w:tcW w:w="2248" w:type="dxa"/>
            <w:shd w:val="clear" w:color="auto" w:fill="E6E6E6"/>
          </w:tcPr>
          <w:p w14:paraId="14A4E9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Материални активи</w:t>
            </w:r>
          </w:p>
        </w:tc>
        <w:tc>
          <w:tcPr>
            <w:tcW w:w="6932" w:type="dxa"/>
            <w:shd w:val="clear" w:color="auto" w:fill="F3F3F3"/>
          </w:tcPr>
          <w:p w14:paraId="15AD26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По смисъла на чл. 2, пар.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2B6BA8" w:rsidRPr="00AF36FA" w14:paraId="61DCDA74" w14:textId="77777777" w:rsidTr="002B6BA8">
        <w:trPr>
          <w:trHeight w:val="593"/>
        </w:trPr>
        <w:tc>
          <w:tcPr>
            <w:tcW w:w="2248" w:type="dxa"/>
            <w:shd w:val="clear" w:color="auto" w:fill="E6E6E6"/>
          </w:tcPr>
          <w:p w14:paraId="5EDBE8C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Място на изпълнение на проекта </w:t>
            </w:r>
          </w:p>
        </w:tc>
        <w:tc>
          <w:tcPr>
            <w:tcW w:w="6932" w:type="dxa"/>
            <w:shd w:val="clear" w:color="auto" w:fill="F3F3F3"/>
          </w:tcPr>
          <w:p w14:paraId="357EF07E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2B6BA8" w:rsidRPr="00AF36FA" w14:paraId="72B3BF3B" w14:textId="77777777" w:rsidTr="002B6BA8">
        <w:tc>
          <w:tcPr>
            <w:tcW w:w="2248" w:type="dxa"/>
            <w:shd w:val="clear" w:color="auto" w:fill="E6E6E6"/>
          </w:tcPr>
          <w:p w14:paraId="70B575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Междинно плащане</w:t>
            </w:r>
          </w:p>
        </w:tc>
        <w:tc>
          <w:tcPr>
            <w:tcW w:w="6932" w:type="dxa"/>
            <w:shd w:val="clear" w:color="auto" w:fill="F3F3F3"/>
          </w:tcPr>
          <w:p w14:paraId="7C62BB2E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Плащане за обособена част от одобрената и извършена инвестиция.</w:t>
            </w:r>
          </w:p>
        </w:tc>
      </w:tr>
      <w:tr w:rsidR="002B6BA8" w:rsidRPr="00AF36FA" w14:paraId="1320010C" w14:textId="77777777" w:rsidTr="002B6BA8">
        <w:tc>
          <w:tcPr>
            <w:tcW w:w="2248" w:type="dxa"/>
            <w:shd w:val="clear" w:color="auto" w:fill="E6E6E6"/>
          </w:tcPr>
          <w:p w14:paraId="74BC2D72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Местна инициативна рибарска група</w:t>
            </w:r>
          </w:p>
        </w:tc>
        <w:tc>
          <w:tcPr>
            <w:tcW w:w="6932" w:type="dxa"/>
            <w:shd w:val="clear" w:color="auto" w:fill="F3F3F3"/>
          </w:tcPr>
          <w:p w14:paraId="722867B8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</w:pPr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Публично-частно партньорство, учредено и регистрирано по ЗЮЛНЦ, определено за извършване на общественополезна дейност, имащо за цел да разработи, осигури капацитет и реализира стратегия за ВОМР на определена територия с непрекъснати граници, покрита от рибарски райони, в което делът на който и да е от представителите на публичния сектор, на представителите на стопанския сектор и на представителите на нестопанския сектор в колективния управителен орган и в колективния върховен орган не превишава 49 на сто от имащите право на глас членове. В наименованието на юридическото лице се съдържа обозначението "Местна инициативна рибарска група" или съкратено "МИРГ".</w:t>
            </w:r>
          </w:p>
        </w:tc>
      </w:tr>
      <w:tr w:rsidR="002B6BA8" w:rsidRPr="00AF36FA" w14:paraId="1A5D83D7" w14:textId="77777777" w:rsidTr="002B6BA8">
        <w:tc>
          <w:tcPr>
            <w:tcW w:w="2248" w:type="dxa"/>
            <w:shd w:val="clear" w:color="auto" w:fill="E6E6E6"/>
          </w:tcPr>
          <w:p w14:paraId="4DD4DEE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Микро, малки и средни предприятия</w:t>
            </w:r>
          </w:p>
        </w:tc>
        <w:tc>
          <w:tcPr>
            <w:tcW w:w="6932" w:type="dxa"/>
            <w:shd w:val="clear" w:color="auto" w:fill="F3F3F3"/>
          </w:tcPr>
          <w:p w14:paraId="7A794B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Предприятия, които отговарят на определението съгласно Закона за малките и средни предприятия и изпълняват критериите, посочени в приложение I към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  (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>ЕО) № 651/2014</w:t>
            </w: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B6BA8" w:rsidRPr="00AF36FA" w14:paraId="06834A66" w14:textId="77777777" w:rsidTr="002B6BA8">
        <w:tc>
          <w:tcPr>
            <w:tcW w:w="2248" w:type="dxa"/>
            <w:shd w:val="clear" w:color="auto" w:fill="E6E6E6"/>
          </w:tcPr>
          <w:p w14:paraId="1097818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14:paraId="1F512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2B6BA8" w:rsidRPr="00AF36FA" w14:paraId="1E339C55" w14:textId="77777777" w:rsidTr="002B6BA8">
        <w:tc>
          <w:tcPr>
            <w:tcW w:w="2248" w:type="dxa"/>
            <w:shd w:val="clear" w:color="auto" w:fill="E6E6E6"/>
          </w:tcPr>
          <w:p w14:paraId="75C9CDA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932" w:type="dxa"/>
            <w:shd w:val="clear" w:color="auto" w:fill="F3F3F3"/>
          </w:tcPr>
          <w:p w14:paraId="59E4162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Съгласно чл.2, пар.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2B6BA8" w:rsidRPr="00AF36FA" w14:paraId="52865B2A" w14:textId="77777777" w:rsidTr="002B6BA8">
        <w:tc>
          <w:tcPr>
            <w:tcW w:w="2248" w:type="dxa"/>
            <w:shd w:val="clear" w:color="auto" w:fill="E6E6E6"/>
          </w:tcPr>
          <w:p w14:paraId="3D01368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Нови видове риба</w:t>
            </w:r>
          </w:p>
        </w:tc>
        <w:tc>
          <w:tcPr>
            <w:tcW w:w="6932" w:type="dxa"/>
            <w:shd w:val="clear" w:color="auto" w:fill="F3F3F3"/>
          </w:tcPr>
          <w:p w14:paraId="7294D398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Видове, за които производството на аквакултури в Република България е слабо развито или не съществува и за които има благоприятни пазарни перспективи.</w:t>
            </w:r>
          </w:p>
        </w:tc>
      </w:tr>
      <w:tr w:rsidR="002B6BA8" w:rsidRPr="00AF36FA" w14:paraId="6343DC6F" w14:textId="77777777" w:rsidTr="002B6BA8">
        <w:tc>
          <w:tcPr>
            <w:tcW w:w="2248" w:type="dxa"/>
            <w:shd w:val="clear" w:color="auto" w:fill="E6E6E6"/>
          </w:tcPr>
          <w:p w14:paraId="0764384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14:paraId="2AD06D83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14:paraId="1906136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14:paraId="1922537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б) съдружници; </w:t>
            </w:r>
          </w:p>
          <w:p w14:paraId="54E802C5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14:paraId="63BF2EE8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14:paraId="38777756" w14:textId="77777777" w:rsidR="002B6BA8" w:rsidRPr="00DF7B27" w:rsidRDefault="002B6BA8" w:rsidP="002B6BA8">
            <w:pPr>
              <w:autoSpaceDE w:val="0"/>
              <w:autoSpaceDN w:val="0"/>
              <w:spacing w:after="0" w:line="240" w:lineRule="auto"/>
              <w:ind w:firstLine="708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14:paraId="5A29FE26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14:paraId="1807E4D4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lastRenderedPageBreak/>
              <w:t>ж) лицата, едното от които е търговски представител на другото.</w:t>
            </w:r>
          </w:p>
          <w:p w14:paraId="01E25783" w14:textId="77777777" w:rsidR="002B6BA8" w:rsidRPr="00AF36FA" w:rsidRDefault="002B6BA8" w:rsidP="00CF4A27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</w:p>
        </w:tc>
      </w:tr>
      <w:tr w:rsidR="002B6BA8" w:rsidRPr="00AF36FA" w14:paraId="2769971B" w14:textId="77777777" w:rsidTr="002B6BA8">
        <w:tc>
          <w:tcPr>
            <w:tcW w:w="2248" w:type="dxa"/>
            <w:shd w:val="clear" w:color="auto" w:fill="E6E6E6"/>
          </w:tcPr>
          <w:p w14:paraId="3D6C6FBC" w14:textId="77777777" w:rsidR="002B6BA8" w:rsidRPr="00020536" w:rsidRDefault="002B6BA8" w:rsidP="00CF4A27">
            <w:pPr>
              <w:rPr>
                <w:rFonts w:cstheme="minorHAnsi"/>
                <w:b/>
                <w:sz w:val="24"/>
                <w:szCs w:val="24"/>
                <w:lang w:val="bg-BG"/>
              </w:rPr>
            </w:pPr>
            <w:r w:rsidRPr="00020536">
              <w:rPr>
                <w:rFonts w:cstheme="minorHAnsi"/>
                <w:b/>
                <w:sz w:val="24"/>
                <w:szCs w:val="24"/>
              </w:rPr>
              <w:lastRenderedPageBreak/>
              <w:t>Обект за производство на храни</w:t>
            </w:r>
          </w:p>
        </w:tc>
        <w:tc>
          <w:tcPr>
            <w:tcW w:w="6932" w:type="dxa"/>
            <w:shd w:val="clear" w:color="auto" w:fill="F3F3F3"/>
          </w:tcPr>
          <w:p w14:paraId="04074EE0" w14:textId="77777777" w:rsidR="002B6BA8" w:rsidRPr="00AF36FA" w:rsidRDefault="002B6BA8" w:rsidP="002B6BA8">
            <w:pPr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>В</w:t>
            </w:r>
            <w:r w:rsidRPr="00AF36FA">
              <w:rPr>
                <w:rFonts w:cstheme="minorHAnsi"/>
                <w:sz w:val="24"/>
                <w:szCs w:val="24"/>
              </w:rPr>
              <w:t>сяко помещение или сграда, в което се извършва добив, частична или цялостна преработка,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</w:rPr>
              <w:t>приготвяне, пакетиране, препакетиране, бутилиране, етикетиране и съхранение на храни,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</w:rPr>
              <w:t>предназначени за консумация от човека.</w:t>
            </w:r>
          </w:p>
        </w:tc>
      </w:tr>
      <w:tr w:rsidR="002B6BA8" w:rsidRPr="00AF36FA" w14:paraId="50FDE7B8" w14:textId="77777777" w:rsidTr="002B6BA8">
        <w:tc>
          <w:tcPr>
            <w:tcW w:w="2248" w:type="dxa"/>
            <w:shd w:val="clear" w:color="auto" w:fill="E6E6E6"/>
          </w:tcPr>
          <w:p w14:paraId="18D6B55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Оперативни разходи</w:t>
            </w:r>
          </w:p>
        </w:tc>
        <w:tc>
          <w:tcPr>
            <w:tcW w:w="6932" w:type="dxa"/>
            <w:shd w:val="clear" w:color="auto" w:fill="F3F3F3"/>
          </w:tcPr>
          <w:p w14:paraId="7FF76580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2B6BA8" w:rsidRPr="00AF36FA" w14:paraId="055CF72B" w14:textId="77777777" w:rsidTr="002B6BA8">
        <w:tc>
          <w:tcPr>
            <w:tcW w:w="2248" w:type="dxa"/>
            <w:shd w:val="clear" w:color="auto" w:fill="E6E6E6"/>
          </w:tcPr>
          <w:p w14:paraId="37AF606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Обект за производство на продукти, получени от странични животински продукти </w:t>
            </w: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(СЖП)</w:t>
            </w:r>
          </w:p>
        </w:tc>
        <w:tc>
          <w:tcPr>
            <w:tcW w:w="6932" w:type="dxa"/>
            <w:shd w:val="clear" w:color="auto" w:fill="F3F3F3"/>
          </w:tcPr>
          <w:p w14:paraId="60EC018A" w14:textId="72A0B425" w:rsidR="002B6BA8" w:rsidRPr="00AF36FA" w:rsidRDefault="002B6BA8" w:rsidP="002B6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Всяко предприятие за преработване на продукти от животински произход (в т.ч. и водни животни), които не са предназначени </w:t>
            </w:r>
          </w:p>
          <w:p w14:paraId="5903E45F" w14:textId="1A2BE861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или са негодни за консумация от хора</w:t>
            </w: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1C3BB209" w14:textId="77777777" w:rsidTr="002B6BA8">
        <w:tc>
          <w:tcPr>
            <w:tcW w:w="2248" w:type="dxa"/>
            <w:shd w:val="clear" w:color="auto" w:fill="E6E6E6"/>
          </w:tcPr>
          <w:p w14:paraId="5A82DA40" w14:textId="77777777" w:rsidR="002B6BA8" w:rsidRPr="00B3296D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Официален каталог</w:t>
            </w:r>
          </w:p>
        </w:tc>
        <w:tc>
          <w:tcPr>
            <w:tcW w:w="6932" w:type="dxa"/>
            <w:shd w:val="clear" w:color="auto" w:fill="F3F3F3"/>
          </w:tcPr>
          <w:p w14:paraId="68FBBAD7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П</w:t>
            </w:r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родуктов каталог издаден от производител, официален представител на производителя или от официален вносител, който е публичен и общо приложим към всички партньори/клиенти, т.е. не е създаден за целите на конкретната подадена оферта</w:t>
            </w:r>
          </w:p>
        </w:tc>
      </w:tr>
      <w:tr w:rsidR="002B6BA8" w:rsidRPr="00AF36FA" w14:paraId="5FED6572" w14:textId="77777777" w:rsidTr="002B6BA8">
        <w:tc>
          <w:tcPr>
            <w:tcW w:w="2248" w:type="dxa"/>
            <w:shd w:val="clear" w:color="auto" w:fill="E6E6E6"/>
          </w:tcPr>
          <w:p w14:paraId="3929B44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14:paraId="0FF5B35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и на Съюза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които да бъдат постигнати с помощта от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ЕФМДР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4AD1C7EA" w14:textId="77777777" w:rsidTr="002B6BA8">
        <w:tc>
          <w:tcPr>
            <w:tcW w:w="2248" w:type="dxa"/>
            <w:shd w:val="clear" w:color="auto" w:fill="E6E6E6"/>
          </w:tcPr>
          <w:p w14:paraId="3159AEA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Приоритет на Съюза</w:t>
            </w:r>
          </w:p>
        </w:tc>
        <w:tc>
          <w:tcPr>
            <w:tcW w:w="6932" w:type="dxa"/>
            <w:shd w:val="clear" w:color="auto" w:fill="F3F3F3"/>
          </w:tcPr>
          <w:p w14:paraId="588D967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на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2B6BA8" w:rsidRPr="00AF36FA" w14:paraId="18E53B4B" w14:textId="77777777" w:rsidTr="002B6BA8">
        <w:tc>
          <w:tcPr>
            <w:tcW w:w="2248" w:type="dxa"/>
            <w:shd w:val="clear" w:color="auto" w:fill="E6E6E6"/>
          </w:tcPr>
          <w:p w14:paraId="6CEF4BC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14:paraId="333BD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2B6BA8" w:rsidRPr="00AF36FA" w14:paraId="75310EB0" w14:textId="77777777" w:rsidTr="002B6BA8">
        <w:tc>
          <w:tcPr>
            <w:tcW w:w="2248" w:type="dxa"/>
            <w:shd w:val="clear" w:color="auto" w:fill="E6E6E6"/>
          </w:tcPr>
          <w:p w14:paraId="2D207C1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14:paraId="52467CD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2B6BA8" w:rsidRPr="00AF36FA" w14:paraId="22C65CC3" w14:textId="77777777" w:rsidTr="002B6BA8">
        <w:tc>
          <w:tcPr>
            <w:tcW w:w="2248" w:type="dxa"/>
            <w:shd w:val="clear" w:color="auto" w:fill="E6E6E6"/>
          </w:tcPr>
          <w:p w14:paraId="760D5F0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Прилежаща инфраструктура</w:t>
            </w:r>
          </w:p>
        </w:tc>
        <w:tc>
          <w:tcPr>
            <w:tcW w:w="6932" w:type="dxa"/>
            <w:shd w:val="clear" w:color="auto" w:fill="F3F3F3"/>
          </w:tcPr>
          <w:p w14:paraId="7A04BCA7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lastRenderedPageBreak/>
              <w:t>захранващи и отвеждащи инсталации - електричество, вода, гориво и районно осветление.</w:t>
            </w:r>
          </w:p>
        </w:tc>
      </w:tr>
      <w:tr w:rsidR="002B6BA8" w:rsidRPr="00AF36FA" w14:paraId="646F509D" w14:textId="77777777" w:rsidTr="002B6BA8">
        <w:tc>
          <w:tcPr>
            <w:tcW w:w="2248" w:type="dxa"/>
            <w:shd w:val="clear" w:color="auto" w:fill="E6E6E6"/>
          </w:tcPr>
          <w:p w14:paraId="2EE175B0" w14:textId="77777777" w:rsidR="002B6BA8" w:rsidRPr="00020536" w:rsidRDefault="002B6BA8" w:rsidP="00CF4A2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02053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Преработка на риба и други водни </w:t>
            </w:r>
          </w:p>
          <w:p w14:paraId="1A6CBA6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020536">
              <w:rPr>
                <w:rFonts w:eastAsia="Times New Roman" w:cstheme="minorHAnsi"/>
                <w:b/>
                <w:sz w:val="24"/>
                <w:szCs w:val="24"/>
              </w:rPr>
              <w:t>организми</w:t>
            </w:r>
          </w:p>
        </w:tc>
        <w:tc>
          <w:tcPr>
            <w:tcW w:w="6932" w:type="dxa"/>
            <w:shd w:val="clear" w:color="auto" w:fill="F3F3F3"/>
          </w:tcPr>
          <w:p w14:paraId="3C74B5CD" w14:textId="3E5D24E0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t>Х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>имическо или физическо преработване, като топлинна обработка, опушване, осоляване, дехидратация или мариноване на пресни, охладени или замразени продукти, комбинирани или не с други хранителни продукти, или комбинация с други процеси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39A514DD" w14:textId="77777777" w:rsidTr="002B6BA8">
        <w:tc>
          <w:tcPr>
            <w:tcW w:w="2248" w:type="dxa"/>
            <w:shd w:val="clear" w:color="auto" w:fill="E6E6E6"/>
          </w:tcPr>
          <w:p w14:paraId="1D747A6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Пускане на пазара</w:t>
            </w:r>
          </w:p>
        </w:tc>
        <w:tc>
          <w:tcPr>
            <w:tcW w:w="6932" w:type="dxa"/>
            <w:shd w:val="clear" w:color="auto" w:fill="F3F3F3"/>
          </w:tcPr>
          <w:p w14:paraId="188822A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Пускане на пазара означава притежаването на Пускане на пазара означава притежаването на преработени продукти от риболов и аквакултура с цел продажба, в това число предлагането за продажба или всяка друга форма на прехвърляне, безплатно или срещу заплащане, продажбата, разпространението и други форми на прехвърляне</w:t>
            </w:r>
            <w:r w:rsidRPr="00AF36F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B6BA8" w:rsidRPr="00AF36FA" w14:paraId="28082580" w14:textId="77777777" w:rsidTr="002B6BA8">
        <w:tc>
          <w:tcPr>
            <w:tcW w:w="2248" w:type="dxa"/>
            <w:shd w:val="clear" w:color="auto" w:fill="E6E6E6"/>
          </w:tcPr>
          <w:p w14:paraId="0D1E39B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14:paraId="5B996D6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2778C1A0" w14:textId="77777777" w:rsidTr="002B6BA8">
        <w:tc>
          <w:tcPr>
            <w:tcW w:w="2248" w:type="dxa"/>
            <w:shd w:val="clear" w:color="auto" w:fill="E6E6E6"/>
          </w:tcPr>
          <w:p w14:paraId="5B9361BC" w14:textId="77777777" w:rsidR="002B6BA8" w:rsidRPr="00AF36FA" w:rsidDel="00152AAB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Ресурсна ефективност</w:t>
            </w:r>
          </w:p>
        </w:tc>
        <w:tc>
          <w:tcPr>
            <w:tcW w:w="6932" w:type="dxa"/>
            <w:shd w:val="clear" w:color="auto" w:fill="F3F3F3"/>
          </w:tcPr>
          <w:p w14:paraId="40195904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Използване на изчерпаемите природни ресурси по устойчив начин, намалявайки въздействието върху околната среда. </w:t>
            </w:r>
          </w:p>
        </w:tc>
      </w:tr>
      <w:tr w:rsidR="002B6BA8" w:rsidRPr="00AF36FA" w14:paraId="6C4CDB04" w14:textId="77777777" w:rsidTr="002B6BA8">
        <w:tc>
          <w:tcPr>
            <w:tcW w:w="2248" w:type="dxa"/>
            <w:shd w:val="clear" w:color="auto" w:fill="E6E6E6"/>
          </w:tcPr>
          <w:p w14:paraId="5EA8E2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14:paraId="10035E7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Сектор е набор от дейности, насочени към изпълнение на дадена мярка</w:t>
            </w:r>
          </w:p>
        </w:tc>
      </w:tr>
      <w:tr w:rsidR="002B6BA8" w:rsidRPr="00AF36FA" w14:paraId="32217991" w14:textId="77777777" w:rsidTr="002B6BA8">
        <w:tc>
          <w:tcPr>
            <w:tcW w:w="2248" w:type="dxa"/>
            <w:shd w:val="clear" w:color="auto" w:fill="E6E6E6"/>
          </w:tcPr>
          <w:p w14:paraId="5B7B21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14:paraId="1DB133EB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2B6BA8" w:rsidRPr="00AF36FA" w14:paraId="475541B9" w14:textId="77777777" w:rsidTr="002B6BA8">
        <w:tc>
          <w:tcPr>
            <w:tcW w:w="2248" w:type="dxa"/>
            <w:shd w:val="clear" w:color="auto" w:fill="E6E6E6"/>
          </w:tcPr>
          <w:p w14:paraId="4941762F" w14:textId="77777777" w:rsidR="002B6BA8" w:rsidRPr="00790AFC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Стратегия за 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6F5FBFFD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790AFC">
              <w:rPr>
                <w:rFonts w:cstheme="minorHAnsi"/>
                <w:snapToGrid w:val="0"/>
                <w:sz w:val="24"/>
                <w:szCs w:val="24"/>
              </w:rPr>
              <w:t>Поредица от тясно свързани дейности за задоволяване на местни цели и потребности, съдържаща най-малко елементите, посочени в чл. 33, параграф 1 от Регламент № 1303/2013 г.</w:t>
            </w:r>
          </w:p>
        </w:tc>
      </w:tr>
      <w:tr w:rsidR="002B6BA8" w:rsidRPr="00AF36FA" w14:paraId="403AB566" w14:textId="77777777" w:rsidTr="002B6BA8">
        <w:tc>
          <w:tcPr>
            <w:tcW w:w="2248" w:type="dxa"/>
            <w:shd w:val="clear" w:color="auto" w:fill="E6E6E6"/>
          </w:tcPr>
          <w:p w14:paraId="2CC736F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14:paraId="7193822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>Оферти, които се сравняват на базата на:</w:t>
            </w:r>
          </w:p>
          <w:p w14:paraId="42F4303D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а) еднотипни основни технически характеристики; </w:t>
            </w:r>
          </w:p>
          <w:p w14:paraId="2CEB5E9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б) общ капацитет на оборудването; </w:t>
            </w:r>
          </w:p>
          <w:p w14:paraId="5C97A250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>в) количествено-стойностни сметки.</w:t>
            </w:r>
          </w:p>
        </w:tc>
      </w:tr>
      <w:tr w:rsidR="002B6BA8" w:rsidRPr="00AF36FA" w14:paraId="458A407C" w14:textId="77777777" w:rsidTr="002B6BA8">
        <w:trPr>
          <w:trHeight w:val="730"/>
        </w:trPr>
        <w:tc>
          <w:tcPr>
            <w:tcW w:w="2248" w:type="dxa"/>
            <w:shd w:val="clear" w:color="auto" w:fill="E6E6E6"/>
          </w:tcPr>
          <w:p w14:paraId="274DD7D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Страничен животински продукт</w:t>
            </w:r>
          </w:p>
        </w:tc>
        <w:tc>
          <w:tcPr>
            <w:tcW w:w="6932" w:type="dxa"/>
            <w:shd w:val="clear" w:color="auto" w:fill="F3F3F3"/>
          </w:tcPr>
          <w:p w14:paraId="762A0838" w14:textId="02411188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 xml:space="preserve">родукт, получен при преработка на продукти от животински произход в преработвателно предприятие, които не са 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>редназначени за консумация от хора.</w:t>
            </w:r>
          </w:p>
        </w:tc>
      </w:tr>
      <w:tr w:rsidR="002B6BA8" w:rsidRPr="00AF36FA" w14:paraId="2EA07D79" w14:textId="77777777" w:rsidTr="002B6BA8">
        <w:tc>
          <w:tcPr>
            <w:tcW w:w="2248" w:type="dxa"/>
            <w:shd w:val="clear" w:color="auto" w:fill="E6E6E6"/>
          </w:tcPr>
          <w:p w14:paraId="63D89D8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Традиционна аквакултура</w:t>
            </w:r>
          </w:p>
        </w:tc>
        <w:tc>
          <w:tcPr>
            <w:tcW w:w="6932" w:type="dxa"/>
            <w:shd w:val="clear" w:color="auto" w:fill="F3F3F3"/>
          </w:tcPr>
          <w:p w14:paraId="081F2A25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Обичайни практики, които са свързани с екстензивно или полуинтензивно отглеждане на шаранови и пъстървови видове в естествени или изкуствени водоеми.</w:t>
            </w:r>
          </w:p>
        </w:tc>
      </w:tr>
    </w:tbl>
    <w:p w14:paraId="5DFA4EFE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ru-RU"/>
        </w:rPr>
      </w:pPr>
    </w:p>
    <w:p w14:paraId="66B53D6A" w14:textId="77777777" w:rsidR="002B6BA8" w:rsidRPr="00AF36FA" w:rsidRDefault="002B6BA8" w:rsidP="002B6BA8">
      <w:pPr>
        <w:rPr>
          <w:rFonts w:cstheme="minorHAnsi"/>
          <w:sz w:val="24"/>
          <w:szCs w:val="24"/>
        </w:rPr>
      </w:pPr>
    </w:p>
    <w:p w14:paraId="6BE9E180" w14:textId="77777777" w:rsidR="00B01127" w:rsidRDefault="00B01127"/>
    <w:sectPr w:rsidR="00B01127" w:rsidSect="00FB44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E2530" w14:textId="77777777" w:rsidR="00810447" w:rsidRDefault="00810447" w:rsidP="002B6BA8">
      <w:pPr>
        <w:spacing w:after="0" w:line="240" w:lineRule="auto"/>
      </w:pPr>
      <w:r>
        <w:separator/>
      </w:r>
    </w:p>
  </w:endnote>
  <w:endnote w:type="continuationSeparator" w:id="0">
    <w:p w14:paraId="78AC6799" w14:textId="77777777" w:rsidR="00810447" w:rsidRDefault="00810447" w:rsidP="002B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5BF66" w14:textId="77777777" w:rsidR="005207CF" w:rsidRDefault="00F8083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46CC65D3" w14:textId="77777777" w:rsidR="005207CF" w:rsidRDefault="00810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60C04" w14:textId="77777777" w:rsidR="00810447" w:rsidRDefault="00810447" w:rsidP="002B6BA8">
      <w:pPr>
        <w:spacing w:after="0" w:line="240" w:lineRule="auto"/>
      </w:pPr>
      <w:r>
        <w:separator/>
      </w:r>
    </w:p>
  </w:footnote>
  <w:footnote w:type="continuationSeparator" w:id="0">
    <w:p w14:paraId="3BCFE8C6" w14:textId="77777777" w:rsidR="00810447" w:rsidRDefault="00810447" w:rsidP="002B6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F7352" w14:textId="334E2C53" w:rsidR="000732EA" w:rsidRDefault="00BE45D3">
    <w:pPr>
      <w:pStyle w:val="Header"/>
    </w:pPr>
    <w:r w:rsidRPr="00BE45D3">
      <w:drawing>
        <wp:inline distT="0" distB="0" distL="0" distR="0" wp14:anchorId="01229DCC" wp14:editId="532F750A">
          <wp:extent cx="5760720" cy="127381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3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BA8"/>
    <w:rsid w:val="002B6BA8"/>
    <w:rsid w:val="007667FD"/>
    <w:rsid w:val="00810447"/>
    <w:rsid w:val="00AB4245"/>
    <w:rsid w:val="00B01127"/>
    <w:rsid w:val="00BE45D3"/>
    <w:rsid w:val="00C22DDF"/>
    <w:rsid w:val="00F8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72601"/>
  <w15:chartTrackingRefBased/>
  <w15:docId w15:val="{69979C97-8D99-4A0C-B519-28D50E3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BA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BA8"/>
  </w:style>
  <w:style w:type="paragraph" w:styleId="Footer">
    <w:name w:val="footer"/>
    <w:basedOn w:val="Normal"/>
    <w:link w:val="FooterChar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BA8"/>
  </w:style>
  <w:style w:type="paragraph" w:styleId="NormalWeb">
    <w:name w:val="Normal (Web)"/>
    <w:basedOn w:val="Normal"/>
    <w:uiPriority w:val="99"/>
    <w:semiHidden/>
    <w:unhideWhenUsed/>
    <w:rsid w:val="002B6BA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Kremena Chilikova</cp:lastModifiedBy>
  <cp:revision>3</cp:revision>
  <dcterms:created xsi:type="dcterms:W3CDTF">2019-01-10T12:45:00Z</dcterms:created>
  <dcterms:modified xsi:type="dcterms:W3CDTF">2019-04-12T10:32:00Z</dcterms:modified>
</cp:coreProperties>
</file>