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89" w:rsidRPr="00497289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lang w:val="bg-BG"/>
        </w:rPr>
        <w:t xml:space="preserve">Приложение № </w:t>
      </w:r>
      <w:r w:rsidR="00AA1197">
        <w:rPr>
          <w:rFonts w:ascii="Calibri" w:eastAsia="Calibri" w:hAnsi="Calibri" w:cs="Calibri"/>
          <w:b/>
          <w:bCs/>
          <w:lang w:val="bg-BG"/>
        </w:rPr>
        <w:t>4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ИЗПОЛЗВАНИ СЪКРАЩЕНИЯ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sz w:val="24"/>
          <w:szCs w:val="24"/>
          <w:lang w:val="bg-BG"/>
        </w:rPr>
      </w:pPr>
    </w:p>
    <w:tbl>
      <w:tblPr>
        <w:tblW w:w="511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7368"/>
      </w:tblGrid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Възобновяеми енергийни източници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497289" w:rsidRPr="00497289" w:rsidTr="008220F6">
        <w:trPr>
          <w:trHeight w:val="472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ДНА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нематериални активи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ED1BAC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Данъчно-осигурител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e</w:t>
            </w:r>
            <w:r w:rsidR="00ED1BA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  <w:bookmarkStart w:id="0" w:name="_GoBack"/>
            <w:bookmarkEnd w:id="0"/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ЕСИФ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структурни и инвестиционни фондове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 и рибарство</w:t>
            </w:r>
          </w:p>
        </w:tc>
      </w:tr>
      <w:tr w:rsidR="00497289" w:rsidRPr="00497289" w:rsidTr="008220F6">
        <w:trPr>
          <w:trHeight w:val="425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E63C42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E63C42" w:rsidRPr="00E63C42" w:rsidRDefault="00E63C4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ЗРА</w:t>
            </w:r>
          </w:p>
        </w:tc>
        <w:tc>
          <w:tcPr>
            <w:tcW w:w="3876" w:type="pct"/>
            <w:shd w:val="clear" w:color="auto" w:fill="F3F3F3"/>
          </w:tcPr>
          <w:p w:rsidR="00E63C42" w:rsidRPr="00497289" w:rsidRDefault="00E63C4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Закон</w:t>
            </w:r>
            <w:proofErr w:type="spellEnd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рибарството</w:t>
            </w:r>
            <w:proofErr w:type="spellEnd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аквакултурите</w:t>
            </w:r>
            <w:proofErr w:type="spellEnd"/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97289" w:rsidTr="008220F6">
        <w:trPr>
          <w:trHeight w:val="550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ЗУСЕСИФ</w:t>
            </w:r>
          </w:p>
        </w:tc>
        <w:tc>
          <w:tcPr>
            <w:tcW w:w="3876" w:type="pct"/>
            <w:shd w:val="clear" w:color="auto" w:fill="F3F3F3"/>
          </w:tcPr>
          <w:p w:rsidR="008220F6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Закон за управление на средствата от европейските </w:t>
            </w:r>
          </w:p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структурни и инвестиционни фондове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497289" w:rsidRPr="00497289" w:rsidTr="008220F6">
        <w:trPr>
          <w:trHeight w:val="37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Междинни звена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Del="00215B67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МЗХ</w:t>
            </w:r>
            <w:r w:rsidR="00CD61F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Г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215B67" w:rsidRDefault="00CD61F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Министерство на земеделието, </w:t>
            </w:r>
            <w:r w:rsidR="00497289"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храните</w:t>
            </w: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и горите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Малки и средни предприятия</w:t>
            </w:r>
          </w:p>
        </w:tc>
      </w:tr>
      <w:tr w:rsidR="00497289" w:rsidRPr="00497289" w:rsidTr="008220F6">
        <w:trPr>
          <w:trHeight w:val="48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snapToGrid w:val="0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аквакултурите в Република България 2014-2020 г.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НСИ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97289" w:rsidTr="008220F6">
        <w:trPr>
          <w:trHeight w:val="62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Строително-монтажни работи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Сертифициращ орган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97289" w:rsidTr="008220F6">
        <w:trPr>
          <w:trHeight w:val="425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ОСНОВНИ ДЕФИНИЦИИ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63313A" w:rsidTr="00BE61CD">
        <w:tc>
          <w:tcPr>
            <w:tcW w:w="2248" w:type="dxa"/>
            <w:shd w:val="clear" w:color="auto" w:fill="E6E6E6"/>
          </w:tcPr>
          <w:p w:rsidR="00FD120F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договор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  <w:p w:rsidR="002869B2" w:rsidRPr="00FD120F" w:rsidRDefault="00FD120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/АДБФП/</w:t>
            </w:r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изрично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волеизявление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ръководителя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предоставяне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подкрепа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със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средства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ЕСИФ,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силата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със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съгласието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създават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задължения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одобрения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Административният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оформя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писмено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споразумение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между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ръководителя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заместващо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издаването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EA5FAA" w:rsidRPr="0063313A" w:rsidTr="00BE61CD">
        <w:tc>
          <w:tcPr>
            <w:tcW w:w="2248" w:type="dxa"/>
            <w:shd w:val="clear" w:color="auto" w:fill="E6E6E6"/>
          </w:tcPr>
          <w:p w:rsidR="00EA5FAA" w:rsidRPr="00EA5FAA" w:rsidRDefault="00EA5FAA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Административен капацитет</w:t>
            </w:r>
          </w:p>
        </w:tc>
        <w:tc>
          <w:tcPr>
            <w:tcW w:w="6932" w:type="dxa"/>
            <w:shd w:val="clear" w:color="auto" w:fill="F3F3F3"/>
          </w:tcPr>
          <w:p w:rsidR="00EA5FAA" w:rsidRPr="0063313A" w:rsidRDefault="00EA5FAA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EA5FAA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Екипът за управление и изпълнение на проекта следва да бъде съобразен със спецификата и обема на заложените дейности</w:t>
            </w:r>
            <w:r>
              <w:rPr>
                <w:rFonts w:ascii="Calibri" w:eastAsia="Calibri" w:hAnsi="Calibri" w:cs="Calibri"/>
                <w:sz w:val="24"/>
                <w:szCs w:val="24"/>
                <w:lang w:val="bg-BG"/>
              </w:rPr>
              <w:t>.</w:t>
            </w:r>
          </w:p>
        </w:tc>
      </w:tr>
      <w:tr w:rsidR="002869B2" w:rsidRPr="0063313A" w:rsidTr="00BE61CD">
        <w:tc>
          <w:tcPr>
            <w:tcW w:w="2248" w:type="dxa"/>
            <w:shd w:val="clear" w:color="auto" w:fill="E6E6E6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Авансово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Плащане след одобрение на проекта и преди извършване на инвестиционните разходи</w:t>
            </w:r>
            <w:r w:rsidR="00FD120F">
              <w:rPr>
                <w:snapToGrid w:val="0"/>
                <w:sz w:val="24"/>
                <w:szCs w:val="24"/>
                <w:lang w:val="ru-RU"/>
              </w:rPr>
              <w:t xml:space="preserve"> при условията описани в Общите условия и Условията за изпълнение към </w:t>
            </w:r>
            <w:r w:rsidR="00FD120F" w:rsidRPr="00FD120F">
              <w:rPr>
                <w:snapToGrid w:val="0"/>
                <w:sz w:val="24"/>
                <w:szCs w:val="24"/>
                <w:lang w:val="ru-RU"/>
              </w:rPr>
              <w:t>/АДБФП/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Средства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предоставени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ПМДР,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национално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съфинансиране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цел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одобрен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насочен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към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постигане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резултати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64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Бенефициент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Лицата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посочени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2,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10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(ЕО) № 1303/2013 -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публична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частна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организация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и —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само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целите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ЕЗФРСР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ЕФМДР —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отговарят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операции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рамките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схемите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107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функционирането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Европейския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предишен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87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създаване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ЕО), 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публични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частни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изпълняват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отделен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получават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публична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Дата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работата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първото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следните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събития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: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строителните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работи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поемане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първия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правнообвързващ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ангажимент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поръчка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оборудване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всеки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ангажимент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който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lastRenderedPageBreak/>
              <w:t>необратима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Купуването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земя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подготвителните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дейности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получаването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разрешителни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провеждането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проучвания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осъществимостта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считат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работите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поглъщания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работите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проекта</w:t>
            </w:r>
            <w:proofErr w:type="spellEnd"/>
            <w:proofErr w:type="gramStart"/>
            <w:r w:rsidRPr="0063313A">
              <w:rPr>
                <w:snapToGrid w:val="0"/>
                <w:sz w:val="24"/>
                <w:szCs w:val="24"/>
              </w:rPr>
              <w:t xml:space="preserve">“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момента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придобиване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активите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пряко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придобития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стопански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89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Дейност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Задача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задачи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действия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),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водят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постигане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)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конкретен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резултат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резултат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/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продукт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)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чрез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реализира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Допустими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финансиране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разходи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Допустими за финансиране разходи е общата сума от всички плащания за одобрените на бенефициента инвестиции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Изпълнител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определен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страна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Изпълнители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дейности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възложени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Изпълнителите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страна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партньори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определяне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изпълнител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страна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договорена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ЕСИФ,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както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Закона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обществените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поръчки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подзаконовите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актове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указанията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УО,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заложени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Ръководството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ПМДР 2014-2020.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Икономически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оператор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Всяко физическо или юридическо лице, както и другите органи, участващи в реализирането на помощта от ЕФ</w:t>
            </w:r>
            <w:r w:rsidRPr="0063313A">
              <w:rPr>
                <w:snapToGrid w:val="0"/>
                <w:sz w:val="24"/>
                <w:szCs w:val="24"/>
              </w:rPr>
              <w:t>МД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Р, с изключение на държавата при изпълнение на нейните правомощия на публична власт.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Кандидати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Всички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юридически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техни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обединения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кандидатстват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чрез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подаване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предложение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55587">
        <w:trPr>
          <w:trHeight w:val="667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Мярка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Мярка е набор от операции</w:t>
            </w:r>
            <w:r w:rsidR="00B55587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Материални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активи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смисъла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2,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29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(ЕО) № 651/2014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материални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активи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активи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състоящи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земя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сгради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съоръжения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машини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оборудване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59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Място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изпълнение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проекта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Мястото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осъществяване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Междинно</w:t>
            </w:r>
            <w:proofErr w:type="spellEnd"/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497289">
            <w:pPr>
              <w:spacing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Плащане за обособена част от одобрената и извършена инвестиция.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Нематериални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активи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lastRenderedPageBreak/>
              <w:t>Активи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нямат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израз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lastRenderedPageBreak/>
              <w:t>патенти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лицензи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ноу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-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хау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интелектуална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собственост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Нередност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Съгласно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чл.2,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36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(ЕО) № 1303/2013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нередност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Всяко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нарушение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националното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тази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разпоредба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произтичащо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бездействие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икономически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оператор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участващ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европейските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структурни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инвестиционни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фондове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имало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последица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нанасянето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бюджета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чрез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начисляване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неправомерен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разход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бюджета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.”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151B3C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151B3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Непреодолима сила (форсмажор)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151B3C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151B3C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Обстоятелство (събитие) от извънреден характер, което е възникнало след сключване на договора, не е могло да бъде предвидено или предотвратено и не зависи от волята на страните, като: пожар, производствени аварии, военни действия, природни бедствия - бури, проливни дъждове, наводнения, градушки, земетресения, заледявания, суша, свличане на земни маси и др. природни стихии, ембарго, правителствени забрани, бунтове, безредици и др.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Оперативни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разходи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Административните разходи и разходите, свързани с поддръжка и експлоатация на активите.</w:t>
            </w:r>
          </w:p>
        </w:tc>
      </w:tr>
      <w:tr w:rsidR="00E6163F" w:rsidRPr="0063313A" w:rsidTr="00BE61CD">
        <w:tc>
          <w:tcPr>
            <w:tcW w:w="2248" w:type="dxa"/>
            <w:shd w:val="clear" w:color="auto" w:fill="E6E6E6"/>
          </w:tcPr>
          <w:p w:rsidR="00E6163F" w:rsidRPr="0063313A" w:rsidRDefault="00E6163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E6163F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Оперативен капацитет</w:t>
            </w:r>
          </w:p>
        </w:tc>
        <w:tc>
          <w:tcPr>
            <w:tcW w:w="6932" w:type="dxa"/>
            <w:shd w:val="clear" w:color="auto" w:fill="F3F3F3"/>
          </w:tcPr>
          <w:p w:rsidR="00E6163F" w:rsidRPr="0063313A" w:rsidRDefault="00E6163F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E6163F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Кандидатът следва да има опит в изпълнението на дейности, сходни на проектните и/или в управлението и изпълнението на проекти, финансирани от различни донори.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рограма е отделен документ, изготвен от държавата членка и одобрен от Комисията, съдържащ съгласуван пакет от приоритет</w:t>
            </w:r>
            <w:r w:rsidRPr="0063313A">
              <w:rPr>
                <w:snapToGrid w:val="0"/>
                <w:sz w:val="24"/>
                <w:szCs w:val="24"/>
              </w:rPr>
              <w:t xml:space="preserve">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които да бъдат постигнати с помощта от </w:t>
            </w:r>
            <w:r w:rsidRPr="0063313A">
              <w:rPr>
                <w:snapToGrid w:val="0"/>
                <w:sz w:val="24"/>
                <w:szCs w:val="24"/>
              </w:rPr>
              <w:t>ЕФМДР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Приоритет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Съюза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Приоритет</w:t>
            </w:r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един от приоритетите в дадена програма, съставен от група мерки, които са свързани и имат конкретни измерими цели.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Проектно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предложение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Предложение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подадено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кандидат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предоставяне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включващо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формуляр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кандидатстване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придружителни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документи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Прилежаща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инфраструктура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Прилежаща инфраструктура е техническата инфраструктура по смисъла на § 5, т. 31 от допълнителните разпоредби на Закона за устройство на територията, както и други сгради и съоръжения на територията им, свързани с обслужване на извършваните на тази територия дейности, включително - водопроводна и канализационна инсталация, транспортни съоръжения, захранващи и отвеждащи инсталации - електричество, вода, гориво и районно осветление.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натура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Предоставяне на земя или недвижим имот, оборудване или 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lastRenderedPageBreak/>
              <w:t>суровини, проучване или професионална работа или неплатен доброволен труд, за които не са правени плащания, подкрепени от фактура или друг еквивалентен на фактура платежен документ.</w:t>
            </w:r>
          </w:p>
        </w:tc>
      </w:tr>
      <w:tr w:rsidR="00A81135" w:rsidRPr="0063313A" w:rsidTr="00BE61CD">
        <w:trPr>
          <w:trHeight w:val="1858"/>
        </w:trPr>
        <w:tc>
          <w:tcPr>
            <w:tcW w:w="2248" w:type="dxa"/>
            <w:shd w:val="clear" w:color="auto" w:fill="E6E6E6"/>
          </w:tcPr>
          <w:p w:rsidR="00A81135" w:rsidRPr="0063313A" w:rsidRDefault="00A81135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A81135">
              <w:rPr>
                <w:rFonts w:ascii="Calibri" w:eastAsia="Calibri" w:hAnsi="Calibri" w:cs="Calibri"/>
                <w:b/>
                <w:sz w:val="24"/>
                <w:szCs w:val="24"/>
                <w:lang w:val="bg-BG"/>
              </w:rPr>
              <w:lastRenderedPageBreak/>
              <w:t>Публичноправна организация</w:t>
            </w:r>
          </w:p>
        </w:tc>
        <w:tc>
          <w:tcPr>
            <w:tcW w:w="6932" w:type="dxa"/>
            <w:shd w:val="clear" w:color="auto" w:fill="F3F3F3"/>
          </w:tcPr>
          <w:p w:rsidR="00A81135" w:rsidRPr="00A81135" w:rsidRDefault="00A81135" w:rsidP="00A81135">
            <w:pPr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По смисъла на § 2, т. 43 от Допълнителните разпоредби на Закона за обществените поръчки (Обн., ДВ, бр. 13 от 16.02.2016 г.), „Публичноправна организация“ е юридическо лице, за което са изпълнени следните условия:</w:t>
            </w:r>
          </w:p>
          <w:p w:rsidR="00A81135" w:rsidRPr="00A81135" w:rsidRDefault="00A81135" w:rsidP="00A81135">
            <w:pPr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а) създадено е с конкретната цел да задоволява нужди от общ интерес, които нямат промишлен или търговски характер;</w:t>
            </w:r>
          </w:p>
          <w:p w:rsidR="00A81135" w:rsidRPr="00A81135" w:rsidRDefault="00A81135" w:rsidP="00A81135">
            <w:pPr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б) финансирано е с повече от 50 на сто от държавни, териториални или местни органи или от други публичноправни организации, или е обект на управленски контрол от страна на тези органи; или има управителен или надзорен орган, повечето от половината от членовете на който са назначени от публичен възложител по чл. 5, ал. 2, т. 1 – 14.</w:t>
            </w:r>
          </w:p>
          <w:p w:rsidR="00A81135" w:rsidRPr="00A81135" w:rsidRDefault="00A81135" w:rsidP="00A81135">
            <w:pPr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Нуждите от общ интерес имат промишлен или търговски характер, когато лицето действа в нормални пазарни условия, стреми се да реализира печалба, като самостоятелно понася загубите от извършване на дейността си.</w:t>
            </w:r>
          </w:p>
          <w:p w:rsidR="00A81135" w:rsidRPr="0063313A" w:rsidRDefault="00A81135" w:rsidP="00A811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A81135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Лечебно заведение – търговско дружество, чийто капитал е поне две трети частна собственост, финансирано с повече от 50 на сто от държавни, регионални или местни органи или от други публичноправни организации; или е обект на управленски контрол от страна на тези органи; или има административен, управителен или надзорен орган, повечето от половината от членовете на който са назначени от държавните, регионалните или местните органи или от други публичноправни организации, и което има промишлен или търговски характер, макар да задоволява нужди от общ интерес, не е "публичноправна организация" по смисъла и за целите на Закона за обществените поръчки.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Ръководител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орган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Ръководителят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изпълняваща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функциите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програма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част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която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управляващият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програма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оправомощено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него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Del="00152AAB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Ресурсна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ефективност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Използване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изчерпаемите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природни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ресурси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устойчив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начин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намалявайки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въздействието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върху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околната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Del="009E4145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Репродуктивно-производствен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процес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Del="009E4145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Цикъл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развитие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аквакултурното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производство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който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производствените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процеси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313A">
              <w:rPr>
                <w:snapToGrid w:val="0"/>
                <w:sz w:val="24"/>
                <w:szCs w:val="24"/>
              </w:rPr>
              <w:t>включват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технологични</w:t>
            </w:r>
            <w:proofErr w:type="spellEnd"/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етапи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размножаване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отглеждане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зарибителен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lastRenderedPageBreak/>
              <w:t>материал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отглеждане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маточни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стада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етапи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предшестващи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окончателния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етап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отглеждане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продукцията до пазарни размери.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Сектор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Сектор е набор от дейности, насочени към изпълнение на дадена мярка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съгласно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r w:rsidR="002715B3" w:rsidRPr="002715B3">
              <w:rPr>
                <w:snapToGrid w:val="0"/>
                <w:sz w:val="24"/>
                <w:szCs w:val="24"/>
              </w:rPr>
              <w:t xml:space="preserve">§ 1, т. 13 и 14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от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допълнителните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разпоредби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на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Закона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за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публичното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предлагане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на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ценни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книжа</w:t>
            </w:r>
            <w:proofErr w:type="spellEnd"/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lang w:val="ru-RU"/>
        </w:rPr>
      </w:pPr>
    </w:p>
    <w:p w:rsidR="00FA004E" w:rsidRDefault="00FA004E"/>
    <w:sectPr w:rsidR="00FA004E" w:rsidSect="008220F6">
      <w:headerReference w:type="default" r:id="rId8"/>
      <w:footerReference w:type="default" r:id="rId9"/>
      <w:pgSz w:w="11906" w:h="16838"/>
      <w:pgMar w:top="1417" w:right="1417" w:bottom="13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913" w:rsidRDefault="00BF5913">
      <w:pPr>
        <w:spacing w:after="0" w:line="240" w:lineRule="auto"/>
      </w:pPr>
      <w:r>
        <w:separator/>
      </w:r>
    </w:p>
  </w:endnote>
  <w:endnote w:type="continuationSeparator" w:id="0">
    <w:p w:rsidR="00BF5913" w:rsidRDefault="00BF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CF" w:rsidRDefault="0015183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1197">
      <w:rPr>
        <w:noProof/>
      </w:rPr>
      <w:t>1</w:t>
    </w:r>
    <w:r>
      <w:rPr>
        <w:noProof/>
      </w:rPr>
      <w:fldChar w:fldCharType="end"/>
    </w:r>
  </w:p>
  <w:p w:rsidR="005207CF" w:rsidRDefault="00BF59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913" w:rsidRDefault="00BF5913">
      <w:pPr>
        <w:spacing w:after="0" w:line="240" w:lineRule="auto"/>
      </w:pPr>
      <w:r>
        <w:separator/>
      </w:r>
    </w:p>
  </w:footnote>
  <w:footnote w:type="continuationSeparator" w:id="0">
    <w:p w:rsidR="00BF5913" w:rsidRDefault="00BF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0732EA" w:rsidRPr="005C0D98">
      <w:trPr>
        <w:trHeight w:val="684"/>
      </w:trPr>
      <w:tc>
        <w:tcPr>
          <w:tcW w:w="3276" w:type="dxa"/>
        </w:tcPr>
        <w:p w:rsidR="000732EA" w:rsidRPr="00AF1339" w:rsidRDefault="00BF5913" w:rsidP="00F96072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</w:p>
      </w:tc>
      <w:tc>
        <w:tcPr>
          <w:tcW w:w="2886" w:type="dxa"/>
        </w:tcPr>
        <w:p w:rsidR="000732EA" w:rsidRPr="00AF1339" w:rsidRDefault="00497289" w:rsidP="00072438">
          <w:pPr>
            <w:spacing w:after="160" w:line="259" w:lineRule="auto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70D47D38" wp14:editId="22D4CF1F">
                    <wp:simplePos x="0" y="0"/>
                    <wp:positionH relativeFrom="column">
                      <wp:posOffset>-2715895</wp:posOffset>
                    </wp:positionH>
                    <wp:positionV relativeFrom="paragraph">
                      <wp:posOffset>-125730</wp:posOffset>
                    </wp:positionV>
                    <wp:extent cx="6848475" cy="1076325"/>
                    <wp:effectExtent l="0" t="0" r="1270" b="1905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48475" cy="1076325"/>
                              <a:chOff x="0" y="0"/>
                              <a:chExt cx="68484" cy="10763"/>
                            </a:xfrm>
                          </wpg:grpSpPr>
                          <wps:wsp>
                            <wps:cNvPr id="2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" cy="106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32EA" w:rsidRDefault="00497289" w:rsidP="00F96072">
                                  <w:pPr>
                                    <w:pStyle w:val="Header"/>
                                    <w:spacing w:after="30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</w:rPr>
                                    <w:drawing>
                                      <wp:inline distT="0" distB="0" distL="0" distR="0" wp14:anchorId="0083DE7D" wp14:editId="5DFB20B9">
                                        <wp:extent cx="1017905" cy="681355"/>
                                        <wp:effectExtent l="0" t="0" r="0" b="4445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7905" cy="6813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732EA" w:rsidRPr="005C0D98" w:rsidRDefault="0015183A" w:rsidP="00F96072">
                                  <w:pPr>
                                    <w:pStyle w:val="NormalWeb"/>
                                    <w:spacing w:after="0"/>
                                    <w:suppressOverlap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 w:rsidRPr="005C0D98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ЕВРОПЕЙСКИ ФОНД ЗА МОРСКО ДЕЛО И РИБАРСТВО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290" t="14172" r="17583" b="110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6291" y="762"/>
                                <a:ext cx="22193" cy="895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4" name="Group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431" y="381"/>
                                <a:ext cx="23241" cy="10382"/>
                                <a:chOff x="0" y="0"/>
                                <a:chExt cx="23241" cy="103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53" y="0"/>
                                  <a:ext cx="13811" cy="638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Text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67"/>
                                  <a:ext cx="23241" cy="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МИНИСТЕРСТВО НА ЗЕМЕДЕЛИЕТО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,</w:t>
                                    </w:r>
                                  </w:p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ХРАНИТЕ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И ГОРИТЕ</w:t>
                                    </w:r>
                                  </w:p>
                                  <w:p w:rsidR="000732EA" w:rsidRDefault="00BF5913" w:rsidP="00F9607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left:0;text-align:left;margin-left:-213.85pt;margin-top:-9.9pt;width:539.25pt;height:84.7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  <v:textbox>
                        <w:txbxContent>
                          <w:p w:rsidR="000732EA" w:rsidRDefault="00497289" w:rsidP="00F96072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1017905" cy="681355"/>
                                  <wp:effectExtent l="0" t="0" r="0" b="444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905" cy="681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732EA" w:rsidRPr="005C0D98" w:rsidRDefault="0015183A" w:rsidP="00F96072">
                            <w:pPr>
                              <w:pStyle w:val="NormalWeb"/>
                              <w:spacing w:after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    <v:imagedata r:id="rId5" o:title="" croptop="9288f" cropbottom="7225f" cropleft="4122f" cropright="11523f"/>
                      <v:path arrowok="t"/>
                    </v:shape>
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    <v:imagedata r:id="rId6" o:title=""/>
                        <v:path arrowok="t"/>
                      </v:shape>
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    <v:textbox>
                          <w:txbxContent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0732EA" w:rsidRDefault="0015183A" w:rsidP="00F96072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  <w:p w:rsidR="000732EA" w:rsidRPr="00AF1339" w:rsidRDefault="00BF5913" w:rsidP="00072438">
          <w:pPr>
            <w:spacing w:after="160" w:line="259" w:lineRule="auto"/>
            <w:jc w:val="center"/>
          </w:pPr>
        </w:p>
        <w:p w:rsidR="000732EA" w:rsidRPr="00AF1339" w:rsidRDefault="00BF5913" w:rsidP="00072438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0732EA" w:rsidRPr="00AF1339" w:rsidRDefault="00BF5913" w:rsidP="00072438">
          <w:pPr>
            <w:spacing w:after="160" w:line="259" w:lineRule="auto"/>
            <w:jc w:val="center"/>
          </w:pPr>
        </w:p>
      </w:tc>
    </w:tr>
  </w:tbl>
  <w:p w:rsidR="000732EA" w:rsidRDefault="00BF59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D0"/>
    <w:rsid w:val="0001186B"/>
    <w:rsid w:val="00021274"/>
    <w:rsid w:val="00022E16"/>
    <w:rsid w:val="0003296A"/>
    <w:rsid w:val="00086587"/>
    <w:rsid w:val="00087118"/>
    <w:rsid w:val="00090020"/>
    <w:rsid w:val="000A6976"/>
    <w:rsid w:val="000E46EA"/>
    <w:rsid w:val="000E5D10"/>
    <w:rsid w:val="0013230F"/>
    <w:rsid w:val="0015183A"/>
    <w:rsid w:val="00151B3C"/>
    <w:rsid w:val="001B09E6"/>
    <w:rsid w:val="00220E02"/>
    <w:rsid w:val="002715B3"/>
    <w:rsid w:val="002869B2"/>
    <w:rsid w:val="0029001F"/>
    <w:rsid w:val="002D0E62"/>
    <w:rsid w:val="0031323A"/>
    <w:rsid w:val="00324013"/>
    <w:rsid w:val="00344238"/>
    <w:rsid w:val="00353E9E"/>
    <w:rsid w:val="00395F2B"/>
    <w:rsid w:val="003A11C4"/>
    <w:rsid w:val="003C4AEC"/>
    <w:rsid w:val="00465C93"/>
    <w:rsid w:val="00486D74"/>
    <w:rsid w:val="004921CF"/>
    <w:rsid w:val="00497289"/>
    <w:rsid w:val="005047FB"/>
    <w:rsid w:val="005360C1"/>
    <w:rsid w:val="00547C54"/>
    <w:rsid w:val="00557FD8"/>
    <w:rsid w:val="005629D0"/>
    <w:rsid w:val="005667FE"/>
    <w:rsid w:val="00591AB4"/>
    <w:rsid w:val="005C59C1"/>
    <w:rsid w:val="005D6226"/>
    <w:rsid w:val="005D79C2"/>
    <w:rsid w:val="0063313A"/>
    <w:rsid w:val="00647201"/>
    <w:rsid w:val="00683CFF"/>
    <w:rsid w:val="007032FB"/>
    <w:rsid w:val="00710DCF"/>
    <w:rsid w:val="00720B5D"/>
    <w:rsid w:val="00730C90"/>
    <w:rsid w:val="00755313"/>
    <w:rsid w:val="00781F04"/>
    <w:rsid w:val="00785B01"/>
    <w:rsid w:val="007A440F"/>
    <w:rsid w:val="007B4AB0"/>
    <w:rsid w:val="007D3210"/>
    <w:rsid w:val="00810E9B"/>
    <w:rsid w:val="00811920"/>
    <w:rsid w:val="008220F6"/>
    <w:rsid w:val="00833A1A"/>
    <w:rsid w:val="00894BF7"/>
    <w:rsid w:val="008F0FD2"/>
    <w:rsid w:val="00911D17"/>
    <w:rsid w:val="009373DC"/>
    <w:rsid w:val="009A089E"/>
    <w:rsid w:val="009B71CD"/>
    <w:rsid w:val="009C06BF"/>
    <w:rsid w:val="009F673C"/>
    <w:rsid w:val="00A2628D"/>
    <w:rsid w:val="00A6759C"/>
    <w:rsid w:val="00A81135"/>
    <w:rsid w:val="00AA1197"/>
    <w:rsid w:val="00AA29E1"/>
    <w:rsid w:val="00AE3737"/>
    <w:rsid w:val="00B00B5F"/>
    <w:rsid w:val="00B05FE8"/>
    <w:rsid w:val="00B35D73"/>
    <w:rsid w:val="00B41424"/>
    <w:rsid w:val="00B55587"/>
    <w:rsid w:val="00B94C25"/>
    <w:rsid w:val="00BD0B50"/>
    <w:rsid w:val="00BD3245"/>
    <w:rsid w:val="00BE0506"/>
    <w:rsid w:val="00BF5913"/>
    <w:rsid w:val="00C52965"/>
    <w:rsid w:val="00C802B6"/>
    <w:rsid w:val="00C86F3A"/>
    <w:rsid w:val="00CC38E3"/>
    <w:rsid w:val="00CD61F2"/>
    <w:rsid w:val="00CF3EE2"/>
    <w:rsid w:val="00D2144E"/>
    <w:rsid w:val="00D32662"/>
    <w:rsid w:val="00D54444"/>
    <w:rsid w:val="00DD3984"/>
    <w:rsid w:val="00DE48EF"/>
    <w:rsid w:val="00DF3175"/>
    <w:rsid w:val="00E0772E"/>
    <w:rsid w:val="00E14CFA"/>
    <w:rsid w:val="00E16901"/>
    <w:rsid w:val="00E6163F"/>
    <w:rsid w:val="00E63717"/>
    <w:rsid w:val="00E63C42"/>
    <w:rsid w:val="00E742DE"/>
    <w:rsid w:val="00EA44A6"/>
    <w:rsid w:val="00EA5FAA"/>
    <w:rsid w:val="00EB5F37"/>
    <w:rsid w:val="00EB76D0"/>
    <w:rsid w:val="00ED1BAC"/>
    <w:rsid w:val="00EE0E38"/>
    <w:rsid w:val="00EE7E46"/>
    <w:rsid w:val="00F04AD6"/>
    <w:rsid w:val="00F97912"/>
    <w:rsid w:val="00FA004E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289"/>
  </w:style>
  <w:style w:type="paragraph" w:styleId="Footer">
    <w:name w:val="footer"/>
    <w:basedOn w:val="Normal"/>
    <w:link w:val="Foot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289"/>
  </w:style>
  <w:style w:type="paragraph" w:styleId="Footer">
    <w:name w:val="footer"/>
    <w:basedOn w:val="Normal"/>
    <w:link w:val="Foot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D0276-4291-4425-A1DA-5FEFC56C9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Zahari Tabakov</dc:creator>
  <cp:lastModifiedBy>Elena Aleksieva</cp:lastModifiedBy>
  <cp:revision>3</cp:revision>
  <dcterms:created xsi:type="dcterms:W3CDTF">2018-12-31T09:35:00Z</dcterms:created>
  <dcterms:modified xsi:type="dcterms:W3CDTF">2019-03-27T09:59:00Z</dcterms:modified>
</cp:coreProperties>
</file>