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C243F" w14:textId="77777777" w:rsidR="00710A98" w:rsidRPr="00A06340" w:rsidRDefault="00710A98" w:rsidP="00A06340">
      <w:pPr>
        <w:ind w:firstLine="567"/>
        <w:jc w:val="both"/>
        <w:rPr>
          <w:rFonts w:asciiTheme="majorHAnsi" w:hAnsiTheme="majorHAnsi" w:cs="Times New Roman"/>
          <w:sz w:val="24"/>
          <w:szCs w:val="24"/>
        </w:rPr>
      </w:pPr>
      <w:bookmarkStart w:id="0" w:name="_GoBack"/>
      <w:bookmarkEnd w:id="0"/>
    </w:p>
    <w:p w14:paraId="1F2766E5" w14:textId="77777777" w:rsidR="00710A98" w:rsidRPr="00A06340" w:rsidRDefault="00710A98" w:rsidP="00A06340">
      <w:pPr>
        <w:ind w:firstLine="567"/>
        <w:jc w:val="both"/>
        <w:rPr>
          <w:rFonts w:asciiTheme="majorHAnsi" w:hAnsiTheme="majorHAnsi" w:cs="Times New Roman"/>
          <w:b/>
          <w:sz w:val="24"/>
          <w:szCs w:val="24"/>
        </w:rPr>
      </w:pPr>
    </w:p>
    <w:p w14:paraId="45A32925" w14:textId="77777777" w:rsidR="00710A98" w:rsidRPr="00A06340" w:rsidRDefault="00710A98" w:rsidP="00A06340">
      <w:pPr>
        <w:ind w:firstLine="567"/>
        <w:jc w:val="both"/>
        <w:rPr>
          <w:rFonts w:asciiTheme="majorHAnsi" w:hAnsiTheme="majorHAnsi" w:cs="Times New Roman"/>
          <w:b/>
          <w:sz w:val="24"/>
          <w:szCs w:val="24"/>
        </w:rPr>
      </w:pPr>
    </w:p>
    <w:p w14:paraId="1F6E54FF" w14:textId="77777777" w:rsidR="00710A98" w:rsidRPr="00A06340" w:rsidRDefault="00710A98" w:rsidP="00A06340">
      <w:pPr>
        <w:ind w:firstLine="567"/>
        <w:jc w:val="both"/>
        <w:rPr>
          <w:rFonts w:asciiTheme="majorHAnsi" w:hAnsiTheme="majorHAnsi" w:cs="Times New Roman"/>
          <w:b/>
          <w:sz w:val="24"/>
          <w:szCs w:val="24"/>
        </w:rPr>
      </w:pPr>
    </w:p>
    <w:p w14:paraId="66BF8B55" w14:textId="77777777" w:rsidR="00065837" w:rsidRPr="003C222E" w:rsidRDefault="00065837" w:rsidP="003C222E">
      <w:pPr>
        <w:ind w:firstLine="567"/>
        <w:jc w:val="center"/>
        <w:rPr>
          <w:rFonts w:asciiTheme="majorHAnsi" w:hAnsiTheme="majorHAnsi" w:cs="Times New Roman"/>
          <w:b/>
          <w:sz w:val="32"/>
          <w:szCs w:val="32"/>
        </w:rPr>
      </w:pPr>
      <w:r w:rsidRPr="003C222E">
        <w:rPr>
          <w:rFonts w:asciiTheme="majorHAnsi" w:hAnsiTheme="majorHAnsi" w:cs="Times New Roman"/>
          <w:b/>
          <w:sz w:val="32"/>
          <w:szCs w:val="32"/>
        </w:rPr>
        <w:t>ПЛАН ЗА ОЦЕНКА</w:t>
      </w:r>
    </w:p>
    <w:p w14:paraId="5D512DC5" w14:textId="56BDB3CD" w:rsidR="00065837" w:rsidRPr="003C222E" w:rsidRDefault="00710A98" w:rsidP="003C222E">
      <w:pPr>
        <w:ind w:firstLine="567"/>
        <w:jc w:val="center"/>
        <w:rPr>
          <w:rFonts w:asciiTheme="majorHAnsi" w:hAnsiTheme="majorHAnsi" w:cs="Times New Roman"/>
          <w:b/>
          <w:sz w:val="32"/>
          <w:szCs w:val="32"/>
        </w:rPr>
      </w:pPr>
      <w:r w:rsidRPr="003C222E">
        <w:rPr>
          <w:rFonts w:asciiTheme="majorHAnsi" w:hAnsiTheme="majorHAnsi" w:cs="Times New Roman"/>
          <w:b/>
          <w:sz w:val="32"/>
          <w:szCs w:val="32"/>
        </w:rPr>
        <w:t xml:space="preserve">на Програмата за морско дело и рибарство за периода 2014-2020 г. </w:t>
      </w:r>
      <w:r w:rsidR="00E77948" w:rsidRPr="003C222E">
        <w:rPr>
          <w:rFonts w:asciiTheme="majorHAnsi" w:hAnsiTheme="majorHAnsi" w:cs="Times New Roman"/>
          <w:b/>
          <w:sz w:val="32"/>
          <w:szCs w:val="32"/>
        </w:rPr>
        <w:t xml:space="preserve">в съответствие с </w:t>
      </w:r>
      <w:r w:rsidR="00026A5E">
        <w:rPr>
          <w:rFonts w:asciiTheme="majorHAnsi" w:hAnsiTheme="majorHAnsi" w:cs="Times New Roman"/>
          <w:b/>
          <w:sz w:val="32"/>
          <w:szCs w:val="32"/>
        </w:rPr>
        <w:t>Глава 10</w:t>
      </w:r>
      <w:r w:rsidR="00065837" w:rsidRPr="003C222E">
        <w:rPr>
          <w:rFonts w:asciiTheme="majorHAnsi" w:hAnsiTheme="majorHAnsi" w:cs="Times New Roman"/>
          <w:b/>
          <w:sz w:val="32"/>
          <w:szCs w:val="32"/>
        </w:rPr>
        <w:t xml:space="preserve"> от Програмата за морско дело и рибарство 2014 -2020 г.</w:t>
      </w:r>
    </w:p>
    <w:p w14:paraId="0E55BC01" w14:textId="77777777" w:rsidR="00065837" w:rsidRPr="003C222E" w:rsidRDefault="00065837" w:rsidP="003C222E">
      <w:pPr>
        <w:ind w:firstLine="567"/>
        <w:jc w:val="center"/>
        <w:rPr>
          <w:rFonts w:asciiTheme="majorHAnsi" w:hAnsiTheme="majorHAnsi" w:cs="Times New Roman"/>
          <w:b/>
          <w:sz w:val="32"/>
          <w:szCs w:val="32"/>
        </w:rPr>
      </w:pPr>
    </w:p>
    <w:p w14:paraId="0A1A3940" w14:textId="77777777" w:rsidR="00065837" w:rsidRPr="003C222E" w:rsidRDefault="00065837" w:rsidP="003C222E">
      <w:pPr>
        <w:ind w:firstLine="567"/>
        <w:jc w:val="center"/>
        <w:rPr>
          <w:rFonts w:asciiTheme="majorHAnsi" w:hAnsiTheme="majorHAnsi" w:cs="Times New Roman"/>
          <w:b/>
          <w:sz w:val="32"/>
          <w:szCs w:val="32"/>
        </w:rPr>
      </w:pPr>
      <w:r w:rsidRPr="003C222E">
        <w:rPr>
          <w:rFonts w:asciiTheme="majorHAnsi" w:hAnsiTheme="majorHAnsi" w:cs="Times New Roman"/>
          <w:b/>
          <w:sz w:val="32"/>
          <w:szCs w:val="32"/>
        </w:rPr>
        <w:t>CCI NO: 2014BG14MFOP001</w:t>
      </w:r>
    </w:p>
    <w:p w14:paraId="2B12F949" w14:textId="77777777" w:rsidR="00065837" w:rsidRPr="00A06340" w:rsidRDefault="00065837" w:rsidP="00A06340">
      <w:pPr>
        <w:ind w:firstLine="567"/>
        <w:jc w:val="both"/>
        <w:rPr>
          <w:rFonts w:asciiTheme="majorHAnsi" w:hAnsiTheme="majorHAnsi" w:cs="Times New Roman"/>
          <w:b/>
          <w:sz w:val="24"/>
          <w:szCs w:val="24"/>
        </w:rPr>
      </w:pPr>
    </w:p>
    <w:p w14:paraId="11F21F5E" w14:textId="77777777" w:rsidR="00710A98" w:rsidRPr="00A06340" w:rsidRDefault="00710A98" w:rsidP="00A06340">
      <w:pPr>
        <w:ind w:firstLine="567"/>
        <w:jc w:val="both"/>
        <w:rPr>
          <w:rFonts w:asciiTheme="majorHAnsi" w:hAnsiTheme="majorHAnsi" w:cs="Times New Roman"/>
          <w:b/>
          <w:sz w:val="24"/>
          <w:szCs w:val="24"/>
        </w:rPr>
      </w:pPr>
    </w:p>
    <w:p w14:paraId="10AA1552" w14:textId="77777777" w:rsidR="00710A98" w:rsidRPr="00A06340" w:rsidRDefault="00710A98" w:rsidP="00A06340">
      <w:pPr>
        <w:ind w:firstLine="567"/>
        <w:jc w:val="both"/>
        <w:rPr>
          <w:rFonts w:asciiTheme="majorHAnsi" w:hAnsiTheme="majorHAnsi" w:cs="Times New Roman"/>
          <w:b/>
          <w:sz w:val="24"/>
          <w:szCs w:val="24"/>
        </w:rPr>
      </w:pPr>
    </w:p>
    <w:p w14:paraId="680098CB" w14:textId="77777777" w:rsidR="00710A98" w:rsidRPr="00A06340" w:rsidRDefault="00710A98" w:rsidP="00A06340">
      <w:pPr>
        <w:ind w:firstLine="567"/>
        <w:jc w:val="both"/>
        <w:rPr>
          <w:rFonts w:asciiTheme="majorHAnsi" w:hAnsiTheme="majorHAnsi" w:cs="Times New Roman"/>
          <w:b/>
          <w:sz w:val="24"/>
          <w:szCs w:val="24"/>
        </w:rPr>
      </w:pPr>
    </w:p>
    <w:p w14:paraId="79F291D0" w14:textId="77777777" w:rsidR="00FA7128" w:rsidRPr="00A06340" w:rsidRDefault="00FA7128" w:rsidP="00A06340">
      <w:pPr>
        <w:ind w:firstLine="567"/>
        <w:jc w:val="both"/>
        <w:rPr>
          <w:rFonts w:asciiTheme="majorHAnsi" w:hAnsiTheme="majorHAnsi" w:cs="Times New Roman"/>
          <w:b/>
          <w:sz w:val="24"/>
          <w:szCs w:val="24"/>
        </w:rPr>
      </w:pPr>
    </w:p>
    <w:p w14:paraId="69D0D23E" w14:textId="77777777" w:rsidR="00FA7128" w:rsidRPr="00601C65" w:rsidRDefault="00FA7128" w:rsidP="00A06340">
      <w:pPr>
        <w:ind w:firstLine="567"/>
        <w:jc w:val="both"/>
        <w:rPr>
          <w:rFonts w:asciiTheme="majorHAnsi" w:hAnsiTheme="majorHAnsi" w:cs="Times New Roman"/>
          <w:b/>
          <w:sz w:val="24"/>
          <w:szCs w:val="24"/>
        </w:rPr>
      </w:pPr>
    </w:p>
    <w:p w14:paraId="4E560430" w14:textId="77777777" w:rsidR="002E02F8" w:rsidRPr="00A06340" w:rsidRDefault="002E02F8" w:rsidP="00A06340">
      <w:pPr>
        <w:ind w:firstLine="567"/>
        <w:jc w:val="both"/>
        <w:rPr>
          <w:rFonts w:asciiTheme="majorHAnsi" w:hAnsiTheme="majorHAnsi" w:cs="Times New Roman"/>
          <w:b/>
          <w:sz w:val="24"/>
          <w:szCs w:val="24"/>
        </w:rPr>
      </w:pPr>
    </w:p>
    <w:p w14:paraId="54EB8A37" w14:textId="77777777" w:rsidR="002E02F8" w:rsidRPr="00A06340" w:rsidRDefault="002E02F8" w:rsidP="00A06340">
      <w:pPr>
        <w:ind w:firstLine="567"/>
        <w:jc w:val="both"/>
        <w:rPr>
          <w:rFonts w:asciiTheme="majorHAnsi" w:hAnsiTheme="majorHAnsi" w:cs="Times New Roman"/>
          <w:b/>
          <w:sz w:val="24"/>
          <w:szCs w:val="24"/>
        </w:rPr>
      </w:pPr>
    </w:p>
    <w:p w14:paraId="6B224595" w14:textId="77777777" w:rsidR="002E02F8" w:rsidRPr="00A06340" w:rsidRDefault="002E02F8" w:rsidP="00A06340">
      <w:pPr>
        <w:ind w:firstLine="567"/>
        <w:jc w:val="both"/>
        <w:rPr>
          <w:rFonts w:asciiTheme="majorHAnsi" w:hAnsiTheme="majorHAnsi" w:cs="Times New Roman"/>
          <w:b/>
          <w:sz w:val="24"/>
          <w:szCs w:val="24"/>
        </w:rPr>
      </w:pPr>
    </w:p>
    <w:p w14:paraId="0B1E9421" w14:textId="77777777" w:rsidR="00FA7128" w:rsidRPr="00A06340" w:rsidRDefault="00FA7128" w:rsidP="003C222E">
      <w:pPr>
        <w:ind w:firstLine="567"/>
        <w:jc w:val="center"/>
        <w:rPr>
          <w:rFonts w:asciiTheme="majorHAnsi" w:hAnsiTheme="majorHAnsi" w:cs="Times New Roman"/>
          <w:b/>
          <w:sz w:val="24"/>
          <w:szCs w:val="24"/>
        </w:rPr>
      </w:pPr>
      <w:r w:rsidRPr="00A06340">
        <w:rPr>
          <w:rFonts w:asciiTheme="majorHAnsi" w:hAnsiTheme="majorHAnsi" w:cs="Times New Roman"/>
          <w:b/>
          <w:sz w:val="24"/>
          <w:szCs w:val="24"/>
        </w:rPr>
        <w:t>София</w:t>
      </w:r>
      <w:r w:rsidR="005117B7" w:rsidRPr="00A06340">
        <w:rPr>
          <w:rFonts w:asciiTheme="majorHAnsi" w:hAnsiTheme="majorHAnsi" w:cs="Times New Roman"/>
          <w:b/>
          <w:sz w:val="24"/>
          <w:szCs w:val="24"/>
        </w:rPr>
        <w:t xml:space="preserve">, </w:t>
      </w:r>
      <w:r w:rsidR="008F7380" w:rsidRPr="00A06340">
        <w:rPr>
          <w:rFonts w:asciiTheme="majorHAnsi" w:hAnsiTheme="majorHAnsi" w:cs="Times New Roman"/>
          <w:b/>
          <w:sz w:val="24"/>
          <w:szCs w:val="24"/>
        </w:rPr>
        <w:t xml:space="preserve">март </w:t>
      </w:r>
      <w:r w:rsidRPr="00A06340">
        <w:rPr>
          <w:rFonts w:asciiTheme="majorHAnsi" w:hAnsiTheme="majorHAnsi" w:cs="Times New Roman"/>
          <w:b/>
          <w:sz w:val="24"/>
          <w:szCs w:val="24"/>
        </w:rPr>
        <w:t>2019 г.</w:t>
      </w:r>
    </w:p>
    <w:p w14:paraId="2F257647" w14:textId="77777777" w:rsidR="00FA7128" w:rsidRPr="00A06340" w:rsidRDefault="00FA7128" w:rsidP="00A06340">
      <w:pPr>
        <w:ind w:firstLine="567"/>
        <w:jc w:val="both"/>
        <w:rPr>
          <w:rFonts w:asciiTheme="majorHAnsi" w:hAnsiTheme="majorHAnsi" w:cs="Times New Roman"/>
          <w:b/>
          <w:sz w:val="24"/>
          <w:szCs w:val="24"/>
        </w:rPr>
      </w:pPr>
    </w:p>
    <w:p w14:paraId="4B3755CA" w14:textId="44E4FC53" w:rsidR="00710A98" w:rsidRPr="00A06340" w:rsidRDefault="00710A98" w:rsidP="00A06340">
      <w:pPr>
        <w:ind w:firstLine="567"/>
        <w:jc w:val="both"/>
        <w:rPr>
          <w:rFonts w:asciiTheme="majorHAnsi" w:hAnsiTheme="majorHAnsi" w:cs="Times New Roman"/>
          <w:b/>
          <w:sz w:val="24"/>
          <w:szCs w:val="24"/>
        </w:rPr>
      </w:pPr>
    </w:p>
    <w:sdt>
      <w:sdtPr>
        <w:rPr>
          <w:rFonts w:asciiTheme="minorHAnsi" w:eastAsiaTheme="minorHAnsi" w:hAnsiTheme="minorHAnsi" w:cs="Times New Roman"/>
          <w:b w:val="0"/>
          <w:bCs w:val="0"/>
          <w:color w:val="auto"/>
          <w:sz w:val="24"/>
          <w:szCs w:val="24"/>
          <w:lang w:eastAsia="en-US"/>
        </w:rPr>
        <w:id w:val="2032525056"/>
        <w:docPartObj>
          <w:docPartGallery w:val="Table of Contents"/>
          <w:docPartUnique/>
        </w:docPartObj>
      </w:sdtPr>
      <w:sdtEndPr>
        <w:rPr>
          <w:b/>
          <w:noProof/>
        </w:rPr>
      </w:sdtEndPr>
      <w:sdtContent>
        <w:p w14:paraId="3EB440F4" w14:textId="0B2A38B6" w:rsidR="00AD696D" w:rsidRPr="00A06340" w:rsidRDefault="00AD696D" w:rsidP="00A06340">
          <w:pPr>
            <w:pStyle w:val="TOCHeading"/>
            <w:jc w:val="both"/>
            <w:rPr>
              <w:rFonts w:cs="Times New Roman"/>
              <w:sz w:val="24"/>
              <w:szCs w:val="24"/>
            </w:rPr>
          </w:pPr>
          <w:r w:rsidRPr="00A06340">
            <w:rPr>
              <w:rFonts w:cs="Times New Roman"/>
              <w:sz w:val="24"/>
              <w:szCs w:val="24"/>
            </w:rPr>
            <w:t>Съдържание:</w:t>
          </w:r>
        </w:p>
        <w:p w14:paraId="2BC0AB14" w14:textId="5AC036A1" w:rsidR="00AD696D" w:rsidRPr="00A06340" w:rsidRDefault="00AD696D" w:rsidP="00A06340">
          <w:pPr>
            <w:jc w:val="both"/>
            <w:rPr>
              <w:rFonts w:asciiTheme="majorHAnsi" w:hAnsiTheme="majorHAnsi" w:cs="Times New Roman"/>
              <w:sz w:val="24"/>
              <w:szCs w:val="24"/>
              <w:lang w:eastAsia="bg-BG"/>
            </w:rPr>
          </w:pPr>
        </w:p>
        <w:p w14:paraId="7DBA6367" w14:textId="010C5B59" w:rsidR="00E05F79" w:rsidRDefault="00AD696D">
          <w:pPr>
            <w:pStyle w:val="TOC1"/>
            <w:tabs>
              <w:tab w:val="right" w:leader="dot" w:pos="9062"/>
            </w:tabs>
            <w:rPr>
              <w:rFonts w:eastAsiaTheme="minorEastAsia"/>
              <w:noProof/>
              <w:lang w:val="en-US"/>
            </w:rPr>
          </w:pPr>
          <w:r w:rsidRPr="00A06340">
            <w:rPr>
              <w:rFonts w:asciiTheme="majorHAnsi" w:hAnsiTheme="majorHAnsi" w:cs="Times New Roman"/>
              <w:b/>
              <w:bCs/>
              <w:noProof/>
              <w:sz w:val="24"/>
              <w:szCs w:val="24"/>
            </w:rPr>
            <w:fldChar w:fldCharType="begin"/>
          </w:r>
          <w:r w:rsidRPr="00A06340">
            <w:rPr>
              <w:rFonts w:asciiTheme="majorHAnsi" w:hAnsiTheme="majorHAnsi" w:cs="Times New Roman"/>
              <w:b/>
              <w:bCs/>
              <w:noProof/>
              <w:sz w:val="24"/>
              <w:szCs w:val="24"/>
            </w:rPr>
            <w:instrText xml:space="preserve"> TOC \o "1-3" \h \z \u </w:instrText>
          </w:r>
          <w:r w:rsidRPr="00A06340">
            <w:rPr>
              <w:rFonts w:asciiTheme="majorHAnsi" w:hAnsiTheme="majorHAnsi" w:cs="Times New Roman"/>
              <w:b/>
              <w:bCs/>
              <w:noProof/>
              <w:sz w:val="24"/>
              <w:szCs w:val="24"/>
            </w:rPr>
            <w:fldChar w:fldCharType="separate"/>
          </w:r>
          <w:hyperlink w:anchor="_Toc7098466" w:history="1">
            <w:r w:rsidR="00E05F79" w:rsidRPr="00CF05AA">
              <w:rPr>
                <w:rStyle w:val="Hyperlink"/>
                <w:rFonts w:cs="Times New Roman"/>
                <w:noProof/>
              </w:rPr>
              <w:t>Списък на използваните съкращения</w:t>
            </w:r>
            <w:r w:rsidR="00E05F79">
              <w:rPr>
                <w:noProof/>
                <w:webHidden/>
              </w:rPr>
              <w:tab/>
            </w:r>
            <w:r w:rsidR="00E05F79">
              <w:rPr>
                <w:noProof/>
                <w:webHidden/>
              </w:rPr>
              <w:fldChar w:fldCharType="begin"/>
            </w:r>
            <w:r w:rsidR="00E05F79">
              <w:rPr>
                <w:noProof/>
                <w:webHidden/>
              </w:rPr>
              <w:instrText xml:space="preserve"> PAGEREF _Toc7098466 \h </w:instrText>
            </w:r>
            <w:r w:rsidR="00E05F79">
              <w:rPr>
                <w:noProof/>
                <w:webHidden/>
              </w:rPr>
            </w:r>
            <w:r w:rsidR="00E05F79">
              <w:rPr>
                <w:noProof/>
                <w:webHidden/>
              </w:rPr>
              <w:fldChar w:fldCharType="separate"/>
            </w:r>
            <w:r w:rsidR="00E05F79">
              <w:rPr>
                <w:noProof/>
                <w:webHidden/>
              </w:rPr>
              <w:t>3</w:t>
            </w:r>
            <w:r w:rsidR="00E05F79">
              <w:rPr>
                <w:noProof/>
                <w:webHidden/>
              </w:rPr>
              <w:fldChar w:fldCharType="end"/>
            </w:r>
          </w:hyperlink>
        </w:p>
        <w:p w14:paraId="72845BC1" w14:textId="63BDD52F" w:rsidR="00E05F79" w:rsidRDefault="003A5E71">
          <w:pPr>
            <w:pStyle w:val="TOC1"/>
            <w:tabs>
              <w:tab w:val="right" w:leader="dot" w:pos="9062"/>
            </w:tabs>
            <w:rPr>
              <w:rFonts w:eastAsiaTheme="minorEastAsia"/>
              <w:noProof/>
              <w:lang w:val="en-US"/>
            </w:rPr>
          </w:pPr>
          <w:hyperlink w:anchor="_Toc7098467" w:history="1">
            <w:r w:rsidR="00E05F79" w:rsidRPr="00CF05AA">
              <w:rPr>
                <w:rStyle w:val="Hyperlink"/>
                <w:rFonts w:cs="Times New Roman"/>
                <w:noProof/>
              </w:rPr>
              <w:t>1. Цел на Плана за оценка</w:t>
            </w:r>
            <w:r w:rsidR="00E05F79">
              <w:rPr>
                <w:noProof/>
                <w:webHidden/>
              </w:rPr>
              <w:tab/>
            </w:r>
            <w:r w:rsidR="00E05F79">
              <w:rPr>
                <w:noProof/>
                <w:webHidden/>
              </w:rPr>
              <w:fldChar w:fldCharType="begin"/>
            </w:r>
            <w:r w:rsidR="00E05F79">
              <w:rPr>
                <w:noProof/>
                <w:webHidden/>
              </w:rPr>
              <w:instrText xml:space="preserve"> PAGEREF _Toc7098467 \h </w:instrText>
            </w:r>
            <w:r w:rsidR="00E05F79">
              <w:rPr>
                <w:noProof/>
                <w:webHidden/>
              </w:rPr>
            </w:r>
            <w:r w:rsidR="00E05F79">
              <w:rPr>
                <w:noProof/>
                <w:webHidden/>
              </w:rPr>
              <w:fldChar w:fldCharType="separate"/>
            </w:r>
            <w:r w:rsidR="00E05F79">
              <w:rPr>
                <w:noProof/>
                <w:webHidden/>
              </w:rPr>
              <w:t>3</w:t>
            </w:r>
            <w:r w:rsidR="00E05F79">
              <w:rPr>
                <w:noProof/>
                <w:webHidden/>
              </w:rPr>
              <w:fldChar w:fldCharType="end"/>
            </w:r>
          </w:hyperlink>
        </w:p>
        <w:p w14:paraId="5AC0E656" w14:textId="0F33C2CF" w:rsidR="00E05F79" w:rsidRDefault="003A5E71">
          <w:pPr>
            <w:pStyle w:val="TOC2"/>
            <w:tabs>
              <w:tab w:val="right" w:leader="dot" w:pos="9062"/>
            </w:tabs>
            <w:rPr>
              <w:rFonts w:eastAsiaTheme="minorEastAsia"/>
              <w:noProof/>
              <w:lang w:val="en-US"/>
            </w:rPr>
          </w:pPr>
          <w:hyperlink w:anchor="_Toc7098468" w:history="1">
            <w:r w:rsidR="00E05F79" w:rsidRPr="00CF05AA">
              <w:rPr>
                <w:rStyle w:val="Hyperlink"/>
                <w:rFonts w:cs="Times New Roman"/>
                <w:b/>
                <w:bCs/>
                <w:noProof/>
              </w:rPr>
              <w:t>1.1. О</w:t>
            </w:r>
            <w:r w:rsidR="00E05F79" w:rsidRPr="00CF05AA">
              <w:rPr>
                <w:rStyle w:val="Hyperlink"/>
                <w:rFonts w:cs="Times New Roman"/>
                <w:b/>
                <w:noProof/>
              </w:rPr>
              <w:t>пределяне на ключовите цели</w:t>
            </w:r>
            <w:r w:rsidR="00E05F79">
              <w:rPr>
                <w:noProof/>
                <w:webHidden/>
              </w:rPr>
              <w:tab/>
            </w:r>
            <w:r w:rsidR="00E05F79">
              <w:rPr>
                <w:noProof/>
                <w:webHidden/>
              </w:rPr>
              <w:fldChar w:fldCharType="begin"/>
            </w:r>
            <w:r w:rsidR="00E05F79">
              <w:rPr>
                <w:noProof/>
                <w:webHidden/>
              </w:rPr>
              <w:instrText xml:space="preserve"> PAGEREF _Toc7098468 \h </w:instrText>
            </w:r>
            <w:r w:rsidR="00E05F79">
              <w:rPr>
                <w:noProof/>
                <w:webHidden/>
              </w:rPr>
            </w:r>
            <w:r w:rsidR="00E05F79">
              <w:rPr>
                <w:noProof/>
                <w:webHidden/>
              </w:rPr>
              <w:fldChar w:fldCharType="separate"/>
            </w:r>
            <w:r w:rsidR="00E05F79">
              <w:rPr>
                <w:noProof/>
                <w:webHidden/>
              </w:rPr>
              <w:t>4</w:t>
            </w:r>
            <w:r w:rsidR="00E05F79">
              <w:rPr>
                <w:noProof/>
                <w:webHidden/>
              </w:rPr>
              <w:fldChar w:fldCharType="end"/>
            </w:r>
          </w:hyperlink>
        </w:p>
        <w:p w14:paraId="35514863" w14:textId="11C8D309" w:rsidR="00E05F79" w:rsidRDefault="003A5E71">
          <w:pPr>
            <w:pStyle w:val="TOC2"/>
            <w:tabs>
              <w:tab w:val="right" w:leader="dot" w:pos="9062"/>
            </w:tabs>
            <w:rPr>
              <w:rFonts w:eastAsiaTheme="minorEastAsia"/>
              <w:noProof/>
              <w:lang w:val="en-US"/>
            </w:rPr>
          </w:pPr>
          <w:hyperlink w:anchor="_Toc7098469" w:history="1">
            <w:r w:rsidR="00E05F79" w:rsidRPr="00CF05AA">
              <w:rPr>
                <w:rStyle w:val="Hyperlink"/>
                <w:rFonts w:cs="Times New Roman"/>
                <w:b/>
                <w:bCs/>
                <w:noProof/>
              </w:rPr>
              <w:t xml:space="preserve">1.2. </w:t>
            </w:r>
            <w:r w:rsidR="00E05F79" w:rsidRPr="00CF05AA">
              <w:rPr>
                <w:rStyle w:val="Hyperlink"/>
                <w:rFonts w:cs="Times New Roman"/>
                <w:b/>
                <w:noProof/>
              </w:rPr>
              <w:t>Анализ на наличните данни, с оглед определянето на основния фокус на усилията за събиране на данни за оценката</w:t>
            </w:r>
            <w:r w:rsidR="00E05F79">
              <w:rPr>
                <w:noProof/>
                <w:webHidden/>
              </w:rPr>
              <w:tab/>
            </w:r>
            <w:r w:rsidR="00E05F79">
              <w:rPr>
                <w:noProof/>
                <w:webHidden/>
              </w:rPr>
              <w:fldChar w:fldCharType="begin"/>
            </w:r>
            <w:r w:rsidR="00E05F79">
              <w:rPr>
                <w:noProof/>
                <w:webHidden/>
              </w:rPr>
              <w:instrText xml:space="preserve"> PAGEREF _Toc7098469 \h </w:instrText>
            </w:r>
            <w:r w:rsidR="00E05F79">
              <w:rPr>
                <w:noProof/>
                <w:webHidden/>
              </w:rPr>
            </w:r>
            <w:r w:rsidR="00E05F79">
              <w:rPr>
                <w:noProof/>
                <w:webHidden/>
              </w:rPr>
              <w:fldChar w:fldCharType="separate"/>
            </w:r>
            <w:r w:rsidR="00E05F79">
              <w:rPr>
                <w:noProof/>
                <w:webHidden/>
              </w:rPr>
              <w:t>6</w:t>
            </w:r>
            <w:r w:rsidR="00E05F79">
              <w:rPr>
                <w:noProof/>
                <w:webHidden/>
              </w:rPr>
              <w:fldChar w:fldCharType="end"/>
            </w:r>
          </w:hyperlink>
        </w:p>
        <w:p w14:paraId="0A52BAF6" w14:textId="2DF1038B" w:rsidR="00E05F79" w:rsidRDefault="003A5E71">
          <w:pPr>
            <w:pStyle w:val="TOC1"/>
            <w:tabs>
              <w:tab w:val="right" w:leader="dot" w:pos="9062"/>
            </w:tabs>
            <w:rPr>
              <w:rFonts w:eastAsiaTheme="minorEastAsia"/>
              <w:noProof/>
              <w:lang w:val="en-US"/>
            </w:rPr>
          </w:pPr>
          <w:hyperlink w:anchor="_Toc7098470" w:history="1">
            <w:r w:rsidR="00E05F79" w:rsidRPr="00CF05AA">
              <w:rPr>
                <w:rStyle w:val="Hyperlink"/>
                <w:rFonts w:cs="Times New Roman"/>
                <w:noProof/>
              </w:rPr>
              <w:t>2. Оценителна рамка</w:t>
            </w:r>
            <w:r w:rsidR="00E05F79">
              <w:rPr>
                <w:noProof/>
                <w:webHidden/>
              </w:rPr>
              <w:tab/>
            </w:r>
            <w:r w:rsidR="00E05F79">
              <w:rPr>
                <w:noProof/>
                <w:webHidden/>
              </w:rPr>
              <w:fldChar w:fldCharType="begin"/>
            </w:r>
            <w:r w:rsidR="00E05F79">
              <w:rPr>
                <w:noProof/>
                <w:webHidden/>
              </w:rPr>
              <w:instrText xml:space="preserve"> PAGEREF _Toc7098470 \h </w:instrText>
            </w:r>
            <w:r w:rsidR="00E05F79">
              <w:rPr>
                <w:noProof/>
                <w:webHidden/>
              </w:rPr>
            </w:r>
            <w:r w:rsidR="00E05F79">
              <w:rPr>
                <w:noProof/>
                <w:webHidden/>
              </w:rPr>
              <w:fldChar w:fldCharType="separate"/>
            </w:r>
            <w:r w:rsidR="00E05F79">
              <w:rPr>
                <w:noProof/>
                <w:webHidden/>
              </w:rPr>
              <w:t>9</w:t>
            </w:r>
            <w:r w:rsidR="00E05F79">
              <w:rPr>
                <w:noProof/>
                <w:webHidden/>
              </w:rPr>
              <w:fldChar w:fldCharType="end"/>
            </w:r>
          </w:hyperlink>
        </w:p>
        <w:p w14:paraId="22DB1D4D" w14:textId="3CD48D83" w:rsidR="00E05F79" w:rsidRDefault="003A5E71">
          <w:pPr>
            <w:pStyle w:val="TOC2"/>
            <w:tabs>
              <w:tab w:val="right" w:leader="dot" w:pos="9062"/>
            </w:tabs>
            <w:rPr>
              <w:rFonts w:eastAsiaTheme="minorEastAsia"/>
              <w:noProof/>
              <w:lang w:val="en-US"/>
            </w:rPr>
          </w:pPr>
          <w:hyperlink w:anchor="_Toc7098471" w:history="1">
            <w:r w:rsidR="00E05F79" w:rsidRPr="00CF05AA">
              <w:rPr>
                <w:rStyle w:val="Hyperlink"/>
                <w:rFonts w:cs="Times New Roman"/>
                <w:b/>
                <w:bCs/>
                <w:noProof/>
              </w:rPr>
              <w:t xml:space="preserve">2.1. </w:t>
            </w:r>
            <w:r w:rsidR="00E05F79" w:rsidRPr="00CF05AA">
              <w:rPr>
                <w:rStyle w:val="Hyperlink"/>
                <w:rFonts w:cs="Times New Roman"/>
                <w:b/>
                <w:noProof/>
              </w:rPr>
              <w:t>Цел на оценката и процес на оценяване</w:t>
            </w:r>
            <w:r w:rsidR="00E05F79">
              <w:rPr>
                <w:noProof/>
                <w:webHidden/>
              </w:rPr>
              <w:tab/>
            </w:r>
            <w:r w:rsidR="00E05F79">
              <w:rPr>
                <w:noProof/>
                <w:webHidden/>
              </w:rPr>
              <w:fldChar w:fldCharType="begin"/>
            </w:r>
            <w:r w:rsidR="00E05F79">
              <w:rPr>
                <w:noProof/>
                <w:webHidden/>
              </w:rPr>
              <w:instrText xml:space="preserve"> PAGEREF _Toc7098471 \h </w:instrText>
            </w:r>
            <w:r w:rsidR="00E05F79">
              <w:rPr>
                <w:noProof/>
                <w:webHidden/>
              </w:rPr>
            </w:r>
            <w:r w:rsidR="00E05F79">
              <w:rPr>
                <w:noProof/>
                <w:webHidden/>
              </w:rPr>
              <w:fldChar w:fldCharType="separate"/>
            </w:r>
            <w:r w:rsidR="00E05F79">
              <w:rPr>
                <w:noProof/>
                <w:webHidden/>
              </w:rPr>
              <w:t>10</w:t>
            </w:r>
            <w:r w:rsidR="00E05F79">
              <w:rPr>
                <w:noProof/>
                <w:webHidden/>
              </w:rPr>
              <w:fldChar w:fldCharType="end"/>
            </w:r>
          </w:hyperlink>
        </w:p>
        <w:p w14:paraId="4AFFD3B6" w14:textId="59AE2BAD" w:rsidR="00E05F79" w:rsidRDefault="003A5E71">
          <w:pPr>
            <w:pStyle w:val="TOC2"/>
            <w:tabs>
              <w:tab w:val="right" w:leader="dot" w:pos="9062"/>
            </w:tabs>
            <w:rPr>
              <w:rFonts w:eastAsiaTheme="minorEastAsia"/>
              <w:noProof/>
              <w:lang w:val="en-US"/>
            </w:rPr>
          </w:pPr>
          <w:hyperlink w:anchor="_Toc7098472" w:history="1">
            <w:r w:rsidR="00E05F79" w:rsidRPr="00CF05AA">
              <w:rPr>
                <w:rStyle w:val="Hyperlink"/>
                <w:rFonts w:cs="Times New Roman"/>
                <w:b/>
                <w:bCs/>
                <w:noProof/>
              </w:rPr>
              <w:t xml:space="preserve">2.2. </w:t>
            </w:r>
            <w:r w:rsidR="00E05F79" w:rsidRPr="00CF05AA">
              <w:rPr>
                <w:rStyle w:val="Hyperlink"/>
                <w:rFonts w:cs="Times New Roman"/>
                <w:b/>
                <w:noProof/>
              </w:rPr>
              <w:t>Ниво на участие на партньорите/заинтересованите страни/ по оценката</w:t>
            </w:r>
            <w:r w:rsidR="00E05F79">
              <w:rPr>
                <w:noProof/>
                <w:webHidden/>
              </w:rPr>
              <w:tab/>
            </w:r>
            <w:r w:rsidR="00E05F79">
              <w:rPr>
                <w:noProof/>
                <w:webHidden/>
              </w:rPr>
              <w:fldChar w:fldCharType="begin"/>
            </w:r>
            <w:r w:rsidR="00E05F79">
              <w:rPr>
                <w:noProof/>
                <w:webHidden/>
              </w:rPr>
              <w:instrText xml:space="preserve"> PAGEREF _Toc7098472 \h </w:instrText>
            </w:r>
            <w:r w:rsidR="00E05F79">
              <w:rPr>
                <w:noProof/>
                <w:webHidden/>
              </w:rPr>
            </w:r>
            <w:r w:rsidR="00E05F79">
              <w:rPr>
                <w:noProof/>
                <w:webHidden/>
              </w:rPr>
              <w:fldChar w:fldCharType="separate"/>
            </w:r>
            <w:r w:rsidR="00E05F79">
              <w:rPr>
                <w:noProof/>
                <w:webHidden/>
              </w:rPr>
              <w:t>16</w:t>
            </w:r>
            <w:r w:rsidR="00E05F79">
              <w:rPr>
                <w:noProof/>
                <w:webHidden/>
              </w:rPr>
              <w:fldChar w:fldCharType="end"/>
            </w:r>
          </w:hyperlink>
        </w:p>
        <w:p w14:paraId="5369C48F" w14:textId="20D08655" w:rsidR="00E05F79" w:rsidRDefault="003A5E71">
          <w:pPr>
            <w:pStyle w:val="TOC2"/>
            <w:tabs>
              <w:tab w:val="right" w:leader="dot" w:pos="9062"/>
            </w:tabs>
            <w:rPr>
              <w:rFonts w:eastAsiaTheme="minorEastAsia"/>
              <w:noProof/>
              <w:lang w:val="en-US"/>
            </w:rPr>
          </w:pPr>
          <w:hyperlink w:anchor="_Toc7098473" w:history="1">
            <w:r w:rsidR="00E05F79" w:rsidRPr="00CF05AA">
              <w:rPr>
                <w:rStyle w:val="Hyperlink"/>
                <w:rFonts w:cs="Times New Roman"/>
                <w:b/>
                <w:bCs/>
                <w:noProof/>
              </w:rPr>
              <w:t xml:space="preserve">2.3. </w:t>
            </w:r>
            <w:r w:rsidR="00E05F79" w:rsidRPr="00CF05AA">
              <w:rPr>
                <w:rStyle w:val="Hyperlink"/>
                <w:rFonts w:cs="Times New Roman"/>
                <w:b/>
                <w:noProof/>
              </w:rPr>
              <w:t>Степен на принос на експертите</w:t>
            </w:r>
            <w:r w:rsidR="00E05F79">
              <w:rPr>
                <w:noProof/>
                <w:webHidden/>
              </w:rPr>
              <w:tab/>
            </w:r>
            <w:r w:rsidR="00E05F79">
              <w:rPr>
                <w:noProof/>
                <w:webHidden/>
              </w:rPr>
              <w:fldChar w:fldCharType="begin"/>
            </w:r>
            <w:r w:rsidR="00E05F79">
              <w:rPr>
                <w:noProof/>
                <w:webHidden/>
              </w:rPr>
              <w:instrText xml:space="preserve"> PAGEREF _Toc7098473 \h </w:instrText>
            </w:r>
            <w:r w:rsidR="00E05F79">
              <w:rPr>
                <w:noProof/>
                <w:webHidden/>
              </w:rPr>
            </w:r>
            <w:r w:rsidR="00E05F79">
              <w:rPr>
                <w:noProof/>
                <w:webHidden/>
              </w:rPr>
              <w:fldChar w:fldCharType="separate"/>
            </w:r>
            <w:r w:rsidR="00E05F79">
              <w:rPr>
                <w:noProof/>
                <w:webHidden/>
              </w:rPr>
              <w:t>18</w:t>
            </w:r>
            <w:r w:rsidR="00E05F79">
              <w:rPr>
                <w:noProof/>
                <w:webHidden/>
              </w:rPr>
              <w:fldChar w:fldCharType="end"/>
            </w:r>
          </w:hyperlink>
        </w:p>
        <w:p w14:paraId="1BA67AD1" w14:textId="2F844C0F" w:rsidR="00E05F79" w:rsidRDefault="003A5E71">
          <w:pPr>
            <w:pStyle w:val="TOC2"/>
            <w:tabs>
              <w:tab w:val="right" w:leader="dot" w:pos="9062"/>
            </w:tabs>
            <w:rPr>
              <w:rFonts w:eastAsiaTheme="minorEastAsia"/>
              <w:noProof/>
              <w:lang w:val="en-US"/>
            </w:rPr>
          </w:pPr>
          <w:hyperlink w:anchor="_Toc7098474" w:history="1">
            <w:r w:rsidR="00E05F79" w:rsidRPr="00CF05AA">
              <w:rPr>
                <w:rStyle w:val="Hyperlink"/>
                <w:rFonts w:cs="Times New Roman"/>
                <w:b/>
                <w:bCs/>
                <w:noProof/>
              </w:rPr>
              <w:t xml:space="preserve">2.4. </w:t>
            </w:r>
            <w:r w:rsidR="00E05F79" w:rsidRPr="00CF05AA">
              <w:rPr>
                <w:rStyle w:val="Hyperlink"/>
                <w:rFonts w:cs="Times New Roman"/>
                <w:b/>
                <w:noProof/>
              </w:rPr>
              <w:t>Насоки за осигуряване на разпространението на резултатите от оценките</w:t>
            </w:r>
            <w:r w:rsidR="00E05F79">
              <w:rPr>
                <w:noProof/>
                <w:webHidden/>
              </w:rPr>
              <w:tab/>
            </w:r>
            <w:r w:rsidR="00E05F79">
              <w:rPr>
                <w:noProof/>
                <w:webHidden/>
              </w:rPr>
              <w:fldChar w:fldCharType="begin"/>
            </w:r>
            <w:r w:rsidR="00E05F79">
              <w:rPr>
                <w:noProof/>
                <w:webHidden/>
              </w:rPr>
              <w:instrText xml:space="preserve"> PAGEREF _Toc7098474 \h </w:instrText>
            </w:r>
            <w:r w:rsidR="00E05F79">
              <w:rPr>
                <w:noProof/>
                <w:webHidden/>
              </w:rPr>
            </w:r>
            <w:r w:rsidR="00E05F79">
              <w:rPr>
                <w:noProof/>
                <w:webHidden/>
              </w:rPr>
              <w:fldChar w:fldCharType="separate"/>
            </w:r>
            <w:r w:rsidR="00E05F79">
              <w:rPr>
                <w:noProof/>
                <w:webHidden/>
              </w:rPr>
              <w:t>20</w:t>
            </w:r>
            <w:r w:rsidR="00E05F79">
              <w:rPr>
                <w:noProof/>
                <w:webHidden/>
              </w:rPr>
              <w:fldChar w:fldCharType="end"/>
            </w:r>
          </w:hyperlink>
        </w:p>
        <w:p w14:paraId="5CC267BC" w14:textId="45D394CE" w:rsidR="00E05F79" w:rsidRDefault="003A5E71">
          <w:pPr>
            <w:pStyle w:val="TOC2"/>
            <w:tabs>
              <w:tab w:val="right" w:leader="dot" w:pos="9062"/>
            </w:tabs>
            <w:rPr>
              <w:rFonts w:eastAsiaTheme="minorEastAsia"/>
              <w:noProof/>
              <w:lang w:val="en-US"/>
            </w:rPr>
          </w:pPr>
          <w:hyperlink w:anchor="_Toc7098475" w:history="1">
            <w:r w:rsidR="00E05F79" w:rsidRPr="00CF05AA">
              <w:rPr>
                <w:rStyle w:val="Hyperlink"/>
                <w:rFonts w:cs="Times New Roman"/>
                <w:b/>
                <w:bCs/>
                <w:noProof/>
              </w:rPr>
              <w:t xml:space="preserve">2.5. </w:t>
            </w:r>
            <w:r w:rsidR="00E05F79" w:rsidRPr="00CF05AA">
              <w:rPr>
                <w:rStyle w:val="Hyperlink"/>
                <w:rFonts w:cs="Times New Roman"/>
                <w:b/>
                <w:noProof/>
              </w:rPr>
              <w:t>График за указване как оценките ще допринесат за изпълнението и подготовката на различни доклади по програмата</w:t>
            </w:r>
            <w:r w:rsidR="00E05F79">
              <w:rPr>
                <w:noProof/>
                <w:webHidden/>
              </w:rPr>
              <w:tab/>
            </w:r>
            <w:r w:rsidR="00E05F79">
              <w:rPr>
                <w:noProof/>
                <w:webHidden/>
              </w:rPr>
              <w:fldChar w:fldCharType="begin"/>
            </w:r>
            <w:r w:rsidR="00E05F79">
              <w:rPr>
                <w:noProof/>
                <w:webHidden/>
              </w:rPr>
              <w:instrText xml:space="preserve"> PAGEREF _Toc7098475 \h </w:instrText>
            </w:r>
            <w:r w:rsidR="00E05F79">
              <w:rPr>
                <w:noProof/>
                <w:webHidden/>
              </w:rPr>
            </w:r>
            <w:r w:rsidR="00E05F79">
              <w:rPr>
                <w:noProof/>
                <w:webHidden/>
              </w:rPr>
              <w:fldChar w:fldCharType="separate"/>
            </w:r>
            <w:r w:rsidR="00E05F79">
              <w:rPr>
                <w:noProof/>
                <w:webHidden/>
              </w:rPr>
              <w:t>22</w:t>
            </w:r>
            <w:r w:rsidR="00E05F79">
              <w:rPr>
                <w:noProof/>
                <w:webHidden/>
              </w:rPr>
              <w:fldChar w:fldCharType="end"/>
            </w:r>
          </w:hyperlink>
        </w:p>
        <w:p w14:paraId="29127FE6" w14:textId="6C122A2D" w:rsidR="00E05F79" w:rsidRDefault="003A5E71">
          <w:pPr>
            <w:pStyle w:val="TOC2"/>
            <w:tabs>
              <w:tab w:val="right" w:leader="dot" w:pos="9062"/>
            </w:tabs>
            <w:rPr>
              <w:rFonts w:eastAsiaTheme="minorEastAsia"/>
              <w:noProof/>
              <w:lang w:val="en-US"/>
            </w:rPr>
          </w:pPr>
          <w:hyperlink w:anchor="_Toc7098476" w:history="1">
            <w:r w:rsidR="00E05F79" w:rsidRPr="00CF05AA">
              <w:rPr>
                <w:rStyle w:val="Hyperlink"/>
                <w:rFonts w:cs="Times New Roman"/>
                <w:b/>
                <w:bCs/>
                <w:noProof/>
              </w:rPr>
              <w:t xml:space="preserve">2.6. </w:t>
            </w:r>
            <w:r w:rsidR="00E05F79" w:rsidRPr="00CF05AA">
              <w:rPr>
                <w:rStyle w:val="Hyperlink"/>
                <w:rFonts w:cs="Times New Roman"/>
                <w:b/>
                <w:noProof/>
              </w:rPr>
              <w:t>Общ бюджет за изпълнението на процеса по оценка</w:t>
            </w:r>
            <w:r w:rsidR="00E05F79">
              <w:rPr>
                <w:noProof/>
                <w:webHidden/>
              </w:rPr>
              <w:tab/>
            </w:r>
            <w:r w:rsidR="00E05F79">
              <w:rPr>
                <w:noProof/>
                <w:webHidden/>
              </w:rPr>
              <w:fldChar w:fldCharType="begin"/>
            </w:r>
            <w:r w:rsidR="00E05F79">
              <w:rPr>
                <w:noProof/>
                <w:webHidden/>
              </w:rPr>
              <w:instrText xml:space="preserve"> PAGEREF _Toc7098476 \h </w:instrText>
            </w:r>
            <w:r w:rsidR="00E05F79">
              <w:rPr>
                <w:noProof/>
                <w:webHidden/>
              </w:rPr>
            </w:r>
            <w:r w:rsidR="00E05F79">
              <w:rPr>
                <w:noProof/>
                <w:webHidden/>
              </w:rPr>
              <w:fldChar w:fldCharType="separate"/>
            </w:r>
            <w:r w:rsidR="00E05F79">
              <w:rPr>
                <w:noProof/>
                <w:webHidden/>
              </w:rPr>
              <w:t>26</w:t>
            </w:r>
            <w:r w:rsidR="00E05F79">
              <w:rPr>
                <w:noProof/>
                <w:webHidden/>
              </w:rPr>
              <w:fldChar w:fldCharType="end"/>
            </w:r>
          </w:hyperlink>
        </w:p>
        <w:p w14:paraId="45C163E9" w14:textId="67719B7A" w:rsidR="00E05F79" w:rsidRDefault="003A5E71">
          <w:pPr>
            <w:pStyle w:val="TOC1"/>
            <w:tabs>
              <w:tab w:val="right" w:leader="dot" w:pos="9062"/>
            </w:tabs>
            <w:rPr>
              <w:rFonts w:eastAsiaTheme="minorEastAsia"/>
              <w:noProof/>
              <w:lang w:val="en-US"/>
            </w:rPr>
          </w:pPr>
          <w:hyperlink w:anchor="_Toc7098477" w:history="1">
            <w:r w:rsidR="00E05F79" w:rsidRPr="00CF05AA">
              <w:rPr>
                <w:rStyle w:val="Hyperlink"/>
                <w:rFonts w:cs="Times New Roman"/>
                <w:noProof/>
              </w:rPr>
              <w:t>3. Планирани оценки – 2бр.</w:t>
            </w:r>
            <w:r w:rsidR="00E05F79">
              <w:rPr>
                <w:noProof/>
                <w:webHidden/>
              </w:rPr>
              <w:tab/>
            </w:r>
            <w:r w:rsidR="00E05F79">
              <w:rPr>
                <w:noProof/>
                <w:webHidden/>
              </w:rPr>
              <w:fldChar w:fldCharType="begin"/>
            </w:r>
            <w:r w:rsidR="00E05F79">
              <w:rPr>
                <w:noProof/>
                <w:webHidden/>
              </w:rPr>
              <w:instrText xml:space="preserve"> PAGEREF _Toc7098477 \h </w:instrText>
            </w:r>
            <w:r w:rsidR="00E05F79">
              <w:rPr>
                <w:noProof/>
                <w:webHidden/>
              </w:rPr>
            </w:r>
            <w:r w:rsidR="00E05F79">
              <w:rPr>
                <w:noProof/>
                <w:webHidden/>
              </w:rPr>
              <w:fldChar w:fldCharType="separate"/>
            </w:r>
            <w:r w:rsidR="00E05F79">
              <w:rPr>
                <w:noProof/>
                <w:webHidden/>
              </w:rPr>
              <w:t>26</w:t>
            </w:r>
            <w:r w:rsidR="00E05F79">
              <w:rPr>
                <w:noProof/>
                <w:webHidden/>
              </w:rPr>
              <w:fldChar w:fldCharType="end"/>
            </w:r>
          </w:hyperlink>
        </w:p>
        <w:p w14:paraId="2722B4D1" w14:textId="5EAF7334" w:rsidR="00E05F79" w:rsidRDefault="003A5E71">
          <w:pPr>
            <w:pStyle w:val="TOC2"/>
            <w:tabs>
              <w:tab w:val="right" w:leader="dot" w:pos="9062"/>
            </w:tabs>
            <w:rPr>
              <w:rFonts w:eastAsiaTheme="minorEastAsia"/>
              <w:noProof/>
              <w:lang w:val="en-US"/>
            </w:rPr>
          </w:pPr>
          <w:hyperlink w:anchor="_Toc7098478" w:history="1">
            <w:r w:rsidR="00E05F79" w:rsidRPr="00CF05AA">
              <w:rPr>
                <w:rStyle w:val="Hyperlink"/>
                <w:rFonts w:cs="Times New Roman"/>
                <w:b/>
                <w:bCs/>
                <w:noProof/>
              </w:rPr>
              <w:t xml:space="preserve">3.1. </w:t>
            </w:r>
            <w:r w:rsidR="00E05F79" w:rsidRPr="00CF05AA">
              <w:rPr>
                <w:rStyle w:val="Hyperlink"/>
                <w:rFonts w:cs="Times New Roman"/>
                <w:b/>
                <w:noProof/>
              </w:rPr>
              <w:t>Списък и времеви график на оценките, които ще се извършват през годините, в т.ч. документация относно избора на теми</w:t>
            </w:r>
            <w:r w:rsidR="00E05F79">
              <w:rPr>
                <w:noProof/>
                <w:webHidden/>
              </w:rPr>
              <w:tab/>
            </w:r>
            <w:r w:rsidR="00E05F79">
              <w:rPr>
                <w:noProof/>
                <w:webHidden/>
              </w:rPr>
              <w:fldChar w:fldCharType="begin"/>
            </w:r>
            <w:r w:rsidR="00E05F79">
              <w:rPr>
                <w:noProof/>
                <w:webHidden/>
              </w:rPr>
              <w:instrText xml:space="preserve"> PAGEREF _Toc7098478 \h </w:instrText>
            </w:r>
            <w:r w:rsidR="00E05F79">
              <w:rPr>
                <w:noProof/>
                <w:webHidden/>
              </w:rPr>
            </w:r>
            <w:r w:rsidR="00E05F79">
              <w:rPr>
                <w:noProof/>
                <w:webHidden/>
              </w:rPr>
              <w:fldChar w:fldCharType="separate"/>
            </w:r>
            <w:r w:rsidR="00E05F79">
              <w:rPr>
                <w:noProof/>
                <w:webHidden/>
              </w:rPr>
              <w:t>27</w:t>
            </w:r>
            <w:r w:rsidR="00E05F79">
              <w:rPr>
                <w:noProof/>
                <w:webHidden/>
              </w:rPr>
              <w:fldChar w:fldCharType="end"/>
            </w:r>
          </w:hyperlink>
        </w:p>
        <w:p w14:paraId="797F813A" w14:textId="1C44F546" w:rsidR="00E05F79" w:rsidRDefault="003A5E71">
          <w:pPr>
            <w:pStyle w:val="TOC2"/>
            <w:tabs>
              <w:tab w:val="right" w:leader="dot" w:pos="9062"/>
            </w:tabs>
            <w:rPr>
              <w:rFonts w:eastAsiaTheme="minorEastAsia"/>
              <w:noProof/>
              <w:lang w:val="en-US"/>
            </w:rPr>
          </w:pPr>
          <w:hyperlink w:anchor="_Toc7098479" w:history="1">
            <w:r w:rsidR="00E05F79" w:rsidRPr="00CF05AA">
              <w:rPr>
                <w:rStyle w:val="Hyperlink"/>
                <w:rFonts w:cs="Times New Roman"/>
                <w:b/>
                <w:bCs/>
                <w:noProof/>
              </w:rPr>
              <w:t>3.2. П</w:t>
            </w:r>
            <w:r w:rsidR="00E05F79" w:rsidRPr="00CF05AA">
              <w:rPr>
                <w:rStyle w:val="Hyperlink"/>
                <w:rFonts w:cs="Times New Roman"/>
                <w:b/>
                <w:noProof/>
              </w:rPr>
              <w:t>ланът за оценка ще конкретизира всеки вид квалификация</w:t>
            </w:r>
            <w:r w:rsidR="00E05F79">
              <w:rPr>
                <w:noProof/>
                <w:webHidden/>
              </w:rPr>
              <w:tab/>
            </w:r>
            <w:r w:rsidR="00E05F79">
              <w:rPr>
                <w:noProof/>
                <w:webHidden/>
              </w:rPr>
              <w:fldChar w:fldCharType="begin"/>
            </w:r>
            <w:r w:rsidR="00E05F79">
              <w:rPr>
                <w:noProof/>
                <w:webHidden/>
              </w:rPr>
              <w:instrText xml:space="preserve"> PAGEREF _Toc7098479 \h </w:instrText>
            </w:r>
            <w:r w:rsidR="00E05F79">
              <w:rPr>
                <w:noProof/>
                <w:webHidden/>
              </w:rPr>
            </w:r>
            <w:r w:rsidR="00E05F79">
              <w:rPr>
                <w:noProof/>
                <w:webHidden/>
              </w:rPr>
              <w:fldChar w:fldCharType="separate"/>
            </w:r>
            <w:r w:rsidR="00E05F79">
              <w:rPr>
                <w:noProof/>
                <w:webHidden/>
              </w:rPr>
              <w:t>28</w:t>
            </w:r>
            <w:r w:rsidR="00E05F79">
              <w:rPr>
                <w:noProof/>
                <w:webHidden/>
              </w:rPr>
              <w:fldChar w:fldCharType="end"/>
            </w:r>
          </w:hyperlink>
        </w:p>
        <w:p w14:paraId="2B8D7CF7" w14:textId="46AAECD7" w:rsidR="00E05F79" w:rsidRDefault="003A5E71">
          <w:pPr>
            <w:pStyle w:val="TOC2"/>
            <w:tabs>
              <w:tab w:val="right" w:leader="dot" w:pos="9062"/>
            </w:tabs>
            <w:rPr>
              <w:rFonts w:eastAsiaTheme="minorEastAsia"/>
              <w:noProof/>
              <w:lang w:val="en-US"/>
            </w:rPr>
          </w:pPr>
          <w:hyperlink w:anchor="_Toc7098480" w:history="1">
            <w:r w:rsidR="00E05F79" w:rsidRPr="00CF05AA">
              <w:rPr>
                <w:rStyle w:val="Hyperlink"/>
                <w:rFonts w:cs="Times New Roman"/>
                <w:b/>
                <w:bCs/>
                <w:noProof/>
              </w:rPr>
              <w:t xml:space="preserve">3.3. </w:t>
            </w:r>
            <w:r w:rsidR="00E05F79" w:rsidRPr="00CF05AA">
              <w:rPr>
                <w:rStyle w:val="Hyperlink"/>
                <w:rFonts w:cs="Times New Roman"/>
                <w:b/>
                <w:noProof/>
              </w:rPr>
              <w:t>Контекст и обосновка, вкл. основния подход (или оценка на въздействието) и основните въпроси на оценките</w:t>
            </w:r>
            <w:r w:rsidR="00E05F79">
              <w:rPr>
                <w:noProof/>
                <w:webHidden/>
              </w:rPr>
              <w:tab/>
            </w:r>
            <w:r w:rsidR="00E05F79">
              <w:rPr>
                <w:noProof/>
                <w:webHidden/>
              </w:rPr>
              <w:fldChar w:fldCharType="begin"/>
            </w:r>
            <w:r w:rsidR="00E05F79">
              <w:rPr>
                <w:noProof/>
                <w:webHidden/>
              </w:rPr>
              <w:instrText xml:space="preserve"> PAGEREF _Toc7098480 \h </w:instrText>
            </w:r>
            <w:r w:rsidR="00E05F79">
              <w:rPr>
                <w:noProof/>
                <w:webHidden/>
              </w:rPr>
            </w:r>
            <w:r w:rsidR="00E05F79">
              <w:rPr>
                <w:noProof/>
                <w:webHidden/>
              </w:rPr>
              <w:fldChar w:fldCharType="separate"/>
            </w:r>
            <w:r w:rsidR="00E05F79">
              <w:rPr>
                <w:noProof/>
                <w:webHidden/>
              </w:rPr>
              <w:t>28</w:t>
            </w:r>
            <w:r w:rsidR="00E05F79">
              <w:rPr>
                <w:noProof/>
                <w:webHidden/>
              </w:rPr>
              <w:fldChar w:fldCharType="end"/>
            </w:r>
          </w:hyperlink>
        </w:p>
        <w:p w14:paraId="6DFFE2F9" w14:textId="12772592" w:rsidR="00E05F79" w:rsidRDefault="003A5E71">
          <w:pPr>
            <w:pStyle w:val="TOC2"/>
            <w:tabs>
              <w:tab w:val="right" w:leader="dot" w:pos="9062"/>
            </w:tabs>
            <w:rPr>
              <w:rFonts w:eastAsiaTheme="minorEastAsia"/>
              <w:noProof/>
              <w:lang w:val="en-US"/>
            </w:rPr>
          </w:pPr>
          <w:hyperlink w:anchor="_Toc7098481" w:history="1">
            <w:r w:rsidR="00E05F79" w:rsidRPr="00CF05AA">
              <w:rPr>
                <w:rStyle w:val="Hyperlink"/>
                <w:rFonts w:cs="Times New Roman"/>
                <w:b/>
                <w:bCs/>
                <w:noProof/>
              </w:rPr>
              <w:t xml:space="preserve">3.4. </w:t>
            </w:r>
            <w:r w:rsidR="00E05F79" w:rsidRPr="00CF05AA">
              <w:rPr>
                <w:rStyle w:val="Hyperlink"/>
                <w:rFonts w:cs="Times New Roman"/>
                <w:b/>
                <w:noProof/>
              </w:rPr>
              <w:t>Използвани методи и информация</w:t>
            </w:r>
            <w:r w:rsidR="00E05F79">
              <w:rPr>
                <w:noProof/>
                <w:webHidden/>
              </w:rPr>
              <w:tab/>
            </w:r>
            <w:r w:rsidR="00E05F79">
              <w:rPr>
                <w:noProof/>
                <w:webHidden/>
              </w:rPr>
              <w:fldChar w:fldCharType="begin"/>
            </w:r>
            <w:r w:rsidR="00E05F79">
              <w:rPr>
                <w:noProof/>
                <w:webHidden/>
              </w:rPr>
              <w:instrText xml:space="preserve"> PAGEREF _Toc7098481 \h </w:instrText>
            </w:r>
            <w:r w:rsidR="00E05F79">
              <w:rPr>
                <w:noProof/>
                <w:webHidden/>
              </w:rPr>
            </w:r>
            <w:r w:rsidR="00E05F79">
              <w:rPr>
                <w:noProof/>
                <w:webHidden/>
              </w:rPr>
              <w:fldChar w:fldCharType="separate"/>
            </w:r>
            <w:r w:rsidR="00E05F79">
              <w:rPr>
                <w:noProof/>
                <w:webHidden/>
              </w:rPr>
              <w:t>31</w:t>
            </w:r>
            <w:r w:rsidR="00E05F79">
              <w:rPr>
                <w:noProof/>
                <w:webHidden/>
              </w:rPr>
              <w:fldChar w:fldCharType="end"/>
            </w:r>
          </w:hyperlink>
        </w:p>
        <w:p w14:paraId="0CB36318" w14:textId="0F776959" w:rsidR="00E05F79" w:rsidRDefault="003A5E71">
          <w:pPr>
            <w:pStyle w:val="TOC2"/>
            <w:tabs>
              <w:tab w:val="right" w:leader="dot" w:pos="9062"/>
            </w:tabs>
            <w:rPr>
              <w:rFonts w:eastAsiaTheme="minorEastAsia"/>
              <w:noProof/>
              <w:lang w:val="en-US"/>
            </w:rPr>
          </w:pPr>
          <w:hyperlink w:anchor="_Toc7098482" w:history="1">
            <w:r w:rsidR="00E05F79" w:rsidRPr="00CF05AA">
              <w:rPr>
                <w:rStyle w:val="Hyperlink"/>
                <w:rFonts w:cs="Times New Roman"/>
                <w:b/>
                <w:bCs/>
                <w:noProof/>
              </w:rPr>
              <w:t xml:space="preserve">3.5. </w:t>
            </w:r>
            <w:r w:rsidR="00E05F79" w:rsidRPr="00CF05AA">
              <w:rPr>
                <w:rStyle w:val="Hyperlink"/>
                <w:rFonts w:cs="Times New Roman"/>
                <w:b/>
                <w:noProof/>
              </w:rPr>
              <w:t>Гарантиране, че необходимата информация за определени оценки ще е налична или ще бъде налична в бъдеще, както и график за целта</w:t>
            </w:r>
            <w:r w:rsidR="00E05F79">
              <w:rPr>
                <w:noProof/>
                <w:webHidden/>
              </w:rPr>
              <w:tab/>
            </w:r>
            <w:r w:rsidR="00E05F79">
              <w:rPr>
                <w:noProof/>
                <w:webHidden/>
              </w:rPr>
              <w:fldChar w:fldCharType="begin"/>
            </w:r>
            <w:r w:rsidR="00E05F79">
              <w:rPr>
                <w:noProof/>
                <w:webHidden/>
              </w:rPr>
              <w:instrText xml:space="preserve"> PAGEREF _Toc7098482 \h </w:instrText>
            </w:r>
            <w:r w:rsidR="00E05F79">
              <w:rPr>
                <w:noProof/>
                <w:webHidden/>
              </w:rPr>
            </w:r>
            <w:r w:rsidR="00E05F79">
              <w:rPr>
                <w:noProof/>
                <w:webHidden/>
              </w:rPr>
              <w:fldChar w:fldCharType="separate"/>
            </w:r>
            <w:r w:rsidR="00E05F79">
              <w:rPr>
                <w:noProof/>
                <w:webHidden/>
              </w:rPr>
              <w:t>33</w:t>
            </w:r>
            <w:r w:rsidR="00E05F79">
              <w:rPr>
                <w:noProof/>
                <w:webHidden/>
              </w:rPr>
              <w:fldChar w:fldCharType="end"/>
            </w:r>
          </w:hyperlink>
        </w:p>
        <w:p w14:paraId="58ED5447" w14:textId="1B3E1D6F" w:rsidR="00E05F79" w:rsidRDefault="003A5E71">
          <w:pPr>
            <w:pStyle w:val="TOC2"/>
            <w:tabs>
              <w:tab w:val="right" w:leader="dot" w:pos="9062"/>
            </w:tabs>
            <w:rPr>
              <w:rFonts w:eastAsiaTheme="minorEastAsia"/>
              <w:noProof/>
              <w:lang w:val="en-US"/>
            </w:rPr>
          </w:pPr>
          <w:hyperlink w:anchor="_Toc7098483" w:history="1">
            <w:r w:rsidR="00E05F79" w:rsidRPr="00CF05AA">
              <w:rPr>
                <w:rStyle w:val="Hyperlink"/>
                <w:rFonts w:cs="Times New Roman"/>
                <w:b/>
                <w:bCs/>
                <w:noProof/>
              </w:rPr>
              <w:t xml:space="preserve">3.6. </w:t>
            </w:r>
            <w:r w:rsidR="00E05F79" w:rsidRPr="00CF05AA">
              <w:rPr>
                <w:rStyle w:val="Hyperlink"/>
                <w:rFonts w:cs="Times New Roman"/>
                <w:b/>
                <w:noProof/>
              </w:rPr>
              <w:t>Времетраене и ориентировъчни дати</w:t>
            </w:r>
            <w:r w:rsidR="00E05F79">
              <w:rPr>
                <w:noProof/>
                <w:webHidden/>
              </w:rPr>
              <w:tab/>
            </w:r>
            <w:r w:rsidR="00E05F79">
              <w:rPr>
                <w:noProof/>
                <w:webHidden/>
              </w:rPr>
              <w:fldChar w:fldCharType="begin"/>
            </w:r>
            <w:r w:rsidR="00E05F79">
              <w:rPr>
                <w:noProof/>
                <w:webHidden/>
              </w:rPr>
              <w:instrText xml:space="preserve"> PAGEREF _Toc7098483 \h </w:instrText>
            </w:r>
            <w:r w:rsidR="00E05F79">
              <w:rPr>
                <w:noProof/>
                <w:webHidden/>
              </w:rPr>
            </w:r>
            <w:r w:rsidR="00E05F79">
              <w:rPr>
                <w:noProof/>
                <w:webHidden/>
              </w:rPr>
              <w:fldChar w:fldCharType="separate"/>
            </w:r>
            <w:r w:rsidR="00E05F79">
              <w:rPr>
                <w:noProof/>
                <w:webHidden/>
              </w:rPr>
              <w:t>33</w:t>
            </w:r>
            <w:r w:rsidR="00E05F79">
              <w:rPr>
                <w:noProof/>
                <w:webHidden/>
              </w:rPr>
              <w:fldChar w:fldCharType="end"/>
            </w:r>
          </w:hyperlink>
        </w:p>
        <w:p w14:paraId="23C7095A" w14:textId="2FA39F99" w:rsidR="00E05F79" w:rsidRDefault="003A5E71">
          <w:pPr>
            <w:pStyle w:val="TOC2"/>
            <w:tabs>
              <w:tab w:val="right" w:leader="dot" w:pos="9062"/>
            </w:tabs>
            <w:rPr>
              <w:rFonts w:eastAsiaTheme="minorEastAsia"/>
              <w:noProof/>
              <w:lang w:val="en-US"/>
            </w:rPr>
          </w:pPr>
          <w:hyperlink w:anchor="_Toc7098484" w:history="1">
            <w:r w:rsidR="00E05F79" w:rsidRPr="00CF05AA">
              <w:rPr>
                <w:rStyle w:val="Hyperlink"/>
                <w:rFonts w:cs="Times New Roman"/>
                <w:b/>
                <w:bCs/>
                <w:noProof/>
              </w:rPr>
              <w:t xml:space="preserve">3.7. </w:t>
            </w:r>
            <w:r w:rsidR="00E05F79" w:rsidRPr="00CF05AA">
              <w:rPr>
                <w:rStyle w:val="Hyperlink"/>
                <w:rFonts w:cs="Times New Roman"/>
                <w:b/>
                <w:noProof/>
              </w:rPr>
              <w:t>Очакван бюджет за всяка оценка (свързан с избраните методи и времетраене на договора)</w:t>
            </w:r>
            <w:r w:rsidR="00E05F79">
              <w:rPr>
                <w:noProof/>
                <w:webHidden/>
              </w:rPr>
              <w:tab/>
            </w:r>
            <w:r w:rsidR="00E05F79">
              <w:rPr>
                <w:noProof/>
                <w:webHidden/>
              </w:rPr>
              <w:fldChar w:fldCharType="begin"/>
            </w:r>
            <w:r w:rsidR="00E05F79">
              <w:rPr>
                <w:noProof/>
                <w:webHidden/>
              </w:rPr>
              <w:instrText xml:space="preserve"> PAGEREF _Toc7098484 \h </w:instrText>
            </w:r>
            <w:r w:rsidR="00E05F79">
              <w:rPr>
                <w:noProof/>
                <w:webHidden/>
              </w:rPr>
            </w:r>
            <w:r w:rsidR="00E05F79">
              <w:rPr>
                <w:noProof/>
                <w:webHidden/>
              </w:rPr>
              <w:fldChar w:fldCharType="separate"/>
            </w:r>
            <w:r w:rsidR="00E05F79">
              <w:rPr>
                <w:noProof/>
                <w:webHidden/>
              </w:rPr>
              <w:t>37</w:t>
            </w:r>
            <w:r w:rsidR="00E05F79">
              <w:rPr>
                <w:noProof/>
                <w:webHidden/>
              </w:rPr>
              <w:fldChar w:fldCharType="end"/>
            </w:r>
          </w:hyperlink>
        </w:p>
        <w:p w14:paraId="242CA756" w14:textId="3961F32A" w:rsidR="00AD696D" w:rsidRPr="00A06340" w:rsidRDefault="00AD696D" w:rsidP="00A06340">
          <w:pPr>
            <w:jc w:val="both"/>
            <w:rPr>
              <w:rFonts w:asciiTheme="majorHAnsi" w:hAnsiTheme="majorHAnsi" w:cs="Times New Roman"/>
              <w:b/>
              <w:sz w:val="24"/>
              <w:szCs w:val="24"/>
            </w:rPr>
          </w:pPr>
          <w:r w:rsidRPr="00A06340">
            <w:rPr>
              <w:rFonts w:asciiTheme="majorHAnsi" w:hAnsiTheme="majorHAnsi" w:cs="Times New Roman"/>
              <w:b/>
              <w:bCs/>
              <w:noProof/>
              <w:sz w:val="24"/>
              <w:szCs w:val="24"/>
            </w:rPr>
            <w:fldChar w:fldCharType="end"/>
          </w:r>
        </w:p>
      </w:sdtContent>
    </w:sdt>
    <w:p w14:paraId="1516FABE" w14:textId="00EB725F" w:rsidR="00AD696D" w:rsidRPr="00A06340" w:rsidRDefault="00AD696D" w:rsidP="00A06340">
      <w:pPr>
        <w:jc w:val="both"/>
        <w:rPr>
          <w:rFonts w:asciiTheme="majorHAnsi" w:hAnsiTheme="majorHAnsi" w:cs="Times New Roman"/>
          <w:b/>
          <w:sz w:val="24"/>
          <w:szCs w:val="24"/>
        </w:rPr>
      </w:pPr>
    </w:p>
    <w:p w14:paraId="17F522A5" w14:textId="4147FF2C" w:rsidR="00710A98" w:rsidRPr="00A06340" w:rsidRDefault="00710A98" w:rsidP="00A06340">
      <w:pPr>
        <w:pStyle w:val="ListParagraph"/>
        <w:spacing w:after="0"/>
        <w:ind w:left="0"/>
        <w:jc w:val="both"/>
        <w:rPr>
          <w:rFonts w:asciiTheme="majorHAnsi" w:hAnsiTheme="majorHAnsi" w:cs="Times New Roman"/>
          <w:b/>
          <w:sz w:val="24"/>
          <w:szCs w:val="24"/>
        </w:rPr>
      </w:pPr>
    </w:p>
    <w:p w14:paraId="2E4B9392" w14:textId="77777777" w:rsidR="00F94B1B" w:rsidRPr="00A06340" w:rsidRDefault="00F94B1B" w:rsidP="00A06340">
      <w:pPr>
        <w:pStyle w:val="Heading1"/>
        <w:jc w:val="both"/>
        <w:rPr>
          <w:rFonts w:cs="Times New Roman"/>
          <w:b w:val="0"/>
          <w:sz w:val="24"/>
          <w:szCs w:val="24"/>
        </w:rPr>
      </w:pPr>
      <w:bookmarkStart w:id="1" w:name="_Toc7098466"/>
      <w:r w:rsidRPr="00A06340">
        <w:rPr>
          <w:rFonts w:cs="Times New Roman"/>
          <w:sz w:val="24"/>
          <w:szCs w:val="24"/>
        </w:rPr>
        <w:lastRenderedPageBreak/>
        <w:t>Списък на използваните съкращения</w:t>
      </w:r>
      <w:bookmarkEnd w:id="1"/>
    </w:p>
    <w:p w14:paraId="24691870" w14:textId="77777777" w:rsidR="00F94B1B" w:rsidRPr="00A06340" w:rsidRDefault="00F94B1B" w:rsidP="00A06340">
      <w:pPr>
        <w:spacing w:after="0"/>
        <w:ind w:firstLine="567"/>
        <w:jc w:val="both"/>
        <w:rPr>
          <w:rFonts w:asciiTheme="majorHAnsi" w:hAnsiTheme="majorHAnsi" w:cs="Times New Roman"/>
          <w:b/>
          <w:sz w:val="24"/>
          <w:szCs w:val="24"/>
        </w:rPr>
      </w:pPr>
    </w:p>
    <w:tbl>
      <w:tblPr>
        <w:tblStyle w:val="TableGrid"/>
        <w:tblW w:w="0" w:type="auto"/>
        <w:tblLook w:val="04A0" w:firstRow="1" w:lastRow="0" w:firstColumn="1" w:lastColumn="0" w:noHBand="0" w:noVBand="1"/>
      </w:tblPr>
      <w:tblGrid>
        <w:gridCol w:w="2093"/>
        <w:gridCol w:w="7119"/>
      </w:tblGrid>
      <w:tr w:rsidR="001301AD" w:rsidRPr="00A06340" w14:paraId="0415B387" w14:textId="77777777" w:rsidTr="006854B1">
        <w:tc>
          <w:tcPr>
            <w:tcW w:w="2093" w:type="dxa"/>
          </w:tcPr>
          <w:p w14:paraId="066B3FF4" w14:textId="4F94F931" w:rsidR="001301AD" w:rsidRPr="00A06340" w:rsidRDefault="001301AD" w:rsidP="00A06340">
            <w:pPr>
              <w:ind w:firstLine="567"/>
              <w:jc w:val="both"/>
              <w:rPr>
                <w:rFonts w:asciiTheme="majorHAnsi" w:hAnsiTheme="majorHAnsi" w:cs="Times New Roman"/>
                <w:b/>
                <w:sz w:val="24"/>
                <w:szCs w:val="24"/>
              </w:rPr>
            </w:pPr>
            <w:r w:rsidRPr="00A06340">
              <w:rPr>
                <w:rFonts w:asciiTheme="majorHAnsi" w:hAnsiTheme="majorHAnsi" w:cs="Times New Roman"/>
                <w:b/>
                <w:sz w:val="24"/>
                <w:szCs w:val="24"/>
              </w:rPr>
              <w:t>БФП</w:t>
            </w:r>
          </w:p>
        </w:tc>
        <w:tc>
          <w:tcPr>
            <w:tcW w:w="7119" w:type="dxa"/>
          </w:tcPr>
          <w:p w14:paraId="5B812282" w14:textId="21289AA7" w:rsidR="001301AD" w:rsidRPr="00A06340" w:rsidRDefault="001301AD" w:rsidP="00A06340">
            <w:pPr>
              <w:ind w:firstLine="567"/>
              <w:jc w:val="both"/>
              <w:rPr>
                <w:rFonts w:asciiTheme="majorHAnsi" w:hAnsiTheme="majorHAnsi" w:cs="Times New Roman"/>
                <w:sz w:val="24"/>
                <w:szCs w:val="24"/>
              </w:rPr>
            </w:pPr>
            <w:r w:rsidRPr="00A06340">
              <w:rPr>
                <w:rFonts w:asciiTheme="majorHAnsi" w:hAnsiTheme="majorHAnsi" w:cs="Times New Roman"/>
                <w:sz w:val="24"/>
                <w:szCs w:val="24"/>
              </w:rPr>
              <w:t>Безвъзмездна финансова помощ</w:t>
            </w:r>
          </w:p>
        </w:tc>
      </w:tr>
      <w:tr w:rsidR="00EF1AA6" w:rsidRPr="00A06340" w14:paraId="2BF0E19D" w14:textId="77777777" w:rsidTr="006854B1">
        <w:tc>
          <w:tcPr>
            <w:tcW w:w="2093" w:type="dxa"/>
          </w:tcPr>
          <w:p w14:paraId="6DB5661D" w14:textId="530C1ACD" w:rsidR="00EF1AA6" w:rsidRPr="00A06340" w:rsidRDefault="00EF1AA6" w:rsidP="00A06340">
            <w:pPr>
              <w:ind w:firstLine="567"/>
              <w:jc w:val="both"/>
              <w:rPr>
                <w:rFonts w:asciiTheme="majorHAnsi" w:hAnsiTheme="majorHAnsi" w:cs="Times New Roman"/>
                <w:b/>
                <w:sz w:val="24"/>
                <w:szCs w:val="24"/>
              </w:rPr>
            </w:pPr>
            <w:r w:rsidRPr="00A06340">
              <w:rPr>
                <w:rFonts w:asciiTheme="majorHAnsi" w:hAnsiTheme="majorHAnsi" w:cs="Times New Roman"/>
                <w:b/>
                <w:sz w:val="24"/>
                <w:szCs w:val="24"/>
              </w:rPr>
              <w:t>ВОМР</w:t>
            </w:r>
          </w:p>
        </w:tc>
        <w:tc>
          <w:tcPr>
            <w:tcW w:w="7119" w:type="dxa"/>
          </w:tcPr>
          <w:p w14:paraId="631B5DF8" w14:textId="126D115A" w:rsidR="00EF1AA6" w:rsidRPr="00A06340" w:rsidRDefault="00EF1AA6" w:rsidP="00A06340">
            <w:pPr>
              <w:ind w:firstLine="567"/>
              <w:jc w:val="both"/>
              <w:rPr>
                <w:rFonts w:asciiTheme="majorHAnsi" w:hAnsiTheme="majorHAnsi" w:cs="Times New Roman"/>
                <w:sz w:val="24"/>
                <w:szCs w:val="24"/>
              </w:rPr>
            </w:pPr>
            <w:r w:rsidRPr="00A06340">
              <w:rPr>
                <w:rFonts w:asciiTheme="majorHAnsi" w:hAnsiTheme="majorHAnsi" w:cs="Times New Roman"/>
                <w:sz w:val="24"/>
                <w:szCs w:val="24"/>
              </w:rPr>
              <w:t>Водено от общностите местно развитие</w:t>
            </w:r>
          </w:p>
        </w:tc>
      </w:tr>
      <w:tr w:rsidR="00E67919" w:rsidRPr="00A06340" w14:paraId="1697C276" w14:textId="77777777" w:rsidTr="006854B1">
        <w:tc>
          <w:tcPr>
            <w:tcW w:w="2093" w:type="dxa"/>
          </w:tcPr>
          <w:p w14:paraId="7383D392" w14:textId="43960051" w:rsidR="00E67919" w:rsidRPr="00A06340" w:rsidRDefault="00E67919" w:rsidP="00A06340">
            <w:pPr>
              <w:spacing w:line="276" w:lineRule="auto"/>
              <w:ind w:firstLine="567"/>
              <w:jc w:val="both"/>
              <w:rPr>
                <w:rFonts w:asciiTheme="majorHAnsi" w:hAnsiTheme="majorHAnsi" w:cs="Times New Roman"/>
                <w:b/>
                <w:sz w:val="24"/>
                <w:szCs w:val="24"/>
              </w:rPr>
            </w:pPr>
            <w:r w:rsidRPr="00A06340">
              <w:rPr>
                <w:rFonts w:asciiTheme="majorHAnsi" w:hAnsiTheme="majorHAnsi" w:cs="Times New Roman"/>
                <w:b/>
                <w:sz w:val="24"/>
                <w:szCs w:val="24"/>
              </w:rPr>
              <w:t>ГДИ</w:t>
            </w:r>
          </w:p>
        </w:tc>
        <w:tc>
          <w:tcPr>
            <w:tcW w:w="7119" w:type="dxa"/>
          </w:tcPr>
          <w:p w14:paraId="2358894B" w14:textId="6C96F279" w:rsidR="00E67919" w:rsidRPr="00A06340" w:rsidRDefault="00E67919" w:rsidP="00A06340">
            <w:pPr>
              <w:spacing w:line="276" w:lineRule="auto"/>
              <w:ind w:firstLine="567"/>
              <w:jc w:val="both"/>
              <w:rPr>
                <w:rFonts w:asciiTheme="majorHAnsi" w:hAnsiTheme="majorHAnsi" w:cs="Times New Roman"/>
                <w:sz w:val="24"/>
                <w:szCs w:val="24"/>
              </w:rPr>
            </w:pPr>
            <w:r w:rsidRPr="00A06340">
              <w:rPr>
                <w:rFonts w:asciiTheme="majorHAnsi" w:hAnsiTheme="majorHAnsi" w:cs="Times New Roman"/>
                <w:sz w:val="24"/>
                <w:szCs w:val="24"/>
              </w:rPr>
              <w:t>Годишен доклад за изпълнение</w:t>
            </w:r>
          </w:p>
        </w:tc>
      </w:tr>
      <w:tr w:rsidR="00E67919" w:rsidRPr="00A06340" w14:paraId="07963386" w14:textId="77777777" w:rsidTr="006854B1">
        <w:tc>
          <w:tcPr>
            <w:tcW w:w="2093" w:type="dxa"/>
          </w:tcPr>
          <w:p w14:paraId="6EDB56B4" w14:textId="77777777" w:rsidR="00E67919" w:rsidRPr="00A06340" w:rsidRDefault="00E67919" w:rsidP="00A06340">
            <w:pPr>
              <w:spacing w:line="276" w:lineRule="auto"/>
              <w:ind w:firstLine="567"/>
              <w:jc w:val="both"/>
              <w:rPr>
                <w:rFonts w:asciiTheme="majorHAnsi" w:hAnsiTheme="majorHAnsi" w:cs="Times New Roman"/>
                <w:b/>
                <w:sz w:val="24"/>
                <w:szCs w:val="24"/>
              </w:rPr>
            </w:pPr>
            <w:r w:rsidRPr="00A06340">
              <w:rPr>
                <w:rFonts w:asciiTheme="majorHAnsi" w:hAnsiTheme="majorHAnsi" w:cs="Times New Roman"/>
                <w:b/>
                <w:sz w:val="24"/>
                <w:szCs w:val="24"/>
              </w:rPr>
              <w:t>ДФЗ - РА</w:t>
            </w:r>
          </w:p>
        </w:tc>
        <w:tc>
          <w:tcPr>
            <w:tcW w:w="7119" w:type="dxa"/>
          </w:tcPr>
          <w:p w14:paraId="3B6224D7" w14:textId="77777777" w:rsidR="004D706C" w:rsidRPr="00A06340" w:rsidRDefault="00E67919" w:rsidP="00A06340">
            <w:pPr>
              <w:spacing w:line="276" w:lineRule="auto"/>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Държавен фонд „Земеделие“ – Разплащателна </w:t>
            </w:r>
          </w:p>
          <w:p w14:paraId="6F9A254F" w14:textId="7E19B5D8" w:rsidR="00E67919" w:rsidRPr="00A06340" w:rsidRDefault="00E67919" w:rsidP="00A06340">
            <w:pPr>
              <w:spacing w:line="276" w:lineRule="auto"/>
              <w:ind w:firstLine="567"/>
              <w:jc w:val="both"/>
              <w:rPr>
                <w:rFonts w:asciiTheme="majorHAnsi" w:hAnsiTheme="majorHAnsi" w:cs="Times New Roman"/>
                <w:sz w:val="24"/>
                <w:szCs w:val="24"/>
              </w:rPr>
            </w:pPr>
            <w:r w:rsidRPr="00A06340">
              <w:rPr>
                <w:rFonts w:asciiTheme="majorHAnsi" w:hAnsiTheme="majorHAnsi" w:cs="Times New Roman"/>
                <w:sz w:val="24"/>
                <w:szCs w:val="24"/>
              </w:rPr>
              <w:t>агенция</w:t>
            </w:r>
          </w:p>
        </w:tc>
      </w:tr>
      <w:tr w:rsidR="00470159" w:rsidRPr="00A06340" w14:paraId="2A61D735" w14:textId="77777777" w:rsidTr="006854B1">
        <w:tc>
          <w:tcPr>
            <w:tcW w:w="2093" w:type="dxa"/>
          </w:tcPr>
          <w:p w14:paraId="45459833" w14:textId="0689E054" w:rsidR="00470159" w:rsidRPr="00A06340" w:rsidRDefault="00470159" w:rsidP="00A06340">
            <w:pPr>
              <w:ind w:firstLine="567"/>
              <w:jc w:val="both"/>
              <w:rPr>
                <w:rFonts w:asciiTheme="majorHAnsi" w:hAnsiTheme="majorHAnsi" w:cs="Times New Roman"/>
                <w:b/>
                <w:sz w:val="24"/>
                <w:szCs w:val="24"/>
              </w:rPr>
            </w:pPr>
            <w:r w:rsidRPr="00A06340">
              <w:rPr>
                <w:rFonts w:asciiTheme="majorHAnsi" w:hAnsiTheme="majorHAnsi" w:cs="Times New Roman"/>
                <w:b/>
                <w:sz w:val="24"/>
                <w:szCs w:val="24"/>
              </w:rPr>
              <w:t>ЕК</w:t>
            </w:r>
          </w:p>
        </w:tc>
        <w:tc>
          <w:tcPr>
            <w:tcW w:w="7119" w:type="dxa"/>
          </w:tcPr>
          <w:p w14:paraId="19ECBED6" w14:textId="726FA259" w:rsidR="00470159" w:rsidRPr="00A06340" w:rsidRDefault="00470159" w:rsidP="00A06340">
            <w:pPr>
              <w:ind w:firstLine="567"/>
              <w:jc w:val="both"/>
              <w:rPr>
                <w:rFonts w:asciiTheme="majorHAnsi" w:hAnsiTheme="majorHAnsi" w:cs="Times New Roman"/>
                <w:sz w:val="24"/>
                <w:szCs w:val="24"/>
              </w:rPr>
            </w:pPr>
            <w:r w:rsidRPr="00A06340">
              <w:rPr>
                <w:rFonts w:asciiTheme="majorHAnsi" w:hAnsiTheme="majorHAnsi" w:cs="Times New Roman"/>
                <w:sz w:val="24"/>
                <w:szCs w:val="24"/>
              </w:rPr>
              <w:t>Европейска комисия</w:t>
            </w:r>
          </w:p>
        </w:tc>
      </w:tr>
      <w:tr w:rsidR="00E67919" w:rsidRPr="00A06340" w14:paraId="68DF4DD9" w14:textId="77777777" w:rsidTr="006854B1">
        <w:tc>
          <w:tcPr>
            <w:tcW w:w="2093" w:type="dxa"/>
          </w:tcPr>
          <w:p w14:paraId="28435DD8" w14:textId="77777777" w:rsidR="00E67919" w:rsidRPr="00A06340" w:rsidRDefault="00E67919" w:rsidP="00A06340">
            <w:pPr>
              <w:spacing w:line="276" w:lineRule="auto"/>
              <w:ind w:firstLine="567"/>
              <w:jc w:val="both"/>
              <w:rPr>
                <w:rFonts w:asciiTheme="majorHAnsi" w:hAnsiTheme="majorHAnsi" w:cs="Times New Roman"/>
                <w:b/>
                <w:sz w:val="24"/>
                <w:szCs w:val="24"/>
              </w:rPr>
            </w:pPr>
            <w:r w:rsidRPr="00A06340">
              <w:rPr>
                <w:rFonts w:asciiTheme="majorHAnsi" w:hAnsiTheme="majorHAnsi" w:cs="Times New Roman"/>
                <w:b/>
                <w:sz w:val="24"/>
                <w:szCs w:val="24"/>
              </w:rPr>
              <w:t>ИАРА</w:t>
            </w:r>
          </w:p>
        </w:tc>
        <w:tc>
          <w:tcPr>
            <w:tcW w:w="7119" w:type="dxa"/>
          </w:tcPr>
          <w:p w14:paraId="3B73E9DB" w14:textId="77777777" w:rsidR="00E67919" w:rsidRPr="00A06340" w:rsidRDefault="00E67919" w:rsidP="00A06340">
            <w:pPr>
              <w:spacing w:line="276" w:lineRule="auto"/>
              <w:ind w:firstLine="567"/>
              <w:jc w:val="both"/>
              <w:rPr>
                <w:rFonts w:asciiTheme="majorHAnsi" w:hAnsiTheme="majorHAnsi" w:cs="Times New Roman"/>
                <w:sz w:val="24"/>
                <w:szCs w:val="24"/>
              </w:rPr>
            </w:pPr>
            <w:r w:rsidRPr="00A06340">
              <w:rPr>
                <w:rFonts w:asciiTheme="majorHAnsi" w:hAnsiTheme="majorHAnsi" w:cs="Times New Roman"/>
                <w:sz w:val="24"/>
                <w:szCs w:val="24"/>
              </w:rPr>
              <w:t>Изпълнителна агенция по рибарство и аквакултури</w:t>
            </w:r>
          </w:p>
        </w:tc>
      </w:tr>
      <w:tr w:rsidR="00E67919" w:rsidRPr="00A06340" w14:paraId="6104A30B" w14:textId="77777777" w:rsidTr="006854B1">
        <w:tc>
          <w:tcPr>
            <w:tcW w:w="2093" w:type="dxa"/>
          </w:tcPr>
          <w:p w14:paraId="3194A50C" w14:textId="42D283CF" w:rsidR="00E67919" w:rsidRPr="00A06340" w:rsidRDefault="00E67919" w:rsidP="00A06340">
            <w:pPr>
              <w:spacing w:line="276" w:lineRule="auto"/>
              <w:ind w:firstLine="567"/>
              <w:jc w:val="both"/>
              <w:rPr>
                <w:rFonts w:asciiTheme="majorHAnsi" w:hAnsiTheme="majorHAnsi" w:cs="Times New Roman"/>
                <w:b/>
                <w:sz w:val="24"/>
                <w:szCs w:val="24"/>
              </w:rPr>
            </w:pPr>
            <w:r w:rsidRPr="00A06340">
              <w:rPr>
                <w:rFonts w:asciiTheme="majorHAnsi" w:hAnsiTheme="majorHAnsi" w:cs="Times New Roman"/>
                <w:b/>
                <w:sz w:val="24"/>
                <w:szCs w:val="24"/>
              </w:rPr>
              <w:t>ИМП</w:t>
            </w:r>
          </w:p>
        </w:tc>
        <w:tc>
          <w:tcPr>
            <w:tcW w:w="7119" w:type="dxa"/>
          </w:tcPr>
          <w:p w14:paraId="2E8C8CDC" w14:textId="21177C09" w:rsidR="00E67919" w:rsidRPr="00A06340" w:rsidRDefault="00E67919" w:rsidP="00A06340">
            <w:pPr>
              <w:spacing w:line="276" w:lineRule="auto"/>
              <w:ind w:firstLine="567"/>
              <w:jc w:val="both"/>
              <w:rPr>
                <w:rFonts w:asciiTheme="majorHAnsi" w:hAnsiTheme="majorHAnsi" w:cs="Times New Roman"/>
                <w:sz w:val="24"/>
                <w:szCs w:val="24"/>
              </w:rPr>
            </w:pPr>
            <w:r w:rsidRPr="00A06340">
              <w:rPr>
                <w:rFonts w:asciiTheme="majorHAnsi" w:hAnsiTheme="majorHAnsi" w:cs="Times New Roman"/>
                <w:sz w:val="24"/>
                <w:szCs w:val="24"/>
              </w:rPr>
              <w:t>Интегрираната морска политика</w:t>
            </w:r>
          </w:p>
        </w:tc>
      </w:tr>
      <w:tr w:rsidR="00E67919" w:rsidRPr="00A06340" w14:paraId="1F847CC8" w14:textId="77777777" w:rsidTr="006854B1">
        <w:tc>
          <w:tcPr>
            <w:tcW w:w="2093" w:type="dxa"/>
          </w:tcPr>
          <w:p w14:paraId="19F16A05" w14:textId="63B147F1" w:rsidR="00E67919" w:rsidRPr="00A06340" w:rsidRDefault="00851C4E" w:rsidP="00A06340">
            <w:pPr>
              <w:spacing w:line="276" w:lineRule="auto"/>
              <w:ind w:firstLine="567"/>
              <w:jc w:val="both"/>
              <w:rPr>
                <w:rFonts w:asciiTheme="majorHAnsi" w:hAnsiTheme="majorHAnsi" w:cs="Times New Roman"/>
                <w:b/>
                <w:sz w:val="24"/>
                <w:szCs w:val="24"/>
              </w:rPr>
            </w:pPr>
            <w:r w:rsidRPr="00A06340">
              <w:rPr>
                <w:rFonts w:asciiTheme="majorHAnsi" w:hAnsiTheme="majorHAnsi" w:cs="Times New Roman"/>
                <w:b/>
                <w:sz w:val="24"/>
                <w:szCs w:val="24"/>
              </w:rPr>
              <w:t>ИСУН</w:t>
            </w:r>
          </w:p>
        </w:tc>
        <w:tc>
          <w:tcPr>
            <w:tcW w:w="7119" w:type="dxa"/>
          </w:tcPr>
          <w:p w14:paraId="5D7D0061" w14:textId="2321E47C" w:rsidR="00E67919" w:rsidRPr="00A06340" w:rsidRDefault="00851C4E" w:rsidP="00A06340">
            <w:pPr>
              <w:spacing w:line="276" w:lineRule="auto"/>
              <w:ind w:firstLine="567"/>
              <w:jc w:val="both"/>
              <w:rPr>
                <w:rFonts w:asciiTheme="majorHAnsi" w:hAnsiTheme="majorHAnsi" w:cs="Times New Roman"/>
                <w:sz w:val="24"/>
                <w:szCs w:val="24"/>
              </w:rPr>
            </w:pPr>
            <w:r w:rsidRPr="00A06340">
              <w:rPr>
                <w:rFonts w:asciiTheme="majorHAnsi" w:hAnsiTheme="majorHAnsi" w:cs="Times New Roman"/>
                <w:sz w:val="24"/>
                <w:szCs w:val="24"/>
              </w:rPr>
              <w:t>Интегрирана система за управление и наблюдение</w:t>
            </w:r>
          </w:p>
        </w:tc>
      </w:tr>
      <w:tr w:rsidR="00851C4E" w:rsidRPr="00A06340" w14:paraId="7548D6B2" w14:textId="77777777" w:rsidTr="006854B1">
        <w:tc>
          <w:tcPr>
            <w:tcW w:w="2093" w:type="dxa"/>
          </w:tcPr>
          <w:p w14:paraId="59BA6F1F" w14:textId="66472D28" w:rsidR="00851C4E" w:rsidRPr="00A06340" w:rsidRDefault="00851C4E" w:rsidP="00A06340">
            <w:pPr>
              <w:spacing w:line="276" w:lineRule="auto"/>
              <w:ind w:firstLine="567"/>
              <w:jc w:val="both"/>
              <w:rPr>
                <w:rFonts w:asciiTheme="majorHAnsi" w:hAnsiTheme="majorHAnsi" w:cs="Times New Roman"/>
                <w:b/>
                <w:sz w:val="24"/>
                <w:szCs w:val="24"/>
              </w:rPr>
            </w:pPr>
            <w:r w:rsidRPr="00A06340">
              <w:rPr>
                <w:rFonts w:asciiTheme="majorHAnsi" w:hAnsiTheme="majorHAnsi" w:cs="Times New Roman"/>
                <w:b/>
                <w:sz w:val="24"/>
                <w:szCs w:val="24"/>
              </w:rPr>
              <w:t>КН</w:t>
            </w:r>
          </w:p>
        </w:tc>
        <w:tc>
          <w:tcPr>
            <w:tcW w:w="7119" w:type="dxa"/>
          </w:tcPr>
          <w:p w14:paraId="6045EAAD" w14:textId="539C35A4" w:rsidR="00851C4E" w:rsidRPr="00A06340" w:rsidRDefault="00851C4E" w:rsidP="00A06340">
            <w:pPr>
              <w:spacing w:line="276" w:lineRule="auto"/>
              <w:ind w:firstLine="567"/>
              <w:jc w:val="both"/>
              <w:rPr>
                <w:rFonts w:asciiTheme="majorHAnsi" w:hAnsiTheme="majorHAnsi" w:cs="Times New Roman"/>
                <w:sz w:val="24"/>
                <w:szCs w:val="24"/>
              </w:rPr>
            </w:pPr>
            <w:r w:rsidRPr="00A06340">
              <w:rPr>
                <w:rFonts w:asciiTheme="majorHAnsi" w:hAnsiTheme="majorHAnsi" w:cs="Times New Roman"/>
                <w:sz w:val="24"/>
                <w:szCs w:val="24"/>
              </w:rPr>
              <w:t>Комитет за наблюдение</w:t>
            </w:r>
          </w:p>
        </w:tc>
      </w:tr>
      <w:tr w:rsidR="00EF1AA6" w:rsidRPr="00A06340" w14:paraId="5D9B96AD" w14:textId="77777777" w:rsidTr="00610026">
        <w:tc>
          <w:tcPr>
            <w:tcW w:w="2093" w:type="dxa"/>
          </w:tcPr>
          <w:p w14:paraId="697B5484" w14:textId="34F05F23" w:rsidR="00EF1AA6" w:rsidRPr="00A06340" w:rsidRDefault="00EF1AA6" w:rsidP="00A06340">
            <w:pPr>
              <w:ind w:firstLine="567"/>
              <w:jc w:val="both"/>
              <w:rPr>
                <w:rFonts w:asciiTheme="majorHAnsi" w:hAnsiTheme="majorHAnsi" w:cs="Times New Roman"/>
                <w:b/>
                <w:sz w:val="24"/>
                <w:szCs w:val="24"/>
              </w:rPr>
            </w:pPr>
            <w:r w:rsidRPr="00A06340">
              <w:rPr>
                <w:rFonts w:asciiTheme="majorHAnsi" w:hAnsiTheme="majorHAnsi" w:cs="Times New Roman"/>
                <w:b/>
                <w:sz w:val="24"/>
                <w:szCs w:val="24"/>
              </w:rPr>
              <w:t>МИРГ</w:t>
            </w:r>
          </w:p>
        </w:tc>
        <w:tc>
          <w:tcPr>
            <w:tcW w:w="7119" w:type="dxa"/>
          </w:tcPr>
          <w:p w14:paraId="3B664616" w14:textId="07986E78" w:rsidR="00EF1AA6" w:rsidRPr="00A06340" w:rsidRDefault="00EF1AA6" w:rsidP="00A06340">
            <w:pPr>
              <w:ind w:firstLine="567"/>
              <w:jc w:val="both"/>
              <w:rPr>
                <w:rFonts w:asciiTheme="majorHAnsi" w:hAnsiTheme="majorHAnsi" w:cs="Times New Roman"/>
                <w:sz w:val="24"/>
                <w:szCs w:val="24"/>
              </w:rPr>
            </w:pPr>
            <w:r w:rsidRPr="00A06340">
              <w:rPr>
                <w:rFonts w:asciiTheme="majorHAnsi" w:hAnsiTheme="majorHAnsi" w:cs="Times New Roman"/>
                <w:sz w:val="24"/>
                <w:szCs w:val="24"/>
              </w:rPr>
              <w:t>Местна инициативна рибарска група</w:t>
            </w:r>
          </w:p>
        </w:tc>
      </w:tr>
      <w:tr w:rsidR="00113CBE" w:rsidRPr="00A06340" w14:paraId="68BFBC8D" w14:textId="77777777" w:rsidTr="006854B1">
        <w:tc>
          <w:tcPr>
            <w:tcW w:w="2093" w:type="dxa"/>
          </w:tcPr>
          <w:p w14:paraId="280395EE" w14:textId="1EB14EC8" w:rsidR="00113CBE" w:rsidRPr="00A06340" w:rsidRDefault="00113CBE" w:rsidP="00A06340">
            <w:pPr>
              <w:ind w:firstLine="567"/>
              <w:jc w:val="both"/>
              <w:rPr>
                <w:rFonts w:asciiTheme="majorHAnsi" w:hAnsiTheme="majorHAnsi" w:cs="Times New Roman"/>
                <w:b/>
                <w:sz w:val="24"/>
                <w:szCs w:val="24"/>
              </w:rPr>
            </w:pPr>
            <w:r w:rsidRPr="00A06340">
              <w:rPr>
                <w:rFonts w:asciiTheme="majorHAnsi" w:hAnsiTheme="majorHAnsi" w:cs="Times New Roman"/>
                <w:b/>
                <w:sz w:val="24"/>
                <w:szCs w:val="24"/>
              </w:rPr>
              <w:t>МОСВ</w:t>
            </w:r>
          </w:p>
        </w:tc>
        <w:tc>
          <w:tcPr>
            <w:tcW w:w="7119" w:type="dxa"/>
          </w:tcPr>
          <w:p w14:paraId="2C9B9C16" w14:textId="1328152B" w:rsidR="00113CBE" w:rsidRPr="00A06340" w:rsidRDefault="00113CBE" w:rsidP="00A06340">
            <w:pPr>
              <w:ind w:firstLine="567"/>
              <w:jc w:val="both"/>
              <w:rPr>
                <w:rFonts w:asciiTheme="majorHAnsi" w:hAnsiTheme="majorHAnsi" w:cs="Times New Roman"/>
                <w:sz w:val="24"/>
                <w:szCs w:val="24"/>
              </w:rPr>
            </w:pPr>
            <w:r w:rsidRPr="00A06340">
              <w:rPr>
                <w:rFonts w:asciiTheme="majorHAnsi" w:hAnsiTheme="majorHAnsi" w:cs="Times New Roman"/>
                <w:sz w:val="24"/>
                <w:szCs w:val="24"/>
              </w:rPr>
              <w:t>Министерство на околната среда и водите</w:t>
            </w:r>
          </w:p>
        </w:tc>
      </w:tr>
      <w:tr w:rsidR="004E44CA" w:rsidRPr="00A06340" w14:paraId="386C55C2" w14:textId="77777777" w:rsidTr="006854B1">
        <w:tc>
          <w:tcPr>
            <w:tcW w:w="2093" w:type="dxa"/>
          </w:tcPr>
          <w:p w14:paraId="7FC4F673" w14:textId="2F22D808" w:rsidR="004E44CA" w:rsidRPr="00A06340" w:rsidRDefault="004E44CA" w:rsidP="00A06340">
            <w:pPr>
              <w:ind w:firstLine="567"/>
              <w:jc w:val="both"/>
              <w:rPr>
                <w:rFonts w:asciiTheme="majorHAnsi" w:hAnsiTheme="majorHAnsi" w:cs="Times New Roman"/>
                <w:b/>
                <w:sz w:val="24"/>
                <w:szCs w:val="24"/>
              </w:rPr>
            </w:pPr>
            <w:r w:rsidRPr="00A06340">
              <w:rPr>
                <w:rFonts w:asciiTheme="majorHAnsi" w:hAnsiTheme="majorHAnsi" w:cs="Times New Roman"/>
                <w:b/>
                <w:sz w:val="24"/>
                <w:szCs w:val="24"/>
              </w:rPr>
              <w:t>НСИ</w:t>
            </w:r>
          </w:p>
        </w:tc>
        <w:tc>
          <w:tcPr>
            <w:tcW w:w="7119" w:type="dxa"/>
          </w:tcPr>
          <w:p w14:paraId="422FA226" w14:textId="66C67B9A" w:rsidR="004E44CA" w:rsidRPr="00A06340" w:rsidRDefault="004E44CA" w:rsidP="00A06340">
            <w:pPr>
              <w:ind w:firstLine="567"/>
              <w:jc w:val="both"/>
              <w:rPr>
                <w:rFonts w:asciiTheme="majorHAnsi" w:hAnsiTheme="majorHAnsi" w:cs="Times New Roman"/>
                <w:sz w:val="24"/>
                <w:szCs w:val="24"/>
              </w:rPr>
            </w:pPr>
            <w:r w:rsidRPr="00A06340">
              <w:rPr>
                <w:rFonts w:asciiTheme="majorHAnsi" w:hAnsiTheme="majorHAnsi" w:cs="Times New Roman"/>
                <w:sz w:val="24"/>
                <w:szCs w:val="24"/>
              </w:rPr>
              <w:t>Национален статистически институт</w:t>
            </w:r>
          </w:p>
        </w:tc>
      </w:tr>
      <w:tr w:rsidR="00C36CB5" w:rsidRPr="00A06340" w14:paraId="7E9561B8" w14:textId="77777777" w:rsidTr="006854B1">
        <w:tc>
          <w:tcPr>
            <w:tcW w:w="2093" w:type="dxa"/>
          </w:tcPr>
          <w:p w14:paraId="553BAC0F" w14:textId="33E0354F" w:rsidR="00C36CB5" w:rsidRPr="00A06340" w:rsidRDefault="00C36CB5" w:rsidP="00A06340">
            <w:pPr>
              <w:ind w:firstLine="567"/>
              <w:jc w:val="both"/>
              <w:rPr>
                <w:rFonts w:asciiTheme="majorHAnsi" w:hAnsiTheme="majorHAnsi" w:cs="Times New Roman"/>
                <w:b/>
                <w:sz w:val="24"/>
                <w:szCs w:val="24"/>
              </w:rPr>
            </w:pPr>
            <w:r w:rsidRPr="00A06340">
              <w:rPr>
                <w:rFonts w:asciiTheme="majorHAnsi" w:hAnsiTheme="majorHAnsi" w:cs="Times New Roman"/>
                <w:b/>
                <w:sz w:val="24"/>
                <w:szCs w:val="24"/>
              </w:rPr>
              <w:t>НТИКР</w:t>
            </w:r>
          </w:p>
        </w:tc>
        <w:tc>
          <w:tcPr>
            <w:tcW w:w="7119" w:type="dxa"/>
          </w:tcPr>
          <w:p w14:paraId="3C73A9E8" w14:textId="77777777" w:rsidR="004D706C" w:rsidRPr="00A06340" w:rsidRDefault="00C36CB5" w:rsidP="00A06340">
            <w:pPr>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Научно-технически и икономически комитет по </w:t>
            </w:r>
          </w:p>
          <w:p w14:paraId="6D44AC5D" w14:textId="36CB9DDB" w:rsidR="00C36CB5" w:rsidRPr="00A06340" w:rsidRDefault="00C36CB5" w:rsidP="00A06340">
            <w:pPr>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рибарство </w:t>
            </w:r>
          </w:p>
        </w:tc>
      </w:tr>
      <w:tr w:rsidR="00851C4E" w:rsidRPr="00A06340" w14:paraId="0B10C39F" w14:textId="77777777" w:rsidTr="006854B1">
        <w:tc>
          <w:tcPr>
            <w:tcW w:w="2093" w:type="dxa"/>
          </w:tcPr>
          <w:p w14:paraId="501C133E" w14:textId="60174603" w:rsidR="00851C4E" w:rsidRPr="00A06340" w:rsidRDefault="00851C4E" w:rsidP="00A06340">
            <w:pPr>
              <w:spacing w:line="276" w:lineRule="auto"/>
              <w:ind w:firstLine="567"/>
              <w:jc w:val="both"/>
              <w:rPr>
                <w:rFonts w:asciiTheme="majorHAnsi" w:hAnsiTheme="majorHAnsi" w:cs="Times New Roman"/>
                <w:b/>
                <w:sz w:val="24"/>
                <w:szCs w:val="24"/>
              </w:rPr>
            </w:pPr>
            <w:r w:rsidRPr="00A06340">
              <w:rPr>
                <w:rFonts w:asciiTheme="majorHAnsi" w:hAnsiTheme="majorHAnsi" w:cs="Times New Roman"/>
                <w:b/>
                <w:sz w:val="24"/>
                <w:szCs w:val="24"/>
              </w:rPr>
              <w:t>ОО</w:t>
            </w:r>
          </w:p>
        </w:tc>
        <w:tc>
          <w:tcPr>
            <w:tcW w:w="7119" w:type="dxa"/>
          </w:tcPr>
          <w:p w14:paraId="601B1C12" w14:textId="77E5CA49" w:rsidR="00851C4E" w:rsidRPr="00A06340" w:rsidRDefault="00851C4E" w:rsidP="00A06340">
            <w:pPr>
              <w:spacing w:line="276" w:lineRule="auto"/>
              <w:ind w:firstLine="567"/>
              <w:jc w:val="both"/>
              <w:rPr>
                <w:rFonts w:asciiTheme="majorHAnsi" w:hAnsiTheme="majorHAnsi" w:cs="Times New Roman"/>
                <w:sz w:val="24"/>
                <w:szCs w:val="24"/>
              </w:rPr>
            </w:pPr>
            <w:r w:rsidRPr="00A06340">
              <w:rPr>
                <w:rFonts w:asciiTheme="majorHAnsi" w:hAnsiTheme="majorHAnsi" w:cs="Times New Roman"/>
                <w:sz w:val="24"/>
                <w:szCs w:val="24"/>
              </w:rPr>
              <w:t>Одитен орган</w:t>
            </w:r>
          </w:p>
        </w:tc>
      </w:tr>
      <w:tr w:rsidR="00851C4E" w:rsidRPr="00A06340" w14:paraId="2DE913FF" w14:textId="77777777" w:rsidTr="006854B1">
        <w:tc>
          <w:tcPr>
            <w:tcW w:w="2093" w:type="dxa"/>
          </w:tcPr>
          <w:p w14:paraId="154088E1" w14:textId="458E539F" w:rsidR="00851C4E" w:rsidRPr="00A06340" w:rsidRDefault="00851C4E" w:rsidP="00A06340">
            <w:pPr>
              <w:ind w:firstLine="567"/>
              <w:jc w:val="both"/>
              <w:rPr>
                <w:rFonts w:asciiTheme="majorHAnsi" w:hAnsiTheme="majorHAnsi" w:cs="Times New Roman"/>
                <w:b/>
                <w:sz w:val="24"/>
                <w:szCs w:val="24"/>
              </w:rPr>
            </w:pPr>
            <w:r w:rsidRPr="00A06340">
              <w:rPr>
                <w:rFonts w:asciiTheme="majorHAnsi" w:hAnsiTheme="majorHAnsi" w:cs="Times New Roman"/>
                <w:b/>
                <w:sz w:val="24"/>
                <w:szCs w:val="24"/>
              </w:rPr>
              <w:t>ОП</w:t>
            </w:r>
          </w:p>
        </w:tc>
        <w:tc>
          <w:tcPr>
            <w:tcW w:w="7119" w:type="dxa"/>
          </w:tcPr>
          <w:p w14:paraId="67CFE74B" w14:textId="002AD368" w:rsidR="00851C4E" w:rsidRPr="00A06340" w:rsidRDefault="00851C4E" w:rsidP="00A06340">
            <w:pPr>
              <w:ind w:firstLine="567"/>
              <w:jc w:val="both"/>
              <w:rPr>
                <w:rFonts w:asciiTheme="majorHAnsi" w:hAnsiTheme="majorHAnsi" w:cs="Times New Roman"/>
                <w:sz w:val="24"/>
                <w:szCs w:val="24"/>
              </w:rPr>
            </w:pPr>
            <w:r w:rsidRPr="00A06340">
              <w:rPr>
                <w:rFonts w:asciiTheme="majorHAnsi" w:hAnsiTheme="majorHAnsi" w:cs="Times New Roman"/>
                <w:sz w:val="24"/>
                <w:szCs w:val="24"/>
              </w:rPr>
              <w:t>Оперативна програма</w:t>
            </w:r>
          </w:p>
        </w:tc>
      </w:tr>
      <w:tr w:rsidR="00851C4E" w:rsidRPr="00A06340" w14:paraId="20E1661F" w14:textId="77777777" w:rsidTr="006854B1">
        <w:tc>
          <w:tcPr>
            <w:tcW w:w="2093" w:type="dxa"/>
          </w:tcPr>
          <w:p w14:paraId="415B951F" w14:textId="05FCEBB1" w:rsidR="00851C4E" w:rsidRPr="00A06340" w:rsidRDefault="00851C4E" w:rsidP="00A06340">
            <w:pPr>
              <w:spacing w:line="276" w:lineRule="auto"/>
              <w:ind w:firstLine="567"/>
              <w:jc w:val="both"/>
              <w:rPr>
                <w:rFonts w:asciiTheme="majorHAnsi" w:hAnsiTheme="majorHAnsi" w:cs="Times New Roman"/>
                <w:b/>
                <w:sz w:val="24"/>
                <w:szCs w:val="24"/>
              </w:rPr>
            </w:pPr>
            <w:r w:rsidRPr="00A06340">
              <w:rPr>
                <w:rFonts w:asciiTheme="majorHAnsi" w:hAnsiTheme="majorHAnsi" w:cs="Times New Roman"/>
                <w:b/>
                <w:sz w:val="24"/>
                <w:szCs w:val="24"/>
              </w:rPr>
              <w:t>ОПОР</w:t>
            </w:r>
          </w:p>
        </w:tc>
        <w:tc>
          <w:tcPr>
            <w:tcW w:w="7119" w:type="dxa"/>
          </w:tcPr>
          <w:p w14:paraId="71749768" w14:textId="52EA8D8A" w:rsidR="00851C4E" w:rsidRPr="00A06340" w:rsidRDefault="00851C4E" w:rsidP="00A06340">
            <w:pPr>
              <w:spacing w:line="276" w:lineRule="auto"/>
              <w:ind w:firstLine="567"/>
              <w:jc w:val="both"/>
              <w:rPr>
                <w:rFonts w:asciiTheme="majorHAnsi" w:hAnsiTheme="majorHAnsi" w:cs="Times New Roman"/>
                <w:sz w:val="24"/>
                <w:szCs w:val="24"/>
              </w:rPr>
            </w:pPr>
            <w:r w:rsidRPr="00A06340">
              <w:rPr>
                <w:rFonts w:asciiTheme="majorHAnsi" w:hAnsiTheme="majorHAnsi" w:cs="Times New Roman"/>
                <w:sz w:val="24"/>
                <w:szCs w:val="24"/>
              </w:rPr>
              <w:t>Обща политика в областта на рибарството</w:t>
            </w:r>
          </w:p>
        </w:tc>
      </w:tr>
      <w:tr w:rsidR="00851C4E" w:rsidRPr="00A06340" w14:paraId="049A94B0" w14:textId="77777777" w:rsidTr="006854B1">
        <w:tc>
          <w:tcPr>
            <w:tcW w:w="2093" w:type="dxa"/>
          </w:tcPr>
          <w:p w14:paraId="16A77CA7" w14:textId="0B44BDBD" w:rsidR="00851C4E" w:rsidRPr="00A06340" w:rsidRDefault="00851C4E" w:rsidP="00A06340">
            <w:pPr>
              <w:ind w:firstLine="567"/>
              <w:jc w:val="both"/>
              <w:rPr>
                <w:rFonts w:asciiTheme="majorHAnsi" w:hAnsiTheme="majorHAnsi" w:cs="Times New Roman"/>
                <w:b/>
                <w:sz w:val="24"/>
                <w:szCs w:val="24"/>
              </w:rPr>
            </w:pPr>
            <w:r w:rsidRPr="00A06340">
              <w:rPr>
                <w:rFonts w:asciiTheme="majorHAnsi" w:hAnsiTheme="majorHAnsi" w:cs="Times New Roman"/>
                <w:b/>
                <w:sz w:val="24"/>
                <w:szCs w:val="24"/>
              </w:rPr>
              <w:t>ПМДР</w:t>
            </w:r>
          </w:p>
        </w:tc>
        <w:tc>
          <w:tcPr>
            <w:tcW w:w="7119" w:type="dxa"/>
          </w:tcPr>
          <w:p w14:paraId="6A140D37" w14:textId="77777777" w:rsidR="004D706C" w:rsidRPr="00A06340" w:rsidRDefault="00851C4E" w:rsidP="00A06340">
            <w:pPr>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Програма за морско дело и рибарство за периода </w:t>
            </w:r>
          </w:p>
          <w:p w14:paraId="3265C09A" w14:textId="33F5719B" w:rsidR="00851C4E" w:rsidRPr="00A06340" w:rsidRDefault="00851C4E" w:rsidP="00A06340">
            <w:pPr>
              <w:ind w:firstLine="567"/>
              <w:jc w:val="both"/>
              <w:rPr>
                <w:rFonts w:asciiTheme="majorHAnsi" w:hAnsiTheme="majorHAnsi" w:cs="Times New Roman"/>
                <w:sz w:val="24"/>
                <w:szCs w:val="24"/>
              </w:rPr>
            </w:pPr>
            <w:r w:rsidRPr="00A06340">
              <w:rPr>
                <w:rFonts w:asciiTheme="majorHAnsi" w:hAnsiTheme="majorHAnsi" w:cs="Times New Roman"/>
                <w:sz w:val="24"/>
                <w:szCs w:val="24"/>
              </w:rPr>
              <w:t>2014 – 2020 г.</w:t>
            </w:r>
          </w:p>
        </w:tc>
      </w:tr>
      <w:tr w:rsidR="00851C4E" w:rsidRPr="00A06340" w14:paraId="3AC89A29" w14:textId="77777777" w:rsidTr="006854B1">
        <w:tc>
          <w:tcPr>
            <w:tcW w:w="2093" w:type="dxa"/>
          </w:tcPr>
          <w:p w14:paraId="6C4B43A9" w14:textId="2D8F2A2B" w:rsidR="00851C4E" w:rsidRPr="00A06340" w:rsidRDefault="00851C4E" w:rsidP="00A06340">
            <w:pPr>
              <w:spacing w:line="276" w:lineRule="auto"/>
              <w:ind w:firstLine="567"/>
              <w:jc w:val="both"/>
              <w:rPr>
                <w:rFonts w:asciiTheme="majorHAnsi" w:hAnsiTheme="majorHAnsi" w:cs="Times New Roman"/>
                <w:b/>
                <w:sz w:val="24"/>
                <w:szCs w:val="24"/>
              </w:rPr>
            </w:pPr>
            <w:r w:rsidRPr="00A06340">
              <w:rPr>
                <w:rFonts w:asciiTheme="majorHAnsi" w:hAnsiTheme="majorHAnsi" w:cs="Times New Roman"/>
                <w:b/>
                <w:sz w:val="24"/>
                <w:szCs w:val="24"/>
              </w:rPr>
              <w:t>СЕО</w:t>
            </w:r>
          </w:p>
        </w:tc>
        <w:tc>
          <w:tcPr>
            <w:tcW w:w="7119" w:type="dxa"/>
          </w:tcPr>
          <w:p w14:paraId="1E6F9C37" w14:textId="68518F08" w:rsidR="00851C4E" w:rsidRPr="00A06340" w:rsidRDefault="00851C4E" w:rsidP="00A06340">
            <w:pPr>
              <w:spacing w:line="276" w:lineRule="auto"/>
              <w:ind w:firstLine="567"/>
              <w:jc w:val="both"/>
              <w:rPr>
                <w:rFonts w:asciiTheme="majorHAnsi" w:hAnsiTheme="majorHAnsi" w:cs="Times New Roman"/>
                <w:sz w:val="24"/>
                <w:szCs w:val="24"/>
              </w:rPr>
            </w:pPr>
            <w:r w:rsidRPr="00A06340">
              <w:rPr>
                <w:rFonts w:asciiTheme="majorHAnsi" w:hAnsiTheme="majorHAnsi" w:cs="Times New Roman"/>
                <w:sz w:val="24"/>
                <w:szCs w:val="24"/>
              </w:rPr>
              <w:t>Стратегическа екологична оценка</w:t>
            </w:r>
          </w:p>
        </w:tc>
      </w:tr>
      <w:tr w:rsidR="00851C4E" w:rsidRPr="00A06340" w14:paraId="2F3620F6" w14:textId="77777777" w:rsidTr="006854B1">
        <w:tc>
          <w:tcPr>
            <w:tcW w:w="2093" w:type="dxa"/>
          </w:tcPr>
          <w:p w14:paraId="4D6CD802" w14:textId="581D6C3A" w:rsidR="00851C4E" w:rsidRPr="00A06340" w:rsidRDefault="00851C4E" w:rsidP="00A06340">
            <w:pPr>
              <w:spacing w:line="276" w:lineRule="auto"/>
              <w:ind w:firstLine="567"/>
              <w:jc w:val="both"/>
              <w:rPr>
                <w:rFonts w:asciiTheme="majorHAnsi" w:hAnsiTheme="majorHAnsi" w:cs="Times New Roman"/>
                <w:b/>
                <w:sz w:val="24"/>
                <w:szCs w:val="24"/>
              </w:rPr>
            </w:pPr>
            <w:r w:rsidRPr="00A06340">
              <w:rPr>
                <w:rFonts w:asciiTheme="majorHAnsi" w:hAnsiTheme="majorHAnsi" w:cs="Times New Roman"/>
                <w:b/>
                <w:sz w:val="24"/>
                <w:szCs w:val="24"/>
              </w:rPr>
              <w:t>СО</w:t>
            </w:r>
          </w:p>
        </w:tc>
        <w:tc>
          <w:tcPr>
            <w:tcW w:w="7119" w:type="dxa"/>
          </w:tcPr>
          <w:p w14:paraId="63A79619" w14:textId="7BCDC329" w:rsidR="00851C4E" w:rsidRPr="00A06340" w:rsidRDefault="00851C4E" w:rsidP="00A06340">
            <w:pPr>
              <w:spacing w:line="276" w:lineRule="auto"/>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Сертифициращ орган </w:t>
            </w:r>
          </w:p>
        </w:tc>
      </w:tr>
      <w:tr w:rsidR="00851C4E" w:rsidRPr="00A06340" w14:paraId="18977EBF" w14:textId="77777777" w:rsidTr="006854B1">
        <w:tc>
          <w:tcPr>
            <w:tcW w:w="2093" w:type="dxa"/>
          </w:tcPr>
          <w:p w14:paraId="597CC4A2" w14:textId="4D3AA930" w:rsidR="00851C4E" w:rsidRPr="00A06340" w:rsidRDefault="00CF4A05" w:rsidP="00A06340">
            <w:pPr>
              <w:spacing w:line="276" w:lineRule="auto"/>
              <w:ind w:firstLine="567"/>
              <w:jc w:val="both"/>
              <w:rPr>
                <w:rFonts w:asciiTheme="majorHAnsi" w:hAnsiTheme="majorHAnsi" w:cs="Times New Roman"/>
                <w:b/>
                <w:sz w:val="24"/>
                <w:szCs w:val="24"/>
              </w:rPr>
            </w:pPr>
            <w:r w:rsidRPr="00A06340">
              <w:rPr>
                <w:rFonts w:asciiTheme="majorHAnsi" w:hAnsiTheme="majorHAnsi" w:cs="Times New Roman"/>
                <w:b/>
                <w:sz w:val="24"/>
                <w:szCs w:val="24"/>
              </w:rPr>
              <w:t>СУК</w:t>
            </w:r>
          </w:p>
        </w:tc>
        <w:tc>
          <w:tcPr>
            <w:tcW w:w="7119" w:type="dxa"/>
          </w:tcPr>
          <w:p w14:paraId="229065A0" w14:textId="5E796C01" w:rsidR="00851C4E" w:rsidRPr="00A06340" w:rsidRDefault="00CF4A05" w:rsidP="00A06340">
            <w:pPr>
              <w:spacing w:line="276" w:lineRule="auto"/>
              <w:ind w:firstLine="567"/>
              <w:jc w:val="both"/>
              <w:rPr>
                <w:rFonts w:asciiTheme="majorHAnsi" w:hAnsiTheme="majorHAnsi" w:cs="Times New Roman"/>
                <w:sz w:val="24"/>
                <w:szCs w:val="24"/>
              </w:rPr>
            </w:pPr>
            <w:r w:rsidRPr="00A06340">
              <w:rPr>
                <w:rFonts w:asciiTheme="majorHAnsi" w:hAnsiTheme="majorHAnsi" w:cs="Times New Roman"/>
                <w:sz w:val="24"/>
                <w:szCs w:val="24"/>
              </w:rPr>
              <w:t>Система за управление и контрол</w:t>
            </w:r>
          </w:p>
        </w:tc>
      </w:tr>
      <w:tr w:rsidR="00CF4A05" w:rsidRPr="00A06340" w14:paraId="45EDA2C8" w14:textId="77777777" w:rsidTr="006854B1">
        <w:tc>
          <w:tcPr>
            <w:tcW w:w="2093" w:type="dxa"/>
          </w:tcPr>
          <w:p w14:paraId="651CFD10" w14:textId="1245D7BC" w:rsidR="00CF4A05" w:rsidRPr="00A06340" w:rsidRDefault="00CF4A05" w:rsidP="00A06340">
            <w:pPr>
              <w:spacing w:line="276" w:lineRule="auto"/>
              <w:ind w:firstLine="567"/>
              <w:jc w:val="both"/>
              <w:rPr>
                <w:rFonts w:asciiTheme="majorHAnsi" w:hAnsiTheme="majorHAnsi" w:cs="Times New Roman"/>
                <w:b/>
                <w:sz w:val="24"/>
                <w:szCs w:val="24"/>
              </w:rPr>
            </w:pPr>
            <w:r w:rsidRPr="00A06340">
              <w:rPr>
                <w:rFonts w:asciiTheme="majorHAnsi" w:hAnsiTheme="majorHAnsi" w:cs="Times New Roman"/>
                <w:b/>
                <w:sz w:val="24"/>
                <w:szCs w:val="24"/>
              </w:rPr>
              <w:t>УО</w:t>
            </w:r>
          </w:p>
        </w:tc>
        <w:tc>
          <w:tcPr>
            <w:tcW w:w="7119" w:type="dxa"/>
          </w:tcPr>
          <w:p w14:paraId="24254C52" w14:textId="5A721DD3" w:rsidR="00CF4A05" w:rsidRPr="00A06340" w:rsidRDefault="00CF4A05" w:rsidP="00A06340">
            <w:pPr>
              <w:spacing w:line="276" w:lineRule="auto"/>
              <w:ind w:firstLine="567"/>
              <w:jc w:val="both"/>
              <w:rPr>
                <w:rFonts w:asciiTheme="majorHAnsi" w:hAnsiTheme="majorHAnsi" w:cs="Times New Roman"/>
                <w:sz w:val="24"/>
                <w:szCs w:val="24"/>
              </w:rPr>
            </w:pPr>
            <w:r w:rsidRPr="00A06340">
              <w:rPr>
                <w:rFonts w:asciiTheme="majorHAnsi" w:hAnsiTheme="majorHAnsi" w:cs="Times New Roman"/>
                <w:sz w:val="24"/>
                <w:szCs w:val="24"/>
              </w:rPr>
              <w:t>Управляващ орган</w:t>
            </w:r>
          </w:p>
        </w:tc>
      </w:tr>
      <w:tr w:rsidR="00A06340" w:rsidRPr="00A06340" w14:paraId="7A11996A" w14:textId="77777777" w:rsidTr="006854B1">
        <w:tc>
          <w:tcPr>
            <w:tcW w:w="2093" w:type="dxa"/>
          </w:tcPr>
          <w:p w14:paraId="31C10E1B" w14:textId="103782E1" w:rsidR="00A06340" w:rsidRPr="00A06340" w:rsidRDefault="00A06340" w:rsidP="00A06340">
            <w:pPr>
              <w:ind w:firstLine="567"/>
              <w:jc w:val="both"/>
              <w:rPr>
                <w:rFonts w:asciiTheme="majorHAnsi" w:hAnsiTheme="majorHAnsi" w:cs="Times New Roman"/>
                <w:b/>
                <w:sz w:val="24"/>
                <w:szCs w:val="24"/>
              </w:rPr>
            </w:pPr>
            <w:r>
              <w:rPr>
                <w:rFonts w:asciiTheme="majorHAnsi" w:hAnsiTheme="majorHAnsi" w:cs="Times New Roman"/>
                <w:b/>
                <w:sz w:val="24"/>
                <w:szCs w:val="24"/>
              </w:rPr>
              <w:t>ЦКЗ</w:t>
            </w:r>
          </w:p>
        </w:tc>
        <w:tc>
          <w:tcPr>
            <w:tcW w:w="7119" w:type="dxa"/>
          </w:tcPr>
          <w:p w14:paraId="5646ED7C" w14:textId="3CA49F85" w:rsidR="00A06340" w:rsidRPr="00A06340" w:rsidRDefault="00A06340" w:rsidP="00A06340">
            <w:pPr>
              <w:ind w:firstLine="567"/>
              <w:jc w:val="both"/>
              <w:rPr>
                <w:rFonts w:asciiTheme="majorHAnsi" w:hAnsiTheme="majorHAnsi" w:cs="Times New Roman"/>
                <w:sz w:val="24"/>
                <w:szCs w:val="24"/>
              </w:rPr>
            </w:pPr>
            <w:r>
              <w:rPr>
                <w:rFonts w:asciiTheme="majorHAnsi" w:hAnsiTheme="majorHAnsi" w:cs="Times New Roman"/>
                <w:sz w:val="24"/>
                <w:szCs w:val="24"/>
              </w:rPr>
              <w:t>Централно координационно звено</w:t>
            </w:r>
          </w:p>
        </w:tc>
      </w:tr>
    </w:tbl>
    <w:p w14:paraId="02177820" w14:textId="77777777" w:rsidR="00F94B1B" w:rsidRPr="00A06340" w:rsidRDefault="00F94B1B" w:rsidP="00A06340">
      <w:pPr>
        <w:spacing w:after="0"/>
        <w:ind w:firstLine="567"/>
        <w:jc w:val="both"/>
        <w:rPr>
          <w:rFonts w:asciiTheme="majorHAnsi" w:hAnsiTheme="majorHAnsi" w:cs="Times New Roman"/>
          <w:b/>
          <w:sz w:val="24"/>
          <w:szCs w:val="24"/>
        </w:rPr>
      </w:pPr>
    </w:p>
    <w:p w14:paraId="59681454" w14:textId="00D0757F" w:rsidR="00F94B1B" w:rsidRPr="00A06340" w:rsidRDefault="00F94B1B" w:rsidP="00A06340">
      <w:pPr>
        <w:spacing w:after="0"/>
        <w:ind w:firstLine="567"/>
        <w:jc w:val="both"/>
        <w:rPr>
          <w:rFonts w:asciiTheme="majorHAnsi" w:hAnsiTheme="majorHAnsi" w:cs="Times New Roman"/>
          <w:sz w:val="24"/>
          <w:szCs w:val="24"/>
        </w:rPr>
      </w:pPr>
    </w:p>
    <w:p w14:paraId="0BB1AEF4" w14:textId="77777777" w:rsidR="00A06340" w:rsidRPr="00A06340" w:rsidRDefault="00A06340" w:rsidP="00E05F79">
      <w:pPr>
        <w:pStyle w:val="Heading2"/>
        <w:rPr>
          <w:rFonts w:cs="Times New Roman"/>
          <w:b/>
          <w:sz w:val="24"/>
          <w:szCs w:val="24"/>
        </w:rPr>
      </w:pPr>
      <w:bookmarkStart w:id="2" w:name="_Toc7098467"/>
      <w:r w:rsidRPr="00E05F79">
        <w:rPr>
          <w:rFonts w:cs="Times New Roman"/>
          <w:b/>
          <w:sz w:val="24"/>
          <w:szCs w:val="24"/>
        </w:rPr>
        <w:t>1. Цел на Плана за оценка</w:t>
      </w:r>
      <w:bookmarkEnd w:id="2"/>
    </w:p>
    <w:p w14:paraId="3A91783E" w14:textId="1EA76745"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Целта на настоящия документ е да представи по-подробно рамката, която Република България ще следва в изпълнение на </w:t>
      </w:r>
      <w:r w:rsidR="00026A5E">
        <w:rPr>
          <w:rFonts w:asciiTheme="majorHAnsi" w:hAnsiTheme="majorHAnsi" w:cs="Times New Roman"/>
          <w:sz w:val="24"/>
          <w:szCs w:val="24"/>
        </w:rPr>
        <w:t>г</w:t>
      </w:r>
      <w:r w:rsidRPr="00A06340">
        <w:rPr>
          <w:rFonts w:asciiTheme="majorHAnsi" w:hAnsiTheme="majorHAnsi" w:cs="Times New Roman"/>
          <w:sz w:val="24"/>
          <w:szCs w:val="24"/>
        </w:rPr>
        <w:t>лава 10 от Програмата за морско дело и рибарство 2014 – 2020 г. (ПМДР), приета с решение на Европейската комисия от октомври 2015 г. Планът за оценка има за цел да изпълни изискванията, определени в член 56 от Регламент (ЕС) № 1303/2013 на Европейския парламент и на Съвета от 17 декември 2013 г., и посочените в член 5 от Регламент за изпълнение (ЕС) № 771/2014 на Комисията от 14 юли 2014 г.</w:t>
      </w:r>
      <w:r w:rsidR="00711C36">
        <w:rPr>
          <w:rFonts w:asciiTheme="majorHAnsi" w:hAnsiTheme="majorHAnsi" w:cs="Times New Roman"/>
          <w:sz w:val="24"/>
          <w:szCs w:val="24"/>
        </w:rPr>
        <w:t xml:space="preserve">, </w:t>
      </w:r>
      <w:r w:rsidR="00711C36">
        <w:rPr>
          <w:rFonts w:asciiTheme="majorHAnsi" w:hAnsiTheme="majorHAnsi" w:cs="Times New Roman"/>
          <w:sz w:val="24"/>
          <w:szCs w:val="24"/>
        </w:rPr>
        <w:lastRenderedPageBreak/>
        <w:t xml:space="preserve">които се </w:t>
      </w:r>
      <w:r w:rsidR="00711C36" w:rsidRPr="00961F78">
        <w:rPr>
          <w:rFonts w:asciiTheme="majorHAnsi" w:hAnsiTheme="majorHAnsi" w:cs="Times New Roman"/>
          <w:sz w:val="24"/>
          <w:szCs w:val="24"/>
        </w:rPr>
        <w:t>явява</w:t>
      </w:r>
      <w:r w:rsidR="00711C36">
        <w:rPr>
          <w:rFonts w:asciiTheme="majorHAnsi" w:hAnsiTheme="majorHAnsi" w:cs="Times New Roman"/>
          <w:sz w:val="24"/>
          <w:szCs w:val="24"/>
        </w:rPr>
        <w:t>т</w:t>
      </w:r>
      <w:r w:rsidR="00711C36" w:rsidRPr="00961F78">
        <w:rPr>
          <w:rFonts w:asciiTheme="majorHAnsi" w:hAnsiTheme="majorHAnsi" w:cs="Times New Roman"/>
          <w:sz w:val="24"/>
          <w:szCs w:val="24"/>
        </w:rPr>
        <w:t xml:space="preserve"> правното основание за изготвяне на план</w:t>
      </w:r>
      <w:r w:rsidR="00711C36">
        <w:rPr>
          <w:rFonts w:asciiTheme="majorHAnsi" w:hAnsiTheme="majorHAnsi" w:cs="Times New Roman"/>
          <w:sz w:val="24"/>
          <w:szCs w:val="24"/>
        </w:rPr>
        <w:t>а</w:t>
      </w:r>
      <w:r w:rsidR="00711C36" w:rsidRPr="00961F78">
        <w:rPr>
          <w:rFonts w:asciiTheme="majorHAnsi" w:hAnsiTheme="majorHAnsi" w:cs="Times New Roman"/>
          <w:sz w:val="24"/>
          <w:szCs w:val="24"/>
        </w:rPr>
        <w:t xml:space="preserve"> за оценка и други оценки през </w:t>
      </w:r>
      <w:r w:rsidR="00711C36">
        <w:rPr>
          <w:rFonts w:asciiTheme="majorHAnsi" w:hAnsiTheme="majorHAnsi" w:cs="Times New Roman"/>
          <w:sz w:val="24"/>
          <w:szCs w:val="24"/>
        </w:rPr>
        <w:t>програмния период и се отнасят</w:t>
      </w:r>
      <w:r w:rsidR="00A801C7" w:rsidRPr="00E05F79">
        <w:rPr>
          <w:rFonts w:asciiTheme="majorHAnsi" w:hAnsiTheme="majorHAnsi" w:cs="Times New Roman"/>
          <w:sz w:val="24"/>
          <w:szCs w:val="24"/>
        </w:rPr>
        <w:t xml:space="preserve">, както </w:t>
      </w:r>
      <w:r w:rsidR="00711C36">
        <w:rPr>
          <w:rFonts w:asciiTheme="majorHAnsi" w:hAnsiTheme="majorHAnsi" w:cs="Times New Roman"/>
          <w:sz w:val="24"/>
          <w:szCs w:val="24"/>
        </w:rPr>
        <w:t xml:space="preserve">до </w:t>
      </w:r>
      <w:r w:rsidR="00A801C7" w:rsidRPr="00E05F79">
        <w:rPr>
          <w:rFonts w:asciiTheme="majorHAnsi" w:hAnsiTheme="majorHAnsi" w:cs="Times New Roman"/>
          <w:sz w:val="24"/>
          <w:szCs w:val="24"/>
        </w:rPr>
        <w:t xml:space="preserve">създаването на настоящия план за оценка, така и </w:t>
      </w:r>
      <w:r w:rsidR="00711C36">
        <w:rPr>
          <w:rFonts w:asciiTheme="majorHAnsi" w:hAnsiTheme="majorHAnsi" w:cs="Times New Roman"/>
          <w:sz w:val="24"/>
          <w:szCs w:val="24"/>
        </w:rPr>
        <w:t xml:space="preserve">до </w:t>
      </w:r>
      <w:r w:rsidR="00A801C7" w:rsidRPr="00E05F79">
        <w:rPr>
          <w:rFonts w:asciiTheme="majorHAnsi" w:hAnsiTheme="majorHAnsi" w:cs="Times New Roman"/>
          <w:sz w:val="24"/>
          <w:szCs w:val="24"/>
        </w:rPr>
        <w:t xml:space="preserve">възможните оценки, </w:t>
      </w:r>
      <w:r w:rsidR="00711C36">
        <w:rPr>
          <w:rFonts w:asciiTheme="majorHAnsi" w:hAnsiTheme="majorHAnsi" w:cs="Times New Roman"/>
          <w:sz w:val="24"/>
          <w:szCs w:val="24"/>
        </w:rPr>
        <w:t xml:space="preserve">в съответствие със следното задължение на страните: </w:t>
      </w:r>
      <w:r w:rsidR="00A801C7" w:rsidRPr="00E05F79">
        <w:rPr>
          <w:rFonts w:asciiTheme="majorHAnsi" w:hAnsiTheme="majorHAnsi" w:cs="Times New Roman"/>
          <w:sz w:val="24"/>
          <w:szCs w:val="24"/>
        </w:rPr>
        <w:t xml:space="preserve">„поне веднъж през програмния период се провежда оценка, с която се оценява приносът на подкрепата от европейските структурни и инвестиционни фондове за постигането на целите по всеки приоритет“. </w:t>
      </w:r>
    </w:p>
    <w:p w14:paraId="0F9C3D2E" w14:textId="387C4F99" w:rsidR="00A801C7" w:rsidRDefault="00A801C7" w:rsidP="00711C36">
      <w:pPr>
        <w:spacing w:after="0"/>
        <w:ind w:firstLine="567"/>
        <w:jc w:val="both"/>
        <w:rPr>
          <w:rFonts w:asciiTheme="majorHAnsi" w:hAnsiTheme="majorHAnsi" w:cs="Times New Roman"/>
          <w:sz w:val="24"/>
          <w:szCs w:val="24"/>
        </w:rPr>
      </w:pPr>
    </w:p>
    <w:p w14:paraId="798B5621" w14:textId="7DFA8A65" w:rsidR="00A801C7" w:rsidRPr="00E05F79" w:rsidRDefault="00A801C7" w:rsidP="00E05F79">
      <w:pPr>
        <w:spacing w:after="0"/>
        <w:ind w:firstLine="567"/>
        <w:jc w:val="both"/>
        <w:rPr>
          <w:rFonts w:asciiTheme="majorHAnsi" w:hAnsiTheme="majorHAnsi" w:cs="Times New Roman"/>
          <w:sz w:val="24"/>
          <w:szCs w:val="24"/>
        </w:rPr>
      </w:pPr>
      <w:r w:rsidRPr="00E05F79">
        <w:rPr>
          <w:rFonts w:asciiTheme="majorHAnsi" w:hAnsiTheme="majorHAnsi" w:cs="Times New Roman"/>
          <w:sz w:val="24"/>
          <w:szCs w:val="24"/>
        </w:rPr>
        <w:t xml:space="preserve">Основната цел на Плана за оценка на ПМДР 2014-2020 г. е да обезпечи ефективното планиране и извършване на качествени оценки през програмния период, както и ефективното използване на резултатите от извършените оценки от страна на УО за подобряване качеството на изпълнение на ПМРД 2014-2020 г. и за проследяването на ефективността, ефикасността и въздействието на програмата за постигане на заложените цели на национално и общоевропейско ниво.    </w:t>
      </w:r>
    </w:p>
    <w:p w14:paraId="717420FA" w14:textId="18B9DE99" w:rsidR="00A801C7" w:rsidRPr="00E05F79" w:rsidRDefault="00711C36" w:rsidP="00E05F79">
      <w:pPr>
        <w:spacing w:after="0"/>
        <w:ind w:firstLine="567"/>
        <w:jc w:val="both"/>
        <w:rPr>
          <w:rFonts w:asciiTheme="majorHAnsi" w:hAnsiTheme="majorHAnsi" w:cs="Times New Roman"/>
          <w:sz w:val="24"/>
          <w:szCs w:val="24"/>
        </w:rPr>
      </w:pPr>
      <w:r>
        <w:rPr>
          <w:rFonts w:asciiTheme="majorHAnsi" w:hAnsiTheme="majorHAnsi" w:cs="Times New Roman"/>
          <w:sz w:val="24"/>
          <w:szCs w:val="24"/>
        </w:rPr>
        <w:t>Настоящият п</w:t>
      </w:r>
      <w:r w:rsidR="00A801C7" w:rsidRPr="00E05F79">
        <w:rPr>
          <w:rFonts w:asciiTheme="majorHAnsi" w:hAnsiTheme="majorHAnsi" w:cs="Times New Roman"/>
          <w:sz w:val="24"/>
          <w:szCs w:val="24"/>
        </w:rPr>
        <w:t>лан определ</w:t>
      </w:r>
      <w:r>
        <w:rPr>
          <w:rFonts w:asciiTheme="majorHAnsi" w:hAnsiTheme="majorHAnsi" w:cs="Times New Roman"/>
          <w:sz w:val="24"/>
          <w:szCs w:val="24"/>
        </w:rPr>
        <w:t>я</w:t>
      </w:r>
      <w:r w:rsidR="00A801C7" w:rsidRPr="00E05F79">
        <w:rPr>
          <w:rFonts w:asciiTheme="majorHAnsi" w:hAnsiTheme="majorHAnsi" w:cs="Times New Roman"/>
          <w:sz w:val="24"/>
          <w:szCs w:val="24"/>
        </w:rPr>
        <w:t xml:space="preserve"> тематичния обхват и основните въпроси на оценка, приложимите методи за оценка, вътрешната организация на процеса на оценка в УО и външната координация с партньорите и заинтересованите страни по ПМДР 2014-2020 г., времевата рамка и ресурсната обезпеченост на оценката с необходимите финансови и човешки ресурси, планираните мерки за повишаване капацитета на човешкия ресурс на УО, ангажиран с оценката, и действията по осигуряване на публичност и оповестяване резултатите от оценката.</w:t>
      </w:r>
    </w:p>
    <w:p w14:paraId="60916CDD" w14:textId="78E65419" w:rsidR="00A801C7" w:rsidRDefault="00A801C7" w:rsidP="00A801C7">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Процесът на осъществяване на оценка е тясно свързан с програмния цикъл (програмиране, изпълнение, мониторинг и отчитане на изпълнението на предварително заложените цели) и в този смисъл целта на провеждането на оценки е да се подобри качеството на изпълнение на оперативната програма и да се извърши оценка на нейната ефективност, ефикасност и въздействие.</w:t>
      </w:r>
    </w:p>
    <w:p w14:paraId="12C4A970" w14:textId="332E8FE4" w:rsidR="00711C36" w:rsidRDefault="00711C36" w:rsidP="00711C3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Общата цел на Плана за оценка е да се гарантира, че се предприемат достатъчно и подходящи дейности по оценката, които да бъдат успешно интегрирани в процеса на управление и изпълнение на програмата.</w:t>
      </w:r>
      <w:r>
        <w:rPr>
          <w:rFonts w:asciiTheme="majorHAnsi" w:hAnsiTheme="majorHAnsi" w:cs="Times New Roman"/>
          <w:sz w:val="24"/>
          <w:szCs w:val="24"/>
        </w:rPr>
        <w:t xml:space="preserve"> </w:t>
      </w:r>
    </w:p>
    <w:p w14:paraId="1C52F978" w14:textId="77777777" w:rsidR="00E05F79" w:rsidRPr="00A06340" w:rsidRDefault="00E05F79" w:rsidP="00711C36">
      <w:pPr>
        <w:spacing w:after="0"/>
        <w:ind w:firstLine="567"/>
        <w:jc w:val="both"/>
        <w:rPr>
          <w:rFonts w:asciiTheme="majorHAnsi" w:hAnsiTheme="majorHAnsi" w:cs="Times New Roman"/>
          <w:sz w:val="24"/>
          <w:szCs w:val="24"/>
        </w:rPr>
      </w:pPr>
    </w:p>
    <w:p w14:paraId="76460AF6" w14:textId="77777777" w:rsidR="00A06340" w:rsidRPr="00A06340" w:rsidRDefault="00A06340" w:rsidP="004D0069">
      <w:pPr>
        <w:pStyle w:val="Heading2"/>
        <w:rPr>
          <w:rFonts w:cs="Times New Roman"/>
          <w:b/>
          <w:sz w:val="24"/>
          <w:szCs w:val="24"/>
          <w:lang w:val="en-US"/>
        </w:rPr>
      </w:pPr>
      <w:bookmarkStart w:id="3" w:name="_Toc7098468"/>
      <w:r w:rsidRPr="00A06340">
        <w:rPr>
          <w:rFonts w:cs="Times New Roman"/>
          <w:b/>
          <w:bCs/>
          <w:sz w:val="24"/>
          <w:szCs w:val="24"/>
        </w:rPr>
        <w:t>1.1. О</w:t>
      </w:r>
      <w:r w:rsidRPr="00A06340">
        <w:rPr>
          <w:rFonts w:cs="Times New Roman"/>
          <w:b/>
          <w:sz w:val="24"/>
          <w:szCs w:val="24"/>
        </w:rPr>
        <w:t>пределяне на ключовите цели</w:t>
      </w:r>
      <w:bookmarkEnd w:id="3"/>
    </w:p>
    <w:p w14:paraId="781F821D" w14:textId="77777777" w:rsidR="00A06340" w:rsidRPr="00A06340" w:rsidRDefault="00A06340" w:rsidP="00A06340">
      <w:pPr>
        <w:spacing w:after="0"/>
        <w:ind w:firstLine="567"/>
        <w:jc w:val="both"/>
        <w:rPr>
          <w:rFonts w:asciiTheme="majorHAnsi" w:hAnsiTheme="majorHAnsi" w:cs="Times New Roman"/>
          <w:b/>
          <w:sz w:val="24"/>
          <w:szCs w:val="24"/>
          <w:lang w:val="en-US"/>
        </w:rPr>
      </w:pPr>
    </w:p>
    <w:p w14:paraId="6BCF9163"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Настоящият План за оценка очертава постигането на целите, идентифицирани в Глава 10 от ПМДР, както и тези, дефинирани от Управляващия орган на програмата, който отговаря за функционирането и управлението на системата за наблюдение и контрол и за качественото и навременното </w:t>
      </w:r>
      <w:r w:rsidRPr="00A06340">
        <w:rPr>
          <w:rFonts w:asciiTheme="majorHAnsi" w:hAnsiTheme="majorHAnsi" w:cs="Times New Roman"/>
          <w:sz w:val="24"/>
          <w:szCs w:val="24"/>
        </w:rPr>
        <w:lastRenderedPageBreak/>
        <w:t xml:space="preserve">разпространение на резултатите от изпълнението на програмата. За постигане на по-голяма яснота, основните цели на Плана за оценка са както следва: </w:t>
      </w:r>
    </w:p>
    <w:p w14:paraId="150970BD" w14:textId="77777777" w:rsidR="00A06340" w:rsidRPr="00A06340" w:rsidRDefault="00A06340" w:rsidP="00665802">
      <w:pPr>
        <w:numPr>
          <w:ilvl w:val="0"/>
          <w:numId w:val="2"/>
        </w:numPr>
        <w:spacing w:after="0"/>
        <w:jc w:val="both"/>
        <w:rPr>
          <w:rFonts w:asciiTheme="majorHAnsi" w:hAnsiTheme="majorHAnsi" w:cs="Times New Roman"/>
          <w:sz w:val="24"/>
          <w:szCs w:val="24"/>
        </w:rPr>
      </w:pPr>
      <w:r w:rsidRPr="00A06340">
        <w:rPr>
          <w:rFonts w:asciiTheme="majorHAnsi" w:hAnsiTheme="majorHAnsi" w:cs="Times New Roman"/>
          <w:sz w:val="24"/>
          <w:szCs w:val="24"/>
        </w:rPr>
        <w:t>Да отчете и предостави доказателства за приноса на ПМДР към всеки от приоритетите на Съюза;</w:t>
      </w:r>
    </w:p>
    <w:p w14:paraId="2636BA2F" w14:textId="77777777" w:rsidR="00A06340" w:rsidRPr="00A06340" w:rsidRDefault="00A06340" w:rsidP="00665802">
      <w:pPr>
        <w:numPr>
          <w:ilvl w:val="0"/>
          <w:numId w:val="2"/>
        </w:numPr>
        <w:spacing w:after="0"/>
        <w:jc w:val="both"/>
        <w:rPr>
          <w:rFonts w:asciiTheme="majorHAnsi" w:hAnsiTheme="majorHAnsi" w:cs="Times New Roman"/>
          <w:sz w:val="24"/>
          <w:szCs w:val="24"/>
        </w:rPr>
      </w:pPr>
      <w:r w:rsidRPr="00A06340">
        <w:rPr>
          <w:rFonts w:asciiTheme="majorHAnsi" w:hAnsiTheme="majorHAnsi" w:cs="Times New Roman"/>
          <w:sz w:val="24"/>
          <w:szCs w:val="24"/>
        </w:rPr>
        <w:t>Да оцени въздействието на програмата във връзка с поставените при програмирането цели;</w:t>
      </w:r>
    </w:p>
    <w:p w14:paraId="1C916768" w14:textId="0EDD1812" w:rsidR="00A06340" w:rsidRPr="00A06340" w:rsidRDefault="00A06340" w:rsidP="00665802">
      <w:pPr>
        <w:numPr>
          <w:ilvl w:val="0"/>
          <w:numId w:val="2"/>
        </w:numPr>
        <w:spacing w:after="0"/>
        <w:jc w:val="both"/>
        <w:rPr>
          <w:rFonts w:asciiTheme="majorHAnsi" w:hAnsiTheme="majorHAnsi" w:cs="Times New Roman"/>
          <w:sz w:val="24"/>
          <w:szCs w:val="24"/>
        </w:rPr>
      </w:pPr>
      <w:r w:rsidRPr="00A06340">
        <w:rPr>
          <w:rFonts w:asciiTheme="majorHAnsi" w:hAnsiTheme="majorHAnsi" w:cs="Times New Roman"/>
          <w:sz w:val="24"/>
          <w:szCs w:val="24"/>
        </w:rPr>
        <w:t>Да се даде възможност за информирано управление на програмата и вземане на адекватни решения въз основа на постигнатите резултати</w:t>
      </w:r>
      <w:r w:rsidR="00F90183">
        <w:rPr>
          <w:rFonts w:asciiTheme="majorHAnsi" w:hAnsiTheme="majorHAnsi" w:cs="Times New Roman"/>
          <w:sz w:val="24"/>
          <w:szCs w:val="24"/>
        </w:rPr>
        <w:t>, въз основа на обмена на наличните доказателства и обобщените констатации, изводи и препоръки от отделните оценки</w:t>
      </w:r>
      <w:r w:rsidRPr="00A06340">
        <w:rPr>
          <w:rFonts w:asciiTheme="majorHAnsi" w:hAnsiTheme="majorHAnsi" w:cs="Times New Roman"/>
          <w:sz w:val="24"/>
          <w:szCs w:val="24"/>
        </w:rPr>
        <w:t>;</w:t>
      </w:r>
    </w:p>
    <w:p w14:paraId="1EE6B50F" w14:textId="77777777" w:rsidR="00026A5E" w:rsidRDefault="00026A5E" w:rsidP="00665802">
      <w:pPr>
        <w:numPr>
          <w:ilvl w:val="0"/>
          <w:numId w:val="2"/>
        </w:numPr>
        <w:spacing w:after="0"/>
        <w:jc w:val="both"/>
        <w:rPr>
          <w:rFonts w:asciiTheme="majorHAnsi" w:hAnsiTheme="majorHAnsi" w:cs="Times New Roman"/>
          <w:sz w:val="24"/>
          <w:szCs w:val="24"/>
        </w:rPr>
      </w:pPr>
      <w:r>
        <w:rPr>
          <w:rFonts w:asciiTheme="majorHAnsi" w:hAnsiTheme="majorHAnsi" w:cs="Times New Roman"/>
          <w:sz w:val="24"/>
          <w:szCs w:val="24"/>
        </w:rPr>
        <w:t xml:space="preserve">Да </w:t>
      </w:r>
      <w:r w:rsidRPr="00026A5E">
        <w:rPr>
          <w:rFonts w:asciiTheme="majorHAnsi" w:hAnsiTheme="majorHAnsi" w:cs="Times New Roman"/>
          <w:sz w:val="24"/>
          <w:szCs w:val="24"/>
        </w:rPr>
        <w:t>способства за подобряване на качеството на оценките чрез правилно планиране, включително чрез идентифициране и събиране на необходимите данни (член 54 (2) от Регламент (ЕС) № 1303/2013 г.);  - осигури рамка за планиране на оценки на въздействието (член 56 (3) от Ре</w:t>
      </w:r>
      <w:r>
        <w:rPr>
          <w:rFonts w:asciiTheme="majorHAnsi" w:hAnsiTheme="majorHAnsi" w:cs="Times New Roman"/>
          <w:sz w:val="24"/>
          <w:szCs w:val="24"/>
        </w:rPr>
        <w:t>гламент (ЕС) № 1303/2013 г.);</w:t>
      </w:r>
    </w:p>
    <w:p w14:paraId="14BB83BE" w14:textId="77BFE200" w:rsidR="00026A5E" w:rsidRDefault="00026A5E" w:rsidP="00665802">
      <w:pPr>
        <w:numPr>
          <w:ilvl w:val="0"/>
          <w:numId w:val="2"/>
        </w:numPr>
        <w:spacing w:after="0"/>
        <w:jc w:val="both"/>
        <w:rPr>
          <w:rFonts w:asciiTheme="majorHAnsi" w:hAnsiTheme="majorHAnsi" w:cs="Times New Roman"/>
          <w:sz w:val="24"/>
          <w:szCs w:val="24"/>
        </w:rPr>
      </w:pPr>
      <w:r>
        <w:rPr>
          <w:rFonts w:asciiTheme="majorHAnsi" w:hAnsiTheme="majorHAnsi" w:cs="Times New Roman"/>
          <w:sz w:val="24"/>
          <w:szCs w:val="24"/>
        </w:rPr>
        <w:t xml:space="preserve">Да </w:t>
      </w:r>
      <w:r w:rsidRPr="00026A5E">
        <w:rPr>
          <w:rFonts w:asciiTheme="majorHAnsi" w:hAnsiTheme="majorHAnsi" w:cs="Times New Roman"/>
          <w:sz w:val="24"/>
          <w:szCs w:val="24"/>
        </w:rPr>
        <w:t xml:space="preserve">гарантира, че оценките осигуряват необходимата информация за ефективното и ефикасно управление на </w:t>
      </w:r>
      <w:r>
        <w:rPr>
          <w:rFonts w:asciiTheme="majorHAnsi" w:hAnsiTheme="majorHAnsi" w:cs="Times New Roman"/>
          <w:sz w:val="24"/>
          <w:szCs w:val="24"/>
        </w:rPr>
        <w:t>ПМДР</w:t>
      </w:r>
      <w:r w:rsidRPr="00026A5E">
        <w:rPr>
          <w:rFonts w:asciiTheme="majorHAnsi" w:hAnsiTheme="majorHAnsi" w:cs="Times New Roman"/>
          <w:sz w:val="24"/>
          <w:szCs w:val="24"/>
        </w:rPr>
        <w:t xml:space="preserve">; </w:t>
      </w:r>
    </w:p>
    <w:p w14:paraId="5FFFB965" w14:textId="335447C1" w:rsidR="00026A5E" w:rsidRDefault="00026A5E" w:rsidP="00665802">
      <w:pPr>
        <w:numPr>
          <w:ilvl w:val="0"/>
          <w:numId w:val="2"/>
        </w:numPr>
        <w:spacing w:after="0"/>
        <w:jc w:val="both"/>
        <w:rPr>
          <w:rFonts w:asciiTheme="majorHAnsi" w:hAnsiTheme="majorHAnsi" w:cs="Times New Roman"/>
          <w:sz w:val="24"/>
          <w:szCs w:val="24"/>
        </w:rPr>
      </w:pPr>
      <w:r>
        <w:rPr>
          <w:rFonts w:asciiTheme="majorHAnsi" w:hAnsiTheme="majorHAnsi" w:cs="Times New Roman"/>
          <w:sz w:val="24"/>
          <w:szCs w:val="24"/>
        </w:rPr>
        <w:t>Д</w:t>
      </w:r>
      <w:r w:rsidRPr="00026A5E">
        <w:rPr>
          <w:rFonts w:asciiTheme="majorHAnsi" w:hAnsiTheme="majorHAnsi" w:cs="Times New Roman"/>
          <w:sz w:val="24"/>
          <w:szCs w:val="24"/>
        </w:rPr>
        <w:t xml:space="preserve">а гарантира използването на резултатите от заинтересованите страни при прилагането на програмата;   </w:t>
      </w:r>
    </w:p>
    <w:p w14:paraId="4351802B" w14:textId="174E1629" w:rsidR="00026A5E" w:rsidRPr="00026A5E" w:rsidRDefault="00026A5E" w:rsidP="00665802">
      <w:pPr>
        <w:numPr>
          <w:ilvl w:val="0"/>
          <w:numId w:val="2"/>
        </w:numPr>
        <w:spacing w:after="0"/>
        <w:jc w:val="both"/>
        <w:rPr>
          <w:rFonts w:asciiTheme="majorHAnsi" w:hAnsiTheme="majorHAnsi" w:cs="Times New Roman"/>
          <w:sz w:val="24"/>
          <w:szCs w:val="24"/>
        </w:rPr>
      </w:pPr>
      <w:r>
        <w:rPr>
          <w:rFonts w:asciiTheme="majorHAnsi" w:hAnsiTheme="majorHAnsi" w:cs="Times New Roman"/>
          <w:sz w:val="24"/>
          <w:szCs w:val="24"/>
        </w:rPr>
        <w:t>Д</w:t>
      </w:r>
      <w:r w:rsidRPr="00026A5E">
        <w:rPr>
          <w:rFonts w:asciiTheme="majorHAnsi" w:hAnsiTheme="majorHAnsi" w:cs="Times New Roman"/>
          <w:sz w:val="24"/>
          <w:szCs w:val="24"/>
        </w:rPr>
        <w:t xml:space="preserve">а подобри прозрачността и откритостта по отношение изпълнението на </w:t>
      </w:r>
      <w:r w:rsidR="00F90183">
        <w:rPr>
          <w:rFonts w:asciiTheme="majorHAnsi" w:hAnsiTheme="majorHAnsi" w:cs="Times New Roman"/>
          <w:sz w:val="24"/>
          <w:szCs w:val="24"/>
        </w:rPr>
        <w:t>ПМДР</w:t>
      </w:r>
      <w:r w:rsidRPr="00026A5E">
        <w:rPr>
          <w:rFonts w:asciiTheme="majorHAnsi" w:hAnsiTheme="majorHAnsi" w:cs="Times New Roman"/>
          <w:sz w:val="24"/>
          <w:szCs w:val="24"/>
        </w:rPr>
        <w:t>, процеса на комуникация със заинтересованите страни и информираността им относно резултатите от изпълнението на програмата и нейното въздействие</w:t>
      </w:r>
      <w:r>
        <w:rPr>
          <w:rFonts w:asciiTheme="majorHAnsi" w:hAnsiTheme="majorHAnsi" w:cs="Times New Roman"/>
          <w:sz w:val="24"/>
          <w:szCs w:val="24"/>
        </w:rPr>
        <w:t xml:space="preserve">. </w:t>
      </w:r>
    </w:p>
    <w:p w14:paraId="487C0D3C"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Рамката за оценка, заложена в настоящия документ, има за цел да надгради работата, извършена при предварителната оценка (ex-ante) на ПМДР, която служи за оценка на адекватността на стратегията на програмата, на съответните цели, показатели и разпределението на бюджетните средства. </w:t>
      </w:r>
    </w:p>
    <w:p w14:paraId="5A148432"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В тази връзка, извършените дейности по оценка ще помогнат да се определи дали изпълнението на цялостната стратегия на ПМДР е ефективна по отношение на постигнатите резултати в широкия контекст на стратегията „Европа 2020“ за интелигентен, устойчив и приобщаващ растеж, в това число и на общата стратегическа рамка, реформираната Обща политика в областта на рибарството (ОПОР), националните стратегии и приоритети за развитие, в това число и стратегическите направления, заложени в Споразумението за партньорство между Република България и Европейския съюз за периода 2014-2020 г., подробно разписани в Глава 3 от ПМДР.  </w:t>
      </w:r>
    </w:p>
    <w:p w14:paraId="6020645A"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lastRenderedPageBreak/>
        <w:t xml:space="preserve">Разработването на Плана за оценка и на стратегията, заложена в рамката за оценка, се основава на опита и изводите, извлечени от предишния програмен период. При подготовката на горепосочените документи са взети предвид оценките, извършени по Оперативна програма за развитие на сектор „Рибарство“, както и предварителната оценка и стратегическа екологична оценка (СЕО) за Европейския фонд за морско дело и рибарство за програмния период 2014-2020 г., а именно Доклад за екологична оценка на Програма за морско дело и рибарство 2014 – 2020 г. (октомври, 2014 г.) и Предварителна оценка на Програма за морско дело и рибарство 2014-2020 г. (окончателен доклад) от август 2014 г. </w:t>
      </w:r>
    </w:p>
    <w:p w14:paraId="55B6CA01" w14:textId="184B23C1"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При изготвяне на Плана за оценка, следва да се отдаде дължимото значение на оценката на потребностите и на променящия се контекст, възникнали по време на изтеклия програмния период и значителните промени в социално-икономическия контекст, в който е изпълнявана настоящата програма. Тези фактори могат да доведат до прилагане на мерки без постигане на желания ефект, ако начините за прилагане на ПМДР не бъдат преразгледани и своевременно не бъдат предприети коригиращи мерки. </w:t>
      </w:r>
    </w:p>
    <w:p w14:paraId="6070651F"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Рамката за оценка на ПМДР през настоящия програмен период има за цел да подпомогне прегледа на напредъка и изпълнението на заложените в програмата мерки във връзка с адресираните нужди, идентифицирани в SWOT анализа, извършен като част от предварителната оценка на оперативната програма и в последствие разширен в Глава 2 на ПМДР. За тази цел резултатите от извършените дейности по оценяване </w:t>
      </w:r>
      <w:r w:rsidRPr="00A06340">
        <w:rPr>
          <w:rFonts w:asciiTheme="majorHAnsi" w:hAnsiTheme="majorHAnsi" w:cs="Times New Roman"/>
          <w:sz w:val="24"/>
          <w:szCs w:val="24"/>
          <w:lang w:val="en-US"/>
        </w:rPr>
        <w:t>следва</w:t>
      </w:r>
      <w:r w:rsidRPr="00A06340">
        <w:rPr>
          <w:rFonts w:asciiTheme="majorHAnsi" w:hAnsiTheme="majorHAnsi" w:cs="Times New Roman"/>
          <w:sz w:val="24"/>
          <w:szCs w:val="24"/>
        </w:rPr>
        <w:t xml:space="preserve"> да бъдат подробно разгледани от Комитета за наблюдение, за да се прецени доколко е необходима ревизия на ПМДР и съпътстващите я мерки.</w:t>
      </w:r>
    </w:p>
    <w:p w14:paraId="52E45185" w14:textId="77777777" w:rsidR="00A06340" w:rsidRPr="00A06340" w:rsidRDefault="00A06340" w:rsidP="00A06340">
      <w:pPr>
        <w:spacing w:after="0"/>
        <w:ind w:firstLine="567"/>
        <w:jc w:val="both"/>
        <w:rPr>
          <w:rFonts w:asciiTheme="majorHAnsi" w:hAnsiTheme="majorHAnsi" w:cs="Times New Roman"/>
          <w:b/>
          <w:sz w:val="24"/>
          <w:szCs w:val="24"/>
        </w:rPr>
      </w:pPr>
    </w:p>
    <w:p w14:paraId="1C182D71" w14:textId="77777777" w:rsidR="00A06340" w:rsidRDefault="00A06340" w:rsidP="004D0069">
      <w:pPr>
        <w:pStyle w:val="Heading2"/>
        <w:rPr>
          <w:rFonts w:cs="Times New Roman"/>
          <w:b/>
          <w:sz w:val="24"/>
          <w:szCs w:val="24"/>
        </w:rPr>
      </w:pPr>
      <w:bookmarkStart w:id="4" w:name="_Toc7098469"/>
      <w:r w:rsidRPr="00A06340">
        <w:rPr>
          <w:rFonts w:cs="Times New Roman"/>
          <w:b/>
          <w:bCs/>
          <w:sz w:val="24"/>
          <w:szCs w:val="24"/>
        </w:rPr>
        <w:t xml:space="preserve">1.2. </w:t>
      </w:r>
      <w:r w:rsidRPr="00A06340">
        <w:rPr>
          <w:rFonts w:cs="Times New Roman"/>
          <w:b/>
          <w:sz w:val="24"/>
          <w:szCs w:val="24"/>
        </w:rPr>
        <w:t>Анализ на наличните данни, с оглед определянето на основния фокус на усилията за събиране на данни за оценката</w:t>
      </w:r>
      <w:bookmarkEnd w:id="4"/>
    </w:p>
    <w:p w14:paraId="604CA1DE" w14:textId="77777777" w:rsidR="004C206E" w:rsidRDefault="004C206E" w:rsidP="00A06340">
      <w:pPr>
        <w:spacing w:after="0"/>
        <w:ind w:firstLine="567"/>
        <w:jc w:val="both"/>
        <w:rPr>
          <w:rFonts w:asciiTheme="majorHAnsi" w:hAnsiTheme="majorHAnsi" w:cs="Times New Roman"/>
          <w:b/>
          <w:sz w:val="24"/>
          <w:szCs w:val="24"/>
        </w:rPr>
      </w:pPr>
    </w:p>
    <w:p w14:paraId="11C8F478" w14:textId="19740D7B" w:rsidR="00EE2282" w:rsidRPr="00A06340" w:rsidRDefault="00EE2282" w:rsidP="00EE2282">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За да получи и събере необходимите данни за оценка, УО следва да гарантира, че процедурите за наблюдение и записване на данните, посочени в Глава 11 от ПМДР, се следват и прилагат ефективно от всички заинтересовани страни, а именно - </w:t>
      </w:r>
      <w:r w:rsidR="00273C13">
        <w:rPr>
          <w:rFonts w:asciiTheme="majorHAnsi" w:hAnsiTheme="majorHAnsi" w:cs="Times New Roman"/>
          <w:sz w:val="24"/>
          <w:szCs w:val="24"/>
        </w:rPr>
        <w:t>бенефициенти</w:t>
      </w:r>
      <w:r w:rsidRPr="00A06340">
        <w:rPr>
          <w:rFonts w:asciiTheme="majorHAnsi" w:hAnsiTheme="majorHAnsi" w:cs="Times New Roman"/>
          <w:sz w:val="24"/>
          <w:szCs w:val="24"/>
        </w:rPr>
        <w:t xml:space="preserve">, УО, СО и ОО. </w:t>
      </w:r>
    </w:p>
    <w:p w14:paraId="65576619" w14:textId="77777777" w:rsidR="00EE2282" w:rsidRPr="00A06340" w:rsidRDefault="00EE2282" w:rsidP="00EE2282">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За изпълнението на тази цел от ключово значение е Информационната система за наблюдение на средствата от ЕС в България за периода 2014 – 2020 г. (ИСУН 2020) и нейната редовна актуализация от всички заинтересовани страни, участващи в процеса по изпълнение на програмата. От изключително значение за </w:t>
      </w:r>
      <w:r w:rsidRPr="00A06340">
        <w:rPr>
          <w:rFonts w:asciiTheme="majorHAnsi" w:hAnsiTheme="majorHAnsi" w:cs="Times New Roman"/>
          <w:sz w:val="24"/>
          <w:szCs w:val="24"/>
        </w:rPr>
        <w:lastRenderedPageBreak/>
        <w:t xml:space="preserve">надеждността на въведените данни е и извършването на допълнителни проверки с цел валидиране на записаните резултати. Не на последно място следва да се отбележи, че административните проверки извършвани от УО, СО и ОО, съгласно Системата за управление и контрол (СУК) на програмата е необходимо да служат за гарантиране на надеждността на записаните данни. </w:t>
      </w:r>
    </w:p>
    <w:p w14:paraId="64F4CA5C" w14:textId="46C791F7" w:rsidR="00EE2282" w:rsidRPr="00A06340" w:rsidRDefault="00EE2282" w:rsidP="00EE2282">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Данните за операциите и напредъка по резултатите и показателите за всеки проект следва да се събират и наблюдават посредством базата данни на ИСУН 2020, </w:t>
      </w:r>
      <w:r w:rsidR="002F2CEC">
        <w:rPr>
          <w:rFonts w:asciiTheme="majorHAnsi" w:hAnsiTheme="majorHAnsi" w:cs="Times New Roman"/>
          <w:sz w:val="24"/>
          <w:szCs w:val="24"/>
        </w:rPr>
        <w:t>Наръчника по</w:t>
      </w:r>
      <w:r w:rsidRPr="00A06340">
        <w:rPr>
          <w:rFonts w:asciiTheme="majorHAnsi" w:hAnsiTheme="majorHAnsi" w:cs="Times New Roman"/>
          <w:sz w:val="24"/>
          <w:szCs w:val="24"/>
        </w:rPr>
        <w:t xml:space="preserve"> Програмата за морско дело и рибарство за периода 2014-2020 г. Въпреки това, допълнителни проучвания или </w:t>
      </w:r>
      <w:r w:rsidR="002F2CEC">
        <w:rPr>
          <w:rFonts w:asciiTheme="majorHAnsi" w:hAnsiTheme="majorHAnsi" w:cs="Times New Roman"/>
          <w:sz w:val="24"/>
          <w:szCs w:val="24"/>
        </w:rPr>
        <w:t xml:space="preserve">подкрепящи събирането на информация за напредъка </w:t>
      </w:r>
      <w:r w:rsidRPr="00A06340">
        <w:rPr>
          <w:rFonts w:asciiTheme="majorHAnsi" w:hAnsiTheme="majorHAnsi" w:cs="Times New Roman"/>
          <w:sz w:val="24"/>
          <w:szCs w:val="24"/>
        </w:rPr>
        <w:t xml:space="preserve">дейности могат да бъдат предприети (от бенефициенти и/или от УО), когато става дума за определени индикатори за резултат. Отговорността за навременното предоставяне и качеството на предоставената информация за целите на оценките на програмата е изцяло на УО.  </w:t>
      </w:r>
    </w:p>
    <w:p w14:paraId="1E04203D" w14:textId="4AA3194B" w:rsidR="00EE2282" w:rsidRPr="00A06340" w:rsidRDefault="00EE2282" w:rsidP="00EE2282">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Съгласно изискването на глава 10 от ПМДР, оценката на програмата следва да осигури специфична информация по отношение на подхода „Водено от общностите местно развитие“ (ВОМР). Информация за изпълнението на подхода ще бъде събирана посредством данни от одобрените Местни инициативни рибарски групи (МИРГ). По време на прилагането на стратегиите за ВОМР МИРГ следва да осъществяват комуникация с УО/МО посредством доклад за напредъка на изпълнението, на годишна база. Данни от тези доклади за напредъка УО следва да представи на екипа, извършващ оценк</w:t>
      </w:r>
      <w:r>
        <w:rPr>
          <w:rFonts w:asciiTheme="majorHAnsi" w:hAnsiTheme="majorHAnsi" w:cs="Times New Roman"/>
          <w:sz w:val="24"/>
          <w:szCs w:val="24"/>
        </w:rPr>
        <w:t>ите</w:t>
      </w:r>
      <w:r w:rsidRPr="00A06340">
        <w:rPr>
          <w:rFonts w:asciiTheme="majorHAnsi" w:hAnsiTheme="majorHAnsi" w:cs="Times New Roman"/>
          <w:sz w:val="24"/>
          <w:szCs w:val="24"/>
        </w:rPr>
        <w:t xml:space="preserve">. </w:t>
      </w:r>
    </w:p>
    <w:p w14:paraId="1F557E75" w14:textId="77777777" w:rsidR="00EE2282" w:rsidRPr="00A06340" w:rsidRDefault="00EE2282" w:rsidP="00EE2282">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Бенефициентите и ръководителите на проекти са отговорни за събирането и проверката на данните по отношение на операциите и индикаторите, заложени в административния договор за предоставяне на безвъзмездна финансова помощ по програмата. Мониторингът на индикаторите е условие за отпускане на безвъзмездна финансова помощ и доказаната невъзможност за постигане на договорените цели може да доведе до възстановяване на средства по проекта и загуба на средства за Република България. </w:t>
      </w:r>
    </w:p>
    <w:p w14:paraId="2DE10E1F" w14:textId="77777777" w:rsidR="00EE2282" w:rsidRPr="00A06340" w:rsidRDefault="00EE2282" w:rsidP="00EE2282">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По отношение на редовното наблюдение на мониторинговите индикатори, УО следва да има установени механизми за контакт с бенефициентите и ръководителите на проекти . В по-голямата си част ефективният мониторинг се извършва на база на актуалната информация, достъпна чрез служебен, а за външните заинтересовани страни, и посредством публичен достъп до информацията, публикувана или въведена в ИСУН 2020. </w:t>
      </w:r>
    </w:p>
    <w:p w14:paraId="2DE776E8" w14:textId="77777777" w:rsidR="00EE2282" w:rsidRPr="00A06340" w:rsidRDefault="00EE2282" w:rsidP="00EE2282">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Данните за всяка операция се събират и докладват от бенефициентите чрез следните изисквания за докладване, които също са посочени в административния договор за предоставяне на БФП:</w:t>
      </w:r>
    </w:p>
    <w:p w14:paraId="23C96C3D" w14:textId="77777777" w:rsidR="00EE2282" w:rsidRPr="00A06340" w:rsidRDefault="00EE2282" w:rsidP="00EE2282">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lastRenderedPageBreak/>
        <w:t>•</w:t>
      </w:r>
      <w:r w:rsidRPr="00A06340">
        <w:rPr>
          <w:rFonts w:asciiTheme="majorHAnsi" w:hAnsiTheme="majorHAnsi" w:cs="Times New Roman"/>
          <w:sz w:val="24"/>
          <w:szCs w:val="24"/>
        </w:rPr>
        <w:tab/>
        <w:t>Доклади за изпълнението по проекта, съобразени с видовете плащания по него. За всяко междинно и окончателно плащане се предвижда и финансов и технически отчет от бенефициента;</w:t>
      </w:r>
    </w:p>
    <w:p w14:paraId="014A1E5B" w14:textId="77777777" w:rsidR="00EE2282" w:rsidRPr="00A06340" w:rsidRDefault="00EE2282" w:rsidP="00EE2282">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Отчети в следствие от извършени мониторингови проверки от страна на УО;</w:t>
      </w:r>
    </w:p>
    <w:p w14:paraId="137B3365" w14:textId="5E2A8170" w:rsidR="00EE2282" w:rsidRDefault="00EE2282" w:rsidP="00EE2282">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Редовни актуализации на базата данни от страна на УО </w:t>
      </w:r>
      <w:r>
        <w:rPr>
          <w:rFonts w:asciiTheme="majorHAnsi" w:hAnsiTheme="majorHAnsi" w:cs="Times New Roman"/>
          <w:sz w:val="24"/>
          <w:szCs w:val="24"/>
        </w:rPr>
        <w:t>в ИСУН 2020</w:t>
      </w:r>
      <w:r w:rsidRPr="00A06340">
        <w:rPr>
          <w:rFonts w:asciiTheme="majorHAnsi" w:hAnsiTheme="majorHAnsi" w:cs="Times New Roman"/>
          <w:sz w:val="24"/>
          <w:szCs w:val="24"/>
        </w:rPr>
        <w:t xml:space="preserve">; </w:t>
      </w:r>
    </w:p>
    <w:p w14:paraId="1FB4800E" w14:textId="77777777" w:rsidR="00EE2282" w:rsidRPr="00A06340" w:rsidRDefault="00EE2282" w:rsidP="00EE2282">
      <w:pPr>
        <w:spacing w:after="0"/>
        <w:ind w:firstLine="567"/>
        <w:jc w:val="both"/>
        <w:rPr>
          <w:rFonts w:asciiTheme="majorHAnsi" w:hAnsiTheme="majorHAnsi" w:cs="Times New Roman"/>
          <w:sz w:val="24"/>
          <w:szCs w:val="24"/>
        </w:rPr>
      </w:pPr>
    </w:p>
    <w:p w14:paraId="786F7538" w14:textId="77777777" w:rsidR="00EE2282" w:rsidRDefault="00EE2282" w:rsidP="00EE2282">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В случай, че е необходима допълнителна или външна информация за целите на оценката, ще се търсят допълнителни източници на данни като например такива, предоставени от НСИ и Евростат, от Съвместния изследователски център (JRC) и докладите на Научно-технически и икономически комитет по рибарство (НТИКР), както и данни, предоставени от други заинтересовани страни като ИАРА, МОСВ и др.</w:t>
      </w:r>
    </w:p>
    <w:p w14:paraId="6B6E3A60" w14:textId="77777777" w:rsidR="00EE2282" w:rsidRPr="00A06340" w:rsidRDefault="00EE2282" w:rsidP="00EE2282">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lang w:val="en-US"/>
        </w:rPr>
        <w:t>Източник на информация за индикаторите за резултат по програмата е Н</w:t>
      </w:r>
      <w:r w:rsidRPr="00A06340">
        <w:rPr>
          <w:rFonts w:asciiTheme="majorHAnsi" w:hAnsiTheme="majorHAnsi" w:cs="Times New Roman"/>
          <w:sz w:val="24"/>
          <w:szCs w:val="24"/>
        </w:rPr>
        <w:t xml:space="preserve">ационалният статистически институт </w:t>
      </w:r>
      <w:r w:rsidRPr="00A06340">
        <w:rPr>
          <w:rFonts w:asciiTheme="majorHAnsi" w:hAnsiTheme="majorHAnsi" w:cs="Times New Roman"/>
          <w:sz w:val="24"/>
          <w:szCs w:val="24"/>
          <w:lang w:val="en-US"/>
        </w:rPr>
        <w:t>(</w:t>
      </w:r>
      <w:r w:rsidRPr="00A06340">
        <w:rPr>
          <w:rFonts w:asciiTheme="majorHAnsi" w:hAnsiTheme="majorHAnsi" w:cs="Times New Roman"/>
          <w:sz w:val="24"/>
          <w:szCs w:val="24"/>
        </w:rPr>
        <w:t>Н</w:t>
      </w:r>
      <w:r w:rsidRPr="00A06340">
        <w:rPr>
          <w:rFonts w:asciiTheme="majorHAnsi" w:hAnsiTheme="majorHAnsi" w:cs="Times New Roman"/>
          <w:sz w:val="24"/>
          <w:szCs w:val="24"/>
          <w:lang w:val="en-US"/>
        </w:rPr>
        <w:t>СИ). С цел осигуряване на съпоставимост, допълване и хармонизация между индикаторите и целите в рамките за изпълнението на отделните програми, се осъществява и непрекъсната координация между различните програми и Ц</w:t>
      </w:r>
      <w:r w:rsidRPr="00A06340">
        <w:rPr>
          <w:rFonts w:asciiTheme="majorHAnsi" w:hAnsiTheme="majorHAnsi" w:cs="Times New Roman"/>
          <w:sz w:val="24"/>
          <w:szCs w:val="24"/>
        </w:rPr>
        <w:t xml:space="preserve">ентралното координационно звено на Министерски съвет </w:t>
      </w:r>
      <w:r w:rsidRPr="00A06340">
        <w:rPr>
          <w:rFonts w:asciiTheme="majorHAnsi" w:hAnsiTheme="majorHAnsi" w:cs="Times New Roman"/>
          <w:sz w:val="24"/>
          <w:szCs w:val="24"/>
          <w:lang w:val="en-US"/>
        </w:rPr>
        <w:t>(</w:t>
      </w:r>
      <w:r w:rsidRPr="00A06340">
        <w:rPr>
          <w:rFonts w:asciiTheme="majorHAnsi" w:hAnsiTheme="majorHAnsi" w:cs="Times New Roman"/>
          <w:sz w:val="24"/>
          <w:szCs w:val="24"/>
        </w:rPr>
        <w:t>Ц</w:t>
      </w:r>
      <w:r w:rsidRPr="00A06340">
        <w:rPr>
          <w:rFonts w:asciiTheme="majorHAnsi" w:hAnsiTheme="majorHAnsi" w:cs="Times New Roman"/>
          <w:sz w:val="24"/>
          <w:szCs w:val="24"/>
          <w:lang w:val="en-US"/>
        </w:rPr>
        <w:t>КЗ), както и активно сътрудничество с НСИ. По този начин се гарантира, че НСИ ще предоставя своевременно достоверна, актуална и съвместима информация (където е необходимо и дезагрегирана по компоненти) за целеполагането и отчитането на стойностите на избрания набор от индикатори.</w:t>
      </w:r>
    </w:p>
    <w:p w14:paraId="7EC26AE2" w14:textId="77777777" w:rsidR="00EE2282" w:rsidRPr="00A06340" w:rsidRDefault="00EE2282" w:rsidP="00EE2282">
      <w:pPr>
        <w:spacing w:after="0"/>
        <w:ind w:firstLine="567"/>
        <w:jc w:val="both"/>
        <w:rPr>
          <w:rFonts w:asciiTheme="majorHAnsi" w:hAnsiTheme="majorHAnsi" w:cs="Times New Roman"/>
          <w:sz w:val="24"/>
          <w:szCs w:val="24"/>
          <w:lang w:val="en-US"/>
        </w:rPr>
      </w:pPr>
      <w:r w:rsidRPr="00A06340">
        <w:rPr>
          <w:rFonts w:asciiTheme="majorHAnsi" w:hAnsiTheme="majorHAnsi" w:cs="Times New Roman"/>
          <w:sz w:val="24"/>
          <w:szCs w:val="24"/>
          <w:lang w:val="en-US"/>
        </w:rPr>
        <w:t>Основните  методи, които ще се използват при извършване на дейностите по оценка са преглед на документацията и анализ на данните (включително оперативни данни и показатели, годишни доклади за изпълнение, преглед на оперативната програма и нейните изменения, преглед на други съответни документи като критерии за допустимост и подбор, предварителна оценка и стратегическа екологична оценка, други релевантни оценки/изследвания, проучвания или планове, преглед на европейското и националното законодателство в областта и провеждане на интервюта и/или проучвания на нагласите на заинтересованите страни, участващи в процеса на изпълнение на програмата.</w:t>
      </w:r>
    </w:p>
    <w:p w14:paraId="038B639B" w14:textId="77777777" w:rsidR="00EE2282" w:rsidRDefault="00EE2282" w:rsidP="00EE2282">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lang w:val="en-US"/>
        </w:rPr>
        <w:t xml:space="preserve">По отношение на количествените данни, които трябва да бъдат събрани и оценени, следва да се отбележи, че междинната оценка се основава най-вече на следните набори от данни - Финансови показатели (основни стойности за 2018 г.) и Индикатори за резултат и въздействие (стойности за периода от одобрение на </w:t>
      </w:r>
      <w:r w:rsidRPr="00A06340">
        <w:rPr>
          <w:rFonts w:asciiTheme="majorHAnsi" w:hAnsiTheme="majorHAnsi" w:cs="Times New Roman"/>
          <w:sz w:val="24"/>
          <w:szCs w:val="24"/>
          <w:lang w:val="en-US"/>
        </w:rPr>
        <w:lastRenderedPageBreak/>
        <w:t xml:space="preserve">програмата до края на 2018 г.). В тази връзка УО на ПМДР и останалите заинтересовани страни – източници на информация трябва да гарантират, че данните, които се предоставят на външните изпълнители на оценката, са актуални и надеждни. </w:t>
      </w:r>
    </w:p>
    <w:p w14:paraId="1578DC65" w14:textId="77777777" w:rsidR="00EE2282" w:rsidRPr="00A06340" w:rsidRDefault="00EE2282" w:rsidP="00EE2282">
      <w:pPr>
        <w:spacing w:after="0"/>
        <w:ind w:firstLine="567"/>
        <w:jc w:val="both"/>
        <w:rPr>
          <w:rFonts w:asciiTheme="majorHAnsi" w:hAnsiTheme="majorHAnsi" w:cs="Times New Roman"/>
          <w:sz w:val="24"/>
          <w:szCs w:val="24"/>
          <w:lang w:val="en-US"/>
        </w:rPr>
      </w:pPr>
      <w:r w:rsidRPr="00A06340">
        <w:rPr>
          <w:rFonts w:asciiTheme="majorHAnsi" w:hAnsiTheme="majorHAnsi" w:cs="Times New Roman"/>
          <w:sz w:val="24"/>
          <w:szCs w:val="24"/>
          <w:lang w:val="en-US"/>
        </w:rPr>
        <w:t>Качествени данни за оценката могат да бъдат събрани и посредством анализ на годишните доклади за изпълнението на програмата и от описанието и формулярите за мониторинг и оценка за финансираните проектни предложения.</w:t>
      </w:r>
    </w:p>
    <w:p w14:paraId="58ABD32D" w14:textId="77777777" w:rsidR="00EE2282" w:rsidRDefault="00EE2282" w:rsidP="00EE2282">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lang w:val="en-US"/>
        </w:rPr>
        <w:t xml:space="preserve">Постигането на стратегическата цел на настоящия план, а именно – изготвянето на пълна, качествена и задълбочена междинна оценка на Програмата за морско дело и рибарство 2014-2020 г. зависи от разработването на ефективна система за събиране и анализ на информацията. </w:t>
      </w:r>
    </w:p>
    <w:p w14:paraId="52D13FEF" w14:textId="57595A1D" w:rsidR="00EE2282" w:rsidRDefault="00EE2282" w:rsidP="00EE2282">
      <w:pPr>
        <w:spacing w:after="0"/>
        <w:ind w:firstLine="567"/>
        <w:jc w:val="both"/>
        <w:rPr>
          <w:rFonts w:asciiTheme="majorHAnsi" w:hAnsiTheme="majorHAnsi" w:cs="Times New Roman"/>
          <w:sz w:val="24"/>
          <w:szCs w:val="24"/>
          <w:lang w:val="en-US"/>
        </w:rPr>
      </w:pPr>
      <w:r w:rsidRPr="00A06340">
        <w:rPr>
          <w:rFonts w:asciiTheme="majorHAnsi" w:hAnsiTheme="majorHAnsi" w:cs="Times New Roman"/>
          <w:sz w:val="24"/>
          <w:szCs w:val="24"/>
          <w:lang w:val="en-US"/>
        </w:rPr>
        <w:t xml:space="preserve">Основен източник на информация е УО на ПМДР, както и всички заинтересовани от нейното прилагане страни. С цел набавяне на допълнителни данни, важни за оценката, екипът по изготвяне на оценката планира да проведе редица срещи с представители и на други публични органи, които могат да добавят допълнителна информация към базата данни. Ще се събира и анализира информация и от бенефициенти и потенциални кандидати за предоставяне на безвъзмездна финансова помощ. </w:t>
      </w:r>
    </w:p>
    <w:p w14:paraId="19E2F696" w14:textId="77777777" w:rsidR="00E05F79" w:rsidRDefault="00E05F79" w:rsidP="00EE2282">
      <w:pPr>
        <w:spacing w:after="0"/>
        <w:ind w:firstLine="567"/>
        <w:jc w:val="both"/>
        <w:rPr>
          <w:rFonts w:asciiTheme="majorHAnsi" w:hAnsiTheme="majorHAnsi" w:cs="Times New Roman"/>
          <w:sz w:val="24"/>
          <w:szCs w:val="24"/>
        </w:rPr>
      </w:pPr>
    </w:p>
    <w:p w14:paraId="5698368A" w14:textId="77777777" w:rsidR="00A06340" w:rsidRPr="00E05F79" w:rsidRDefault="00A06340" w:rsidP="00E05F79">
      <w:pPr>
        <w:pStyle w:val="Heading2"/>
        <w:rPr>
          <w:rFonts w:cs="Times New Roman"/>
          <w:b/>
          <w:sz w:val="24"/>
          <w:szCs w:val="24"/>
        </w:rPr>
      </w:pPr>
      <w:bookmarkStart w:id="5" w:name="_Toc7098470"/>
      <w:r w:rsidRPr="00E05F79">
        <w:rPr>
          <w:rFonts w:cs="Times New Roman"/>
          <w:b/>
          <w:sz w:val="24"/>
          <w:szCs w:val="24"/>
        </w:rPr>
        <w:t>2. Оценителна рамка</w:t>
      </w:r>
      <w:bookmarkEnd w:id="5"/>
      <w:r w:rsidRPr="00E05F79">
        <w:rPr>
          <w:rFonts w:cs="Times New Roman"/>
          <w:b/>
          <w:sz w:val="24"/>
          <w:szCs w:val="24"/>
        </w:rPr>
        <w:t xml:space="preserve"> </w:t>
      </w:r>
    </w:p>
    <w:p w14:paraId="28714080" w14:textId="77777777" w:rsidR="00A06340" w:rsidRPr="00A06340" w:rsidRDefault="00A06340" w:rsidP="00A06340">
      <w:pPr>
        <w:spacing w:after="0"/>
        <w:ind w:firstLine="567"/>
        <w:jc w:val="both"/>
        <w:rPr>
          <w:rFonts w:asciiTheme="majorHAnsi" w:hAnsiTheme="majorHAnsi" w:cs="Times New Roman"/>
          <w:bCs/>
          <w:sz w:val="24"/>
          <w:szCs w:val="24"/>
        </w:rPr>
      </w:pPr>
    </w:p>
    <w:p w14:paraId="1BC4255A"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В съответствие с Глава 10 от ПМДР във връзка с функциите по управление, координация и оценка, както бе посочено по-горе, Дирекция „Морско дело и рибарство“ в Министерството на земеделието, храните и горите като Управляващ орган ще ръководи процеса на оценка и поема отговорността за координирането на процеса на мониторинг и оценка на ПМДР за периода 2014-2020 г., включително и за изготвянето на настоящия План за оценка.</w:t>
      </w:r>
    </w:p>
    <w:p w14:paraId="4ED99FAC" w14:textId="768768A4"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УО е отговорен за осигуряването на достатъчно средства за извършване на оценките, като същевременно гарантира, че са налице процедури за изготвяне и събиране на необходимите данни, включително такива, свързани с общи и, когато е уместно, специфични за програмата индикатори.</w:t>
      </w:r>
      <w:r w:rsidR="00026A5E">
        <w:rPr>
          <w:rFonts w:asciiTheme="majorHAnsi" w:hAnsiTheme="majorHAnsi" w:cs="Times New Roman"/>
          <w:sz w:val="24"/>
          <w:szCs w:val="24"/>
        </w:rPr>
        <w:t xml:space="preserve"> </w:t>
      </w:r>
    </w:p>
    <w:p w14:paraId="0DCF693F"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В съответствие с член 54, параграф 3 от Регламент (ЕС) 1303/2013 оценките се извършват от вътрешни или външни експерти, които са функционално независими от Управляващия орган. За да се спази изискването на регламента, от страна на УО бяха предприети действия по възлагане изготвянето на оценка на програмата на екип от външни изпълнители. </w:t>
      </w:r>
    </w:p>
    <w:p w14:paraId="69054E9B" w14:textId="391BC903"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lastRenderedPageBreak/>
        <w:t>По този начин независимите оценители ще предприемат всички дейности по оценката, определени в този План за оценка, и ще предоставят подкрепа на УО за повишаване качеството на годишните доклади за изпълнение по програмата. Планът, изложен в този документ, предвижда използването на смесени експертни оценки, при които оценките могат да се извършват от външни или вътрешни независими оценители</w:t>
      </w:r>
      <w:r w:rsidR="00EB44E1">
        <w:rPr>
          <w:rFonts w:asciiTheme="majorHAnsi" w:hAnsiTheme="majorHAnsi" w:cs="Times New Roman"/>
          <w:sz w:val="24"/>
          <w:szCs w:val="24"/>
        </w:rPr>
        <w:t xml:space="preserve"> (</w:t>
      </w:r>
      <w:r w:rsidR="00831BCA">
        <w:rPr>
          <w:rFonts w:asciiTheme="majorHAnsi" w:hAnsiTheme="majorHAnsi" w:cs="Times New Roman"/>
          <w:sz w:val="24"/>
          <w:szCs w:val="24"/>
        </w:rPr>
        <w:t>съгласно заложеното в глава 10 на ПМДР: „</w:t>
      </w:r>
      <w:r w:rsidR="00831BCA" w:rsidRPr="00831BCA">
        <w:rPr>
          <w:rFonts w:asciiTheme="majorHAnsi" w:hAnsiTheme="majorHAnsi" w:cs="Times New Roman"/>
          <w:sz w:val="24"/>
          <w:szCs w:val="24"/>
        </w:rPr>
        <w:t>оценяването може да се повери на външни изпълнители/експерти, с изключение на случаите на вътрешна оценка/самооценка. Звеното за оценяване по плана за оценка ще бъде излъчено от УО и МО, като персоналът ще изпълнява задълженията си по звеното, наред с останалите си задачи.“</w:t>
      </w:r>
      <w:r w:rsidR="00EB44E1">
        <w:rPr>
          <w:rFonts w:asciiTheme="majorHAnsi" w:hAnsiTheme="majorHAnsi" w:cs="Times New Roman"/>
          <w:sz w:val="24"/>
          <w:szCs w:val="24"/>
        </w:rPr>
        <w:t xml:space="preserve"> )</w:t>
      </w:r>
      <w:r w:rsidRPr="00A06340">
        <w:rPr>
          <w:rFonts w:asciiTheme="majorHAnsi" w:hAnsiTheme="majorHAnsi" w:cs="Times New Roman"/>
          <w:sz w:val="24"/>
          <w:szCs w:val="24"/>
        </w:rPr>
        <w:t xml:space="preserve"> в зависимост от типа на оценка, която трябва да се изпълни и необходимите за нейното изпълнение ресурси. </w:t>
      </w:r>
      <w:r w:rsidR="00831BCA">
        <w:rPr>
          <w:rFonts w:asciiTheme="majorHAnsi" w:hAnsiTheme="majorHAnsi" w:cs="Times New Roman"/>
          <w:sz w:val="24"/>
          <w:szCs w:val="24"/>
        </w:rPr>
        <w:t xml:space="preserve">За вътрешна самооценка следва да се използват служители от отдел „Програмиране и мониторинг“ на дирекция „Морско дело и рибарство“. </w:t>
      </w:r>
    </w:p>
    <w:p w14:paraId="19F04D24"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От описано по-горе става ясно, че първата фаза на оценка на ПМДР е вече изпълнена от УО чрез предварителната оценка и стратегическата екологична оценка на програмата. Предварителната оценка е извършена в съответствие с изискванията, посочени в член 55 от Регламент (ЕС) № 1303/2013 на Европейския парламент и на Съвета, като основната заложена в доклада цел е с общата цел за подобряване на качеството на програмирането на ПМДР и проверка на това дали заложените цели и задачи могат да бъдат постигнати. Докладът е наличен на Единния информационен портал – www.eufunds.bg в секцията, посветена  на Програмата за морско дело и рибарство за периода 2014-2020 г. </w:t>
      </w:r>
    </w:p>
    <w:p w14:paraId="32CC2DA7" w14:textId="6B7C1754" w:rsid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Оценката на изпълнението на ПМДР ще се осъществи през втората фаза на оценка. Тази оценка ще се основава на данни, събрани чрез дейности по мониторинг, изпълнявани от УО. </w:t>
      </w:r>
    </w:p>
    <w:p w14:paraId="731A4209" w14:textId="77777777" w:rsidR="00194F10" w:rsidRPr="00194F10" w:rsidRDefault="00194F10" w:rsidP="00194F10">
      <w:pPr>
        <w:spacing w:after="0"/>
        <w:ind w:firstLine="567"/>
        <w:jc w:val="both"/>
        <w:rPr>
          <w:rFonts w:asciiTheme="majorHAnsi" w:hAnsiTheme="majorHAnsi" w:cs="Times New Roman"/>
          <w:sz w:val="24"/>
          <w:szCs w:val="24"/>
        </w:rPr>
      </w:pPr>
      <w:r w:rsidRPr="00194F10">
        <w:rPr>
          <w:rFonts w:asciiTheme="majorHAnsi" w:hAnsiTheme="majorHAnsi" w:cs="Times New Roman"/>
          <w:sz w:val="24"/>
          <w:szCs w:val="24"/>
        </w:rPr>
        <w:t>В допълнение на ограничените финансови ресурси за оценка, ще се използват различни решения и методи като:</w:t>
      </w:r>
    </w:p>
    <w:p w14:paraId="516452DF" w14:textId="77777777" w:rsidR="00194F10" w:rsidRPr="00194F10" w:rsidRDefault="00194F10" w:rsidP="00194F10">
      <w:pPr>
        <w:spacing w:after="0"/>
        <w:ind w:firstLine="567"/>
        <w:jc w:val="both"/>
        <w:rPr>
          <w:rFonts w:asciiTheme="majorHAnsi" w:hAnsiTheme="majorHAnsi" w:cs="Times New Roman"/>
          <w:sz w:val="24"/>
          <w:szCs w:val="24"/>
        </w:rPr>
      </w:pPr>
      <w:r w:rsidRPr="00194F10">
        <w:rPr>
          <w:rFonts w:asciiTheme="majorHAnsi" w:hAnsiTheme="majorHAnsi" w:cs="Times New Roman"/>
          <w:sz w:val="24"/>
          <w:szCs w:val="24"/>
        </w:rPr>
        <w:t>•</w:t>
      </w:r>
      <w:r w:rsidRPr="00194F10">
        <w:rPr>
          <w:rFonts w:asciiTheme="majorHAnsi" w:hAnsiTheme="majorHAnsi" w:cs="Times New Roman"/>
          <w:sz w:val="24"/>
          <w:szCs w:val="24"/>
        </w:rPr>
        <w:tab/>
        <w:t>Организиране на срещи между партньори за обмен на идеи;</w:t>
      </w:r>
    </w:p>
    <w:p w14:paraId="1297E223" w14:textId="10CC1BBE" w:rsidR="00194F10" w:rsidRPr="00A06340" w:rsidRDefault="00194F10" w:rsidP="00194F10">
      <w:pPr>
        <w:spacing w:after="0"/>
        <w:ind w:firstLine="567"/>
        <w:jc w:val="both"/>
        <w:rPr>
          <w:rFonts w:asciiTheme="majorHAnsi" w:hAnsiTheme="majorHAnsi" w:cs="Times New Roman"/>
          <w:sz w:val="24"/>
          <w:szCs w:val="24"/>
        </w:rPr>
      </w:pPr>
      <w:r w:rsidRPr="00194F10">
        <w:rPr>
          <w:rFonts w:asciiTheme="majorHAnsi" w:hAnsiTheme="majorHAnsi" w:cs="Times New Roman"/>
          <w:sz w:val="24"/>
          <w:szCs w:val="24"/>
        </w:rPr>
        <w:t>•</w:t>
      </w:r>
      <w:r w:rsidRPr="00194F10">
        <w:rPr>
          <w:rFonts w:asciiTheme="majorHAnsi" w:hAnsiTheme="majorHAnsi" w:cs="Times New Roman"/>
          <w:sz w:val="24"/>
          <w:szCs w:val="24"/>
        </w:rPr>
        <w:tab/>
        <w:t>Използването, когато е възможно, на Интернет, въпросници и телефонни интервюта.</w:t>
      </w:r>
    </w:p>
    <w:p w14:paraId="5E0035C2" w14:textId="77777777" w:rsidR="00A06340" w:rsidRPr="00A06340" w:rsidRDefault="00A06340" w:rsidP="00A06340">
      <w:pPr>
        <w:spacing w:after="0"/>
        <w:ind w:firstLine="567"/>
        <w:jc w:val="both"/>
        <w:rPr>
          <w:rFonts w:asciiTheme="majorHAnsi" w:hAnsiTheme="majorHAnsi" w:cs="Times New Roman"/>
          <w:b/>
          <w:sz w:val="24"/>
          <w:szCs w:val="24"/>
        </w:rPr>
      </w:pPr>
    </w:p>
    <w:p w14:paraId="491B485D" w14:textId="79FB4317" w:rsidR="00A06340" w:rsidRPr="00A06340" w:rsidRDefault="00A06340" w:rsidP="004D0069">
      <w:pPr>
        <w:pStyle w:val="Heading2"/>
        <w:rPr>
          <w:rFonts w:cs="Times New Roman"/>
          <w:b/>
          <w:sz w:val="24"/>
          <w:szCs w:val="24"/>
        </w:rPr>
      </w:pPr>
      <w:bookmarkStart w:id="6" w:name="_Toc7098471"/>
      <w:r w:rsidRPr="00A06340">
        <w:rPr>
          <w:rFonts w:cs="Times New Roman"/>
          <w:b/>
          <w:bCs/>
          <w:sz w:val="24"/>
          <w:szCs w:val="24"/>
        </w:rPr>
        <w:t xml:space="preserve">2.1. </w:t>
      </w:r>
      <w:r w:rsidRPr="00A06340">
        <w:rPr>
          <w:rFonts w:cs="Times New Roman"/>
          <w:b/>
          <w:sz w:val="24"/>
          <w:szCs w:val="24"/>
        </w:rPr>
        <w:t xml:space="preserve">Цел на оценката и </w:t>
      </w:r>
      <w:r w:rsidR="001F595A">
        <w:rPr>
          <w:rFonts w:cs="Times New Roman"/>
          <w:b/>
          <w:sz w:val="24"/>
          <w:szCs w:val="24"/>
        </w:rPr>
        <w:t>п</w:t>
      </w:r>
      <w:r w:rsidRPr="00A06340">
        <w:rPr>
          <w:rFonts w:cs="Times New Roman"/>
          <w:b/>
          <w:sz w:val="24"/>
          <w:szCs w:val="24"/>
        </w:rPr>
        <w:t>роцес на оценяване</w:t>
      </w:r>
      <w:bookmarkEnd w:id="6"/>
    </w:p>
    <w:p w14:paraId="64803319" w14:textId="23C0B064" w:rsidR="0008605C" w:rsidRDefault="00A06340" w:rsidP="0008605C">
      <w:pPr>
        <w:spacing w:after="0"/>
        <w:ind w:firstLine="567"/>
        <w:jc w:val="both"/>
        <w:rPr>
          <w:rFonts w:asciiTheme="majorHAnsi" w:hAnsiTheme="majorHAnsi" w:cs="Times New Roman"/>
          <w:sz w:val="24"/>
          <w:szCs w:val="24"/>
        </w:rPr>
      </w:pPr>
      <w:r w:rsidRPr="0008605C">
        <w:rPr>
          <w:rFonts w:asciiTheme="majorHAnsi" w:hAnsiTheme="majorHAnsi" w:cs="Times New Roman"/>
          <w:sz w:val="24"/>
          <w:szCs w:val="24"/>
        </w:rPr>
        <w:t xml:space="preserve">Основната дейност, която следва да бъде извършена като резултат от настоящия План за оценка, е </w:t>
      </w:r>
      <w:r w:rsidR="0008605C">
        <w:rPr>
          <w:rFonts w:asciiTheme="majorHAnsi" w:hAnsiTheme="majorHAnsi" w:cs="Times New Roman"/>
          <w:sz w:val="24"/>
          <w:szCs w:val="24"/>
        </w:rPr>
        <w:t>да гарантира, съгласно глава 10 от ПМДР</w:t>
      </w:r>
      <w:r w:rsidRPr="0008605C">
        <w:rPr>
          <w:rFonts w:asciiTheme="majorHAnsi" w:hAnsiTheme="majorHAnsi" w:cs="Times New Roman"/>
          <w:sz w:val="24"/>
          <w:szCs w:val="24"/>
        </w:rPr>
        <w:t>на</w:t>
      </w:r>
      <w:r w:rsidR="0008605C">
        <w:rPr>
          <w:rFonts w:asciiTheme="majorHAnsi" w:hAnsiTheme="majorHAnsi" w:cs="Times New Roman"/>
          <w:sz w:val="24"/>
          <w:szCs w:val="24"/>
        </w:rPr>
        <w:t xml:space="preserve">, </w:t>
      </w:r>
    </w:p>
    <w:p w14:paraId="3D5DCDA7" w14:textId="43A8ECDC" w:rsidR="0008605C" w:rsidRPr="00BA29C0" w:rsidRDefault="0008605C" w:rsidP="00665802">
      <w:pPr>
        <w:pStyle w:val="ListParagraph"/>
        <w:numPr>
          <w:ilvl w:val="0"/>
          <w:numId w:val="5"/>
        </w:numPr>
        <w:spacing w:after="0"/>
        <w:jc w:val="both"/>
        <w:rPr>
          <w:rFonts w:asciiTheme="majorHAnsi" w:hAnsiTheme="majorHAnsi" w:cs="Times New Roman"/>
          <w:sz w:val="24"/>
          <w:szCs w:val="24"/>
        </w:rPr>
      </w:pPr>
      <w:r w:rsidRPr="00BA29C0">
        <w:rPr>
          <w:rFonts w:asciiTheme="majorHAnsi" w:hAnsiTheme="majorHAnsi" w:cs="Times New Roman"/>
          <w:sz w:val="24"/>
          <w:szCs w:val="24"/>
        </w:rPr>
        <w:t>Наблюдение на програмата</w:t>
      </w:r>
    </w:p>
    <w:p w14:paraId="52A746D9" w14:textId="076CB29F" w:rsidR="0008605C" w:rsidRPr="00BA29C0" w:rsidRDefault="0008605C" w:rsidP="00665802">
      <w:pPr>
        <w:pStyle w:val="ListParagraph"/>
        <w:numPr>
          <w:ilvl w:val="0"/>
          <w:numId w:val="5"/>
        </w:numPr>
        <w:spacing w:after="0"/>
        <w:jc w:val="both"/>
        <w:rPr>
          <w:rFonts w:asciiTheme="majorHAnsi" w:hAnsiTheme="majorHAnsi" w:cs="Times New Roman"/>
          <w:sz w:val="24"/>
          <w:szCs w:val="24"/>
        </w:rPr>
      </w:pPr>
      <w:r w:rsidRPr="00BA29C0">
        <w:rPr>
          <w:rFonts w:asciiTheme="majorHAnsi" w:hAnsiTheme="majorHAnsi" w:cs="Times New Roman"/>
          <w:sz w:val="24"/>
          <w:szCs w:val="24"/>
        </w:rPr>
        <w:t xml:space="preserve">Междинния напредък на програмата   </w:t>
      </w:r>
    </w:p>
    <w:p w14:paraId="7655E219" w14:textId="4BA1D7CF" w:rsidR="0008605C" w:rsidRPr="00BA29C0" w:rsidRDefault="0008605C" w:rsidP="00665802">
      <w:pPr>
        <w:pStyle w:val="ListParagraph"/>
        <w:numPr>
          <w:ilvl w:val="0"/>
          <w:numId w:val="6"/>
        </w:numPr>
        <w:spacing w:after="0"/>
        <w:jc w:val="both"/>
        <w:rPr>
          <w:rFonts w:asciiTheme="majorHAnsi" w:hAnsiTheme="majorHAnsi" w:cs="Times New Roman"/>
          <w:sz w:val="24"/>
          <w:szCs w:val="24"/>
        </w:rPr>
      </w:pPr>
      <w:r w:rsidRPr="00BA29C0">
        <w:rPr>
          <w:rFonts w:asciiTheme="majorHAnsi" w:hAnsiTheme="majorHAnsi" w:cs="Times New Roman"/>
          <w:sz w:val="24"/>
          <w:szCs w:val="24"/>
        </w:rPr>
        <w:lastRenderedPageBreak/>
        <w:t>Дв</w:t>
      </w:r>
      <w:r>
        <w:rPr>
          <w:rFonts w:asciiTheme="majorHAnsi" w:hAnsiTheme="majorHAnsi" w:cs="Times New Roman"/>
          <w:sz w:val="24"/>
          <w:szCs w:val="24"/>
        </w:rPr>
        <w:t>а</w:t>
      </w:r>
      <w:r w:rsidRPr="00BA29C0">
        <w:rPr>
          <w:rFonts w:asciiTheme="majorHAnsi" w:hAnsiTheme="majorHAnsi" w:cs="Times New Roman"/>
          <w:sz w:val="24"/>
          <w:szCs w:val="24"/>
        </w:rPr>
        <w:t xml:space="preserve"> ключови междинни доклада</w:t>
      </w:r>
      <w:r w:rsidRPr="0008605C">
        <w:rPr>
          <w:rFonts w:asciiTheme="majorHAnsi" w:hAnsiTheme="majorHAnsi" w:cs="Times New Roman"/>
          <w:sz w:val="24"/>
          <w:szCs w:val="24"/>
        </w:rPr>
        <w:t xml:space="preserve"> за оценка</w:t>
      </w:r>
    </w:p>
    <w:p w14:paraId="5F965273" w14:textId="77777777" w:rsidR="0008605C" w:rsidRDefault="0008605C" w:rsidP="00665802">
      <w:pPr>
        <w:pStyle w:val="ListParagraph"/>
        <w:numPr>
          <w:ilvl w:val="0"/>
          <w:numId w:val="6"/>
        </w:numPr>
        <w:spacing w:after="0"/>
        <w:jc w:val="both"/>
        <w:rPr>
          <w:rFonts w:asciiTheme="majorHAnsi" w:hAnsiTheme="majorHAnsi" w:cs="Times New Roman"/>
          <w:sz w:val="24"/>
          <w:szCs w:val="24"/>
        </w:rPr>
      </w:pPr>
      <w:r w:rsidRPr="00BA29C0">
        <w:rPr>
          <w:rFonts w:asciiTheme="majorHAnsi" w:hAnsiTheme="majorHAnsi" w:cs="Times New Roman"/>
          <w:sz w:val="24"/>
          <w:szCs w:val="24"/>
        </w:rPr>
        <w:t>Наличието на необходимите данни/информация от гледна точка на пълнота и подготвеност</w:t>
      </w:r>
    </w:p>
    <w:p w14:paraId="3AB66273" w14:textId="2DBBC168" w:rsidR="0008605C" w:rsidRDefault="0008605C" w:rsidP="00665802">
      <w:pPr>
        <w:pStyle w:val="ListParagraph"/>
        <w:numPr>
          <w:ilvl w:val="0"/>
          <w:numId w:val="6"/>
        </w:numPr>
        <w:spacing w:after="0"/>
        <w:jc w:val="both"/>
        <w:rPr>
          <w:rFonts w:asciiTheme="majorHAnsi" w:hAnsiTheme="majorHAnsi" w:cs="Times New Roman"/>
          <w:sz w:val="24"/>
          <w:szCs w:val="24"/>
        </w:rPr>
      </w:pPr>
      <w:r w:rsidRPr="0008605C">
        <w:rPr>
          <w:rFonts w:asciiTheme="majorHAnsi" w:hAnsiTheme="majorHAnsi" w:cs="Times New Roman"/>
          <w:sz w:val="24"/>
          <w:szCs w:val="24"/>
        </w:rPr>
        <w:tab/>
        <w:t xml:space="preserve">Възможност за изготвяне на </w:t>
      </w:r>
      <w:r w:rsidRPr="00BA29C0">
        <w:rPr>
          <w:rFonts w:asciiTheme="majorHAnsi" w:hAnsiTheme="majorHAnsi" w:cs="Times New Roman"/>
          <w:sz w:val="24"/>
          <w:szCs w:val="24"/>
        </w:rPr>
        <w:t>цялостни заключения относно ефективността на политиките</w:t>
      </w:r>
      <w:r w:rsidR="00BE7EBE">
        <w:rPr>
          <w:rFonts w:asciiTheme="majorHAnsi" w:hAnsiTheme="majorHAnsi" w:cs="Times New Roman"/>
          <w:sz w:val="24"/>
          <w:szCs w:val="24"/>
        </w:rPr>
        <w:t>,</w:t>
      </w:r>
      <w:r w:rsidR="00A06340" w:rsidRPr="00BA29C0">
        <w:rPr>
          <w:rFonts w:asciiTheme="majorHAnsi" w:hAnsiTheme="majorHAnsi" w:cs="Times New Roman"/>
          <w:sz w:val="24"/>
          <w:szCs w:val="24"/>
        </w:rPr>
        <w:t xml:space="preserve"> </w:t>
      </w:r>
      <w:r w:rsidRPr="00BA29C0">
        <w:rPr>
          <w:rFonts w:asciiTheme="majorHAnsi" w:hAnsiTheme="majorHAnsi" w:cs="Times New Roman"/>
          <w:sz w:val="24"/>
          <w:szCs w:val="24"/>
        </w:rPr>
        <w:t>две междинни оценки, доклади за изпълнение и</w:t>
      </w:r>
      <w:r w:rsidR="00A06340" w:rsidRPr="00BA29C0">
        <w:rPr>
          <w:rFonts w:asciiTheme="majorHAnsi" w:hAnsiTheme="majorHAnsi" w:cs="Times New Roman"/>
          <w:sz w:val="24"/>
          <w:szCs w:val="24"/>
        </w:rPr>
        <w:t>.</w:t>
      </w:r>
      <w:r w:rsidR="00C255C7" w:rsidRPr="00BA29C0">
        <w:rPr>
          <w:rFonts w:asciiTheme="majorHAnsi" w:hAnsiTheme="majorHAnsi" w:cs="Times New Roman"/>
          <w:sz w:val="24"/>
          <w:szCs w:val="24"/>
        </w:rPr>
        <w:t xml:space="preserve"> </w:t>
      </w:r>
    </w:p>
    <w:p w14:paraId="36B3FF69" w14:textId="3FCB3B25" w:rsidR="00A06340" w:rsidRDefault="00C255C7" w:rsidP="00BA29C0">
      <w:pPr>
        <w:spacing w:after="0"/>
        <w:jc w:val="both"/>
        <w:rPr>
          <w:rFonts w:asciiTheme="majorHAnsi" w:hAnsiTheme="majorHAnsi" w:cs="Times New Roman"/>
          <w:sz w:val="24"/>
          <w:szCs w:val="24"/>
        </w:rPr>
      </w:pPr>
      <w:r w:rsidRPr="00BA29C0">
        <w:rPr>
          <w:rFonts w:asciiTheme="majorHAnsi" w:hAnsiTheme="majorHAnsi" w:cs="Times New Roman"/>
          <w:sz w:val="24"/>
          <w:szCs w:val="24"/>
        </w:rPr>
        <w:t>Съгласно наръчника на ПМДР, резултатите от проведените оценки се включват в годишните доклади за изпълнението на ПМДР. Всички оценки през програмния период се разглеждат от Комитета за наблюдение на ПМДР, като копия от докладите за оценките се изпращат на Европейската комисия.</w:t>
      </w:r>
    </w:p>
    <w:p w14:paraId="7047BD1A" w14:textId="77777777" w:rsidR="0008605C" w:rsidRPr="00BA29C0" w:rsidRDefault="0008605C" w:rsidP="00BA29C0">
      <w:pPr>
        <w:spacing w:after="0"/>
        <w:jc w:val="both"/>
        <w:rPr>
          <w:rFonts w:asciiTheme="majorHAnsi" w:hAnsiTheme="majorHAnsi" w:cs="Times New Roman"/>
          <w:sz w:val="24"/>
          <w:szCs w:val="24"/>
        </w:rPr>
      </w:pPr>
    </w:p>
    <w:p w14:paraId="325A4101" w14:textId="2FB7743C"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С оглед на горепосоченото, основните цели на</w:t>
      </w:r>
      <w:r w:rsidR="0008605C">
        <w:rPr>
          <w:rFonts w:asciiTheme="majorHAnsi" w:hAnsiTheme="majorHAnsi" w:cs="Times New Roman"/>
          <w:sz w:val="24"/>
          <w:szCs w:val="24"/>
        </w:rPr>
        <w:t xml:space="preserve"> ключовите междинни доклади </w:t>
      </w:r>
      <w:r w:rsidRPr="00A06340">
        <w:rPr>
          <w:rFonts w:asciiTheme="majorHAnsi" w:hAnsiTheme="majorHAnsi" w:cs="Times New Roman"/>
          <w:sz w:val="24"/>
          <w:szCs w:val="24"/>
        </w:rPr>
        <w:t xml:space="preserve"> следва да бъдат:</w:t>
      </w:r>
    </w:p>
    <w:p w14:paraId="4B7C7F61" w14:textId="77777777" w:rsidR="00A06340" w:rsidRPr="00A06340" w:rsidRDefault="00A06340" w:rsidP="00665802">
      <w:pPr>
        <w:numPr>
          <w:ilvl w:val="0"/>
          <w:numId w:val="3"/>
        </w:numPr>
        <w:spacing w:after="0"/>
        <w:jc w:val="both"/>
        <w:rPr>
          <w:rFonts w:asciiTheme="majorHAnsi" w:hAnsiTheme="majorHAnsi" w:cs="Times New Roman"/>
          <w:sz w:val="24"/>
          <w:szCs w:val="24"/>
        </w:rPr>
      </w:pPr>
      <w:r w:rsidRPr="00A06340">
        <w:rPr>
          <w:rFonts w:asciiTheme="majorHAnsi" w:hAnsiTheme="majorHAnsi" w:cs="Times New Roman"/>
          <w:sz w:val="24"/>
          <w:szCs w:val="24"/>
        </w:rPr>
        <w:t>да предостави на УО и на Комитета за наблюдение подробна и безпристрастна оценка на изпълнението на ПМДР към края на 2018 г. като се вземе предвид рамката на изпълнението;</w:t>
      </w:r>
    </w:p>
    <w:p w14:paraId="022F990A" w14:textId="77777777" w:rsidR="00A06340" w:rsidRPr="00A06340" w:rsidRDefault="00A06340" w:rsidP="00665802">
      <w:pPr>
        <w:numPr>
          <w:ilvl w:val="0"/>
          <w:numId w:val="3"/>
        </w:numPr>
        <w:spacing w:after="0"/>
        <w:jc w:val="both"/>
        <w:rPr>
          <w:rFonts w:asciiTheme="majorHAnsi" w:hAnsiTheme="majorHAnsi" w:cs="Times New Roman"/>
          <w:sz w:val="24"/>
          <w:szCs w:val="24"/>
        </w:rPr>
      </w:pPr>
      <w:r w:rsidRPr="00A06340">
        <w:rPr>
          <w:rFonts w:asciiTheme="majorHAnsi" w:hAnsiTheme="majorHAnsi" w:cs="Times New Roman"/>
          <w:sz w:val="24"/>
          <w:szCs w:val="24"/>
        </w:rPr>
        <w:t>да оцени възприемането и въздействието на мерките от програмата във връзка с променящия се национален социално-икономически контекст и потребности в сравнение с идентифицираните цели и потребности в ОП;</w:t>
      </w:r>
    </w:p>
    <w:p w14:paraId="770EBE37" w14:textId="77777777" w:rsidR="00A06340" w:rsidRPr="00A06340" w:rsidRDefault="00A06340" w:rsidP="00665802">
      <w:pPr>
        <w:numPr>
          <w:ilvl w:val="0"/>
          <w:numId w:val="3"/>
        </w:numPr>
        <w:spacing w:after="0"/>
        <w:jc w:val="both"/>
        <w:rPr>
          <w:rFonts w:asciiTheme="majorHAnsi" w:hAnsiTheme="majorHAnsi" w:cs="Times New Roman"/>
          <w:sz w:val="24"/>
          <w:szCs w:val="24"/>
        </w:rPr>
      </w:pPr>
      <w:r w:rsidRPr="00A06340">
        <w:rPr>
          <w:rFonts w:asciiTheme="majorHAnsi" w:hAnsiTheme="majorHAnsi" w:cs="Times New Roman"/>
          <w:sz w:val="24"/>
          <w:szCs w:val="24"/>
        </w:rPr>
        <w:t>да оцени степента на постигане на всеки от приоритетите на Съюза (и мярката, когато е възможно) и на специфичните цели, определени в Регламент (ЕС) № 508/2014 относно Европейския фонд за морско дело и рибарство;</w:t>
      </w:r>
    </w:p>
    <w:p w14:paraId="0BA43CEC" w14:textId="77777777" w:rsidR="00A06340" w:rsidRPr="00A06340" w:rsidRDefault="00A06340" w:rsidP="00665802">
      <w:pPr>
        <w:numPr>
          <w:ilvl w:val="0"/>
          <w:numId w:val="3"/>
        </w:numPr>
        <w:spacing w:after="0"/>
        <w:jc w:val="both"/>
        <w:rPr>
          <w:rFonts w:asciiTheme="majorHAnsi" w:hAnsiTheme="majorHAnsi" w:cs="Times New Roman"/>
          <w:sz w:val="24"/>
          <w:szCs w:val="24"/>
        </w:rPr>
      </w:pPr>
      <w:r w:rsidRPr="00A06340">
        <w:rPr>
          <w:rFonts w:asciiTheme="majorHAnsi" w:hAnsiTheme="majorHAnsi" w:cs="Times New Roman"/>
          <w:sz w:val="24"/>
          <w:szCs w:val="24"/>
        </w:rPr>
        <w:t>да се оценят постигнатите резултати и да се определят действия, които Република България може да предприеме, предвид констатациите в оценката, особено по отношение на приложимостта на стратегията на ПМДР и на определените цели, които трябва да бъдат постигнати до 2023 г.;</w:t>
      </w:r>
    </w:p>
    <w:p w14:paraId="36C1D45F" w14:textId="77777777" w:rsidR="00A06340" w:rsidRPr="00A06340" w:rsidRDefault="00A06340" w:rsidP="00665802">
      <w:pPr>
        <w:numPr>
          <w:ilvl w:val="0"/>
          <w:numId w:val="3"/>
        </w:numPr>
        <w:spacing w:after="0"/>
        <w:jc w:val="both"/>
        <w:rPr>
          <w:rFonts w:asciiTheme="majorHAnsi" w:hAnsiTheme="majorHAnsi" w:cs="Times New Roman"/>
          <w:sz w:val="24"/>
          <w:szCs w:val="24"/>
        </w:rPr>
      </w:pPr>
      <w:r w:rsidRPr="00A06340">
        <w:rPr>
          <w:rFonts w:asciiTheme="majorHAnsi" w:hAnsiTheme="majorHAnsi" w:cs="Times New Roman"/>
          <w:sz w:val="24"/>
          <w:szCs w:val="24"/>
        </w:rPr>
        <w:t>да се предложат последващи дейности за оценка, особено с оглед на бъдещите дейности по предварителна оценка, които трябва да бъдат предприети при подготовката на бъдещия финансов инструмент за рибарството.</w:t>
      </w:r>
    </w:p>
    <w:p w14:paraId="44FD018D" w14:textId="77777777" w:rsidR="00A06340" w:rsidRPr="00A06340" w:rsidRDefault="00A06340" w:rsidP="00A06340">
      <w:pPr>
        <w:spacing w:after="0"/>
        <w:ind w:firstLine="567"/>
        <w:jc w:val="both"/>
        <w:rPr>
          <w:rFonts w:asciiTheme="majorHAnsi" w:hAnsiTheme="majorHAnsi" w:cs="Times New Roman"/>
          <w:sz w:val="24"/>
          <w:szCs w:val="24"/>
        </w:rPr>
      </w:pPr>
    </w:p>
    <w:p w14:paraId="39314B2D" w14:textId="6E0E396B" w:rsidR="00A06340" w:rsidRPr="00A06340" w:rsidRDefault="004C3201" w:rsidP="00A06340">
      <w:pPr>
        <w:spacing w:after="0"/>
        <w:ind w:firstLine="567"/>
        <w:jc w:val="both"/>
        <w:rPr>
          <w:rFonts w:asciiTheme="majorHAnsi" w:hAnsiTheme="majorHAnsi" w:cs="Times New Roman"/>
          <w:sz w:val="24"/>
          <w:szCs w:val="24"/>
        </w:rPr>
      </w:pPr>
      <w:r>
        <w:rPr>
          <w:rFonts w:asciiTheme="majorHAnsi" w:hAnsiTheme="majorHAnsi" w:cs="Times New Roman"/>
          <w:sz w:val="24"/>
          <w:szCs w:val="24"/>
        </w:rPr>
        <w:t>Ключовите доклади</w:t>
      </w:r>
      <w:r w:rsidR="00A06340" w:rsidRPr="00A06340">
        <w:rPr>
          <w:rFonts w:asciiTheme="majorHAnsi" w:hAnsiTheme="majorHAnsi" w:cs="Times New Roman"/>
          <w:sz w:val="24"/>
          <w:szCs w:val="24"/>
        </w:rPr>
        <w:t xml:space="preserve"> </w:t>
      </w:r>
      <w:r w:rsidR="00E308CC">
        <w:rPr>
          <w:rFonts w:asciiTheme="majorHAnsi" w:hAnsiTheme="majorHAnsi" w:cs="Times New Roman"/>
          <w:sz w:val="24"/>
          <w:szCs w:val="24"/>
        </w:rPr>
        <w:t xml:space="preserve"> от извършени междинни</w:t>
      </w:r>
      <w:r w:rsidR="00E308CC" w:rsidRPr="00A06340">
        <w:rPr>
          <w:rFonts w:asciiTheme="majorHAnsi" w:hAnsiTheme="majorHAnsi" w:cs="Times New Roman"/>
          <w:sz w:val="24"/>
          <w:szCs w:val="24"/>
        </w:rPr>
        <w:t xml:space="preserve"> </w:t>
      </w:r>
      <w:r w:rsidR="00E308CC">
        <w:rPr>
          <w:rFonts w:asciiTheme="majorHAnsi" w:hAnsiTheme="majorHAnsi" w:cs="Times New Roman"/>
          <w:sz w:val="24"/>
          <w:szCs w:val="24"/>
        </w:rPr>
        <w:t xml:space="preserve">оценки </w:t>
      </w:r>
      <w:r w:rsidR="00A06340" w:rsidRPr="00A06340">
        <w:rPr>
          <w:rFonts w:asciiTheme="majorHAnsi" w:hAnsiTheme="majorHAnsi" w:cs="Times New Roman"/>
          <w:sz w:val="24"/>
          <w:szCs w:val="24"/>
        </w:rPr>
        <w:t>на ПМДР има</w:t>
      </w:r>
      <w:r>
        <w:rPr>
          <w:rFonts w:asciiTheme="majorHAnsi" w:hAnsiTheme="majorHAnsi" w:cs="Times New Roman"/>
          <w:sz w:val="24"/>
          <w:szCs w:val="24"/>
        </w:rPr>
        <w:t>т</w:t>
      </w:r>
      <w:r w:rsidR="00A06340" w:rsidRPr="00A06340">
        <w:rPr>
          <w:rFonts w:asciiTheme="majorHAnsi" w:hAnsiTheme="majorHAnsi" w:cs="Times New Roman"/>
          <w:sz w:val="24"/>
          <w:szCs w:val="24"/>
        </w:rPr>
        <w:t xml:space="preserve"> за цел да разгледа</w:t>
      </w:r>
      <w:r>
        <w:rPr>
          <w:rFonts w:asciiTheme="majorHAnsi" w:hAnsiTheme="majorHAnsi" w:cs="Times New Roman"/>
          <w:sz w:val="24"/>
          <w:szCs w:val="24"/>
        </w:rPr>
        <w:t>т</w:t>
      </w:r>
      <w:r w:rsidR="00A06340" w:rsidRPr="00A06340">
        <w:rPr>
          <w:rFonts w:asciiTheme="majorHAnsi" w:hAnsiTheme="majorHAnsi" w:cs="Times New Roman"/>
          <w:sz w:val="24"/>
          <w:szCs w:val="24"/>
        </w:rPr>
        <w:t xml:space="preserve"> два основни критерия за оценка (качество на изпълнение и </w:t>
      </w:r>
      <w:r w:rsidR="00A06340" w:rsidRPr="00A06340">
        <w:rPr>
          <w:rFonts w:asciiTheme="majorHAnsi" w:hAnsiTheme="majorHAnsi" w:cs="Times New Roman"/>
          <w:sz w:val="24"/>
          <w:szCs w:val="24"/>
        </w:rPr>
        <w:lastRenderedPageBreak/>
        <w:t>ефективност на мерките, прилагани при всички приоритети на Съюза) и се основава на следната структура:</w:t>
      </w:r>
    </w:p>
    <w:p w14:paraId="331DC5BB" w14:textId="77777777" w:rsidR="00A06340" w:rsidRPr="00A06340" w:rsidRDefault="00A06340" w:rsidP="00A06340">
      <w:pPr>
        <w:spacing w:after="0"/>
        <w:ind w:firstLine="567"/>
        <w:jc w:val="both"/>
        <w:rPr>
          <w:rFonts w:asciiTheme="majorHAnsi" w:hAnsiTheme="majorHAnsi" w:cs="Times New Roman"/>
          <w:sz w:val="24"/>
          <w:szCs w:val="24"/>
        </w:rPr>
      </w:pPr>
    </w:p>
    <w:p w14:paraId="0EC262A0" w14:textId="67D05FAC" w:rsidR="004C3201" w:rsidRPr="00BA29C0" w:rsidRDefault="004C3201" w:rsidP="00665802">
      <w:pPr>
        <w:pStyle w:val="ListParagraph"/>
        <w:numPr>
          <w:ilvl w:val="0"/>
          <w:numId w:val="7"/>
        </w:numPr>
        <w:spacing w:after="0"/>
        <w:jc w:val="both"/>
        <w:rPr>
          <w:rFonts w:asciiTheme="majorHAnsi" w:hAnsiTheme="majorHAnsi" w:cs="Times New Roman"/>
          <w:sz w:val="24"/>
          <w:szCs w:val="24"/>
        </w:rPr>
      </w:pPr>
      <w:r w:rsidRPr="00BA29C0">
        <w:rPr>
          <w:rFonts w:asciiTheme="majorHAnsi" w:hAnsiTheme="majorHAnsi" w:cs="Times New Roman"/>
          <w:sz w:val="24"/>
          <w:szCs w:val="24"/>
        </w:rPr>
        <w:t>Контекст и цели на оценката;</w:t>
      </w:r>
    </w:p>
    <w:p w14:paraId="524E50BE" w14:textId="33AD28B3" w:rsidR="004C3201" w:rsidRPr="00BA29C0" w:rsidRDefault="004C3201" w:rsidP="00665802">
      <w:pPr>
        <w:pStyle w:val="ListParagraph"/>
        <w:numPr>
          <w:ilvl w:val="0"/>
          <w:numId w:val="7"/>
        </w:numPr>
        <w:spacing w:after="0"/>
        <w:jc w:val="both"/>
        <w:rPr>
          <w:rFonts w:asciiTheme="majorHAnsi" w:hAnsiTheme="majorHAnsi" w:cs="Times New Roman"/>
          <w:sz w:val="24"/>
          <w:szCs w:val="24"/>
        </w:rPr>
      </w:pPr>
      <w:r w:rsidRPr="00BA29C0">
        <w:rPr>
          <w:rFonts w:asciiTheme="majorHAnsi" w:hAnsiTheme="majorHAnsi" w:cs="Times New Roman"/>
          <w:sz w:val="24"/>
          <w:szCs w:val="24"/>
        </w:rPr>
        <w:t>Методология;</w:t>
      </w:r>
    </w:p>
    <w:p w14:paraId="217C60D7" w14:textId="1B88A58E" w:rsidR="004C3201" w:rsidRPr="00BA29C0" w:rsidRDefault="004C3201" w:rsidP="00665802">
      <w:pPr>
        <w:pStyle w:val="ListParagraph"/>
        <w:numPr>
          <w:ilvl w:val="0"/>
          <w:numId w:val="7"/>
        </w:numPr>
        <w:spacing w:after="0"/>
        <w:jc w:val="both"/>
        <w:rPr>
          <w:rFonts w:asciiTheme="majorHAnsi" w:hAnsiTheme="majorHAnsi" w:cs="Times New Roman"/>
          <w:sz w:val="24"/>
          <w:szCs w:val="24"/>
        </w:rPr>
      </w:pPr>
      <w:r w:rsidRPr="00BA29C0">
        <w:rPr>
          <w:rFonts w:asciiTheme="majorHAnsi" w:hAnsiTheme="majorHAnsi" w:cs="Times New Roman"/>
          <w:sz w:val="24"/>
          <w:szCs w:val="24"/>
        </w:rPr>
        <w:t>Ограничения на оценката;</w:t>
      </w:r>
    </w:p>
    <w:p w14:paraId="3B9BED73" w14:textId="2363482A" w:rsidR="004C3201" w:rsidRPr="00BA29C0" w:rsidRDefault="004C3201" w:rsidP="00665802">
      <w:pPr>
        <w:pStyle w:val="ListParagraph"/>
        <w:numPr>
          <w:ilvl w:val="0"/>
          <w:numId w:val="7"/>
        </w:numPr>
        <w:spacing w:after="0"/>
        <w:jc w:val="both"/>
        <w:rPr>
          <w:rFonts w:asciiTheme="majorHAnsi" w:hAnsiTheme="majorHAnsi" w:cs="Times New Roman"/>
          <w:sz w:val="24"/>
          <w:szCs w:val="24"/>
        </w:rPr>
      </w:pPr>
      <w:r w:rsidRPr="00BA29C0">
        <w:rPr>
          <w:rFonts w:asciiTheme="majorHAnsi" w:hAnsiTheme="majorHAnsi" w:cs="Times New Roman"/>
          <w:sz w:val="24"/>
          <w:szCs w:val="24"/>
        </w:rPr>
        <w:t>Уместност на целите на ПМДР;</w:t>
      </w:r>
    </w:p>
    <w:p w14:paraId="67F12A58" w14:textId="5DEEE4E5" w:rsidR="004C3201" w:rsidRPr="00BA29C0" w:rsidRDefault="004C3201" w:rsidP="00665802">
      <w:pPr>
        <w:pStyle w:val="ListParagraph"/>
        <w:numPr>
          <w:ilvl w:val="0"/>
          <w:numId w:val="7"/>
        </w:numPr>
        <w:spacing w:after="0"/>
        <w:jc w:val="both"/>
        <w:rPr>
          <w:rFonts w:asciiTheme="majorHAnsi" w:hAnsiTheme="majorHAnsi" w:cs="Times New Roman"/>
          <w:sz w:val="24"/>
          <w:szCs w:val="24"/>
        </w:rPr>
      </w:pPr>
      <w:r w:rsidRPr="00BA29C0">
        <w:rPr>
          <w:rFonts w:asciiTheme="majorHAnsi" w:hAnsiTheme="majorHAnsi" w:cs="Times New Roman"/>
          <w:sz w:val="24"/>
          <w:szCs w:val="24"/>
        </w:rPr>
        <w:t>Ефективност на изпълнението и управлението на ПМДР;</w:t>
      </w:r>
    </w:p>
    <w:p w14:paraId="29F25C72" w14:textId="6B1E1DF7" w:rsidR="004C3201" w:rsidRPr="00BA29C0" w:rsidRDefault="004C3201" w:rsidP="00665802">
      <w:pPr>
        <w:pStyle w:val="ListParagraph"/>
        <w:numPr>
          <w:ilvl w:val="0"/>
          <w:numId w:val="7"/>
        </w:numPr>
        <w:spacing w:after="0"/>
        <w:jc w:val="both"/>
        <w:rPr>
          <w:rFonts w:asciiTheme="majorHAnsi" w:hAnsiTheme="majorHAnsi" w:cs="Times New Roman"/>
          <w:sz w:val="24"/>
          <w:szCs w:val="24"/>
        </w:rPr>
      </w:pPr>
      <w:r w:rsidRPr="00BA29C0">
        <w:rPr>
          <w:rFonts w:asciiTheme="majorHAnsi" w:hAnsiTheme="majorHAnsi" w:cs="Times New Roman"/>
          <w:sz w:val="24"/>
          <w:szCs w:val="24"/>
        </w:rPr>
        <w:t>Ефективност, напредък и въздействие (където е приложимо) на прилаганите мерки по ПМДР до края на 2018 г.;</w:t>
      </w:r>
    </w:p>
    <w:p w14:paraId="51D13929" w14:textId="618B3103" w:rsidR="004C3201" w:rsidRPr="00BA29C0" w:rsidRDefault="004C3201" w:rsidP="00665802">
      <w:pPr>
        <w:pStyle w:val="ListParagraph"/>
        <w:numPr>
          <w:ilvl w:val="0"/>
          <w:numId w:val="7"/>
        </w:numPr>
        <w:spacing w:after="0"/>
        <w:jc w:val="both"/>
        <w:rPr>
          <w:rFonts w:asciiTheme="majorHAnsi" w:hAnsiTheme="majorHAnsi" w:cs="Times New Roman"/>
          <w:sz w:val="24"/>
          <w:szCs w:val="24"/>
        </w:rPr>
      </w:pPr>
      <w:r w:rsidRPr="00BA29C0">
        <w:rPr>
          <w:rFonts w:asciiTheme="majorHAnsi" w:hAnsiTheme="majorHAnsi" w:cs="Times New Roman"/>
          <w:sz w:val="24"/>
          <w:szCs w:val="24"/>
        </w:rPr>
        <w:t>Цели за ефективно изпълнение на ПМДР до 2023 г.;</w:t>
      </w:r>
    </w:p>
    <w:p w14:paraId="628AB920" w14:textId="32C17E35" w:rsidR="004C3201" w:rsidRPr="00BA29C0" w:rsidRDefault="004C3201" w:rsidP="00665802">
      <w:pPr>
        <w:pStyle w:val="ListParagraph"/>
        <w:numPr>
          <w:ilvl w:val="0"/>
          <w:numId w:val="7"/>
        </w:numPr>
        <w:spacing w:after="0"/>
        <w:jc w:val="both"/>
        <w:rPr>
          <w:rFonts w:asciiTheme="majorHAnsi" w:hAnsiTheme="majorHAnsi" w:cs="Times New Roman"/>
          <w:sz w:val="24"/>
          <w:szCs w:val="24"/>
        </w:rPr>
      </w:pPr>
      <w:r w:rsidRPr="00BA29C0">
        <w:rPr>
          <w:rFonts w:asciiTheme="majorHAnsi" w:hAnsiTheme="majorHAnsi" w:cs="Times New Roman"/>
          <w:sz w:val="24"/>
          <w:szCs w:val="24"/>
        </w:rPr>
        <w:t xml:space="preserve">Заключения и препоръки за последващи действия, които могат да бъдат предприети с цел успешното прилагане на ПМДР. </w:t>
      </w:r>
    </w:p>
    <w:p w14:paraId="348272CB" w14:textId="77777777" w:rsidR="00A06340" w:rsidRPr="00A06340" w:rsidRDefault="00A06340" w:rsidP="00A06340">
      <w:pPr>
        <w:spacing w:after="0"/>
        <w:ind w:firstLine="567"/>
        <w:jc w:val="both"/>
        <w:rPr>
          <w:rFonts w:asciiTheme="majorHAnsi" w:hAnsiTheme="majorHAnsi" w:cs="Times New Roman"/>
          <w:sz w:val="24"/>
          <w:szCs w:val="24"/>
        </w:rPr>
      </w:pPr>
    </w:p>
    <w:p w14:paraId="0B7AAC38" w14:textId="34E108B0" w:rsidR="00A06340" w:rsidRPr="00A06340" w:rsidRDefault="004C3201" w:rsidP="00A06340">
      <w:pPr>
        <w:spacing w:after="0"/>
        <w:ind w:firstLine="567"/>
        <w:jc w:val="both"/>
        <w:rPr>
          <w:rFonts w:asciiTheme="majorHAnsi" w:hAnsiTheme="majorHAnsi" w:cs="Times New Roman"/>
          <w:sz w:val="24"/>
          <w:szCs w:val="24"/>
        </w:rPr>
      </w:pPr>
      <w:r>
        <w:rPr>
          <w:rFonts w:asciiTheme="majorHAnsi" w:hAnsiTheme="majorHAnsi" w:cs="Times New Roman"/>
          <w:sz w:val="24"/>
          <w:szCs w:val="24"/>
        </w:rPr>
        <w:t>В първата междинна оценка се обхваща</w:t>
      </w:r>
      <w:r w:rsidR="00A06340" w:rsidRPr="00A06340">
        <w:rPr>
          <w:rFonts w:asciiTheme="majorHAnsi" w:hAnsiTheme="majorHAnsi" w:cs="Times New Roman"/>
          <w:sz w:val="24"/>
          <w:szCs w:val="24"/>
        </w:rPr>
        <w:t xml:space="preserve"> изпълнението на програмата от официалното одобрение на програмата 20 октомври 2015 г. до 31.12.2018 г. Резултатите от нея следва да бъдат докладвани на Европейската комисия като част от ангажиментите на Република България. С оглед на горепосоченото, целите на междинната оценка следва да бъдат насочени към:</w:t>
      </w:r>
    </w:p>
    <w:p w14:paraId="7C2D84FB" w14:textId="2F03DF90"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 </w:t>
      </w:r>
      <w:r w:rsidR="0008605C">
        <w:rPr>
          <w:rFonts w:asciiTheme="majorHAnsi" w:hAnsiTheme="majorHAnsi" w:cs="Times New Roman"/>
          <w:sz w:val="24"/>
          <w:szCs w:val="24"/>
        </w:rPr>
        <w:t>предоставяне</w:t>
      </w:r>
      <w:r w:rsidRPr="00A06340">
        <w:rPr>
          <w:rFonts w:asciiTheme="majorHAnsi" w:hAnsiTheme="majorHAnsi" w:cs="Times New Roman"/>
          <w:sz w:val="24"/>
          <w:szCs w:val="24"/>
        </w:rPr>
        <w:t xml:space="preserve"> на УО и на Комитета за наблюдение на ПМДР точна и безпристрастна оценка на изпълнението на програмата към края на 2018 г., като се вземе предвид рамката на изпълнението; </w:t>
      </w:r>
    </w:p>
    <w:p w14:paraId="79538A90" w14:textId="373CF1DF"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 </w:t>
      </w:r>
      <w:r w:rsidR="0008605C">
        <w:rPr>
          <w:rFonts w:asciiTheme="majorHAnsi" w:hAnsiTheme="majorHAnsi" w:cs="Times New Roman"/>
          <w:sz w:val="24"/>
          <w:szCs w:val="24"/>
        </w:rPr>
        <w:t>оценка на</w:t>
      </w:r>
      <w:r w:rsidRPr="00A06340">
        <w:rPr>
          <w:rFonts w:asciiTheme="majorHAnsi" w:hAnsiTheme="majorHAnsi" w:cs="Times New Roman"/>
          <w:sz w:val="24"/>
          <w:szCs w:val="24"/>
        </w:rPr>
        <w:t xml:space="preserve"> възприемането и въздействието на мерките на ПМДР във връзка с променящия се национален социално-икономически контекст и потребности в сравнение с идентифицираните в ПМДР;</w:t>
      </w:r>
    </w:p>
    <w:p w14:paraId="14F7C069" w14:textId="3817BC59"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 </w:t>
      </w:r>
      <w:r w:rsidR="0008605C">
        <w:rPr>
          <w:rFonts w:asciiTheme="majorHAnsi" w:hAnsiTheme="majorHAnsi" w:cs="Times New Roman"/>
          <w:sz w:val="24"/>
          <w:szCs w:val="24"/>
        </w:rPr>
        <w:t>оценка на</w:t>
      </w:r>
      <w:r w:rsidRPr="00A06340">
        <w:rPr>
          <w:rFonts w:asciiTheme="majorHAnsi" w:hAnsiTheme="majorHAnsi" w:cs="Times New Roman"/>
          <w:sz w:val="24"/>
          <w:szCs w:val="24"/>
        </w:rPr>
        <w:t xml:space="preserve"> степента на постигане от всеки приоритет на Съюза на Съюза (и мярката, когато е възможно) на специфичните цели, определени в Регламент (ЕС) № 508/2014 относно Европейския фонд за морско дело и рибарство;</w:t>
      </w:r>
    </w:p>
    <w:p w14:paraId="7F9D26A0" w14:textId="2B23F04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 </w:t>
      </w:r>
      <w:r w:rsidR="004C3201">
        <w:rPr>
          <w:rFonts w:asciiTheme="majorHAnsi" w:hAnsiTheme="majorHAnsi" w:cs="Times New Roman"/>
          <w:sz w:val="24"/>
          <w:szCs w:val="24"/>
        </w:rPr>
        <w:t xml:space="preserve">оценка на </w:t>
      </w:r>
      <w:r w:rsidRPr="00A06340">
        <w:rPr>
          <w:rFonts w:asciiTheme="majorHAnsi" w:hAnsiTheme="majorHAnsi" w:cs="Times New Roman"/>
          <w:sz w:val="24"/>
          <w:szCs w:val="24"/>
        </w:rPr>
        <w:t xml:space="preserve">резултатите и </w:t>
      </w:r>
      <w:r w:rsidR="004C3201">
        <w:rPr>
          <w:rFonts w:asciiTheme="majorHAnsi" w:hAnsiTheme="majorHAnsi" w:cs="Times New Roman"/>
          <w:sz w:val="24"/>
          <w:szCs w:val="24"/>
        </w:rPr>
        <w:t>определяне на</w:t>
      </w:r>
      <w:r w:rsidRPr="00A06340">
        <w:rPr>
          <w:rFonts w:asciiTheme="majorHAnsi" w:hAnsiTheme="majorHAnsi" w:cs="Times New Roman"/>
          <w:sz w:val="24"/>
          <w:szCs w:val="24"/>
        </w:rPr>
        <w:t xml:space="preserve"> действия, които Република България в лицето на УО на ПМДР може да предприеме, за да се постигнат заложените цели в програмата;</w:t>
      </w:r>
    </w:p>
    <w:p w14:paraId="4ADFC7F4" w14:textId="1CC58DD4"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 </w:t>
      </w:r>
      <w:r w:rsidR="004C3201">
        <w:rPr>
          <w:rFonts w:asciiTheme="majorHAnsi" w:hAnsiTheme="majorHAnsi" w:cs="Times New Roman"/>
          <w:sz w:val="24"/>
          <w:szCs w:val="24"/>
        </w:rPr>
        <w:t>предложение за</w:t>
      </w:r>
      <w:r w:rsidRPr="00A06340">
        <w:rPr>
          <w:rFonts w:asciiTheme="majorHAnsi" w:hAnsiTheme="majorHAnsi" w:cs="Times New Roman"/>
          <w:sz w:val="24"/>
          <w:szCs w:val="24"/>
        </w:rPr>
        <w:t xml:space="preserve"> последващи дейности за оценка, които могат да бъдат предприети в светлината на получените заключения, особено с оглед на бъдещите дейности по предварителна оценка, които трябва да бъдат предприети при подготовката на бъдещия финансов инструмент за рибарството.</w:t>
      </w:r>
    </w:p>
    <w:p w14:paraId="6D717719" w14:textId="77777777" w:rsidR="00A06340" w:rsidRPr="00A06340" w:rsidRDefault="00A06340" w:rsidP="00A06340">
      <w:pPr>
        <w:spacing w:after="0"/>
        <w:ind w:firstLine="567"/>
        <w:jc w:val="both"/>
        <w:rPr>
          <w:rFonts w:asciiTheme="majorHAnsi" w:hAnsiTheme="majorHAnsi" w:cs="Times New Roman"/>
          <w:b/>
          <w:sz w:val="24"/>
          <w:szCs w:val="24"/>
        </w:rPr>
      </w:pPr>
    </w:p>
    <w:p w14:paraId="34F2EF1F"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lastRenderedPageBreak/>
        <w:t>По отношение на количествените данни, които трябва да бъдат събрани и оценени за междинната оценка, трябва да се отбележи че това най-вече ще се основава на следните набори от данни:</w:t>
      </w:r>
    </w:p>
    <w:p w14:paraId="66CC479C" w14:textId="77777777" w:rsidR="00A06340" w:rsidRPr="00A06340" w:rsidRDefault="00A06340" w:rsidP="00665802">
      <w:pPr>
        <w:numPr>
          <w:ilvl w:val="0"/>
          <w:numId w:val="1"/>
        </w:numPr>
        <w:spacing w:after="0"/>
        <w:jc w:val="both"/>
        <w:rPr>
          <w:rFonts w:asciiTheme="majorHAnsi" w:hAnsiTheme="majorHAnsi" w:cs="Times New Roman"/>
          <w:sz w:val="24"/>
          <w:szCs w:val="24"/>
        </w:rPr>
      </w:pPr>
      <w:r w:rsidRPr="00A06340">
        <w:rPr>
          <w:rFonts w:asciiTheme="majorHAnsi" w:hAnsiTheme="majorHAnsi" w:cs="Times New Roman"/>
          <w:sz w:val="24"/>
          <w:szCs w:val="24"/>
        </w:rPr>
        <w:t>Финансови показатели (основни стойности за 2018 г.)</w:t>
      </w:r>
    </w:p>
    <w:p w14:paraId="45E41339" w14:textId="77777777" w:rsidR="00A06340" w:rsidRPr="00A06340" w:rsidRDefault="00A06340" w:rsidP="00665802">
      <w:pPr>
        <w:numPr>
          <w:ilvl w:val="0"/>
          <w:numId w:val="1"/>
        </w:numPr>
        <w:spacing w:after="0"/>
        <w:jc w:val="both"/>
        <w:rPr>
          <w:rFonts w:asciiTheme="majorHAnsi" w:hAnsiTheme="majorHAnsi" w:cs="Times New Roman"/>
          <w:sz w:val="24"/>
          <w:szCs w:val="24"/>
        </w:rPr>
      </w:pPr>
      <w:r w:rsidRPr="00A06340">
        <w:rPr>
          <w:rFonts w:asciiTheme="majorHAnsi" w:hAnsiTheme="majorHAnsi" w:cs="Times New Roman"/>
          <w:sz w:val="24"/>
          <w:szCs w:val="24"/>
        </w:rPr>
        <w:t>Индикатори на изпълнението (стойности за етапа за 2018).</w:t>
      </w:r>
    </w:p>
    <w:p w14:paraId="59C24C98"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По този начин следва да се осигури наблюдение на изпълнението. При отчитането на изброените показатели всички заинтересовани страни (управляващ орган и бенефициенти) следва да гарантират, че данните публикувани в ИСУН 2020 са актуални и надеждни. Това задължение е вменено с член 54, параграф 2 от Регламент (ЕС) 1303/2013.</w:t>
      </w:r>
    </w:p>
    <w:p w14:paraId="0E0149B9" w14:textId="799D0FBA" w:rsid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Обект на оценка са етапните цели, заложени в глава 7 на програмата</w:t>
      </w:r>
      <w:r w:rsidR="0087411D">
        <w:rPr>
          <w:rFonts w:asciiTheme="majorHAnsi" w:hAnsiTheme="majorHAnsi" w:cs="Times New Roman"/>
          <w:sz w:val="24"/>
          <w:szCs w:val="24"/>
        </w:rPr>
        <w:t xml:space="preserve">, както </w:t>
      </w:r>
      <w:r w:rsidR="0087411D" w:rsidRPr="00A06340">
        <w:rPr>
          <w:rFonts w:asciiTheme="majorHAnsi" w:hAnsiTheme="majorHAnsi" w:cs="Times New Roman"/>
          <w:sz w:val="24"/>
          <w:szCs w:val="24"/>
          <w:lang w:val="en-US"/>
        </w:rPr>
        <w:t xml:space="preserve">и ефектите </w:t>
      </w:r>
      <w:r w:rsidR="0087411D" w:rsidRPr="00A06340">
        <w:rPr>
          <w:rFonts w:asciiTheme="majorHAnsi" w:hAnsiTheme="majorHAnsi" w:cs="Times New Roman"/>
          <w:sz w:val="24"/>
          <w:szCs w:val="24"/>
        </w:rPr>
        <w:t>от тяхното неизпълнение за всеки приоритет</w:t>
      </w:r>
      <w:r w:rsidR="0087411D">
        <w:rPr>
          <w:rFonts w:asciiTheme="majorHAnsi" w:hAnsiTheme="majorHAnsi" w:cs="Times New Roman"/>
          <w:sz w:val="24"/>
          <w:szCs w:val="24"/>
        </w:rPr>
        <w:t xml:space="preserve">, като в таблицата по-долу са маркирани в цвят онези от тях, </w:t>
      </w:r>
      <w:r w:rsidR="0087411D" w:rsidRPr="00A06340">
        <w:rPr>
          <w:rFonts w:asciiTheme="majorHAnsi" w:hAnsiTheme="majorHAnsi" w:cs="Times New Roman"/>
          <w:sz w:val="24"/>
          <w:szCs w:val="24"/>
        </w:rPr>
        <w:t>изпълнението</w:t>
      </w:r>
      <w:r w:rsidR="0087411D">
        <w:rPr>
          <w:rFonts w:asciiTheme="majorHAnsi" w:hAnsiTheme="majorHAnsi" w:cs="Times New Roman"/>
          <w:sz w:val="24"/>
          <w:szCs w:val="24"/>
        </w:rPr>
        <w:t xml:space="preserve"> на които </w:t>
      </w:r>
      <w:r w:rsidRPr="00A06340">
        <w:rPr>
          <w:rFonts w:asciiTheme="majorHAnsi" w:hAnsiTheme="majorHAnsi" w:cs="Times New Roman"/>
          <w:sz w:val="24"/>
          <w:szCs w:val="24"/>
        </w:rPr>
        <w:t xml:space="preserve"> може да се определи под риск</w:t>
      </w:r>
      <w:r w:rsidR="0087411D">
        <w:rPr>
          <w:rFonts w:asciiTheme="majorHAnsi" w:hAnsiTheme="majorHAnsi" w:cs="Times New Roman"/>
          <w:sz w:val="24"/>
          <w:szCs w:val="24"/>
        </w:rPr>
        <w:t>,в</w:t>
      </w:r>
      <w:r w:rsidR="0087411D" w:rsidRPr="00A06340">
        <w:rPr>
          <w:rFonts w:asciiTheme="majorHAnsi" w:hAnsiTheme="majorHAnsi" w:cs="Times New Roman"/>
          <w:sz w:val="24"/>
          <w:szCs w:val="24"/>
        </w:rPr>
        <w:t>ъпреки изменението на ПМДР извършено в края на 2018 г.</w:t>
      </w:r>
      <w:r w:rsidRPr="00A06340">
        <w:rPr>
          <w:rFonts w:asciiTheme="majorHAnsi" w:hAnsiTheme="majorHAnsi" w:cs="Times New Roman"/>
          <w:sz w:val="24"/>
          <w:szCs w:val="24"/>
        </w:rPr>
        <w:t xml:space="preserve">: </w:t>
      </w:r>
      <w:r w:rsidR="0087411D" w:rsidRPr="0087411D">
        <w:rPr>
          <w:rFonts w:asciiTheme="majorHAnsi" w:hAnsiTheme="majorHAnsi" w:cs="Times New Roman"/>
          <w:sz w:val="24"/>
          <w:szCs w:val="24"/>
          <w:lang w:val="en-US"/>
        </w:rPr>
        <w:t xml:space="preserve"> </w:t>
      </w:r>
    </w:p>
    <w:p w14:paraId="4E6B1FAD" w14:textId="55DD7370" w:rsidR="00E40A6E" w:rsidRDefault="00E40A6E" w:rsidP="00A06340">
      <w:pPr>
        <w:spacing w:after="0"/>
        <w:ind w:firstLine="567"/>
        <w:jc w:val="both"/>
        <w:rPr>
          <w:rFonts w:asciiTheme="majorHAnsi" w:hAnsiTheme="majorHAnsi"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54"/>
        <w:gridCol w:w="1850"/>
        <w:gridCol w:w="3084"/>
      </w:tblGrid>
      <w:tr w:rsidR="00E40A6E" w:rsidRPr="00F42480" w14:paraId="1EB156D6" w14:textId="77777777" w:rsidTr="00A35614">
        <w:tc>
          <w:tcPr>
            <w:tcW w:w="2344" w:type="pct"/>
            <w:shd w:val="pct10" w:color="auto" w:fill="auto"/>
          </w:tcPr>
          <w:p w14:paraId="2B69C3E5" w14:textId="77777777" w:rsidR="00E40A6E" w:rsidRPr="00F42480" w:rsidRDefault="00E40A6E" w:rsidP="00A35614">
            <w:pPr>
              <w:snapToGrid w:val="0"/>
              <w:spacing w:after="0"/>
              <w:jc w:val="center"/>
              <w:rPr>
                <w:rFonts w:ascii="Times New Roman" w:hAnsi="Times New Roman" w:cs="Times New Roman"/>
                <w:b/>
                <w:sz w:val="24"/>
                <w:szCs w:val="24"/>
              </w:rPr>
            </w:pPr>
            <w:r w:rsidRPr="00F42480">
              <w:rPr>
                <w:rFonts w:ascii="Times New Roman" w:hAnsi="Times New Roman" w:cs="Times New Roman"/>
                <w:b/>
                <w:sz w:val="24"/>
                <w:szCs w:val="24"/>
              </w:rPr>
              <w:t>Приоритет на Съюза</w:t>
            </w:r>
          </w:p>
        </w:tc>
        <w:tc>
          <w:tcPr>
            <w:tcW w:w="2656" w:type="pct"/>
            <w:gridSpan w:val="2"/>
          </w:tcPr>
          <w:p w14:paraId="138CE171" w14:textId="77777777" w:rsidR="00E40A6E" w:rsidRPr="00F42480" w:rsidRDefault="00E40A6E" w:rsidP="00A35614">
            <w:pPr>
              <w:snapToGrid w:val="0"/>
              <w:spacing w:after="0"/>
              <w:rPr>
                <w:rFonts w:ascii="Times New Roman" w:hAnsi="Times New Roman" w:cs="Times New Roman"/>
                <w:b/>
                <w:sz w:val="24"/>
                <w:szCs w:val="24"/>
              </w:rPr>
            </w:pPr>
            <w:r w:rsidRPr="00F42480">
              <w:rPr>
                <w:rFonts w:ascii="Times New Roman" w:hAnsi="Times New Roman" w:cs="Times New Roman"/>
                <w:b/>
                <w:sz w:val="24"/>
                <w:szCs w:val="24"/>
              </w:rPr>
              <w:t xml:space="preserve">1. </w:t>
            </w:r>
            <w:r w:rsidRPr="00F42480">
              <w:rPr>
                <w:rFonts w:ascii="Times New Roman" w:hAnsi="Times New Roman" w:cs="Times New Roman"/>
                <w:b/>
                <w:spacing w:val="1"/>
                <w:sz w:val="24"/>
                <w:szCs w:val="24"/>
              </w:rPr>
              <w:t>Насърчаване на устойчиво в екологично отношение, иновативно, конкурентоспособно и основано на знания рибарство, характеризиращо се с ефективно използване на ресурсите</w:t>
            </w:r>
          </w:p>
        </w:tc>
      </w:tr>
      <w:tr w:rsidR="00E40A6E" w:rsidRPr="00F42480" w14:paraId="7A5D5179" w14:textId="77777777" w:rsidTr="00A35614">
        <w:tc>
          <w:tcPr>
            <w:tcW w:w="2344" w:type="pct"/>
            <w:shd w:val="pct10" w:color="auto" w:fill="auto"/>
          </w:tcPr>
          <w:p w14:paraId="145D1EB8" w14:textId="77777777" w:rsidR="00E40A6E" w:rsidRPr="00F42480" w:rsidRDefault="00E40A6E" w:rsidP="00A35614">
            <w:pPr>
              <w:spacing w:after="0"/>
              <w:jc w:val="center"/>
              <w:rPr>
                <w:rFonts w:ascii="Times New Roman" w:hAnsi="Times New Roman" w:cs="Times New Roman"/>
                <w:b/>
                <w:sz w:val="24"/>
                <w:szCs w:val="24"/>
              </w:rPr>
            </w:pPr>
            <w:r w:rsidRPr="00F42480">
              <w:rPr>
                <w:rFonts w:ascii="Times New Roman" w:hAnsi="Times New Roman" w:cs="Times New Roman"/>
                <w:b/>
                <w:sz w:val="24"/>
                <w:szCs w:val="24"/>
              </w:rPr>
              <w:t xml:space="preserve">Показател и мерна единица, когато е съобразно </w:t>
            </w:r>
          </w:p>
          <w:p w14:paraId="53703D8D" w14:textId="77777777" w:rsidR="00E40A6E" w:rsidRPr="00F42480" w:rsidRDefault="00E40A6E" w:rsidP="00A35614">
            <w:pPr>
              <w:spacing w:after="0"/>
              <w:jc w:val="center"/>
              <w:rPr>
                <w:rFonts w:ascii="Times New Roman" w:hAnsi="Times New Roman" w:cs="Times New Roman"/>
                <w:b/>
                <w:sz w:val="24"/>
                <w:szCs w:val="24"/>
              </w:rPr>
            </w:pPr>
          </w:p>
        </w:tc>
        <w:tc>
          <w:tcPr>
            <w:tcW w:w="996" w:type="pct"/>
            <w:shd w:val="pct10" w:color="auto" w:fill="auto"/>
          </w:tcPr>
          <w:p w14:paraId="13F639B8"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r w:rsidRPr="00F42480">
              <w:rPr>
                <w:rFonts w:ascii="Times New Roman" w:hAnsi="Times New Roman" w:cs="Times New Roman"/>
                <w:b/>
                <w:sz w:val="24"/>
                <w:szCs w:val="24"/>
              </w:rPr>
              <w:t>Етапна цел за 2018 г.</w:t>
            </w:r>
          </w:p>
          <w:p w14:paraId="6811061B"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p>
        </w:tc>
        <w:tc>
          <w:tcPr>
            <w:tcW w:w="1660" w:type="pct"/>
            <w:shd w:val="pct10" w:color="auto" w:fill="auto"/>
          </w:tcPr>
          <w:p w14:paraId="702437D6"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r w:rsidRPr="00F42480">
              <w:rPr>
                <w:rFonts w:ascii="Times New Roman" w:hAnsi="Times New Roman" w:cs="Times New Roman"/>
                <w:b/>
                <w:sz w:val="24"/>
                <w:szCs w:val="24"/>
              </w:rPr>
              <w:t xml:space="preserve">Цели за 2023 г. </w:t>
            </w:r>
          </w:p>
          <w:p w14:paraId="387EFA83"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p>
        </w:tc>
      </w:tr>
      <w:tr w:rsidR="00E40A6E" w:rsidRPr="00F42480" w14:paraId="2B553594" w14:textId="77777777" w:rsidTr="00A35614">
        <w:tc>
          <w:tcPr>
            <w:tcW w:w="2344" w:type="pct"/>
            <w:shd w:val="pct10" w:color="auto" w:fill="auto"/>
          </w:tcPr>
          <w:p w14:paraId="690B7FA6" w14:textId="77777777" w:rsidR="00E40A6E" w:rsidRPr="00F42480" w:rsidRDefault="00E40A6E" w:rsidP="00A35614">
            <w:pPr>
              <w:spacing w:after="0"/>
              <w:rPr>
                <w:rFonts w:ascii="Times New Roman" w:hAnsi="Times New Roman" w:cs="Times New Roman"/>
                <w:b/>
                <w:sz w:val="24"/>
                <w:szCs w:val="24"/>
              </w:rPr>
            </w:pPr>
            <w:r w:rsidRPr="00F42480">
              <w:rPr>
                <w:rFonts w:ascii="Times New Roman" w:hAnsi="Times New Roman" w:cs="Times New Roman"/>
                <w:b/>
                <w:sz w:val="24"/>
                <w:szCs w:val="24"/>
              </w:rPr>
              <w:t>Финансов показател</w:t>
            </w:r>
          </w:p>
        </w:tc>
        <w:tc>
          <w:tcPr>
            <w:tcW w:w="996" w:type="pct"/>
          </w:tcPr>
          <w:p w14:paraId="792CE455" w14:textId="77777777" w:rsidR="00E40A6E" w:rsidRPr="00F42480" w:rsidRDefault="00E40A6E" w:rsidP="00A35614">
            <w:pPr>
              <w:spacing w:after="0"/>
              <w:jc w:val="right"/>
              <w:rPr>
                <w:rFonts w:ascii="Times New Roman" w:hAnsi="Times New Roman" w:cs="Times New Roman"/>
                <w:b/>
                <w:sz w:val="24"/>
                <w:szCs w:val="24"/>
              </w:rPr>
            </w:pPr>
            <w:r w:rsidRPr="00F42480">
              <w:rPr>
                <w:rFonts w:ascii="Times New Roman" w:hAnsi="Times New Roman" w:cs="Times New Roman"/>
                <w:b/>
                <w:sz w:val="24"/>
                <w:szCs w:val="24"/>
              </w:rPr>
              <w:t xml:space="preserve">348 000.00 евро </w:t>
            </w:r>
          </w:p>
        </w:tc>
        <w:tc>
          <w:tcPr>
            <w:tcW w:w="1660" w:type="pct"/>
          </w:tcPr>
          <w:p w14:paraId="4A4099B3" w14:textId="77777777" w:rsidR="00E40A6E" w:rsidRPr="00F42480" w:rsidRDefault="00E40A6E" w:rsidP="00A35614">
            <w:pPr>
              <w:snapToGrid w:val="0"/>
              <w:spacing w:after="0"/>
              <w:jc w:val="right"/>
              <w:rPr>
                <w:rFonts w:ascii="Times New Roman" w:hAnsi="Times New Roman" w:cs="Times New Roman"/>
                <w:b/>
                <w:sz w:val="24"/>
                <w:szCs w:val="24"/>
              </w:rPr>
            </w:pPr>
            <w:r w:rsidRPr="00F42480">
              <w:rPr>
                <w:rFonts w:ascii="Times New Roman" w:hAnsi="Times New Roman" w:cs="Times New Roman"/>
                <w:b/>
                <w:iCs/>
                <w:sz w:val="24"/>
                <w:szCs w:val="24"/>
                <w:lang w:val="sq-AL"/>
              </w:rPr>
              <w:t xml:space="preserve">18 434 500 </w:t>
            </w:r>
            <w:r w:rsidRPr="00F42480">
              <w:rPr>
                <w:rFonts w:ascii="Times New Roman" w:hAnsi="Times New Roman" w:cs="Times New Roman"/>
                <w:b/>
                <w:sz w:val="24"/>
                <w:szCs w:val="24"/>
              </w:rPr>
              <w:t>евро</w:t>
            </w:r>
          </w:p>
        </w:tc>
      </w:tr>
      <w:tr w:rsidR="00E40A6E" w:rsidRPr="00F42480" w14:paraId="0A284E4D" w14:textId="77777777" w:rsidTr="00A35614">
        <w:tc>
          <w:tcPr>
            <w:tcW w:w="2344" w:type="pct"/>
            <w:shd w:val="pct10" w:color="auto" w:fill="auto"/>
          </w:tcPr>
          <w:p w14:paraId="7EF54887" w14:textId="77777777" w:rsidR="00E40A6E" w:rsidRPr="00F42480" w:rsidRDefault="00E40A6E" w:rsidP="00A35614">
            <w:pPr>
              <w:pStyle w:val="Default"/>
              <w:rPr>
                <w:rFonts w:ascii="Times New Roman" w:hAnsi="Times New Roman" w:cs="Times New Roman"/>
                <w:b/>
              </w:rPr>
            </w:pPr>
            <w:r w:rsidRPr="00F42480">
              <w:rPr>
                <w:rFonts w:ascii="Times New Roman" w:hAnsi="Times New Roman" w:cs="Times New Roman"/>
                <w:b/>
              </w:rPr>
              <w:t xml:space="preserve">1.3 - Брой на проектите за добавена стойност, качество, използване на нежелания улов и рибарските пристанища, кейовете за разтоварване, рибните борси и покритите лодкостоянки </w:t>
            </w:r>
          </w:p>
        </w:tc>
        <w:tc>
          <w:tcPr>
            <w:tcW w:w="996" w:type="pct"/>
          </w:tcPr>
          <w:p w14:paraId="22EC541D" w14:textId="77777777" w:rsidR="00E40A6E" w:rsidRPr="00F42480" w:rsidRDefault="00E40A6E" w:rsidP="00A35614">
            <w:pPr>
              <w:spacing w:after="0"/>
              <w:jc w:val="right"/>
              <w:rPr>
                <w:rFonts w:ascii="Times New Roman" w:hAnsi="Times New Roman" w:cs="Times New Roman"/>
                <w:b/>
                <w:sz w:val="24"/>
                <w:szCs w:val="24"/>
              </w:rPr>
            </w:pPr>
            <w:r w:rsidRPr="00EE11B5">
              <w:rPr>
                <w:rFonts w:ascii="Times New Roman" w:hAnsi="Times New Roman" w:cs="Times New Roman"/>
                <w:b/>
                <w:color w:val="FF0000"/>
                <w:sz w:val="24"/>
                <w:szCs w:val="24"/>
              </w:rPr>
              <w:t>10</w:t>
            </w:r>
          </w:p>
        </w:tc>
        <w:tc>
          <w:tcPr>
            <w:tcW w:w="1660" w:type="pct"/>
          </w:tcPr>
          <w:p w14:paraId="5F6393C1" w14:textId="77777777" w:rsidR="00E40A6E" w:rsidRPr="00F42480" w:rsidRDefault="00E40A6E" w:rsidP="00A35614">
            <w:pPr>
              <w:keepNext/>
              <w:keepLines/>
              <w:spacing w:after="0"/>
              <w:ind w:left="108" w:right="40"/>
              <w:jc w:val="right"/>
              <w:rPr>
                <w:rFonts w:ascii="Times New Roman" w:hAnsi="Times New Roman" w:cs="Times New Roman"/>
                <w:b/>
                <w:sz w:val="24"/>
                <w:szCs w:val="24"/>
              </w:rPr>
            </w:pPr>
            <w:r w:rsidRPr="00F42480">
              <w:rPr>
                <w:rFonts w:ascii="Times New Roman" w:hAnsi="Times New Roman" w:cs="Times New Roman"/>
                <w:b/>
                <w:sz w:val="24"/>
                <w:szCs w:val="24"/>
              </w:rPr>
              <w:t>45</w:t>
            </w:r>
          </w:p>
        </w:tc>
      </w:tr>
      <w:tr w:rsidR="00E40A6E" w:rsidRPr="00F42480" w14:paraId="134D8D2F" w14:textId="77777777" w:rsidTr="00A35614">
        <w:tc>
          <w:tcPr>
            <w:tcW w:w="2344" w:type="pct"/>
            <w:shd w:val="pct10" w:color="auto" w:fill="auto"/>
          </w:tcPr>
          <w:p w14:paraId="475084C3" w14:textId="77777777" w:rsidR="00E40A6E" w:rsidRPr="00F42480" w:rsidRDefault="00E40A6E" w:rsidP="00A35614">
            <w:pPr>
              <w:pStyle w:val="Default"/>
              <w:rPr>
                <w:rFonts w:ascii="Times New Roman" w:hAnsi="Times New Roman" w:cs="Times New Roman"/>
                <w:b/>
              </w:rPr>
            </w:pPr>
            <w:r w:rsidRPr="00F42480">
              <w:rPr>
                <w:rFonts w:ascii="Times New Roman" w:hAnsi="Times New Roman" w:cs="Times New Roman"/>
                <w:b/>
              </w:rPr>
              <w:t xml:space="preserve">1.5 - Брой на проектите за окончателно преустановяване </w:t>
            </w:r>
          </w:p>
        </w:tc>
        <w:tc>
          <w:tcPr>
            <w:tcW w:w="996" w:type="pct"/>
          </w:tcPr>
          <w:p w14:paraId="77020DCB" w14:textId="77777777" w:rsidR="00E40A6E" w:rsidRPr="00F42480" w:rsidRDefault="00E40A6E" w:rsidP="00A35614">
            <w:pPr>
              <w:spacing w:after="0"/>
              <w:jc w:val="right"/>
              <w:rPr>
                <w:rFonts w:ascii="Times New Roman" w:hAnsi="Times New Roman" w:cs="Times New Roman"/>
                <w:b/>
                <w:sz w:val="24"/>
                <w:szCs w:val="24"/>
              </w:rPr>
            </w:pPr>
            <w:r w:rsidRPr="00F42480">
              <w:rPr>
                <w:rFonts w:ascii="Times New Roman" w:hAnsi="Times New Roman" w:cs="Times New Roman"/>
                <w:b/>
                <w:sz w:val="24"/>
                <w:szCs w:val="24"/>
              </w:rPr>
              <w:t>8</w:t>
            </w:r>
          </w:p>
        </w:tc>
        <w:tc>
          <w:tcPr>
            <w:tcW w:w="1660" w:type="pct"/>
          </w:tcPr>
          <w:p w14:paraId="24D82699" w14:textId="77777777" w:rsidR="00E40A6E" w:rsidRPr="00F42480" w:rsidRDefault="00E40A6E" w:rsidP="00A35614">
            <w:pPr>
              <w:spacing w:after="0"/>
              <w:jc w:val="right"/>
              <w:rPr>
                <w:rFonts w:ascii="Times New Roman" w:hAnsi="Times New Roman" w:cs="Times New Roman"/>
                <w:b/>
                <w:sz w:val="24"/>
                <w:szCs w:val="24"/>
              </w:rPr>
            </w:pPr>
            <w:r w:rsidRPr="00F42480">
              <w:rPr>
                <w:rFonts w:ascii="Times New Roman" w:hAnsi="Times New Roman" w:cs="Times New Roman"/>
                <w:b/>
                <w:sz w:val="24"/>
                <w:szCs w:val="24"/>
              </w:rPr>
              <w:t>8</w:t>
            </w:r>
          </w:p>
        </w:tc>
      </w:tr>
    </w:tbl>
    <w:p w14:paraId="212DF022" w14:textId="77777777" w:rsidR="00E40A6E" w:rsidRPr="00F42480" w:rsidRDefault="00E40A6E" w:rsidP="00E40A6E">
      <w:pPr>
        <w:keepNext/>
        <w:keepLines/>
        <w:spacing w:after="120"/>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1"/>
        <w:gridCol w:w="1843"/>
        <w:gridCol w:w="3084"/>
      </w:tblGrid>
      <w:tr w:rsidR="00E40A6E" w:rsidRPr="00F42480" w14:paraId="442D356E" w14:textId="77777777" w:rsidTr="00A35614">
        <w:tc>
          <w:tcPr>
            <w:tcW w:w="2348" w:type="pct"/>
            <w:shd w:val="pct10" w:color="auto" w:fill="auto"/>
          </w:tcPr>
          <w:p w14:paraId="7A621AB2" w14:textId="77777777" w:rsidR="00E40A6E" w:rsidRPr="00F42480" w:rsidRDefault="00E40A6E" w:rsidP="00A35614">
            <w:pPr>
              <w:snapToGrid w:val="0"/>
              <w:spacing w:after="0"/>
              <w:jc w:val="center"/>
              <w:rPr>
                <w:rFonts w:ascii="Times New Roman" w:hAnsi="Times New Roman" w:cs="Times New Roman"/>
                <w:b/>
                <w:sz w:val="24"/>
                <w:szCs w:val="24"/>
              </w:rPr>
            </w:pPr>
            <w:r w:rsidRPr="00F42480">
              <w:rPr>
                <w:rFonts w:ascii="Times New Roman" w:hAnsi="Times New Roman" w:cs="Times New Roman"/>
                <w:b/>
                <w:sz w:val="24"/>
                <w:szCs w:val="24"/>
              </w:rPr>
              <w:t>Приоритет на Съюза</w:t>
            </w:r>
          </w:p>
        </w:tc>
        <w:tc>
          <w:tcPr>
            <w:tcW w:w="2652" w:type="pct"/>
            <w:gridSpan w:val="2"/>
          </w:tcPr>
          <w:p w14:paraId="20A71068" w14:textId="77777777" w:rsidR="00E40A6E" w:rsidRPr="00F42480" w:rsidRDefault="00E40A6E" w:rsidP="00A35614">
            <w:pPr>
              <w:snapToGrid w:val="0"/>
              <w:spacing w:after="0"/>
              <w:rPr>
                <w:rFonts w:ascii="Times New Roman" w:hAnsi="Times New Roman" w:cs="Times New Roman"/>
                <w:b/>
                <w:sz w:val="24"/>
                <w:szCs w:val="24"/>
              </w:rPr>
            </w:pPr>
            <w:r w:rsidRPr="00F42480">
              <w:rPr>
                <w:rFonts w:ascii="Times New Roman" w:hAnsi="Times New Roman" w:cs="Times New Roman"/>
                <w:b/>
                <w:sz w:val="24"/>
                <w:szCs w:val="24"/>
              </w:rPr>
              <w:t xml:space="preserve">2. Насърчаване на устойчиви в екологично отношение, характеризиращи се с ефективно използване на ресурсите, иновативни, конкурентоспособни и </w:t>
            </w:r>
            <w:r w:rsidRPr="00F42480">
              <w:rPr>
                <w:rFonts w:ascii="Times New Roman" w:hAnsi="Times New Roman" w:cs="Times New Roman"/>
                <w:b/>
                <w:sz w:val="24"/>
                <w:szCs w:val="24"/>
              </w:rPr>
              <w:lastRenderedPageBreak/>
              <w:t>основани на знания аквакултури,</w:t>
            </w:r>
          </w:p>
        </w:tc>
      </w:tr>
      <w:tr w:rsidR="00E40A6E" w:rsidRPr="00F42480" w14:paraId="4E7498E8" w14:textId="77777777" w:rsidTr="00A35614">
        <w:tc>
          <w:tcPr>
            <w:tcW w:w="2348" w:type="pct"/>
            <w:shd w:val="pct10" w:color="auto" w:fill="auto"/>
          </w:tcPr>
          <w:p w14:paraId="15679A06" w14:textId="77777777" w:rsidR="00E40A6E" w:rsidRPr="00F42480" w:rsidRDefault="00E40A6E" w:rsidP="00A35614">
            <w:pPr>
              <w:spacing w:after="0"/>
              <w:jc w:val="center"/>
              <w:rPr>
                <w:rFonts w:ascii="Times New Roman" w:hAnsi="Times New Roman" w:cs="Times New Roman"/>
                <w:b/>
                <w:sz w:val="24"/>
                <w:szCs w:val="24"/>
              </w:rPr>
            </w:pPr>
            <w:r w:rsidRPr="00F42480">
              <w:rPr>
                <w:rFonts w:ascii="Times New Roman" w:hAnsi="Times New Roman" w:cs="Times New Roman"/>
                <w:b/>
                <w:sz w:val="24"/>
                <w:szCs w:val="24"/>
              </w:rPr>
              <w:lastRenderedPageBreak/>
              <w:t xml:space="preserve">Показател и мерна единица, когато е съобразно </w:t>
            </w:r>
          </w:p>
          <w:p w14:paraId="428CA295" w14:textId="77777777" w:rsidR="00E40A6E" w:rsidRPr="00F42480" w:rsidRDefault="00E40A6E" w:rsidP="00A35614">
            <w:pPr>
              <w:spacing w:after="0"/>
              <w:jc w:val="center"/>
              <w:rPr>
                <w:rFonts w:ascii="Times New Roman" w:hAnsi="Times New Roman" w:cs="Times New Roman"/>
                <w:b/>
                <w:sz w:val="24"/>
                <w:szCs w:val="24"/>
              </w:rPr>
            </w:pPr>
          </w:p>
        </w:tc>
        <w:tc>
          <w:tcPr>
            <w:tcW w:w="992" w:type="pct"/>
            <w:shd w:val="pct10" w:color="auto" w:fill="auto"/>
          </w:tcPr>
          <w:p w14:paraId="28461622"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r w:rsidRPr="00F42480">
              <w:rPr>
                <w:rFonts w:ascii="Times New Roman" w:hAnsi="Times New Roman" w:cs="Times New Roman"/>
                <w:b/>
                <w:sz w:val="24"/>
                <w:szCs w:val="24"/>
              </w:rPr>
              <w:t>Етапна цел за 2018 г.</w:t>
            </w:r>
          </w:p>
          <w:p w14:paraId="23CBCE53"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p>
        </w:tc>
        <w:tc>
          <w:tcPr>
            <w:tcW w:w="1660" w:type="pct"/>
            <w:shd w:val="pct10" w:color="auto" w:fill="auto"/>
          </w:tcPr>
          <w:p w14:paraId="5CB713ED"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r w:rsidRPr="00F42480">
              <w:rPr>
                <w:rFonts w:ascii="Times New Roman" w:hAnsi="Times New Roman" w:cs="Times New Roman"/>
                <w:b/>
                <w:sz w:val="24"/>
                <w:szCs w:val="24"/>
              </w:rPr>
              <w:t xml:space="preserve">Цели за 2023 г. </w:t>
            </w:r>
          </w:p>
          <w:p w14:paraId="768459C4"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p>
        </w:tc>
      </w:tr>
      <w:tr w:rsidR="00E40A6E" w:rsidRPr="00F42480" w14:paraId="229CAF2F" w14:textId="77777777" w:rsidTr="00A35614">
        <w:tc>
          <w:tcPr>
            <w:tcW w:w="2348" w:type="pct"/>
            <w:shd w:val="pct10" w:color="auto" w:fill="auto"/>
          </w:tcPr>
          <w:p w14:paraId="6A1ADAEA" w14:textId="77777777" w:rsidR="00E40A6E" w:rsidRPr="00F42480" w:rsidRDefault="00E40A6E" w:rsidP="00A35614">
            <w:pPr>
              <w:spacing w:after="0"/>
              <w:rPr>
                <w:rFonts w:ascii="Times New Roman" w:hAnsi="Times New Roman" w:cs="Times New Roman"/>
                <w:b/>
                <w:sz w:val="24"/>
                <w:szCs w:val="24"/>
              </w:rPr>
            </w:pPr>
            <w:r w:rsidRPr="00F42480">
              <w:rPr>
                <w:rFonts w:ascii="Times New Roman" w:hAnsi="Times New Roman" w:cs="Times New Roman"/>
                <w:b/>
                <w:sz w:val="24"/>
                <w:szCs w:val="24"/>
              </w:rPr>
              <w:t>Финансов показател</w:t>
            </w:r>
          </w:p>
        </w:tc>
        <w:tc>
          <w:tcPr>
            <w:tcW w:w="992" w:type="pct"/>
          </w:tcPr>
          <w:p w14:paraId="234D2CA9" w14:textId="77777777" w:rsidR="00E40A6E" w:rsidRPr="00F42480" w:rsidRDefault="00E40A6E" w:rsidP="00A35614">
            <w:pPr>
              <w:spacing w:after="0"/>
              <w:rPr>
                <w:rFonts w:ascii="Times New Roman" w:hAnsi="Times New Roman" w:cs="Times New Roman"/>
                <w:b/>
                <w:color w:val="FF0000"/>
                <w:sz w:val="24"/>
                <w:szCs w:val="24"/>
              </w:rPr>
            </w:pPr>
            <w:r w:rsidRPr="00F42480">
              <w:rPr>
                <w:rFonts w:ascii="Times New Roman" w:hAnsi="Times New Roman" w:cs="Times New Roman"/>
                <w:b/>
                <w:color w:val="FF0000"/>
                <w:sz w:val="24"/>
                <w:szCs w:val="24"/>
              </w:rPr>
              <w:t>10 000 000 евро</w:t>
            </w:r>
          </w:p>
        </w:tc>
        <w:tc>
          <w:tcPr>
            <w:tcW w:w="1660" w:type="pct"/>
          </w:tcPr>
          <w:p w14:paraId="62B70737" w14:textId="77777777" w:rsidR="00E40A6E" w:rsidRPr="00F42480" w:rsidRDefault="00E40A6E" w:rsidP="00A35614">
            <w:pPr>
              <w:snapToGrid w:val="0"/>
              <w:spacing w:after="0"/>
              <w:jc w:val="right"/>
              <w:rPr>
                <w:rFonts w:ascii="Times New Roman" w:hAnsi="Times New Roman" w:cs="Times New Roman"/>
                <w:b/>
                <w:sz w:val="24"/>
                <w:szCs w:val="24"/>
              </w:rPr>
            </w:pPr>
            <w:r w:rsidRPr="00F42480">
              <w:rPr>
                <w:rFonts w:ascii="Times New Roman" w:hAnsi="Times New Roman" w:cs="Times New Roman"/>
                <w:b/>
                <w:sz w:val="24"/>
                <w:szCs w:val="24"/>
                <w:lang w:val="sq-AL"/>
              </w:rPr>
              <w:t xml:space="preserve">28 375 000 </w:t>
            </w:r>
            <w:r w:rsidRPr="00F42480">
              <w:rPr>
                <w:rFonts w:ascii="Times New Roman" w:hAnsi="Times New Roman" w:cs="Times New Roman"/>
                <w:b/>
                <w:sz w:val="24"/>
                <w:szCs w:val="24"/>
              </w:rPr>
              <w:t>евро</w:t>
            </w:r>
          </w:p>
        </w:tc>
      </w:tr>
      <w:tr w:rsidR="00E40A6E" w:rsidRPr="00F42480" w14:paraId="7322DCC3" w14:textId="77777777" w:rsidTr="00A35614">
        <w:tc>
          <w:tcPr>
            <w:tcW w:w="2348" w:type="pct"/>
            <w:shd w:val="pct10" w:color="auto" w:fill="auto"/>
          </w:tcPr>
          <w:p w14:paraId="6FF96E9F" w14:textId="77777777" w:rsidR="00E40A6E" w:rsidRPr="00F42480" w:rsidRDefault="00E40A6E" w:rsidP="00A35614">
            <w:pPr>
              <w:pStyle w:val="Default"/>
              <w:rPr>
                <w:rFonts w:ascii="Times New Roman" w:hAnsi="Times New Roman" w:cs="Times New Roman"/>
                <w:b/>
              </w:rPr>
            </w:pPr>
            <w:r w:rsidRPr="00F42480">
              <w:rPr>
                <w:rFonts w:ascii="Times New Roman" w:hAnsi="Times New Roman" w:cs="Times New Roman"/>
                <w:b/>
              </w:rPr>
              <w:t xml:space="preserve">2.2 - Брой на проектите за продуктивни инвестиции </w:t>
            </w:r>
          </w:p>
          <w:p w14:paraId="4F15ADB7" w14:textId="77777777" w:rsidR="00E40A6E" w:rsidRPr="00F42480" w:rsidRDefault="00E40A6E" w:rsidP="00A35614">
            <w:pPr>
              <w:spacing w:after="0"/>
              <w:rPr>
                <w:rFonts w:ascii="Times New Roman" w:hAnsi="Times New Roman" w:cs="Times New Roman"/>
                <w:b/>
                <w:sz w:val="24"/>
                <w:szCs w:val="24"/>
              </w:rPr>
            </w:pPr>
          </w:p>
        </w:tc>
        <w:tc>
          <w:tcPr>
            <w:tcW w:w="992" w:type="pct"/>
          </w:tcPr>
          <w:p w14:paraId="0DB62B50" w14:textId="77777777" w:rsidR="00E40A6E" w:rsidRPr="00F42480" w:rsidRDefault="00E40A6E" w:rsidP="00A35614">
            <w:pPr>
              <w:spacing w:after="0"/>
              <w:jc w:val="right"/>
              <w:rPr>
                <w:rFonts w:ascii="Times New Roman" w:hAnsi="Times New Roman" w:cs="Times New Roman"/>
                <w:b/>
                <w:color w:val="FF0000"/>
                <w:sz w:val="24"/>
                <w:szCs w:val="24"/>
              </w:rPr>
            </w:pPr>
            <w:r w:rsidRPr="00A22C97">
              <w:rPr>
                <w:rFonts w:ascii="Times New Roman" w:hAnsi="Times New Roman" w:cs="Times New Roman"/>
                <w:b/>
                <w:sz w:val="24"/>
                <w:szCs w:val="24"/>
              </w:rPr>
              <w:t>30</w:t>
            </w:r>
          </w:p>
        </w:tc>
        <w:tc>
          <w:tcPr>
            <w:tcW w:w="1660" w:type="pct"/>
          </w:tcPr>
          <w:p w14:paraId="20A849C5" w14:textId="77777777" w:rsidR="00E40A6E" w:rsidRPr="00F42480" w:rsidRDefault="00E40A6E" w:rsidP="00A35614">
            <w:pPr>
              <w:keepNext/>
              <w:keepLines/>
              <w:spacing w:after="0"/>
              <w:ind w:left="108" w:right="40"/>
              <w:jc w:val="right"/>
              <w:rPr>
                <w:rFonts w:ascii="Times New Roman" w:hAnsi="Times New Roman" w:cs="Times New Roman"/>
                <w:b/>
                <w:sz w:val="24"/>
                <w:szCs w:val="24"/>
              </w:rPr>
            </w:pPr>
            <w:r w:rsidRPr="00F42480">
              <w:rPr>
                <w:rFonts w:ascii="Times New Roman" w:hAnsi="Times New Roman" w:cs="Times New Roman"/>
                <w:b/>
                <w:sz w:val="24"/>
                <w:szCs w:val="24"/>
              </w:rPr>
              <w:t>70</w:t>
            </w:r>
          </w:p>
        </w:tc>
      </w:tr>
      <w:tr w:rsidR="00E40A6E" w:rsidRPr="00F42480" w14:paraId="06A0CFF9" w14:textId="77777777" w:rsidTr="00A35614">
        <w:tc>
          <w:tcPr>
            <w:tcW w:w="2348" w:type="pct"/>
            <w:shd w:val="pct10" w:color="auto" w:fill="auto"/>
          </w:tcPr>
          <w:p w14:paraId="1B7C08A6" w14:textId="77777777" w:rsidR="00E40A6E" w:rsidRPr="00F42480" w:rsidRDefault="00E40A6E" w:rsidP="00A35614">
            <w:pPr>
              <w:pStyle w:val="Default"/>
              <w:rPr>
                <w:rFonts w:ascii="Times New Roman" w:hAnsi="Times New Roman" w:cs="Times New Roman"/>
                <w:b/>
              </w:rPr>
            </w:pPr>
            <w:r w:rsidRPr="00F42480">
              <w:rPr>
                <w:rFonts w:ascii="Times New Roman" w:hAnsi="Times New Roman" w:cs="Times New Roman"/>
                <w:b/>
              </w:rPr>
              <w:t xml:space="preserve">2.5 - Брой на проектите за насърчаване на човешкия капитал в сектора на аквакултурите като цяло, и по-специално на нови производители на аквакултури </w:t>
            </w:r>
          </w:p>
        </w:tc>
        <w:tc>
          <w:tcPr>
            <w:tcW w:w="992" w:type="pct"/>
          </w:tcPr>
          <w:p w14:paraId="006479B0" w14:textId="77777777" w:rsidR="00E40A6E" w:rsidRPr="00F42480" w:rsidRDefault="00E40A6E" w:rsidP="00A35614">
            <w:pPr>
              <w:spacing w:after="0"/>
              <w:jc w:val="right"/>
              <w:rPr>
                <w:rFonts w:ascii="Times New Roman" w:hAnsi="Times New Roman" w:cs="Times New Roman"/>
                <w:b/>
                <w:sz w:val="24"/>
                <w:szCs w:val="24"/>
              </w:rPr>
            </w:pPr>
            <w:r w:rsidRPr="00F42480">
              <w:rPr>
                <w:rFonts w:ascii="Times New Roman" w:hAnsi="Times New Roman" w:cs="Times New Roman"/>
                <w:b/>
                <w:sz w:val="24"/>
                <w:szCs w:val="24"/>
              </w:rPr>
              <w:t>7</w:t>
            </w:r>
          </w:p>
        </w:tc>
        <w:tc>
          <w:tcPr>
            <w:tcW w:w="1660" w:type="pct"/>
          </w:tcPr>
          <w:p w14:paraId="299CFCF3" w14:textId="77777777" w:rsidR="00E40A6E" w:rsidRPr="00F42480" w:rsidRDefault="00E40A6E" w:rsidP="00A35614">
            <w:pPr>
              <w:spacing w:after="0"/>
              <w:jc w:val="right"/>
              <w:rPr>
                <w:rFonts w:ascii="Times New Roman" w:hAnsi="Times New Roman" w:cs="Times New Roman"/>
                <w:b/>
                <w:sz w:val="24"/>
                <w:szCs w:val="24"/>
              </w:rPr>
            </w:pPr>
            <w:r w:rsidRPr="00F42480">
              <w:rPr>
                <w:rFonts w:ascii="Times New Roman" w:hAnsi="Times New Roman" w:cs="Times New Roman"/>
                <w:b/>
                <w:sz w:val="24"/>
                <w:szCs w:val="24"/>
              </w:rPr>
              <w:t>20</w:t>
            </w:r>
          </w:p>
        </w:tc>
      </w:tr>
    </w:tbl>
    <w:p w14:paraId="62572F37" w14:textId="77777777" w:rsidR="00E40A6E" w:rsidRPr="00F42480" w:rsidRDefault="00E40A6E" w:rsidP="00E40A6E">
      <w:pPr>
        <w:keepNext/>
        <w:keepLines/>
        <w:spacing w:after="120"/>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02"/>
        <w:gridCol w:w="1702"/>
        <w:gridCol w:w="3084"/>
      </w:tblGrid>
      <w:tr w:rsidR="00E40A6E" w:rsidRPr="00F42480" w14:paraId="0C14C163" w14:textId="77777777" w:rsidTr="00A35614">
        <w:tc>
          <w:tcPr>
            <w:tcW w:w="2424" w:type="pct"/>
            <w:shd w:val="pct10" w:color="auto" w:fill="auto"/>
          </w:tcPr>
          <w:p w14:paraId="45BB2DD1" w14:textId="77777777" w:rsidR="00E40A6E" w:rsidRPr="00F42480" w:rsidRDefault="00E40A6E" w:rsidP="00A35614">
            <w:pPr>
              <w:snapToGrid w:val="0"/>
              <w:spacing w:after="0"/>
              <w:jc w:val="center"/>
              <w:rPr>
                <w:rFonts w:ascii="Times New Roman" w:hAnsi="Times New Roman" w:cs="Times New Roman"/>
                <w:b/>
                <w:sz w:val="24"/>
                <w:szCs w:val="24"/>
              </w:rPr>
            </w:pPr>
            <w:r w:rsidRPr="00F42480">
              <w:rPr>
                <w:rFonts w:ascii="Times New Roman" w:hAnsi="Times New Roman" w:cs="Times New Roman"/>
                <w:b/>
                <w:sz w:val="24"/>
                <w:szCs w:val="24"/>
              </w:rPr>
              <w:t>Приоритет на Съюза</w:t>
            </w:r>
          </w:p>
        </w:tc>
        <w:tc>
          <w:tcPr>
            <w:tcW w:w="2576" w:type="pct"/>
            <w:gridSpan w:val="2"/>
          </w:tcPr>
          <w:p w14:paraId="38D986CA" w14:textId="77777777" w:rsidR="00E40A6E" w:rsidRPr="00F42480" w:rsidRDefault="00E40A6E" w:rsidP="00A35614">
            <w:pPr>
              <w:keepNext/>
              <w:keepLines/>
              <w:spacing w:after="0"/>
              <w:rPr>
                <w:rFonts w:ascii="Times New Roman" w:hAnsi="Times New Roman" w:cs="Times New Roman"/>
                <w:b/>
                <w:sz w:val="24"/>
                <w:szCs w:val="24"/>
              </w:rPr>
            </w:pPr>
            <w:r w:rsidRPr="00F42480">
              <w:rPr>
                <w:rFonts w:ascii="Times New Roman" w:hAnsi="Times New Roman" w:cs="Times New Roman"/>
                <w:b/>
                <w:sz w:val="24"/>
                <w:szCs w:val="24"/>
              </w:rPr>
              <w:t>3. Насърчаване на изпълнението на ОПОР</w:t>
            </w:r>
          </w:p>
        </w:tc>
      </w:tr>
      <w:tr w:rsidR="00E40A6E" w:rsidRPr="00F42480" w14:paraId="2CCCE03C" w14:textId="77777777" w:rsidTr="00A35614">
        <w:tc>
          <w:tcPr>
            <w:tcW w:w="2424" w:type="pct"/>
            <w:shd w:val="pct10" w:color="auto" w:fill="auto"/>
          </w:tcPr>
          <w:p w14:paraId="134BA9D1" w14:textId="77777777" w:rsidR="00E40A6E" w:rsidRPr="00F42480" w:rsidRDefault="00E40A6E" w:rsidP="00A35614">
            <w:pPr>
              <w:spacing w:after="0"/>
              <w:jc w:val="center"/>
              <w:rPr>
                <w:rFonts w:ascii="Times New Roman" w:hAnsi="Times New Roman" w:cs="Times New Roman"/>
                <w:b/>
                <w:sz w:val="24"/>
                <w:szCs w:val="24"/>
              </w:rPr>
            </w:pPr>
            <w:r w:rsidRPr="00F42480">
              <w:rPr>
                <w:rFonts w:ascii="Times New Roman" w:hAnsi="Times New Roman" w:cs="Times New Roman"/>
                <w:b/>
                <w:sz w:val="24"/>
                <w:szCs w:val="24"/>
              </w:rPr>
              <w:t xml:space="preserve">Показател и мерна единица, когато е съобразно </w:t>
            </w:r>
          </w:p>
          <w:p w14:paraId="58BE68E7" w14:textId="77777777" w:rsidR="00E40A6E" w:rsidRPr="00F42480" w:rsidRDefault="00E40A6E" w:rsidP="00A35614">
            <w:pPr>
              <w:spacing w:after="0"/>
              <w:jc w:val="center"/>
              <w:rPr>
                <w:rFonts w:ascii="Times New Roman" w:hAnsi="Times New Roman" w:cs="Times New Roman"/>
                <w:b/>
                <w:sz w:val="24"/>
                <w:szCs w:val="24"/>
              </w:rPr>
            </w:pPr>
          </w:p>
        </w:tc>
        <w:tc>
          <w:tcPr>
            <w:tcW w:w="916" w:type="pct"/>
            <w:shd w:val="pct10" w:color="auto" w:fill="auto"/>
          </w:tcPr>
          <w:p w14:paraId="1BCB45AE"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r w:rsidRPr="00F42480">
              <w:rPr>
                <w:rFonts w:ascii="Times New Roman" w:hAnsi="Times New Roman" w:cs="Times New Roman"/>
                <w:b/>
                <w:sz w:val="24"/>
                <w:szCs w:val="24"/>
              </w:rPr>
              <w:t>Етапна цел за 2018 г.</w:t>
            </w:r>
          </w:p>
          <w:p w14:paraId="603CDCEE"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p>
        </w:tc>
        <w:tc>
          <w:tcPr>
            <w:tcW w:w="1660" w:type="pct"/>
            <w:shd w:val="pct10" w:color="auto" w:fill="auto"/>
          </w:tcPr>
          <w:p w14:paraId="19F4838F"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r w:rsidRPr="00F42480">
              <w:rPr>
                <w:rFonts w:ascii="Times New Roman" w:hAnsi="Times New Roman" w:cs="Times New Roman"/>
                <w:b/>
                <w:sz w:val="24"/>
                <w:szCs w:val="24"/>
              </w:rPr>
              <w:t xml:space="preserve">Цели за 2023 г. </w:t>
            </w:r>
          </w:p>
          <w:p w14:paraId="5467CA68"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p>
        </w:tc>
      </w:tr>
      <w:tr w:rsidR="00E40A6E" w:rsidRPr="00F42480" w14:paraId="33F08410" w14:textId="77777777" w:rsidTr="00A35614">
        <w:tc>
          <w:tcPr>
            <w:tcW w:w="2424" w:type="pct"/>
            <w:shd w:val="pct10" w:color="auto" w:fill="auto"/>
          </w:tcPr>
          <w:tbl>
            <w:tblPr>
              <w:tblW w:w="0" w:type="auto"/>
              <w:tblBorders>
                <w:top w:val="nil"/>
                <w:left w:val="nil"/>
                <w:bottom w:val="nil"/>
                <w:right w:val="nil"/>
              </w:tblBorders>
              <w:tblLayout w:type="fixed"/>
              <w:tblLook w:val="0000" w:firstRow="0" w:lastRow="0" w:firstColumn="0" w:lastColumn="0" w:noHBand="0" w:noVBand="0"/>
            </w:tblPr>
            <w:tblGrid>
              <w:gridCol w:w="2509"/>
              <w:gridCol w:w="2509"/>
              <w:gridCol w:w="2511"/>
            </w:tblGrid>
            <w:tr w:rsidR="00E40A6E" w:rsidRPr="00F42480" w14:paraId="13C67777" w14:textId="77777777" w:rsidTr="00A35614">
              <w:trPr>
                <w:trHeight w:val="91"/>
              </w:trPr>
              <w:tc>
                <w:tcPr>
                  <w:tcW w:w="2509" w:type="dxa"/>
                </w:tcPr>
                <w:p w14:paraId="4AC31937" w14:textId="77777777" w:rsidR="00E40A6E" w:rsidRPr="00F42480" w:rsidRDefault="00E40A6E" w:rsidP="00A35614">
                  <w:pPr>
                    <w:autoSpaceDE w:val="0"/>
                    <w:autoSpaceDN w:val="0"/>
                    <w:adjustRightInd w:val="0"/>
                    <w:spacing w:after="0" w:line="240" w:lineRule="auto"/>
                    <w:rPr>
                      <w:rFonts w:ascii="Times New Roman" w:hAnsi="Times New Roman" w:cs="Times New Roman"/>
                      <w:b/>
                      <w:color w:val="000000"/>
                      <w:sz w:val="24"/>
                      <w:szCs w:val="24"/>
                    </w:rPr>
                  </w:pPr>
                  <w:r w:rsidRPr="00F42480">
                    <w:rPr>
                      <w:rFonts w:ascii="Times New Roman" w:hAnsi="Times New Roman" w:cs="Times New Roman"/>
                      <w:b/>
                      <w:color w:val="000000"/>
                      <w:sz w:val="24"/>
                      <w:szCs w:val="24"/>
                    </w:rPr>
                    <w:t xml:space="preserve">Финансов показател </w:t>
                  </w:r>
                </w:p>
              </w:tc>
              <w:tc>
                <w:tcPr>
                  <w:tcW w:w="2509" w:type="dxa"/>
                </w:tcPr>
                <w:p w14:paraId="39AB2E65" w14:textId="77777777" w:rsidR="00E40A6E" w:rsidRPr="00F42480" w:rsidRDefault="00E40A6E" w:rsidP="00A35614">
                  <w:pPr>
                    <w:autoSpaceDE w:val="0"/>
                    <w:autoSpaceDN w:val="0"/>
                    <w:adjustRightInd w:val="0"/>
                    <w:spacing w:after="0" w:line="240" w:lineRule="auto"/>
                    <w:rPr>
                      <w:rFonts w:ascii="Times New Roman" w:hAnsi="Times New Roman" w:cs="Times New Roman"/>
                      <w:b/>
                      <w:color w:val="000000"/>
                      <w:sz w:val="24"/>
                      <w:szCs w:val="24"/>
                    </w:rPr>
                  </w:pPr>
                </w:p>
              </w:tc>
              <w:tc>
                <w:tcPr>
                  <w:tcW w:w="2509" w:type="dxa"/>
                </w:tcPr>
                <w:p w14:paraId="771FA33E" w14:textId="77777777" w:rsidR="00E40A6E" w:rsidRPr="00F42480" w:rsidRDefault="00E40A6E" w:rsidP="00A35614">
                  <w:pPr>
                    <w:autoSpaceDE w:val="0"/>
                    <w:autoSpaceDN w:val="0"/>
                    <w:adjustRightInd w:val="0"/>
                    <w:spacing w:after="0" w:line="240" w:lineRule="auto"/>
                    <w:rPr>
                      <w:rFonts w:ascii="Times New Roman" w:hAnsi="Times New Roman" w:cs="Times New Roman"/>
                      <w:b/>
                      <w:color w:val="000000"/>
                      <w:sz w:val="24"/>
                      <w:szCs w:val="24"/>
                    </w:rPr>
                  </w:pPr>
                  <w:r w:rsidRPr="00F42480">
                    <w:rPr>
                      <w:rFonts w:ascii="Times New Roman" w:hAnsi="Times New Roman" w:cs="Times New Roman"/>
                      <w:b/>
                      <w:color w:val="000000"/>
                      <w:sz w:val="24"/>
                      <w:szCs w:val="24"/>
                    </w:rPr>
                    <w:t xml:space="preserve">12 414 579,00 </w:t>
                  </w:r>
                </w:p>
              </w:tc>
            </w:tr>
            <w:tr w:rsidR="00E40A6E" w:rsidRPr="00F42480" w14:paraId="5293CEA2" w14:textId="77777777" w:rsidTr="00A35614">
              <w:trPr>
                <w:trHeight w:val="91"/>
              </w:trPr>
              <w:tc>
                <w:tcPr>
                  <w:tcW w:w="7529" w:type="dxa"/>
                  <w:gridSpan w:val="3"/>
                </w:tcPr>
                <w:p w14:paraId="3FE1C01C" w14:textId="77777777" w:rsidR="00E40A6E" w:rsidRPr="00F42480" w:rsidRDefault="00E40A6E" w:rsidP="00A35614">
                  <w:pPr>
                    <w:autoSpaceDE w:val="0"/>
                    <w:autoSpaceDN w:val="0"/>
                    <w:adjustRightInd w:val="0"/>
                    <w:spacing w:after="0" w:line="240" w:lineRule="auto"/>
                    <w:rPr>
                      <w:rFonts w:ascii="Times New Roman" w:hAnsi="Times New Roman" w:cs="Times New Roman"/>
                      <w:b/>
                      <w:color w:val="000000"/>
                      <w:sz w:val="24"/>
                      <w:szCs w:val="24"/>
                    </w:rPr>
                  </w:pPr>
                </w:p>
              </w:tc>
            </w:tr>
          </w:tbl>
          <w:p w14:paraId="0B6AFC3D" w14:textId="77777777" w:rsidR="00E40A6E" w:rsidRPr="00F42480" w:rsidRDefault="00E40A6E" w:rsidP="00A35614">
            <w:pPr>
              <w:spacing w:after="0"/>
              <w:rPr>
                <w:rFonts w:ascii="Times New Roman" w:hAnsi="Times New Roman" w:cs="Times New Roman"/>
                <w:b/>
                <w:sz w:val="24"/>
                <w:szCs w:val="24"/>
              </w:rPr>
            </w:pPr>
          </w:p>
        </w:tc>
        <w:tc>
          <w:tcPr>
            <w:tcW w:w="916" w:type="pct"/>
          </w:tcPr>
          <w:p w14:paraId="225B6C68" w14:textId="77777777" w:rsidR="00E40A6E" w:rsidRPr="00F42480" w:rsidRDefault="00E40A6E" w:rsidP="00A35614">
            <w:pPr>
              <w:spacing w:after="0"/>
              <w:jc w:val="right"/>
              <w:rPr>
                <w:rFonts w:ascii="Times New Roman" w:hAnsi="Times New Roman" w:cs="Times New Roman"/>
                <w:b/>
                <w:sz w:val="24"/>
                <w:szCs w:val="24"/>
              </w:rPr>
            </w:pPr>
            <w:r w:rsidRPr="00A22C97">
              <w:rPr>
                <w:rFonts w:ascii="Times New Roman" w:hAnsi="Times New Roman" w:cs="Times New Roman"/>
                <w:b/>
                <w:sz w:val="24"/>
                <w:szCs w:val="24"/>
              </w:rPr>
              <w:t>3 000 000 евро</w:t>
            </w:r>
          </w:p>
        </w:tc>
        <w:tc>
          <w:tcPr>
            <w:tcW w:w="1660" w:type="pct"/>
          </w:tcPr>
          <w:p w14:paraId="285A86C2" w14:textId="77777777" w:rsidR="00E40A6E" w:rsidRPr="00F42480" w:rsidRDefault="00E40A6E" w:rsidP="00A35614">
            <w:pPr>
              <w:jc w:val="right"/>
              <w:rPr>
                <w:rFonts w:ascii="Times New Roman" w:hAnsi="Times New Roman" w:cs="Times New Roman"/>
                <w:b/>
                <w:sz w:val="24"/>
                <w:szCs w:val="24"/>
              </w:rPr>
            </w:pPr>
            <w:r w:rsidRPr="00F42480">
              <w:rPr>
                <w:rFonts w:ascii="Times New Roman" w:hAnsi="Times New Roman" w:cs="Times New Roman"/>
                <w:b/>
                <w:sz w:val="24"/>
                <w:szCs w:val="24"/>
                <w:lang w:val="sq-AL"/>
              </w:rPr>
              <w:t>12 414 579,00</w:t>
            </w:r>
            <w:r w:rsidRPr="00F42480">
              <w:rPr>
                <w:rFonts w:ascii="Times New Roman" w:hAnsi="Times New Roman" w:cs="Times New Roman"/>
                <w:b/>
                <w:sz w:val="24"/>
                <w:szCs w:val="24"/>
              </w:rPr>
              <w:t xml:space="preserve"> евро</w:t>
            </w:r>
          </w:p>
        </w:tc>
      </w:tr>
      <w:tr w:rsidR="00E40A6E" w:rsidRPr="00F42480" w14:paraId="19D8AEEF" w14:textId="77777777" w:rsidTr="00A35614">
        <w:tc>
          <w:tcPr>
            <w:tcW w:w="2424" w:type="pct"/>
            <w:shd w:val="pct10" w:color="auto" w:fill="auto"/>
          </w:tcPr>
          <w:p w14:paraId="2D072D82" w14:textId="77777777" w:rsidR="00E40A6E" w:rsidRPr="00F42480" w:rsidRDefault="00E40A6E" w:rsidP="00A35614">
            <w:pPr>
              <w:spacing w:after="0"/>
              <w:rPr>
                <w:rFonts w:ascii="Times New Roman" w:hAnsi="Times New Roman" w:cs="Times New Roman"/>
                <w:b/>
                <w:sz w:val="24"/>
                <w:szCs w:val="24"/>
              </w:rPr>
            </w:pPr>
            <w:r w:rsidRPr="00F42480">
              <w:rPr>
                <w:rFonts w:ascii="Times New Roman" w:hAnsi="Times New Roman" w:cs="Times New Roman"/>
                <w:b/>
                <w:sz w:val="24"/>
                <w:szCs w:val="24"/>
              </w:rPr>
              <w:t>Показател на изпълнението 1</w:t>
            </w:r>
          </w:p>
          <w:p w14:paraId="0769A9F3" w14:textId="77777777" w:rsidR="00E40A6E" w:rsidRPr="00F42480" w:rsidRDefault="00E40A6E" w:rsidP="00A35614">
            <w:pPr>
              <w:pStyle w:val="Default"/>
              <w:rPr>
                <w:rFonts w:ascii="Times New Roman" w:hAnsi="Times New Roman" w:cs="Times New Roman"/>
                <w:b/>
              </w:rPr>
            </w:pPr>
            <w:r w:rsidRPr="00F42480">
              <w:rPr>
                <w:rFonts w:ascii="Times New Roman" w:hAnsi="Times New Roman" w:cs="Times New Roman"/>
                <w:b/>
              </w:rPr>
              <w:t xml:space="preserve">3.1 - Брой на проектите за прилагане на системата на Съюза за контрол, инспекции и правоприлаган </w:t>
            </w:r>
          </w:p>
        </w:tc>
        <w:tc>
          <w:tcPr>
            <w:tcW w:w="916" w:type="pct"/>
          </w:tcPr>
          <w:p w14:paraId="7BA97AF5" w14:textId="77777777" w:rsidR="00E40A6E" w:rsidRPr="00F42480" w:rsidRDefault="00E40A6E" w:rsidP="00A35614">
            <w:pPr>
              <w:spacing w:after="0"/>
              <w:jc w:val="right"/>
              <w:rPr>
                <w:rFonts w:ascii="Times New Roman" w:hAnsi="Times New Roman" w:cs="Times New Roman"/>
                <w:b/>
                <w:sz w:val="24"/>
                <w:szCs w:val="24"/>
              </w:rPr>
            </w:pPr>
            <w:r w:rsidRPr="00A22C97">
              <w:rPr>
                <w:rFonts w:ascii="Times New Roman" w:hAnsi="Times New Roman" w:cs="Times New Roman"/>
                <w:b/>
                <w:sz w:val="24"/>
                <w:szCs w:val="24"/>
              </w:rPr>
              <w:t>12</w:t>
            </w:r>
          </w:p>
        </w:tc>
        <w:tc>
          <w:tcPr>
            <w:tcW w:w="1660" w:type="pct"/>
          </w:tcPr>
          <w:p w14:paraId="2FDF053D" w14:textId="77777777" w:rsidR="00E40A6E" w:rsidRPr="00F42480" w:rsidRDefault="00E40A6E" w:rsidP="00A35614">
            <w:pPr>
              <w:keepNext/>
              <w:keepLines/>
              <w:spacing w:after="0"/>
              <w:ind w:left="108" w:right="40"/>
              <w:jc w:val="right"/>
              <w:rPr>
                <w:rFonts w:ascii="Times New Roman" w:hAnsi="Times New Roman" w:cs="Times New Roman"/>
                <w:b/>
                <w:sz w:val="24"/>
                <w:szCs w:val="24"/>
              </w:rPr>
            </w:pPr>
            <w:r w:rsidRPr="00F42480">
              <w:rPr>
                <w:rFonts w:ascii="Times New Roman" w:hAnsi="Times New Roman" w:cs="Times New Roman"/>
                <w:b/>
                <w:sz w:val="24"/>
                <w:szCs w:val="24"/>
              </w:rPr>
              <w:t>20</w:t>
            </w:r>
          </w:p>
        </w:tc>
      </w:tr>
      <w:tr w:rsidR="00E40A6E" w:rsidRPr="00F42480" w14:paraId="40B63BC5" w14:textId="77777777" w:rsidTr="00A35614">
        <w:tc>
          <w:tcPr>
            <w:tcW w:w="2424" w:type="pct"/>
            <w:shd w:val="pct10" w:color="auto" w:fill="auto"/>
          </w:tcPr>
          <w:p w14:paraId="28BBBC06" w14:textId="77777777" w:rsidR="00E40A6E" w:rsidRPr="00F42480" w:rsidRDefault="00E40A6E" w:rsidP="00A35614">
            <w:pPr>
              <w:pStyle w:val="Default"/>
              <w:rPr>
                <w:rFonts w:ascii="Times New Roman" w:hAnsi="Times New Roman" w:cs="Times New Roman"/>
                <w:b/>
              </w:rPr>
            </w:pPr>
            <w:r w:rsidRPr="00F42480">
              <w:rPr>
                <w:rFonts w:ascii="Times New Roman" w:hAnsi="Times New Roman" w:cs="Times New Roman"/>
                <w:b/>
              </w:rPr>
              <w:t xml:space="preserve">3.2 - Брой на проектите за подпомагане на събирането, управлението и използването на данни </w:t>
            </w:r>
          </w:p>
        </w:tc>
        <w:tc>
          <w:tcPr>
            <w:tcW w:w="916" w:type="pct"/>
          </w:tcPr>
          <w:p w14:paraId="45290AAC" w14:textId="77777777" w:rsidR="00E40A6E" w:rsidRPr="00F42480" w:rsidRDefault="00E40A6E" w:rsidP="00A35614">
            <w:pPr>
              <w:spacing w:after="0"/>
              <w:jc w:val="right"/>
              <w:rPr>
                <w:rFonts w:ascii="Times New Roman" w:hAnsi="Times New Roman" w:cs="Times New Roman"/>
                <w:b/>
                <w:sz w:val="24"/>
                <w:szCs w:val="24"/>
              </w:rPr>
            </w:pPr>
            <w:r w:rsidRPr="00F42480">
              <w:rPr>
                <w:rFonts w:ascii="Times New Roman" w:hAnsi="Times New Roman" w:cs="Times New Roman"/>
                <w:b/>
                <w:sz w:val="24"/>
                <w:szCs w:val="24"/>
              </w:rPr>
              <w:t>1</w:t>
            </w:r>
          </w:p>
        </w:tc>
        <w:tc>
          <w:tcPr>
            <w:tcW w:w="1660" w:type="pct"/>
          </w:tcPr>
          <w:p w14:paraId="528B2FD1" w14:textId="77777777" w:rsidR="00E40A6E" w:rsidRPr="00F42480" w:rsidRDefault="00E40A6E" w:rsidP="00A35614">
            <w:pPr>
              <w:keepNext/>
              <w:keepLines/>
              <w:spacing w:after="0"/>
              <w:ind w:left="108" w:right="40"/>
              <w:jc w:val="right"/>
              <w:rPr>
                <w:rFonts w:ascii="Times New Roman" w:hAnsi="Times New Roman" w:cs="Times New Roman"/>
                <w:b/>
                <w:sz w:val="24"/>
                <w:szCs w:val="24"/>
              </w:rPr>
            </w:pPr>
            <w:r w:rsidRPr="00F42480">
              <w:rPr>
                <w:rFonts w:ascii="Times New Roman" w:hAnsi="Times New Roman" w:cs="Times New Roman"/>
                <w:b/>
                <w:sz w:val="24"/>
                <w:szCs w:val="24"/>
              </w:rPr>
              <w:t>2</w:t>
            </w:r>
          </w:p>
        </w:tc>
      </w:tr>
    </w:tbl>
    <w:p w14:paraId="2A1FBC0D" w14:textId="77777777" w:rsidR="00E40A6E" w:rsidRPr="00F42480" w:rsidRDefault="00E40A6E" w:rsidP="00E40A6E">
      <w:pPr>
        <w:keepNext/>
        <w:keepLines/>
        <w:spacing w:after="0"/>
        <w:ind w:left="108" w:right="40"/>
        <w:rPr>
          <w:rFonts w:ascii="Times New Roman" w:hAnsi="Times New Roman" w:cs="Times New Roman"/>
          <w:b/>
          <w:sz w:val="24"/>
          <w:szCs w:val="24"/>
        </w:rPr>
      </w:pPr>
    </w:p>
    <w:p w14:paraId="1E7DFD24" w14:textId="77777777" w:rsidR="00E40A6E" w:rsidRPr="00F42480" w:rsidRDefault="00E40A6E" w:rsidP="00E40A6E">
      <w:pPr>
        <w:keepNext/>
        <w:keepLines/>
        <w:spacing w:after="0"/>
        <w:ind w:left="108" w:right="40"/>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02"/>
        <w:gridCol w:w="1702"/>
        <w:gridCol w:w="3084"/>
      </w:tblGrid>
      <w:tr w:rsidR="00E40A6E" w:rsidRPr="00F42480" w14:paraId="39698C33" w14:textId="77777777" w:rsidTr="00A35614">
        <w:tc>
          <w:tcPr>
            <w:tcW w:w="2424" w:type="pct"/>
            <w:shd w:val="pct10" w:color="auto" w:fill="auto"/>
          </w:tcPr>
          <w:p w14:paraId="62650D51" w14:textId="77777777" w:rsidR="00E40A6E" w:rsidRPr="00F42480" w:rsidRDefault="00E40A6E" w:rsidP="00A35614">
            <w:pPr>
              <w:snapToGrid w:val="0"/>
              <w:spacing w:after="0"/>
              <w:jc w:val="center"/>
              <w:rPr>
                <w:rFonts w:ascii="Times New Roman" w:hAnsi="Times New Roman" w:cs="Times New Roman"/>
                <w:b/>
                <w:sz w:val="24"/>
                <w:szCs w:val="24"/>
              </w:rPr>
            </w:pPr>
            <w:r w:rsidRPr="00F42480">
              <w:rPr>
                <w:rFonts w:ascii="Times New Roman" w:hAnsi="Times New Roman" w:cs="Times New Roman"/>
                <w:b/>
                <w:sz w:val="24"/>
                <w:szCs w:val="24"/>
              </w:rPr>
              <w:t>Приоритет на Съюза</w:t>
            </w:r>
          </w:p>
        </w:tc>
        <w:tc>
          <w:tcPr>
            <w:tcW w:w="2576" w:type="pct"/>
            <w:gridSpan w:val="2"/>
          </w:tcPr>
          <w:p w14:paraId="59BCC1F4" w14:textId="77777777" w:rsidR="00E40A6E" w:rsidRPr="00F42480" w:rsidRDefault="00E40A6E" w:rsidP="00A35614">
            <w:pPr>
              <w:keepNext/>
              <w:keepLines/>
              <w:spacing w:after="0"/>
              <w:rPr>
                <w:rFonts w:ascii="Times New Roman" w:hAnsi="Times New Roman" w:cs="Times New Roman"/>
                <w:b/>
                <w:sz w:val="24"/>
                <w:szCs w:val="24"/>
              </w:rPr>
            </w:pPr>
            <w:r>
              <w:rPr>
                <w:rFonts w:ascii="Times New Roman" w:hAnsi="Times New Roman" w:cs="Times New Roman"/>
                <w:b/>
                <w:sz w:val="24"/>
                <w:szCs w:val="24"/>
              </w:rPr>
              <w:t xml:space="preserve">4. </w:t>
            </w:r>
            <w:r w:rsidRPr="00F42480">
              <w:rPr>
                <w:rFonts w:ascii="Times New Roman" w:hAnsi="Times New Roman" w:cs="Times New Roman"/>
                <w:b/>
                <w:sz w:val="24"/>
                <w:szCs w:val="24"/>
              </w:rPr>
              <w:t>Повишаване на заетостта и териториалното сближаване</w:t>
            </w:r>
          </w:p>
        </w:tc>
      </w:tr>
      <w:tr w:rsidR="00E40A6E" w:rsidRPr="00F42480" w14:paraId="247DE6E1" w14:textId="77777777" w:rsidTr="00A35614">
        <w:tc>
          <w:tcPr>
            <w:tcW w:w="2424" w:type="pct"/>
            <w:shd w:val="pct10" w:color="auto" w:fill="auto"/>
          </w:tcPr>
          <w:p w14:paraId="21346336" w14:textId="77777777" w:rsidR="00E40A6E" w:rsidRPr="00F42480" w:rsidRDefault="00E40A6E" w:rsidP="00A35614">
            <w:pPr>
              <w:spacing w:after="0"/>
              <w:jc w:val="center"/>
              <w:rPr>
                <w:rFonts w:ascii="Times New Roman" w:hAnsi="Times New Roman" w:cs="Times New Roman"/>
                <w:b/>
                <w:sz w:val="24"/>
                <w:szCs w:val="24"/>
              </w:rPr>
            </w:pPr>
            <w:r w:rsidRPr="00F42480">
              <w:rPr>
                <w:rFonts w:ascii="Times New Roman" w:hAnsi="Times New Roman" w:cs="Times New Roman"/>
                <w:b/>
                <w:sz w:val="24"/>
                <w:szCs w:val="24"/>
              </w:rPr>
              <w:t xml:space="preserve">Показател и мерна единица, когато е съобразно </w:t>
            </w:r>
          </w:p>
        </w:tc>
        <w:tc>
          <w:tcPr>
            <w:tcW w:w="916" w:type="pct"/>
            <w:shd w:val="pct10" w:color="auto" w:fill="auto"/>
          </w:tcPr>
          <w:p w14:paraId="71CECA8F"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r w:rsidRPr="00F42480">
              <w:rPr>
                <w:rFonts w:ascii="Times New Roman" w:hAnsi="Times New Roman" w:cs="Times New Roman"/>
                <w:b/>
                <w:sz w:val="24"/>
                <w:szCs w:val="24"/>
              </w:rPr>
              <w:t>Етапна цел за 2018 г.</w:t>
            </w:r>
          </w:p>
          <w:p w14:paraId="253DB5C7"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p>
        </w:tc>
        <w:tc>
          <w:tcPr>
            <w:tcW w:w="1660" w:type="pct"/>
            <w:shd w:val="pct10" w:color="auto" w:fill="auto"/>
          </w:tcPr>
          <w:p w14:paraId="4B736770"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r w:rsidRPr="00F42480">
              <w:rPr>
                <w:rFonts w:ascii="Times New Roman" w:hAnsi="Times New Roman" w:cs="Times New Roman"/>
                <w:b/>
                <w:sz w:val="24"/>
                <w:szCs w:val="24"/>
              </w:rPr>
              <w:t xml:space="preserve">Цели за 2023 г. </w:t>
            </w:r>
          </w:p>
          <w:p w14:paraId="25540CDB"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r w:rsidRPr="00F42480">
              <w:rPr>
                <w:rFonts w:ascii="Times New Roman" w:hAnsi="Times New Roman" w:cs="Times New Roman"/>
                <w:b/>
                <w:sz w:val="24"/>
                <w:szCs w:val="24"/>
              </w:rPr>
              <w:t xml:space="preserve"> </w:t>
            </w:r>
          </w:p>
        </w:tc>
      </w:tr>
      <w:tr w:rsidR="00E40A6E" w:rsidRPr="00F42480" w14:paraId="134544D5" w14:textId="77777777" w:rsidTr="00A35614">
        <w:tc>
          <w:tcPr>
            <w:tcW w:w="2424" w:type="pct"/>
            <w:shd w:val="pct10" w:color="auto" w:fill="auto"/>
          </w:tcPr>
          <w:p w14:paraId="0D0F1DDB" w14:textId="77777777" w:rsidR="00E40A6E" w:rsidRPr="00F42480" w:rsidRDefault="00E40A6E" w:rsidP="00A35614">
            <w:pPr>
              <w:spacing w:after="0"/>
              <w:rPr>
                <w:rFonts w:ascii="Times New Roman" w:hAnsi="Times New Roman" w:cs="Times New Roman"/>
                <w:b/>
                <w:sz w:val="24"/>
                <w:szCs w:val="24"/>
              </w:rPr>
            </w:pPr>
            <w:r w:rsidRPr="00F42480">
              <w:rPr>
                <w:rFonts w:ascii="Times New Roman" w:hAnsi="Times New Roman" w:cs="Times New Roman"/>
                <w:b/>
                <w:sz w:val="24"/>
                <w:szCs w:val="24"/>
              </w:rPr>
              <w:t>Финансов показател</w:t>
            </w:r>
          </w:p>
        </w:tc>
        <w:tc>
          <w:tcPr>
            <w:tcW w:w="916" w:type="pct"/>
          </w:tcPr>
          <w:p w14:paraId="17F9256A" w14:textId="77777777" w:rsidR="00E40A6E" w:rsidRPr="00F42480" w:rsidRDefault="00E40A6E" w:rsidP="00A35614">
            <w:pPr>
              <w:spacing w:after="0"/>
              <w:jc w:val="right"/>
              <w:rPr>
                <w:rFonts w:ascii="Times New Roman" w:hAnsi="Times New Roman" w:cs="Times New Roman"/>
                <w:b/>
                <w:color w:val="FF0000"/>
                <w:sz w:val="24"/>
                <w:szCs w:val="24"/>
              </w:rPr>
            </w:pPr>
            <w:r w:rsidRPr="00F42480">
              <w:rPr>
                <w:rFonts w:ascii="Times New Roman" w:hAnsi="Times New Roman" w:cs="Times New Roman"/>
                <w:b/>
                <w:color w:val="FF0000"/>
                <w:sz w:val="24"/>
                <w:szCs w:val="24"/>
              </w:rPr>
              <w:t>2 270 000.00 евро</w:t>
            </w:r>
          </w:p>
        </w:tc>
        <w:tc>
          <w:tcPr>
            <w:tcW w:w="1660" w:type="pct"/>
          </w:tcPr>
          <w:p w14:paraId="4C1D1897" w14:textId="77777777" w:rsidR="00E40A6E" w:rsidRPr="00F42480" w:rsidRDefault="00E40A6E" w:rsidP="00A35614">
            <w:pPr>
              <w:jc w:val="right"/>
              <w:rPr>
                <w:rFonts w:ascii="Times New Roman" w:hAnsi="Times New Roman" w:cs="Times New Roman"/>
                <w:b/>
                <w:sz w:val="24"/>
                <w:szCs w:val="24"/>
              </w:rPr>
            </w:pPr>
            <w:r w:rsidRPr="00F42480">
              <w:rPr>
                <w:rFonts w:ascii="Times New Roman" w:hAnsi="Times New Roman" w:cs="Times New Roman"/>
                <w:b/>
                <w:sz w:val="24"/>
                <w:szCs w:val="24"/>
              </w:rPr>
              <w:t xml:space="preserve">      17 858 824 евро</w:t>
            </w:r>
          </w:p>
        </w:tc>
      </w:tr>
      <w:tr w:rsidR="00E40A6E" w:rsidRPr="00F42480" w14:paraId="1D4DDB28" w14:textId="77777777" w:rsidTr="00A35614">
        <w:tc>
          <w:tcPr>
            <w:tcW w:w="2424" w:type="pct"/>
            <w:shd w:val="pct10" w:color="auto" w:fill="auto"/>
          </w:tcPr>
          <w:p w14:paraId="636E490A" w14:textId="77777777" w:rsidR="00E40A6E" w:rsidRPr="00F42480" w:rsidRDefault="00E40A6E" w:rsidP="00A35614">
            <w:pPr>
              <w:pStyle w:val="Default"/>
              <w:rPr>
                <w:rFonts w:ascii="Times New Roman" w:hAnsi="Times New Roman" w:cs="Times New Roman"/>
                <w:b/>
              </w:rPr>
            </w:pPr>
            <w:r w:rsidRPr="00F42480">
              <w:rPr>
                <w:rFonts w:ascii="Times New Roman" w:hAnsi="Times New Roman" w:cs="Times New Roman"/>
                <w:b/>
              </w:rPr>
              <w:lastRenderedPageBreak/>
              <w:t xml:space="preserve">4.1 - Брой на избраните стратегии за местно развитие </w:t>
            </w:r>
          </w:p>
          <w:p w14:paraId="18F4DE2D" w14:textId="77777777" w:rsidR="00E40A6E" w:rsidRPr="00F42480" w:rsidRDefault="00E40A6E" w:rsidP="00A35614">
            <w:pPr>
              <w:spacing w:after="0"/>
              <w:rPr>
                <w:rFonts w:ascii="Times New Roman" w:hAnsi="Times New Roman" w:cs="Times New Roman"/>
                <w:b/>
                <w:sz w:val="24"/>
                <w:szCs w:val="24"/>
              </w:rPr>
            </w:pPr>
          </w:p>
        </w:tc>
        <w:tc>
          <w:tcPr>
            <w:tcW w:w="916" w:type="pct"/>
          </w:tcPr>
          <w:p w14:paraId="04FC1A26" w14:textId="77777777" w:rsidR="00E40A6E" w:rsidRPr="00F42480" w:rsidRDefault="00E40A6E" w:rsidP="00A35614">
            <w:pPr>
              <w:spacing w:after="0"/>
              <w:jc w:val="right"/>
              <w:rPr>
                <w:rFonts w:ascii="Times New Roman" w:hAnsi="Times New Roman" w:cs="Times New Roman"/>
                <w:b/>
                <w:sz w:val="24"/>
                <w:szCs w:val="24"/>
              </w:rPr>
            </w:pPr>
            <w:r w:rsidRPr="00F42480">
              <w:rPr>
                <w:rFonts w:ascii="Times New Roman" w:hAnsi="Times New Roman" w:cs="Times New Roman"/>
                <w:b/>
                <w:sz w:val="24"/>
                <w:szCs w:val="24"/>
              </w:rPr>
              <w:t xml:space="preserve">10 </w:t>
            </w:r>
          </w:p>
        </w:tc>
        <w:tc>
          <w:tcPr>
            <w:tcW w:w="1660" w:type="pct"/>
          </w:tcPr>
          <w:p w14:paraId="5683E750" w14:textId="77777777" w:rsidR="00E40A6E" w:rsidRPr="00F42480" w:rsidRDefault="00E40A6E" w:rsidP="00A35614">
            <w:pPr>
              <w:keepNext/>
              <w:keepLines/>
              <w:spacing w:after="0"/>
              <w:ind w:left="108" w:right="40"/>
              <w:jc w:val="right"/>
              <w:rPr>
                <w:rFonts w:ascii="Times New Roman" w:hAnsi="Times New Roman" w:cs="Times New Roman"/>
                <w:b/>
                <w:sz w:val="24"/>
                <w:szCs w:val="24"/>
              </w:rPr>
            </w:pPr>
            <w:r w:rsidRPr="00F42480">
              <w:rPr>
                <w:rFonts w:ascii="Times New Roman" w:hAnsi="Times New Roman" w:cs="Times New Roman"/>
                <w:b/>
                <w:sz w:val="24"/>
                <w:szCs w:val="24"/>
              </w:rPr>
              <w:t>10</w:t>
            </w:r>
          </w:p>
        </w:tc>
      </w:tr>
      <w:tr w:rsidR="00E40A6E" w:rsidRPr="00F42480" w14:paraId="595E2F54" w14:textId="77777777" w:rsidTr="00A35614">
        <w:tc>
          <w:tcPr>
            <w:tcW w:w="2424" w:type="pct"/>
            <w:shd w:val="pct10" w:color="auto" w:fill="auto"/>
          </w:tcPr>
          <w:p w14:paraId="4EDD4102" w14:textId="2630784A" w:rsidR="00E40A6E" w:rsidRPr="00F42480" w:rsidRDefault="00E40A6E" w:rsidP="00A35614">
            <w:pPr>
              <w:pStyle w:val="Default"/>
              <w:rPr>
                <w:rFonts w:ascii="Times New Roman" w:hAnsi="Times New Roman" w:cs="Times New Roman"/>
                <w:b/>
              </w:rPr>
            </w:pPr>
            <w:r>
              <w:rPr>
                <w:rFonts w:ascii="Times New Roman" w:hAnsi="Times New Roman" w:cs="Times New Roman"/>
                <w:b/>
              </w:rPr>
              <w:t>4.2</w:t>
            </w:r>
            <w:r w:rsidRPr="00F42480">
              <w:rPr>
                <w:rFonts w:ascii="Times New Roman" w:hAnsi="Times New Roman" w:cs="Times New Roman"/>
                <w:b/>
              </w:rPr>
              <w:t xml:space="preserve"> - Брой на избраните стратегии за местно развитие </w:t>
            </w:r>
          </w:p>
          <w:p w14:paraId="1913BB67" w14:textId="77777777" w:rsidR="00E40A6E" w:rsidRPr="00F42480" w:rsidRDefault="00E40A6E" w:rsidP="00A35614">
            <w:pPr>
              <w:spacing w:after="0"/>
              <w:rPr>
                <w:rFonts w:ascii="Times New Roman" w:hAnsi="Times New Roman" w:cs="Times New Roman"/>
                <w:b/>
                <w:sz w:val="24"/>
                <w:szCs w:val="24"/>
              </w:rPr>
            </w:pPr>
          </w:p>
        </w:tc>
        <w:tc>
          <w:tcPr>
            <w:tcW w:w="916" w:type="pct"/>
          </w:tcPr>
          <w:p w14:paraId="25091172" w14:textId="77777777" w:rsidR="00E40A6E" w:rsidRPr="00F42480" w:rsidRDefault="00E40A6E" w:rsidP="00A35614">
            <w:pPr>
              <w:spacing w:after="0"/>
              <w:jc w:val="right"/>
              <w:rPr>
                <w:rFonts w:ascii="Times New Roman" w:hAnsi="Times New Roman" w:cs="Times New Roman"/>
                <w:b/>
                <w:sz w:val="24"/>
                <w:szCs w:val="24"/>
              </w:rPr>
            </w:pPr>
            <w:r w:rsidRPr="00F42480">
              <w:rPr>
                <w:rFonts w:ascii="Times New Roman" w:hAnsi="Times New Roman" w:cs="Times New Roman"/>
                <w:b/>
                <w:sz w:val="24"/>
                <w:szCs w:val="24"/>
              </w:rPr>
              <w:t>8</w:t>
            </w:r>
          </w:p>
        </w:tc>
        <w:tc>
          <w:tcPr>
            <w:tcW w:w="1660" w:type="pct"/>
          </w:tcPr>
          <w:p w14:paraId="67EF10A3" w14:textId="77777777" w:rsidR="00E40A6E" w:rsidRPr="00F42480" w:rsidRDefault="00E40A6E" w:rsidP="00A35614">
            <w:pPr>
              <w:keepNext/>
              <w:keepLines/>
              <w:spacing w:after="0"/>
              <w:ind w:left="108" w:right="40"/>
              <w:jc w:val="right"/>
              <w:rPr>
                <w:rFonts w:ascii="Times New Roman" w:hAnsi="Times New Roman" w:cs="Times New Roman"/>
                <w:b/>
                <w:sz w:val="24"/>
                <w:szCs w:val="24"/>
              </w:rPr>
            </w:pPr>
            <w:r w:rsidRPr="00F42480">
              <w:rPr>
                <w:rFonts w:ascii="Times New Roman" w:hAnsi="Times New Roman" w:cs="Times New Roman"/>
                <w:b/>
                <w:sz w:val="24"/>
                <w:szCs w:val="24"/>
              </w:rPr>
              <w:t>8</w:t>
            </w:r>
          </w:p>
        </w:tc>
      </w:tr>
    </w:tbl>
    <w:p w14:paraId="0D4A9BDC" w14:textId="77777777" w:rsidR="00E40A6E" w:rsidRPr="00F42480" w:rsidRDefault="00E40A6E" w:rsidP="00E40A6E">
      <w:pPr>
        <w:keepNext/>
        <w:keepLines/>
        <w:spacing w:after="120"/>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02"/>
        <w:gridCol w:w="1702"/>
        <w:gridCol w:w="3084"/>
      </w:tblGrid>
      <w:tr w:rsidR="00E40A6E" w:rsidRPr="00F42480" w14:paraId="0DBC56B0" w14:textId="77777777" w:rsidTr="00A35614">
        <w:tc>
          <w:tcPr>
            <w:tcW w:w="2424" w:type="pct"/>
            <w:shd w:val="pct10" w:color="auto" w:fill="auto"/>
          </w:tcPr>
          <w:p w14:paraId="024A0172" w14:textId="77777777" w:rsidR="00E40A6E" w:rsidRPr="00F42480" w:rsidRDefault="00E40A6E" w:rsidP="00A35614">
            <w:pPr>
              <w:snapToGrid w:val="0"/>
              <w:spacing w:after="0"/>
              <w:jc w:val="center"/>
              <w:rPr>
                <w:rFonts w:ascii="Times New Roman" w:hAnsi="Times New Roman" w:cs="Times New Roman"/>
                <w:b/>
                <w:sz w:val="24"/>
                <w:szCs w:val="24"/>
              </w:rPr>
            </w:pPr>
            <w:r w:rsidRPr="00F42480">
              <w:rPr>
                <w:rFonts w:ascii="Times New Roman" w:hAnsi="Times New Roman" w:cs="Times New Roman"/>
                <w:b/>
                <w:sz w:val="24"/>
                <w:szCs w:val="24"/>
              </w:rPr>
              <w:t>Приоритет на Съюза</w:t>
            </w:r>
          </w:p>
        </w:tc>
        <w:tc>
          <w:tcPr>
            <w:tcW w:w="2576" w:type="pct"/>
            <w:gridSpan w:val="2"/>
          </w:tcPr>
          <w:p w14:paraId="6C262091" w14:textId="77777777" w:rsidR="00E40A6E" w:rsidRPr="00F42480" w:rsidRDefault="00E40A6E" w:rsidP="00A35614">
            <w:pPr>
              <w:keepNext/>
              <w:keepLines/>
              <w:spacing w:after="0"/>
              <w:rPr>
                <w:rFonts w:ascii="Times New Roman" w:hAnsi="Times New Roman" w:cs="Times New Roman"/>
                <w:b/>
                <w:sz w:val="24"/>
                <w:szCs w:val="24"/>
              </w:rPr>
            </w:pPr>
            <w:r w:rsidRPr="00F42480">
              <w:rPr>
                <w:rFonts w:ascii="Times New Roman" w:hAnsi="Times New Roman" w:cs="Times New Roman"/>
                <w:b/>
                <w:sz w:val="24"/>
                <w:szCs w:val="24"/>
              </w:rPr>
              <w:t>5. Насърчаване на предлагането на пазара и преработването</w:t>
            </w:r>
          </w:p>
        </w:tc>
      </w:tr>
      <w:tr w:rsidR="00E40A6E" w:rsidRPr="00F42480" w14:paraId="760BEBD8" w14:textId="77777777" w:rsidTr="00A35614">
        <w:tc>
          <w:tcPr>
            <w:tcW w:w="2424" w:type="pct"/>
            <w:shd w:val="pct10" w:color="auto" w:fill="auto"/>
          </w:tcPr>
          <w:p w14:paraId="0D5659A9" w14:textId="77777777" w:rsidR="00E40A6E" w:rsidRPr="00F42480" w:rsidRDefault="00E40A6E" w:rsidP="00A35614">
            <w:pPr>
              <w:spacing w:after="0"/>
              <w:jc w:val="center"/>
              <w:rPr>
                <w:rFonts w:ascii="Times New Roman" w:hAnsi="Times New Roman" w:cs="Times New Roman"/>
                <w:b/>
                <w:sz w:val="24"/>
                <w:szCs w:val="24"/>
              </w:rPr>
            </w:pPr>
            <w:r w:rsidRPr="00F42480">
              <w:rPr>
                <w:rFonts w:ascii="Times New Roman" w:hAnsi="Times New Roman" w:cs="Times New Roman"/>
                <w:b/>
                <w:sz w:val="24"/>
                <w:szCs w:val="24"/>
              </w:rPr>
              <w:t xml:space="preserve">Показател и мерна единица, когато е съобразно </w:t>
            </w:r>
          </w:p>
        </w:tc>
        <w:tc>
          <w:tcPr>
            <w:tcW w:w="916" w:type="pct"/>
            <w:shd w:val="pct10" w:color="auto" w:fill="auto"/>
          </w:tcPr>
          <w:p w14:paraId="44BA52F4"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r w:rsidRPr="00F42480">
              <w:rPr>
                <w:rFonts w:ascii="Times New Roman" w:hAnsi="Times New Roman" w:cs="Times New Roman"/>
                <w:b/>
                <w:sz w:val="24"/>
                <w:szCs w:val="24"/>
              </w:rPr>
              <w:t>Етапна цел за 2018 г.</w:t>
            </w:r>
          </w:p>
          <w:p w14:paraId="3B0D3B13"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p>
        </w:tc>
        <w:tc>
          <w:tcPr>
            <w:tcW w:w="1660" w:type="pct"/>
            <w:shd w:val="pct10" w:color="auto" w:fill="auto"/>
          </w:tcPr>
          <w:p w14:paraId="05A018FB"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r w:rsidRPr="00F42480">
              <w:rPr>
                <w:rFonts w:ascii="Times New Roman" w:hAnsi="Times New Roman" w:cs="Times New Roman"/>
                <w:b/>
                <w:sz w:val="24"/>
                <w:szCs w:val="24"/>
              </w:rPr>
              <w:t xml:space="preserve">Цели за 2023 г. </w:t>
            </w:r>
          </w:p>
          <w:p w14:paraId="69EAF6D3"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r w:rsidRPr="00F42480">
              <w:rPr>
                <w:rFonts w:ascii="Times New Roman" w:hAnsi="Times New Roman" w:cs="Times New Roman"/>
                <w:b/>
                <w:sz w:val="24"/>
                <w:szCs w:val="24"/>
              </w:rPr>
              <w:t xml:space="preserve"> </w:t>
            </w:r>
          </w:p>
        </w:tc>
      </w:tr>
      <w:tr w:rsidR="00E40A6E" w:rsidRPr="00F42480" w14:paraId="71614B9E" w14:textId="77777777" w:rsidTr="00A35614">
        <w:tc>
          <w:tcPr>
            <w:tcW w:w="2424" w:type="pct"/>
            <w:shd w:val="pct10" w:color="auto" w:fill="auto"/>
          </w:tcPr>
          <w:p w14:paraId="4263AC96" w14:textId="77777777" w:rsidR="00E40A6E" w:rsidRPr="00F42480" w:rsidRDefault="00E40A6E" w:rsidP="00A35614">
            <w:pPr>
              <w:spacing w:after="0"/>
              <w:rPr>
                <w:rFonts w:ascii="Times New Roman" w:hAnsi="Times New Roman" w:cs="Times New Roman"/>
                <w:b/>
                <w:sz w:val="24"/>
                <w:szCs w:val="24"/>
              </w:rPr>
            </w:pPr>
            <w:r w:rsidRPr="00F42480">
              <w:rPr>
                <w:rFonts w:ascii="Times New Roman" w:hAnsi="Times New Roman" w:cs="Times New Roman"/>
                <w:b/>
                <w:sz w:val="24"/>
                <w:szCs w:val="24"/>
              </w:rPr>
              <w:t>Финансов показател</w:t>
            </w:r>
          </w:p>
        </w:tc>
        <w:tc>
          <w:tcPr>
            <w:tcW w:w="916" w:type="pct"/>
          </w:tcPr>
          <w:p w14:paraId="04E0DEB9" w14:textId="77777777" w:rsidR="00E40A6E" w:rsidRPr="00F42480" w:rsidRDefault="00E40A6E" w:rsidP="00A35614">
            <w:pPr>
              <w:spacing w:after="0"/>
              <w:jc w:val="right"/>
              <w:rPr>
                <w:rFonts w:ascii="Times New Roman" w:hAnsi="Times New Roman" w:cs="Times New Roman"/>
                <w:b/>
                <w:sz w:val="24"/>
                <w:szCs w:val="24"/>
              </w:rPr>
            </w:pPr>
            <w:r w:rsidRPr="00A22C97">
              <w:rPr>
                <w:rFonts w:ascii="Times New Roman" w:hAnsi="Times New Roman" w:cs="Times New Roman"/>
                <w:b/>
                <w:color w:val="FF0000"/>
                <w:sz w:val="24"/>
                <w:szCs w:val="24"/>
              </w:rPr>
              <w:t>3 500 000 евро</w:t>
            </w:r>
          </w:p>
        </w:tc>
        <w:tc>
          <w:tcPr>
            <w:tcW w:w="1660" w:type="pct"/>
          </w:tcPr>
          <w:p w14:paraId="41CD05B8" w14:textId="77777777" w:rsidR="00E40A6E" w:rsidRPr="00F42480" w:rsidRDefault="00E40A6E" w:rsidP="00A35614">
            <w:pPr>
              <w:snapToGrid w:val="0"/>
              <w:spacing w:after="0"/>
              <w:jc w:val="right"/>
              <w:rPr>
                <w:rFonts w:ascii="Times New Roman" w:hAnsi="Times New Roman" w:cs="Times New Roman"/>
                <w:b/>
                <w:sz w:val="24"/>
                <w:szCs w:val="24"/>
              </w:rPr>
            </w:pPr>
            <w:r w:rsidRPr="00F42480">
              <w:rPr>
                <w:rFonts w:ascii="Times New Roman" w:hAnsi="Times New Roman" w:cs="Times New Roman"/>
                <w:b/>
                <w:sz w:val="24"/>
                <w:szCs w:val="24"/>
                <w:lang w:val="sq-AL"/>
              </w:rPr>
              <w:t xml:space="preserve">12 017 000 </w:t>
            </w:r>
            <w:r w:rsidRPr="00F42480">
              <w:rPr>
                <w:rFonts w:ascii="Times New Roman" w:hAnsi="Times New Roman" w:cs="Times New Roman"/>
                <w:b/>
                <w:sz w:val="24"/>
                <w:szCs w:val="24"/>
              </w:rPr>
              <w:t>евро</w:t>
            </w:r>
          </w:p>
        </w:tc>
      </w:tr>
      <w:tr w:rsidR="00E40A6E" w:rsidRPr="00F42480" w14:paraId="7F1D4B58" w14:textId="77777777" w:rsidTr="00A35614">
        <w:tc>
          <w:tcPr>
            <w:tcW w:w="2424" w:type="pct"/>
            <w:shd w:val="pct10" w:color="auto" w:fill="auto"/>
          </w:tcPr>
          <w:tbl>
            <w:tblPr>
              <w:tblW w:w="7527" w:type="dxa"/>
              <w:tblBorders>
                <w:top w:val="nil"/>
                <w:left w:val="nil"/>
                <w:bottom w:val="nil"/>
                <w:right w:val="nil"/>
              </w:tblBorders>
              <w:tblLayout w:type="fixed"/>
              <w:tblLook w:val="0000" w:firstRow="0" w:lastRow="0" w:firstColumn="0" w:lastColumn="0" w:noHBand="0" w:noVBand="0"/>
            </w:tblPr>
            <w:tblGrid>
              <w:gridCol w:w="5018"/>
              <w:gridCol w:w="2509"/>
            </w:tblGrid>
            <w:tr w:rsidR="00E40A6E" w:rsidRPr="00F42480" w14:paraId="75F36DBB" w14:textId="77777777" w:rsidTr="00A35614">
              <w:trPr>
                <w:trHeight w:val="439"/>
              </w:trPr>
              <w:tc>
                <w:tcPr>
                  <w:tcW w:w="5018" w:type="dxa"/>
                </w:tcPr>
                <w:p w14:paraId="3C9EDC31" w14:textId="77777777" w:rsidR="00E40A6E" w:rsidRPr="00901EB8" w:rsidRDefault="00E40A6E" w:rsidP="00A35614">
                  <w:pPr>
                    <w:autoSpaceDE w:val="0"/>
                    <w:autoSpaceDN w:val="0"/>
                    <w:adjustRightInd w:val="0"/>
                    <w:spacing w:after="0" w:line="240" w:lineRule="auto"/>
                    <w:rPr>
                      <w:rFonts w:ascii="Times New Roman" w:hAnsi="Times New Roman" w:cs="Times New Roman"/>
                      <w:b/>
                      <w:color w:val="000000"/>
                      <w:sz w:val="24"/>
                      <w:szCs w:val="24"/>
                    </w:rPr>
                  </w:pPr>
                  <w:r w:rsidRPr="00901EB8">
                    <w:rPr>
                      <w:rFonts w:ascii="Times New Roman" w:hAnsi="Times New Roman" w:cs="Times New Roman"/>
                      <w:b/>
                      <w:color w:val="000000"/>
                      <w:sz w:val="24"/>
                      <w:szCs w:val="24"/>
                    </w:rPr>
                    <w:t xml:space="preserve">5.1 - Брой на </w:t>
                  </w:r>
                  <w:r w:rsidRPr="00F42480">
                    <w:rPr>
                      <w:rFonts w:ascii="Times New Roman" w:hAnsi="Times New Roman" w:cs="Times New Roman"/>
                      <w:b/>
                      <w:color w:val="000000"/>
                      <w:sz w:val="24"/>
                      <w:szCs w:val="24"/>
                    </w:rPr>
                    <w:t>о</w:t>
                  </w:r>
                  <w:r w:rsidRPr="00901EB8">
                    <w:rPr>
                      <w:rFonts w:ascii="Times New Roman" w:hAnsi="Times New Roman" w:cs="Times New Roman"/>
                      <w:b/>
                      <w:color w:val="000000"/>
                      <w:sz w:val="24"/>
                      <w:szCs w:val="24"/>
                    </w:rPr>
                    <w:t xml:space="preserve">рганизациите на производители или асоциациите на организации на производители, </w:t>
                  </w:r>
                </w:p>
              </w:tc>
              <w:tc>
                <w:tcPr>
                  <w:tcW w:w="2509" w:type="dxa"/>
                </w:tcPr>
                <w:p w14:paraId="35721DF1" w14:textId="77777777" w:rsidR="00E40A6E" w:rsidRPr="00901EB8" w:rsidRDefault="00E40A6E" w:rsidP="00A35614">
                  <w:pPr>
                    <w:autoSpaceDE w:val="0"/>
                    <w:autoSpaceDN w:val="0"/>
                    <w:adjustRightInd w:val="0"/>
                    <w:spacing w:after="0" w:line="240" w:lineRule="auto"/>
                    <w:rPr>
                      <w:rFonts w:ascii="Times New Roman" w:hAnsi="Times New Roman" w:cs="Times New Roman"/>
                      <w:b/>
                      <w:color w:val="000000"/>
                      <w:sz w:val="24"/>
                      <w:szCs w:val="24"/>
                    </w:rPr>
                  </w:pPr>
                  <w:r w:rsidRPr="00901EB8">
                    <w:rPr>
                      <w:rFonts w:ascii="Times New Roman" w:hAnsi="Times New Roman" w:cs="Times New Roman"/>
                      <w:b/>
                      <w:color w:val="000000"/>
                      <w:sz w:val="24"/>
                      <w:szCs w:val="24"/>
                    </w:rPr>
                    <w:t xml:space="preserve">2,00 </w:t>
                  </w:r>
                </w:p>
              </w:tc>
            </w:tr>
          </w:tbl>
          <w:p w14:paraId="16C58E34" w14:textId="77777777" w:rsidR="00E40A6E" w:rsidRPr="00F42480" w:rsidRDefault="00E40A6E" w:rsidP="00A35614">
            <w:pPr>
              <w:spacing w:after="0"/>
              <w:rPr>
                <w:rFonts w:ascii="Times New Roman" w:hAnsi="Times New Roman" w:cs="Times New Roman"/>
                <w:b/>
                <w:sz w:val="24"/>
                <w:szCs w:val="24"/>
              </w:rPr>
            </w:pPr>
          </w:p>
        </w:tc>
        <w:tc>
          <w:tcPr>
            <w:tcW w:w="916" w:type="pct"/>
          </w:tcPr>
          <w:p w14:paraId="33ED30B1" w14:textId="77777777" w:rsidR="00E40A6E" w:rsidRPr="00F42480" w:rsidRDefault="00E40A6E" w:rsidP="00A35614">
            <w:pPr>
              <w:spacing w:after="0"/>
              <w:jc w:val="right"/>
              <w:rPr>
                <w:rFonts w:ascii="Times New Roman" w:hAnsi="Times New Roman" w:cs="Times New Roman"/>
                <w:b/>
                <w:color w:val="FF0000"/>
                <w:sz w:val="24"/>
                <w:szCs w:val="24"/>
              </w:rPr>
            </w:pPr>
            <w:r w:rsidRPr="00F42480">
              <w:rPr>
                <w:rFonts w:ascii="Times New Roman" w:hAnsi="Times New Roman" w:cs="Times New Roman"/>
                <w:b/>
                <w:color w:val="FF0000"/>
                <w:sz w:val="24"/>
                <w:szCs w:val="24"/>
              </w:rPr>
              <w:t>1</w:t>
            </w:r>
          </w:p>
        </w:tc>
        <w:tc>
          <w:tcPr>
            <w:tcW w:w="1660" w:type="pct"/>
          </w:tcPr>
          <w:p w14:paraId="2D71BAF0" w14:textId="77777777" w:rsidR="00E40A6E" w:rsidRPr="00F42480" w:rsidRDefault="00E40A6E" w:rsidP="00A35614">
            <w:pPr>
              <w:keepNext/>
              <w:keepLines/>
              <w:spacing w:after="0"/>
              <w:ind w:left="108" w:right="40"/>
              <w:jc w:val="right"/>
              <w:rPr>
                <w:rFonts w:ascii="Times New Roman" w:hAnsi="Times New Roman" w:cs="Times New Roman"/>
                <w:b/>
                <w:sz w:val="24"/>
                <w:szCs w:val="24"/>
              </w:rPr>
            </w:pPr>
            <w:r w:rsidRPr="00F42480">
              <w:rPr>
                <w:rFonts w:ascii="Times New Roman" w:hAnsi="Times New Roman" w:cs="Times New Roman"/>
                <w:b/>
                <w:sz w:val="24"/>
                <w:szCs w:val="24"/>
              </w:rPr>
              <w:t>2</w:t>
            </w:r>
          </w:p>
        </w:tc>
      </w:tr>
      <w:tr w:rsidR="00E40A6E" w:rsidRPr="00F42480" w14:paraId="748CF397" w14:textId="77777777" w:rsidTr="00A35614">
        <w:tc>
          <w:tcPr>
            <w:tcW w:w="2424" w:type="pct"/>
            <w:shd w:val="pct10" w:color="auto" w:fill="auto"/>
          </w:tcPr>
          <w:p w14:paraId="21E07E15" w14:textId="77777777" w:rsidR="00E40A6E" w:rsidRPr="00F42480" w:rsidRDefault="00E40A6E" w:rsidP="00A35614">
            <w:pPr>
              <w:pStyle w:val="Default"/>
              <w:rPr>
                <w:rFonts w:ascii="Times New Roman" w:hAnsi="Times New Roman" w:cs="Times New Roman"/>
                <w:b/>
              </w:rPr>
            </w:pPr>
            <w:r w:rsidRPr="00F42480">
              <w:rPr>
                <w:rFonts w:ascii="Times New Roman" w:hAnsi="Times New Roman" w:cs="Times New Roman"/>
                <w:b/>
              </w:rPr>
              <w:t xml:space="preserve">5.2 - Брой на проектите за мерки за предлагане на пазара и помощи за складиране </w:t>
            </w:r>
          </w:p>
        </w:tc>
        <w:tc>
          <w:tcPr>
            <w:tcW w:w="916" w:type="pct"/>
          </w:tcPr>
          <w:p w14:paraId="3C51C312" w14:textId="77777777" w:rsidR="00E40A6E" w:rsidRPr="00F42480" w:rsidRDefault="00E40A6E" w:rsidP="00A35614">
            <w:pPr>
              <w:spacing w:after="0"/>
              <w:jc w:val="right"/>
              <w:rPr>
                <w:rFonts w:ascii="Times New Roman" w:hAnsi="Times New Roman" w:cs="Times New Roman"/>
                <w:b/>
                <w:color w:val="FF0000"/>
                <w:sz w:val="24"/>
                <w:szCs w:val="24"/>
              </w:rPr>
            </w:pPr>
            <w:r w:rsidRPr="00F42480">
              <w:rPr>
                <w:rFonts w:ascii="Times New Roman" w:hAnsi="Times New Roman" w:cs="Times New Roman"/>
                <w:b/>
                <w:color w:val="FF0000"/>
                <w:sz w:val="24"/>
                <w:szCs w:val="24"/>
              </w:rPr>
              <w:t>10</w:t>
            </w:r>
          </w:p>
        </w:tc>
        <w:tc>
          <w:tcPr>
            <w:tcW w:w="1660" w:type="pct"/>
          </w:tcPr>
          <w:p w14:paraId="27B56268" w14:textId="77777777" w:rsidR="00E40A6E" w:rsidRPr="00F42480" w:rsidRDefault="00E40A6E" w:rsidP="00A35614">
            <w:pPr>
              <w:spacing w:after="0"/>
              <w:jc w:val="right"/>
              <w:rPr>
                <w:rFonts w:ascii="Times New Roman" w:hAnsi="Times New Roman" w:cs="Times New Roman"/>
                <w:b/>
                <w:sz w:val="24"/>
                <w:szCs w:val="24"/>
              </w:rPr>
            </w:pPr>
            <w:r w:rsidRPr="00F42480">
              <w:rPr>
                <w:rFonts w:ascii="Times New Roman" w:hAnsi="Times New Roman" w:cs="Times New Roman"/>
                <w:b/>
                <w:sz w:val="24"/>
                <w:szCs w:val="24"/>
              </w:rPr>
              <w:t>30</w:t>
            </w:r>
          </w:p>
        </w:tc>
      </w:tr>
      <w:tr w:rsidR="00E40A6E" w:rsidRPr="00F42480" w14:paraId="5500CC05" w14:textId="77777777" w:rsidTr="00A35614">
        <w:tc>
          <w:tcPr>
            <w:tcW w:w="2424" w:type="pct"/>
            <w:shd w:val="pct10" w:color="auto" w:fill="auto"/>
          </w:tcPr>
          <w:p w14:paraId="5E69D074" w14:textId="77777777" w:rsidR="00E40A6E" w:rsidRPr="00F42480" w:rsidRDefault="00E40A6E" w:rsidP="00A35614">
            <w:pPr>
              <w:pStyle w:val="Default"/>
              <w:rPr>
                <w:rFonts w:ascii="Times New Roman" w:hAnsi="Times New Roman" w:cs="Times New Roman"/>
                <w:b/>
              </w:rPr>
            </w:pPr>
            <w:r w:rsidRPr="00F42480">
              <w:rPr>
                <w:rFonts w:ascii="Times New Roman" w:hAnsi="Times New Roman" w:cs="Times New Roman"/>
                <w:b/>
              </w:rPr>
              <w:t xml:space="preserve">5.3 - Брой на проектите за преработка </w:t>
            </w:r>
          </w:p>
        </w:tc>
        <w:tc>
          <w:tcPr>
            <w:tcW w:w="916" w:type="pct"/>
          </w:tcPr>
          <w:p w14:paraId="1C6EE1DC" w14:textId="77777777" w:rsidR="00E40A6E" w:rsidRPr="00F42480" w:rsidRDefault="00E40A6E" w:rsidP="00A35614">
            <w:pPr>
              <w:spacing w:after="0"/>
              <w:jc w:val="right"/>
              <w:rPr>
                <w:rFonts w:ascii="Times New Roman" w:hAnsi="Times New Roman" w:cs="Times New Roman"/>
                <w:b/>
                <w:sz w:val="24"/>
                <w:szCs w:val="24"/>
              </w:rPr>
            </w:pPr>
            <w:r w:rsidRPr="00F42480">
              <w:rPr>
                <w:rFonts w:ascii="Times New Roman" w:hAnsi="Times New Roman" w:cs="Times New Roman"/>
                <w:b/>
                <w:sz w:val="24"/>
                <w:szCs w:val="24"/>
              </w:rPr>
              <w:t>5</w:t>
            </w:r>
          </w:p>
        </w:tc>
        <w:tc>
          <w:tcPr>
            <w:tcW w:w="1660" w:type="pct"/>
          </w:tcPr>
          <w:p w14:paraId="64DB8817" w14:textId="77777777" w:rsidR="00E40A6E" w:rsidRPr="00F42480" w:rsidRDefault="00E40A6E" w:rsidP="00A35614">
            <w:pPr>
              <w:spacing w:after="0"/>
              <w:jc w:val="right"/>
              <w:rPr>
                <w:rFonts w:ascii="Times New Roman" w:hAnsi="Times New Roman" w:cs="Times New Roman"/>
                <w:b/>
                <w:sz w:val="24"/>
                <w:szCs w:val="24"/>
              </w:rPr>
            </w:pPr>
            <w:r w:rsidRPr="00F42480">
              <w:rPr>
                <w:rFonts w:ascii="Times New Roman" w:hAnsi="Times New Roman" w:cs="Times New Roman"/>
                <w:b/>
                <w:sz w:val="24"/>
                <w:szCs w:val="24"/>
              </w:rPr>
              <w:t>15</w:t>
            </w:r>
          </w:p>
        </w:tc>
      </w:tr>
    </w:tbl>
    <w:p w14:paraId="1A9FCAB6" w14:textId="77777777" w:rsidR="00E40A6E" w:rsidRPr="00F42480" w:rsidRDefault="00E40A6E" w:rsidP="00E40A6E">
      <w:pPr>
        <w:keepNext/>
        <w:keepLines/>
        <w:spacing w:after="120"/>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02"/>
        <w:gridCol w:w="1702"/>
        <w:gridCol w:w="3084"/>
      </w:tblGrid>
      <w:tr w:rsidR="00E40A6E" w:rsidRPr="00F42480" w14:paraId="59731102" w14:textId="77777777" w:rsidTr="00A35614">
        <w:tc>
          <w:tcPr>
            <w:tcW w:w="2424" w:type="pct"/>
            <w:shd w:val="pct10" w:color="auto" w:fill="auto"/>
          </w:tcPr>
          <w:p w14:paraId="7F307B5C" w14:textId="77777777" w:rsidR="00E40A6E" w:rsidRPr="00F42480" w:rsidRDefault="00E40A6E" w:rsidP="00A35614">
            <w:pPr>
              <w:snapToGrid w:val="0"/>
              <w:spacing w:after="0"/>
              <w:jc w:val="center"/>
              <w:rPr>
                <w:rFonts w:ascii="Times New Roman" w:hAnsi="Times New Roman" w:cs="Times New Roman"/>
                <w:b/>
                <w:sz w:val="24"/>
                <w:szCs w:val="24"/>
              </w:rPr>
            </w:pPr>
            <w:r w:rsidRPr="00F42480">
              <w:rPr>
                <w:rFonts w:ascii="Times New Roman" w:hAnsi="Times New Roman" w:cs="Times New Roman"/>
                <w:b/>
                <w:sz w:val="24"/>
                <w:szCs w:val="24"/>
              </w:rPr>
              <w:t>Приоритет на Съюза</w:t>
            </w:r>
          </w:p>
        </w:tc>
        <w:tc>
          <w:tcPr>
            <w:tcW w:w="2576" w:type="pct"/>
            <w:gridSpan w:val="2"/>
          </w:tcPr>
          <w:p w14:paraId="01F97110" w14:textId="77777777" w:rsidR="00E40A6E" w:rsidRPr="00F42480" w:rsidRDefault="00E40A6E" w:rsidP="00A35614">
            <w:pPr>
              <w:keepNext/>
              <w:keepLines/>
              <w:spacing w:after="0"/>
              <w:rPr>
                <w:rFonts w:ascii="Times New Roman" w:hAnsi="Times New Roman" w:cs="Times New Roman"/>
                <w:b/>
                <w:sz w:val="24"/>
                <w:szCs w:val="24"/>
              </w:rPr>
            </w:pPr>
            <w:r w:rsidRPr="00F42480">
              <w:rPr>
                <w:rFonts w:ascii="Times New Roman" w:hAnsi="Times New Roman" w:cs="Times New Roman"/>
                <w:b/>
                <w:sz w:val="24"/>
                <w:szCs w:val="24"/>
              </w:rPr>
              <w:t>6. Насърчаване на изпълнението на ИМП</w:t>
            </w:r>
          </w:p>
        </w:tc>
      </w:tr>
      <w:tr w:rsidR="00E40A6E" w:rsidRPr="00F42480" w14:paraId="21FE6160" w14:textId="77777777" w:rsidTr="00A35614">
        <w:tc>
          <w:tcPr>
            <w:tcW w:w="2424" w:type="pct"/>
            <w:shd w:val="pct10" w:color="auto" w:fill="auto"/>
          </w:tcPr>
          <w:p w14:paraId="2E605B49" w14:textId="77777777" w:rsidR="00E40A6E" w:rsidRPr="00F42480" w:rsidRDefault="00E40A6E" w:rsidP="00A35614">
            <w:pPr>
              <w:spacing w:after="0"/>
              <w:jc w:val="center"/>
              <w:rPr>
                <w:rFonts w:ascii="Times New Roman" w:hAnsi="Times New Roman" w:cs="Times New Roman"/>
                <w:b/>
                <w:sz w:val="24"/>
                <w:szCs w:val="24"/>
              </w:rPr>
            </w:pPr>
            <w:r w:rsidRPr="00F42480">
              <w:rPr>
                <w:rFonts w:ascii="Times New Roman" w:hAnsi="Times New Roman" w:cs="Times New Roman"/>
                <w:b/>
                <w:sz w:val="24"/>
                <w:szCs w:val="24"/>
              </w:rPr>
              <w:t xml:space="preserve">Показател и мерна единица, когато е съобразно </w:t>
            </w:r>
          </w:p>
          <w:p w14:paraId="419ADD08" w14:textId="77777777" w:rsidR="00E40A6E" w:rsidRPr="00F42480" w:rsidRDefault="00E40A6E" w:rsidP="00A35614">
            <w:pPr>
              <w:spacing w:after="0"/>
              <w:jc w:val="center"/>
              <w:rPr>
                <w:rFonts w:ascii="Times New Roman" w:hAnsi="Times New Roman" w:cs="Times New Roman"/>
                <w:b/>
                <w:sz w:val="24"/>
                <w:szCs w:val="24"/>
              </w:rPr>
            </w:pPr>
            <w:r w:rsidRPr="00F42480">
              <w:rPr>
                <w:rFonts w:ascii="Times New Roman" w:hAnsi="Times New Roman" w:cs="Times New Roman"/>
                <w:b/>
                <w:sz w:val="24"/>
                <w:szCs w:val="24"/>
              </w:rPr>
              <w:t xml:space="preserve"> </w:t>
            </w:r>
          </w:p>
        </w:tc>
        <w:tc>
          <w:tcPr>
            <w:tcW w:w="916" w:type="pct"/>
            <w:shd w:val="pct10" w:color="auto" w:fill="auto"/>
          </w:tcPr>
          <w:p w14:paraId="6D1E49C1"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r w:rsidRPr="00F42480">
              <w:rPr>
                <w:rFonts w:ascii="Times New Roman" w:hAnsi="Times New Roman" w:cs="Times New Roman"/>
                <w:b/>
                <w:sz w:val="24"/>
                <w:szCs w:val="24"/>
              </w:rPr>
              <w:t>Етапна цел за 2018 г.</w:t>
            </w:r>
          </w:p>
          <w:p w14:paraId="3E0066C0"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p>
        </w:tc>
        <w:tc>
          <w:tcPr>
            <w:tcW w:w="1660" w:type="pct"/>
            <w:shd w:val="pct10" w:color="auto" w:fill="auto"/>
          </w:tcPr>
          <w:p w14:paraId="3072B47C"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r w:rsidRPr="00F42480">
              <w:rPr>
                <w:rFonts w:ascii="Times New Roman" w:hAnsi="Times New Roman" w:cs="Times New Roman"/>
                <w:b/>
                <w:sz w:val="24"/>
                <w:szCs w:val="24"/>
              </w:rPr>
              <w:t xml:space="preserve">Цели за 2023 г. </w:t>
            </w:r>
          </w:p>
          <w:p w14:paraId="3B82BFA1" w14:textId="77777777" w:rsidR="00E40A6E" w:rsidRPr="00F42480" w:rsidRDefault="00E40A6E" w:rsidP="00A35614">
            <w:pPr>
              <w:keepNext/>
              <w:keepLines/>
              <w:spacing w:after="0"/>
              <w:ind w:left="59" w:right="105"/>
              <w:jc w:val="center"/>
              <w:rPr>
                <w:rFonts w:ascii="Times New Roman" w:hAnsi="Times New Roman" w:cs="Times New Roman"/>
                <w:b/>
                <w:sz w:val="24"/>
                <w:szCs w:val="24"/>
              </w:rPr>
            </w:pPr>
          </w:p>
        </w:tc>
      </w:tr>
      <w:tr w:rsidR="00E40A6E" w:rsidRPr="00F42480" w14:paraId="52F8BA33" w14:textId="77777777" w:rsidTr="00A35614">
        <w:tc>
          <w:tcPr>
            <w:tcW w:w="2424" w:type="pct"/>
            <w:shd w:val="pct10" w:color="auto" w:fill="auto"/>
          </w:tcPr>
          <w:p w14:paraId="36EA6A34" w14:textId="77777777" w:rsidR="00E40A6E" w:rsidRPr="00F42480" w:rsidRDefault="00E40A6E" w:rsidP="00A35614">
            <w:pPr>
              <w:spacing w:after="0"/>
              <w:rPr>
                <w:rFonts w:ascii="Times New Roman" w:hAnsi="Times New Roman" w:cs="Times New Roman"/>
                <w:b/>
                <w:sz w:val="24"/>
                <w:szCs w:val="24"/>
              </w:rPr>
            </w:pPr>
            <w:r w:rsidRPr="00F42480">
              <w:rPr>
                <w:rFonts w:ascii="Times New Roman" w:hAnsi="Times New Roman" w:cs="Times New Roman"/>
                <w:b/>
                <w:sz w:val="24"/>
                <w:szCs w:val="24"/>
              </w:rPr>
              <w:t xml:space="preserve">Финансов показател </w:t>
            </w:r>
          </w:p>
        </w:tc>
        <w:tc>
          <w:tcPr>
            <w:tcW w:w="916" w:type="pct"/>
          </w:tcPr>
          <w:p w14:paraId="59F92DEC" w14:textId="77777777" w:rsidR="00E40A6E" w:rsidRPr="00F42480" w:rsidRDefault="00E40A6E" w:rsidP="00A35614">
            <w:pPr>
              <w:spacing w:after="0"/>
              <w:jc w:val="right"/>
              <w:rPr>
                <w:rFonts w:ascii="Times New Roman" w:hAnsi="Times New Roman" w:cs="Times New Roman"/>
                <w:b/>
                <w:color w:val="FF0000"/>
                <w:sz w:val="24"/>
                <w:szCs w:val="24"/>
              </w:rPr>
            </w:pPr>
            <w:r w:rsidRPr="00F42480">
              <w:rPr>
                <w:rFonts w:ascii="Times New Roman" w:hAnsi="Times New Roman" w:cs="Times New Roman"/>
                <w:b/>
                <w:color w:val="FF0000"/>
                <w:sz w:val="24"/>
                <w:szCs w:val="24"/>
              </w:rPr>
              <w:t>500 000 евро</w:t>
            </w:r>
          </w:p>
        </w:tc>
        <w:tc>
          <w:tcPr>
            <w:tcW w:w="1660" w:type="pct"/>
          </w:tcPr>
          <w:p w14:paraId="47639931" w14:textId="77777777" w:rsidR="00E40A6E" w:rsidRPr="00F42480" w:rsidRDefault="00E40A6E" w:rsidP="00A35614">
            <w:pPr>
              <w:snapToGrid w:val="0"/>
              <w:spacing w:after="0"/>
              <w:jc w:val="right"/>
              <w:rPr>
                <w:rFonts w:ascii="Times New Roman" w:hAnsi="Times New Roman" w:cs="Times New Roman"/>
                <w:b/>
                <w:sz w:val="24"/>
                <w:szCs w:val="24"/>
              </w:rPr>
            </w:pPr>
            <w:r w:rsidRPr="00F42480">
              <w:rPr>
                <w:rFonts w:ascii="Times New Roman" w:hAnsi="Times New Roman" w:cs="Times New Roman"/>
                <w:b/>
                <w:sz w:val="24"/>
                <w:szCs w:val="24"/>
                <w:lang w:val="sq-AL"/>
              </w:rPr>
              <w:t xml:space="preserve">1 666 667 </w:t>
            </w:r>
            <w:r w:rsidRPr="00F42480">
              <w:rPr>
                <w:rFonts w:ascii="Times New Roman" w:hAnsi="Times New Roman" w:cs="Times New Roman"/>
                <w:b/>
                <w:sz w:val="24"/>
                <w:szCs w:val="24"/>
              </w:rPr>
              <w:t>евро</w:t>
            </w:r>
          </w:p>
        </w:tc>
      </w:tr>
      <w:tr w:rsidR="00E40A6E" w:rsidRPr="00F42480" w14:paraId="2F8ECF56" w14:textId="77777777" w:rsidTr="00A35614">
        <w:trPr>
          <w:trHeight w:val="70"/>
        </w:trPr>
        <w:tc>
          <w:tcPr>
            <w:tcW w:w="2424" w:type="pct"/>
            <w:shd w:val="pct10" w:color="auto" w:fill="auto"/>
          </w:tcPr>
          <w:p w14:paraId="2B0C28B8" w14:textId="77777777" w:rsidR="00E40A6E" w:rsidRPr="00F42480" w:rsidRDefault="00E40A6E" w:rsidP="00A35614">
            <w:pPr>
              <w:spacing w:after="0"/>
              <w:rPr>
                <w:rFonts w:ascii="Times New Roman" w:hAnsi="Times New Roman" w:cs="Times New Roman"/>
                <w:b/>
                <w:sz w:val="24"/>
                <w:szCs w:val="24"/>
              </w:rPr>
            </w:pPr>
            <w:r w:rsidRPr="00F42480">
              <w:rPr>
                <w:rFonts w:ascii="Times New Roman" w:hAnsi="Times New Roman" w:cs="Times New Roman"/>
                <w:b/>
                <w:sz w:val="24"/>
                <w:szCs w:val="24"/>
              </w:rPr>
              <w:t>6.2.- Брой проекти за опазване и подобряване на знанията за морската среда</w:t>
            </w:r>
          </w:p>
        </w:tc>
        <w:tc>
          <w:tcPr>
            <w:tcW w:w="916" w:type="pct"/>
          </w:tcPr>
          <w:p w14:paraId="0C82EDCB" w14:textId="77777777" w:rsidR="00E40A6E" w:rsidRPr="00F42480" w:rsidRDefault="00E40A6E" w:rsidP="00A35614">
            <w:pPr>
              <w:spacing w:after="0"/>
              <w:jc w:val="right"/>
              <w:rPr>
                <w:rFonts w:ascii="Times New Roman" w:hAnsi="Times New Roman" w:cs="Times New Roman"/>
                <w:b/>
                <w:color w:val="FF0000"/>
                <w:sz w:val="24"/>
                <w:szCs w:val="24"/>
              </w:rPr>
            </w:pPr>
            <w:r w:rsidRPr="00F42480">
              <w:rPr>
                <w:rFonts w:ascii="Times New Roman" w:hAnsi="Times New Roman" w:cs="Times New Roman"/>
                <w:b/>
                <w:color w:val="FF0000"/>
                <w:sz w:val="24"/>
                <w:szCs w:val="24"/>
              </w:rPr>
              <w:t>1</w:t>
            </w:r>
          </w:p>
        </w:tc>
        <w:tc>
          <w:tcPr>
            <w:tcW w:w="1660" w:type="pct"/>
          </w:tcPr>
          <w:p w14:paraId="15E93B26" w14:textId="77777777" w:rsidR="00E40A6E" w:rsidRPr="00F42480" w:rsidRDefault="00E40A6E" w:rsidP="00A35614">
            <w:pPr>
              <w:snapToGrid w:val="0"/>
              <w:spacing w:after="0"/>
              <w:jc w:val="right"/>
              <w:rPr>
                <w:rFonts w:ascii="Times New Roman" w:hAnsi="Times New Roman" w:cs="Times New Roman"/>
                <w:b/>
                <w:sz w:val="24"/>
                <w:szCs w:val="24"/>
              </w:rPr>
            </w:pPr>
            <w:r w:rsidRPr="00F42480">
              <w:rPr>
                <w:rFonts w:ascii="Times New Roman" w:hAnsi="Times New Roman" w:cs="Times New Roman"/>
                <w:b/>
                <w:sz w:val="24"/>
                <w:szCs w:val="24"/>
              </w:rPr>
              <w:t>3</w:t>
            </w:r>
          </w:p>
        </w:tc>
      </w:tr>
    </w:tbl>
    <w:p w14:paraId="14B4E85E" w14:textId="77777777" w:rsidR="00E40A6E" w:rsidRPr="00F42480" w:rsidRDefault="00E40A6E" w:rsidP="00E40A6E">
      <w:pPr>
        <w:pStyle w:val="ListParagraph"/>
        <w:keepNext/>
        <w:keepLines/>
        <w:spacing w:after="120"/>
        <w:ind w:left="0"/>
        <w:rPr>
          <w:rFonts w:ascii="Times New Roman" w:hAnsi="Times New Roman"/>
          <w:color w:val="000000"/>
        </w:rPr>
      </w:pPr>
    </w:p>
    <w:p w14:paraId="6DE5DA36" w14:textId="77777777" w:rsidR="00A06340" w:rsidRPr="00A06340" w:rsidRDefault="00A06340" w:rsidP="00A06340">
      <w:pPr>
        <w:spacing w:after="0"/>
        <w:ind w:firstLine="567"/>
        <w:jc w:val="both"/>
        <w:rPr>
          <w:rFonts w:asciiTheme="majorHAnsi" w:hAnsiTheme="majorHAnsi" w:cs="Times New Roman"/>
          <w:sz w:val="24"/>
          <w:szCs w:val="24"/>
        </w:rPr>
      </w:pPr>
    </w:p>
    <w:p w14:paraId="25F139C9" w14:textId="77777777" w:rsidR="00A06340" w:rsidRPr="00A06340" w:rsidRDefault="00A06340" w:rsidP="004D0069">
      <w:pPr>
        <w:pStyle w:val="Heading2"/>
        <w:rPr>
          <w:rFonts w:cs="Times New Roman"/>
          <w:b/>
          <w:sz w:val="24"/>
          <w:szCs w:val="24"/>
        </w:rPr>
      </w:pPr>
      <w:bookmarkStart w:id="7" w:name="_Toc7098472"/>
      <w:r w:rsidRPr="00A06340">
        <w:rPr>
          <w:rFonts w:cs="Times New Roman"/>
          <w:b/>
          <w:bCs/>
          <w:sz w:val="24"/>
          <w:szCs w:val="24"/>
        </w:rPr>
        <w:t xml:space="preserve">2.2. </w:t>
      </w:r>
      <w:r w:rsidRPr="00A06340">
        <w:rPr>
          <w:rFonts w:cs="Times New Roman"/>
          <w:b/>
          <w:sz w:val="24"/>
          <w:szCs w:val="24"/>
        </w:rPr>
        <w:t>Ниво на участие на партньорите/заинтересованите страни/ по оценката</w:t>
      </w:r>
      <w:bookmarkEnd w:id="7"/>
    </w:p>
    <w:p w14:paraId="3242AAB6" w14:textId="77777777" w:rsidR="00A06340" w:rsidRPr="00A06340" w:rsidRDefault="00A06340" w:rsidP="00A06340">
      <w:pPr>
        <w:spacing w:after="0"/>
        <w:ind w:firstLine="567"/>
        <w:jc w:val="both"/>
        <w:rPr>
          <w:rFonts w:asciiTheme="majorHAnsi" w:hAnsiTheme="majorHAnsi" w:cs="Times New Roman"/>
          <w:b/>
          <w:sz w:val="24"/>
          <w:szCs w:val="24"/>
        </w:rPr>
      </w:pPr>
    </w:p>
    <w:p w14:paraId="7B1D5861" w14:textId="4F0D0D52"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Съгласно ПМДР управлението на дейностите по оценка на програмата се състои от следните органи: Управляващият орган, Междинният орган, Комитета по наблюдение и външните експерти, извършващи оценката.</w:t>
      </w:r>
      <w:r w:rsidR="00F07152" w:rsidRPr="00F07152">
        <w:rPr>
          <w:rFonts w:asciiTheme="majorHAnsi" w:hAnsiTheme="majorHAnsi" w:cs="Times New Roman"/>
          <w:sz w:val="24"/>
          <w:szCs w:val="24"/>
        </w:rPr>
        <w:t xml:space="preserve"> </w:t>
      </w:r>
      <w:r w:rsidR="00FC796C" w:rsidRPr="00A06340">
        <w:rPr>
          <w:rFonts w:asciiTheme="majorHAnsi" w:hAnsiTheme="majorHAnsi" w:cs="Times New Roman"/>
          <w:sz w:val="24"/>
          <w:szCs w:val="24"/>
        </w:rPr>
        <w:t xml:space="preserve">Партньорите в </w:t>
      </w:r>
      <w:r w:rsidR="00FC796C" w:rsidRPr="00A06340">
        <w:rPr>
          <w:rFonts w:asciiTheme="majorHAnsi" w:hAnsiTheme="majorHAnsi" w:cs="Times New Roman"/>
          <w:sz w:val="24"/>
          <w:szCs w:val="24"/>
        </w:rPr>
        <w:lastRenderedPageBreak/>
        <w:t xml:space="preserve">процеса на оценка </w:t>
      </w:r>
      <w:r w:rsidR="00FC796C">
        <w:rPr>
          <w:rFonts w:asciiTheme="majorHAnsi" w:hAnsiTheme="majorHAnsi" w:cs="Times New Roman"/>
          <w:sz w:val="24"/>
          <w:szCs w:val="24"/>
        </w:rPr>
        <w:t>от своя страна в</w:t>
      </w:r>
      <w:r w:rsidR="00FC796C" w:rsidRPr="00A06340">
        <w:rPr>
          <w:rFonts w:asciiTheme="majorHAnsi" w:hAnsiTheme="majorHAnsi" w:cs="Times New Roman"/>
          <w:sz w:val="24"/>
          <w:szCs w:val="24"/>
        </w:rPr>
        <w:t xml:space="preserve">ключват Европейската комисия, </w:t>
      </w:r>
      <w:r w:rsidR="00F02B94">
        <w:rPr>
          <w:rFonts w:asciiTheme="majorHAnsi" w:hAnsiTheme="majorHAnsi" w:cs="Times New Roman"/>
          <w:sz w:val="24"/>
          <w:szCs w:val="24"/>
        </w:rPr>
        <w:t xml:space="preserve">НСИ, </w:t>
      </w:r>
      <w:r w:rsidR="00FC796C" w:rsidRPr="00A06340">
        <w:rPr>
          <w:rFonts w:asciiTheme="majorHAnsi" w:hAnsiTheme="majorHAnsi" w:cs="Times New Roman"/>
          <w:sz w:val="24"/>
          <w:szCs w:val="24"/>
        </w:rPr>
        <w:t>бенефициентите и други заинтересовани страни.</w:t>
      </w:r>
      <w:r w:rsidR="00FC796C">
        <w:rPr>
          <w:rFonts w:asciiTheme="majorHAnsi" w:hAnsiTheme="majorHAnsi" w:cs="Times New Roman"/>
          <w:sz w:val="24"/>
          <w:szCs w:val="24"/>
        </w:rPr>
        <w:t xml:space="preserve"> </w:t>
      </w:r>
      <w:r w:rsidR="00F07152" w:rsidRPr="00A06340">
        <w:rPr>
          <w:rFonts w:asciiTheme="majorHAnsi" w:hAnsiTheme="majorHAnsi" w:cs="Times New Roman"/>
          <w:sz w:val="24"/>
          <w:szCs w:val="24"/>
        </w:rPr>
        <w:t>Партньорите в процеса на оценка са не само ползвателите на резултатите от оценката, но също така и организации, които представляват значителен източник на информация, необходим за правилното провеждане на оценката.</w:t>
      </w:r>
    </w:p>
    <w:p w14:paraId="2E1AC65A" w14:textId="77777777" w:rsidR="00623C23" w:rsidRDefault="00623C23" w:rsidP="00A06340">
      <w:pPr>
        <w:spacing w:after="0"/>
        <w:ind w:firstLine="567"/>
        <w:jc w:val="both"/>
        <w:rPr>
          <w:rFonts w:asciiTheme="majorHAnsi" w:hAnsiTheme="majorHAnsi" w:cs="Times New Roman"/>
          <w:sz w:val="24"/>
          <w:szCs w:val="24"/>
        </w:rPr>
      </w:pPr>
    </w:p>
    <w:p w14:paraId="54382F1B" w14:textId="1D2834B7" w:rsidR="00623C23" w:rsidRPr="00623C23" w:rsidRDefault="00623C23" w:rsidP="00A06340">
      <w:pPr>
        <w:spacing w:after="0"/>
        <w:ind w:firstLine="567"/>
        <w:jc w:val="both"/>
        <w:rPr>
          <w:rFonts w:asciiTheme="majorHAnsi" w:hAnsiTheme="majorHAnsi" w:cs="Times New Roman"/>
          <w:b/>
          <w:sz w:val="24"/>
          <w:szCs w:val="24"/>
        </w:rPr>
      </w:pPr>
      <w:r w:rsidRPr="00623C23">
        <w:rPr>
          <w:rFonts w:asciiTheme="majorHAnsi" w:hAnsiTheme="majorHAnsi" w:cs="Times New Roman"/>
          <w:b/>
          <w:sz w:val="24"/>
          <w:szCs w:val="24"/>
        </w:rPr>
        <w:t>Европейска комисия</w:t>
      </w:r>
    </w:p>
    <w:p w14:paraId="2A7B0049" w14:textId="0FD85E84" w:rsidR="00623C23" w:rsidRPr="00A06340" w:rsidRDefault="00623C23" w:rsidP="00A06340">
      <w:pPr>
        <w:spacing w:after="0"/>
        <w:ind w:firstLine="567"/>
        <w:jc w:val="both"/>
        <w:rPr>
          <w:rFonts w:asciiTheme="majorHAnsi" w:hAnsiTheme="majorHAnsi" w:cs="Times New Roman"/>
          <w:sz w:val="24"/>
          <w:szCs w:val="24"/>
        </w:rPr>
      </w:pPr>
      <w:r w:rsidRPr="00623C23">
        <w:rPr>
          <w:rFonts w:asciiTheme="majorHAnsi" w:hAnsiTheme="majorHAnsi" w:cs="Times New Roman"/>
          <w:sz w:val="24"/>
          <w:szCs w:val="24"/>
        </w:rPr>
        <w:t xml:space="preserve">Представители на Европейската комисия са включени в процеса на оценка, посредством участие в заседанията на КН. Комисията работи в тясно сътрудничество със страните-членки по отношение обмена на информация (включително данни от мониторинга) и правилното и навременно приложение на препоръките от оценките. В допълнение, Комисията може да извършва по своя собствена инициатива оценки на програмите. Тя информира УО, а резултатите се изпращат на УО и се представят на съответния комитет за наблюдение. Съгласно чл. 57 </w:t>
      </w:r>
      <w:r w:rsidRPr="00482C06">
        <w:rPr>
          <w:rFonts w:asciiTheme="majorHAnsi" w:hAnsiTheme="majorHAnsi" w:cs="Times New Roman"/>
          <w:sz w:val="24"/>
          <w:szCs w:val="24"/>
        </w:rPr>
        <w:t xml:space="preserve">и </w:t>
      </w:r>
      <w:r w:rsidRPr="00BA29C0">
        <w:rPr>
          <w:rFonts w:asciiTheme="majorHAnsi" w:hAnsiTheme="majorHAnsi" w:cs="Times New Roman"/>
          <w:sz w:val="24"/>
          <w:szCs w:val="24"/>
        </w:rPr>
        <w:t>чл.</w:t>
      </w:r>
      <w:r w:rsidR="00600C7D" w:rsidRPr="00BA29C0">
        <w:rPr>
          <w:rFonts w:asciiTheme="majorHAnsi" w:hAnsiTheme="majorHAnsi" w:cs="Times New Roman"/>
          <w:sz w:val="24"/>
          <w:szCs w:val="24"/>
        </w:rPr>
        <w:t xml:space="preserve"> </w:t>
      </w:r>
      <w:r w:rsidRPr="00BA29C0">
        <w:rPr>
          <w:rFonts w:asciiTheme="majorHAnsi" w:hAnsiTheme="majorHAnsi" w:cs="Times New Roman"/>
          <w:sz w:val="24"/>
          <w:szCs w:val="24"/>
        </w:rPr>
        <w:t>114 (3)</w:t>
      </w:r>
      <w:r w:rsidRPr="00482C06">
        <w:rPr>
          <w:rFonts w:asciiTheme="majorHAnsi" w:hAnsiTheme="majorHAnsi" w:cs="Times New Roman"/>
          <w:sz w:val="24"/>
          <w:szCs w:val="24"/>
        </w:rPr>
        <w:t xml:space="preserve"> от</w:t>
      </w:r>
      <w:r w:rsidRPr="00623C23">
        <w:rPr>
          <w:rFonts w:asciiTheme="majorHAnsi" w:hAnsiTheme="majorHAnsi" w:cs="Times New Roman"/>
          <w:sz w:val="24"/>
          <w:szCs w:val="24"/>
        </w:rPr>
        <w:t xml:space="preserve"> Регламент (ЕС) № 1303/2013 г. Комисията извършва последваша оценка на оперативната програма в тясно сътрудничество с УО на </w:t>
      </w:r>
      <w:r>
        <w:rPr>
          <w:rFonts w:asciiTheme="majorHAnsi" w:hAnsiTheme="majorHAnsi" w:cs="Times New Roman"/>
          <w:sz w:val="24"/>
          <w:szCs w:val="24"/>
        </w:rPr>
        <w:t>ПМДР</w:t>
      </w:r>
      <w:r w:rsidRPr="00623C23">
        <w:rPr>
          <w:rFonts w:asciiTheme="majorHAnsi" w:hAnsiTheme="majorHAnsi" w:cs="Times New Roman"/>
          <w:sz w:val="24"/>
          <w:szCs w:val="24"/>
        </w:rPr>
        <w:t xml:space="preserve">. </w:t>
      </w:r>
    </w:p>
    <w:p w14:paraId="44272DF3" w14:textId="77777777" w:rsidR="00623C23" w:rsidRDefault="00623C23" w:rsidP="00A06340">
      <w:pPr>
        <w:spacing w:after="0"/>
        <w:ind w:firstLine="567"/>
        <w:jc w:val="both"/>
        <w:rPr>
          <w:rFonts w:asciiTheme="majorHAnsi" w:hAnsiTheme="majorHAnsi" w:cs="Times New Roman"/>
          <w:sz w:val="24"/>
          <w:szCs w:val="24"/>
        </w:rPr>
      </w:pPr>
    </w:p>
    <w:p w14:paraId="2E1A9673" w14:textId="49A3DB24" w:rsidR="00623C23" w:rsidRPr="00623C23" w:rsidRDefault="00623C23" w:rsidP="00A06340">
      <w:pPr>
        <w:spacing w:after="0"/>
        <w:ind w:firstLine="567"/>
        <w:jc w:val="both"/>
        <w:rPr>
          <w:rFonts w:asciiTheme="majorHAnsi" w:hAnsiTheme="majorHAnsi" w:cs="Times New Roman"/>
          <w:b/>
          <w:sz w:val="24"/>
          <w:szCs w:val="24"/>
        </w:rPr>
      </w:pPr>
      <w:r w:rsidRPr="00623C23">
        <w:rPr>
          <w:rFonts w:asciiTheme="majorHAnsi" w:hAnsiTheme="majorHAnsi" w:cs="Times New Roman"/>
          <w:b/>
          <w:sz w:val="24"/>
          <w:szCs w:val="24"/>
        </w:rPr>
        <w:t>Комитет за наблюдение</w:t>
      </w:r>
      <w:r>
        <w:rPr>
          <w:rFonts w:asciiTheme="majorHAnsi" w:hAnsiTheme="majorHAnsi" w:cs="Times New Roman"/>
          <w:b/>
          <w:sz w:val="24"/>
          <w:szCs w:val="24"/>
        </w:rPr>
        <w:t xml:space="preserve"> на ПМДР</w:t>
      </w:r>
    </w:p>
    <w:p w14:paraId="3B687EE3" w14:textId="46D26945" w:rsidR="00194F10" w:rsidRPr="00194F10" w:rsidRDefault="00194F10" w:rsidP="00194F10">
      <w:pPr>
        <w:spacing w:after="0"/>
        <w:ind w:firstLine="567"/>
        <w:jc w:val="both"/>
        <w:rPr>
          <w:rFonts w:asciiTheme="majorHAnsi" w:hAnsiTheme="majorHAnsi" w:cs="Times New Roman"/>
          <w:sz w:val="24"/>
          <w:szCs w:val="24"/>
        </w:rPr>
      </w:pPr>
      <w:r w:rsidRPr="00194F10">
        <w:rPr>
          <w:rFonts w:asciiTheme="majorHAnsi" w:hAnsiTheme="majorHAnsi" w:cs="Times New Roman"/>
          <w:sz w:val="24"/>
          <w:szCs w:val="24"/>
        </w:rPr>
        <w:t>Ролята и отговорностите на Комитета за наблюдение относно рамката за оценка, както са определени в Регламент (ЕС) 1303/2013, обобщени изглеждат по следния начин:</w:t>
      </w:r>
    </w:p>
    <w:p w14:paraId="32D89146" w14:textId="77777777" w:rsidR="00194F10" w:rsidRPr="00194F10" w:rsidRDefault="00194F10" w:rsidP="00194F10">
      <w:pPr>
        <w:spacing w:after="0"/>
        <w:ind w:firstLine="567"/>
        <w:jc w:val="both"/>
        <w:rPr>
          <w:rFonts w:asciiTheme="majorHAnsi" w:hAnsiTheme="majorHAnsi" w:cs="Times New Roman"/>
          <w:sz w:val="24"/>
          <w:szCs w:val="24"/>
        </w:rPr>
      </w:pPr>
      <w:r w:rsidRPr="00194F10">
        <w:rPr>
          <w:rFonts w:asciiTheme="majorHAnsi" w:hAnsiTheme="majorHAnsi" w:cs="Times New Roman"/>
          <w:sz w:val="24"/>
          <w:szCs w:val="24"/>
        </w:rPr>
        <w:t>•</w:t>
      </w:r>
      <w:r w:rsidRPr="00194F10">
        <w:rPr>
          <w:rFonts w:asciiTheme="majorHAnsi" w:hAnsiTheme="majorHAnsi" w:cs="Times New Roman"/>
          <w:sz w:val="24"/>
          <w:szCs w:val="24"/>
        </w:rPr>
        <w:tab/>
        <w:t>КН прави преглед на изпълнението на ПМДР по отношение на изпълнението на нейните цели, най-вече чрез използването и оценката на индикатори;</w:t>
      </w:r>
    </w:p>
    <w:p w14:paraId="3949F6DB" w14:textId="77777777" w:rsidR="00194F10" w:rsidRPr="00194F10" w:rsidRDefault="00194F10" w:rsidP="00194F10">
      <w:pPr>
        <w:spacing w:after="0"/>
        <w:ind w:firstLine="567"/>
        <w:jc w:val="both"/>
        <w:rPr>
          <w:rFonts w:asciiTheme="majorHAnsi" w:hAnsiTheme="majorHAnsi" w:cs="Times New Roman"/>
          <w:sz w:val="24"/>
          <w:szCs w:val="24"/>
        </w:rPr>
      </w:pPr>
      <w:r w:rsidRPr="00194F10">
        <w:rPr>
          <w:rFonts w:asciiTheme="majorHAnsi" w:hAnsiTheme="majorHAnsi" w:cs="Times New Roman"/>
          <w:sz w:val="24"/>
          <w:szCs w:val="24"/>
        </w:rPr>
        <w:t>•</w:t>
      </w:r>
      <w:r w:rsidRPr="00194F10">
        <w:rPr>
          <w:rFonts w:asciiTheme="majorHAnsi" w:hAnsiTheme="majorHAnsi" w:cs="Times New Roman"/>
          <w:sz w:val="24"/>
          <w:szCs w:val="24"/>
        </w:rPr>
        <w:tab/>
        <w:t>Разглежда и одобрява годишните доклади за изпълнението (ГДИ) преди тяхното представяне на Европейската комисия;</w:t>
      </w:r>
    </w:p>
    <w:p w14:paraId="659013E3" w14:textId="77777777" w:rsidR="00194F10" w:rsidRPr="00194F10" w:rsidRDefault="00194F10" w:rsidP="00194F10">
      <w:pPr>
        <w:spacing w:after="0"/>
        <w:ind w:firstLine="567"/>
        <w:jc w:val="both"/>
        <w:rPr>
          <w:rFonts w:asciiTheme="majorHAnsi" w:hAnsiTheme="majorHAnsi" w:cs="Times New Roman"/>
          <w:sz w:val="24"/>
          <w:szCs w:val="24"/>
        </w:rPr>
      </w:pPr>
      <w:r w:rsidRPr="00194F10">
        <w:rPr>
          <w:rFonts w:asciiTheme="majorHAnsi" w:hAnsiTheme="majorHAnsi" w:cs="Times New Roman"/>
          <w:sz w:val="24"/>
          <w:szCs w:val="24"/>
        </w:rPr>
        <w:t>•</w:t>
      </w:r>
      <w:r w:rsidRPr="00194F10">
        <w:rPr>
          <w:rFonts w:asciiTheme="majorHAnsi" w:hAnsiTheme="majorHAnsi" w:cs="Times New Roman"/>
          <w:sz w:val="24"/>
          <w:szCs w:val="24"/>
        </w:rPr>
        <w:tab/>
        <w:t>Наблюдава всички дейности и резултати от оценката и може да дава препоръки на УО относно изпълнението и оценката на програмата. Също така наблюдава и контролира действията, предприети в резултат на издадените препоръки.</w:t>
      </w:r>
    </w:p>
    <w:p w14:paraId="3A7824A7" w14:textId="77777777" w:rsidR="00194F10" w:rsidRDefault="00194F10" w:rsidP="00194F10">
      <w:pPr>
        <w:spacing w:after="0"/>
        <w:ind w:firstLine="567"/>
        <w:jc w:val="both"/>
        <w:rPr>
          <w:rFonts w:asciiTheme="majorHAnsi" w:hAnsiTheme="majorHAnsi" w:cs="Times New Roman"/>
          <w:sz w:val="24"/>
          <w:szCs w:val="24"/>
        </w:rPr>
      </w:pPr>
      <w:r w:rsidRPr="00194F10">
        <w:rPr>
          <w:rFonts w:asciiTheme="majorHAnsi" w:hAnsiTheme="majorHAnsi" w:cs="Times New Roman"/>
          <w:sz w:val="24"/>
          <w:szCs w:val="24"/>
        </w:rPr>
        <w:t xml:space="preserve">Комитетът за наблюдение служи за да осигури привличането и участието в оценката на съответните партньори и заинтересовани страни, които с пряко засегнати или могат да бъдат засегнати от изпълнението на ПМДР. В това отношение представителите, включени в наблюдението на програмата представляват не само публичните органи, икономическите и социалните партньори и органите, представляващи гражданското общество, но също така и </w:t>
      </w:r>
      <w:r w:rsidRPr="00194F10">
        <w:rPr>
          <w:rFonts w:asciiTheme="majorHAnsi" w:hAnsiTheme="majorHAnsi" w:cs="Times New Roman"/>
          <w:sz w:val="24"/>
          <w:szCs w:val="24"/>
        </w:rPr>
        <w:lastRenderedPageBreak/>
        <w:t xml:space="preserve">до партньорите в областта на околната среда, общностните и доброволческите организации, в допълнение към представителите на секторите на рибарите и производителите на аквакултура и структурите, извършващи контрол и събиране на данни за рибарството, както и въвлечените в прилагането на Интегрираната морска политика (ИМП). </w:t>
      </w:r>
    </w:p>
    <w:p w14:paraId="100CEFE6" w14:textId="2E22F6FB" w:rsidR="00A06340" w:rsidRPr="00A06340" w:rsidRDefault="00A06340" w:rsidP="00194F1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Съгласно чл. 113 от Регламент (ЕС) № 508/2014 в правомощията на Комитета за наблюдение е да разглежда резултатите от оценката на ПМДР. Това означава, че УО на програмата следва да осигури на членовете на Комитета пълна информация относно констатациите и препоръките от извършената Междинна оценка на програмата. Във връзка с проследяването и използването на резултатите от оценката, членовете на Комитета за наблюдение могат да отправят препоръки към УО за последващи действия в случай, че е необходимо.</w:t>
      </w:r>
    </w:p>
    <w:p w14:paraId="337166AC" w14:textId="77777777" w:rsidR="00FC796C" w:rsidRDefault="00FC796C" w:rsidP="00FC796C">
      <w:pPr>
        <w:spacing w:after="0"/>
        <w:ind w:firstLine="567"/>
        <w:jc w:val="both"/>
        <w:rPr>
          <w:rFonts w:asciiTheme="majorHAnsi" w:hAnsiTheme="majorHAnsi" w:cs="Times New Roman"/>
          <w:sz w:val="24"/>
          <w:szCs w:val="24"/>
        </w:rPr>
      </w:pPr>
    </w:p>
    <w:p w14:paraId="207CA52F" w14:textId="0F1C239B" w:rsidR="00FC796C" w:rsidRDefault="00FC796C" w:rsidP="00FC796C">
      <w:pPr>
        <w:spacing w:after="0"/>
        <w:ind w:firstLine="567"/>
        <w:jc w:val="both"/>
        <w:rPr>
          <w:rFonts w:asciiTheme="majorHAnsi" w:hAnsiTheme="majorHAnsi" w:cs="Times New Roman"/>
          <w:b/>
          <w:sz w:val="24"/>
          <w:szCs w:val="24"/>
        </w:rPr>
      </w:pPr>
      <w:r w:rsidRPr="00FC796C">
        <w:rPr>
          <w:rFonts w:asciiTheme="majorHAnsi" w:hAnsiTheme="majorHAnsi" w:cs="Times New Roman"/>
          <w:b/>
          <w:sz w:val="24"/>
          <w:szCs w:val="24"/>
        </w:rPr>
        <w:t>УО и М</w:t>
      </w:r>
      <w:r w:rsidR="001F595A">
        <w:rPr>
          <w:rFonts w:asciiTheme="majorHAnsi" w:hAnsiTheme="majorHAnsi" w:cs="Times New Roman"/>
          <w:b/>
          <w:sz w:val="24"/>
          <w:szCs w:val="24"/>
        </w:rPr>
        <w:t>З</w:t>
      </w:r>
      <w:r w:rsidRPr="00FC796C">
        <w:rPr>
          <w:rFonts w:asciiTheme="majorHAnsi" w:hAnsiTheme="majorHAnsi" w:cs="Times New Roman"/>
          <w:b/>
          <w:sz w:val="24"/>
          <w:szCs w:val="24"/>
        </w:rPr>
        <w:t xml:space="preserve"> на ПМДР</w:t>
      </w:r>
    </w:p>
    <w:p w14:paraId="2D8A6AD7" w14:textId="443D9F12" w:rsidR="001C6DCD" w:rsidRPr="001C6DCD" w:rsidRDefault="00600C7D" w:rsidP="001C6DCD">
      <w:pPr>
        <w:spacing w:after="0"/>
        <w:ind w:firstLine="567"/>
        <w:jc w:val="both"/>
        <w:rPr>
          <w:rFonts w:asciiTheme="majorHAnsi" w:hAnsiTheme="majorHAnsi" w:cs="Times New Roman"/>
          <w:sz w:val="24"/>
          <w:szCs w:val="24"/>
        </w:rPr>
      </w:pPr>
      <w:r w:rsidRPr="00600C7D">
        <w:rPr>
          <w:rFonts w:asciiTheme="majorHAnsi" w:hAnsiTheme="majorHAnsi" w:cs="Times New Roman"/>
          <w:sz w:val="24"/>
          <w:szCs w:val="24"/>
        </w:rPr>
        <w:t>Управляващият орган е органът, отговорен за управление на ОП, както и за приемането и прилагането на системата за наблюдение и контрол и качество, спазване на сроковете и докладване на резултатите</w:t>
      </w:r>
      <w:r>
        <w:rPr>
          <w:rFonts w:asciiTheme="majorHAnsi" w:hAnsiTheme="majorHAnsi" w:cs="Times New Roman"/>
          <w:sz w:val="24"/>
          <w:szCs w:val="24"/>
        </w:rPr>
        <w:t>.</w:t>
      </w:r>
      <w:r w:rsidR="001C6DCD" w:rsidRPr="001C6DCD">
        <w:rPr>
          <w:rFonts w:asciiTheme="majorHAnsi" w:hAnsiTheme="majorHAnsi" w:cs="Times New Roman"/>
          <w:b/>
          <w:sz w:val="24"/>
          <w:szCs w:val="24"/>
        </w:rPr>
        <w:t xml:space="preserve"> </w:t>
      </w:r>
      <w:r w:rsidR="001C6DCD" w:rsidRPr="001C6DCD">
        <w:rPr>
          <w:rFonts w:asciiTheme="majorHAnsi" w:hAnsiTheme="majorHAnsi" w:cs="Times New Roman"/>
          <w:sz w:val="24"/>
          <w:szCs w:val="24"/>
        </w:rPr>
        <w:t>Съгласно глава 10 от ПМДР координацията на системата за наблюдение и оценка ще се извършва от УО, който ще определя независими оценители, предоставящи подкрепа на УО и МО по отношение на изисканите оценки.</w:t>
      </w:r>
    </w:p>
    <w:p w14:paraId="6F49B8D0" w14:textId="091F5866" w:rsidR="001C6DCD" w:rsidRPr="001C6DCD" w:rsidRDefault="001C6DCD" w:rsidP="001C6DCD">
      <w:pPr>
        <w:spacing w:after="0"/>
        <w:ind w:firstLine="567"/>
        <w:jc w:val="both"/>
        <w:rPr>
          <w:rFonts w:asciiTheme="majorHAnsi" w:hAnsiTheme="majorHAnsi" w:cs="Times New Roman"/>
          <w:sz w:val="24"/>
          <w:szCs w:val="24"/>
        </w:rPr>
      </w:pPr>
      <w:r w:rsidRPr="001C6DCD">
        <w:rPr>
          <w:rFonts w:asciiTheme="majorHAnsi" w:hAnsiTheme="majorHAnsi" w:cs="Times New Roman"/>
          <w:sz w:val="24"/>
          <w:szCs w:val="24"/>
        </w:rPr>
        <w:t>По отношение на плана за оценка УО/МО отговарят за следното:</w:t>
      </w:r>
    </w:p>
    <w:p w14:paraId="7A43F081" w14:textId="60FAF4EE" w:rsidR="001C6DCD" w:rsidRPr="001C6DCD" w:rsidRDefault="001C6DCD" w:rsidP="001C6DCD">
      <w:pPr>
        <w:spacing w:after="0"/>
        <w:ind w:firstLine="567"/>
        <w:jc w:val="both"/>
        <w:rPr>
          <w:rFonts w:asciiTheme="majorHAnsi" w:hAnsiTheme="majorHAnsi" w:cs="Times New Roman"/>
          <w:sz w:val="24"/>
          <w:szCs w:val="24"/>
        </w:rPr>
      </w:pPr>
      <w:r w:rsidRPr="001C6DCD">
        <w:rPr>
          <w:rFonts w:asciiTheme="majorHAnsi" w:hAnsiTheme="majorHAnsi" w:cs="Times New Roman"/>
          <w:sz w:val="24"/>
          <w:szCs w:val="24"/>
        </w:rPr>
        <w:t>•</w:t>
      </w:r>
      <w:r w:rsidRPr="001C6DCD">
        <w:rPr>
          <w:rFonts w:asciiTheme="majorHAnsi" w:hAnsiTheme="majorHAnsi" w:cs="Times New Roman"/>
          <w:sz w:val="24"/>
          <w:szCs w:val="24"/>
        </w:rPr>
        <w:tab/>
      </w:r>
      <w:r>
        <w:rPr>
          <w:rFonts w:asciiTheme="majorHAnsi" w:hAnsiTheme="majorHAnsi" w:cs="Times New Roman"/>
          <w:sz w:val="24"/>
          <w:szCs w:val="24"/>
        </w:rPr>
        <w:t>П</w:t>
      </w:r>
      <w:r w:rsidRPr="001C6DCD">
        <w:rPr>
          <w:rFonts w:asciiTheme="majorHAnsi" w:hAnsiTheme="majorHAnsi" w:cs="Times New Roman"/>
          <w:sz w:val="24"/>
          <w:szCs w:val="24"/>
        </w:rPr>
        <w:t>роектиране и разработване на план за оценка и гарантиране съвместимостта му със системата за наблюдение и оценка</w:t>
      </w:r>
      <w:r>
        <w:rPr>
          <w:rFonts w:asciiTheme="majorHAnsi" w:hAnsiTheme="majorHAnsi" w:cs="Times New Roman"/>
          <w:sz w:val="24"/>
          <w:szCs w:val="24"/>
        </w:rPr>
        <w:t>;</w:t>
      </w:r>
    </w:p>
    <w:p w14:paraId="1B6E8944" w14:textId="242961FF" w:rsidR="001C6DCD" w:rsidRPr="001C6DCD" w:rsidRDefault="001C6DCD" w:rsidP="001C6DCD">
      <w:pPr>
        <w:spacing w:after="0"/>
        <w:ind w:firstLine="567"/>
        <w:jc w:val="both"/>
        <w:rPr>
          <w:rFonts w:asciiTheme="majorHAnsi" w:hAnsiTheme="majorHAnsi" w:cs="Times New Roman"/>
          <w:sz w:val="24"/>
          <w:szCs w:val="24"/>
        </w:rPr>
      </w:pPr>
      <w:r w:rsidRPr="001C6DCD">
        <w:rPr>
          <w:rFonts w:asciiTheme="majorHAnsi" w:hAnsiTheme="majorHAnsi" w:cs="Times New Roman"/>
          <w:sz w:val="24"/>
          <w:szCs w:val="24"/>
        </w:rPr>
        <w:t>•</w:t>
      </w:r>
      <w:r w:rsidRPr="001C6DCD">
        <w:rPr>
          <w:rFonts w:asciiTheme="majorHAnsi" w:hAnsiTheme="majorHAnsi" w:cs="Times New Roman"/>
          <w:sz w:val="24"/>
          <w:szCs w:val="24"/>
        </w:rPr>
        <w:tab/>
        <w:t>Актуализиране на плана за оценка. Планът ще се актуализира годишно и когато възникнат конкретни нужди от оценяване</w:t>
      </w:r>
      <w:r>
        <w:rPr>
          <w:rFonts w:asciiTheme="majorHAnsi" w:hAnsiTheme="majorHAnsi" w:cs="Times New Roman"/>
          <w:sz w:val="24"/>
          <w:szCs w:val="24"/>
        </w:rPr>
        <w:t>;</w:t>
      </w:r>
    </w:p>
    <w:p w14:paraId="687FEFA7" w14:textId="77777777" w:rsidR="001C6DCD" w:rsidRDefault="001C6DCD" w:rsidP="001C6DCD">
      <w:pPr>
        <w:spacing w:after="0"/>
        <w:ind w:firstLine="567"/>
        <w:jc w:val="both"/>
        <w:rPr>
          <w:rFonts w:asciiTheme="majorHAnsi" w:hAnsiTheme="majorHAnsi" w:cs="Times New Roman"/>
          <w:sz w:val="24"/>
          <w:szCs w:val="24"/>
        </w:rPr>
      </w:pPr>
      <w:r w:rsidRPr="001C6DCD">
        <w:rPr>
          <w:rFonts w:asciiTheme="majorHAnsi" w:hAnsiTheme="majorHAnsi" w:cs="Times New Roman"/>
          <w:sz w:val="24"/>
          <w:szCs w:val="24"/>
        </w:rPr>
        <w:t>•</w:t>
      </w:r>
      <w:r w:rsidRPr="001C6DCD">
        <w:rPr>
          <w:rFonts w:asciiTheme="majorHAnsi" w:hAnsiTheme="majorHAnsi" w:cs="Times New Roman"/>
          <w:sz w:val="24"/>
          <w:szCs w:val="24"/>
        </w:rPr>
        <w:tab/>
        <w:t>Съхраняване на оценките и съответните дейности въз основа на плана за оценка.</w:t>
      </w:r>
      <w:r>
        <w:rPr>
          <w:rFonts w:asciiTheme="majorHAnsi" w:hAnsiTheme="majorHAnsi" w:cs="Times New Roman"/>
          <w:sz w:val="24"/>
          <w:szCs w:val="24"/>
        </w:rPr>
        <w:t xml:space="preserve"> </w:t>
      </w:r>
    </w:p>
    <w:p w14:paraId="2DA9BDA4" w14:textId="1BE757D7" w:rsidR="00FC796C" w:rsidRPr="00FC796C" w:rsidRDefault="001C6DCD" w:rsidP="001C6DCD">
      <w:pPr>
        <w:spacing w:after="0"/>
        <w:ind w:firstLine="567"/>
        <w:jc w:val="both"/>
        <w:rPr>
          <w:rFonts w:asciiTheme="majorHAnsi" w:hAnsiTheme="majorHAnsi" w:cs="Times New Roman"/>
          <w:sz w:val="24"/>
          <w:szCs w:val="24"/>
        </w:rPr>
      </w:pPr>
      <w:r>
        <w:rPr>
          <w:rFonts w:asciiTheme="majorHAnsi" w:hAnsiTheme="majorHAnsi" w:cs="Times New Roman"/>
          <w:sz w:val="24"/>
          <w:szCs w:val="24"/>
        </w:rPr>
        <w:t>След сключването на договор</w:t>
      </w:r>
      <w:r w:rsidR="00482C06">
        <w:rPr>
          <w:rFonts w:asciiTheme="majorHAnsi" w:hAnsiTheme="majorHAnsi" w:cs="Times New Roman"/>
          <w:sz w:val="24"/>
          <w:szCs w:val="24"/>
        </w:rPr>
        <w:t>а</w:t>
      </w:r>
      <w:r>
        <w:rPr>
          <w:rFonts w:asciiTheme="majorHAnsi" w:hAnsiTheme="majorHAnsi" w:cs="Times New Roman"/>
          <w:sz w:val="24"/>
          <w:szCs w:val="24"/>
        </w:rPr>
        <w:t xml:space="preserve"> </w:t>
      </w:r>
      <w:r w:rsidR="00482C06">
        <w:rPr>
          <w:rFonts w:asciiTheme="majorHAnsi" w:hAnsiTheme="majorHAnsi" w:cs="Times New Roman"/>
          <w:sz w:val="24"/>
          <w:szCs w:val="24"/>
        </w:rPr>
        <w:t>з</w:t>
      </w:r>
      <w:r>
        <w:rPr>
          <w:rFonts w:asciiTheme="majorHAnsi" w:hAnsiTheme="majorHAnsi" w:cs="Times New Roman"/>
          <w:sz w:val="24"/>
          <w:szCs w:val="24"/>
        </w:rPr>
        <w:t>а извършване на оценка на програмата, а</w:t>
      </w:r>
      <w:r w:rsidR="00FC796C">
        <w:rPr>
          <w:rFonts w:asciiTheme="majorHAnsi" w:hAnsiTheme="majorHAnsi" w:cs="Times New Roman"/>
          <w:sz w:val="24"/>
          <w:szCs w:val="24"/>
        </w:rPr>
        <w:t xml:space="preserve">нгажиментите на УО и МО на ПМДР в процеса на оценка са свързани най-вече с предоставянето на надеждна информация за степента на изпълнение на програмата, извършените до момента действия, както и предприетите стъпки в посока извършване на промени. Основна задача на двете звена е да подпомагат работата на екипа оценители с цел изготвяне на качествена оценка, върху която да бъдат взети адекватни управленски решения. </w:t>
      </w:r>
      <w:r w:rsidR="00BA6CF3" w:rsidRPr="00BA6CF3">
        <w:rPr>
          <w:rFonts w:asciiTheme="majorHAnsi" w:hAnsiTheme="majorHAnsi" w:cs="Times New Roman"/>
          <w:sz w:val="24"/>
          <w:szCs w:val="24"/>
        </w:rPr>
        <w:t xml:space="preserve">Ангажирането на външни независими оценители има за цел да осигури достатъчни и адекватни ресурси и експертен опит за изготвяне на качествена оценка на програмата. При положение, че УО се ангажира да осигури цялата необходима за оценката информация и </w:t>
      </w:r>
      <w:r w:rsidR="00BA6CF3" w:rsidRPr="00BA6CF3">
        <w:rPr>
          <w:rFonts w:asciiTheme="majorHAnsi" w:hAnsiTheme="majorHAnsi" w:cs="Times New Roman"/>
          <w:sz w:val="24"/>
          <w:szCs w:val="24"/>
        </w:rPr>
        <w:lastRenderedPageBreak/>
        <w:t>финансов ресурс, то избраният изпълнител на услугата гарантира, че ще осигури всички необходими експертни за успешното приключване на оценката и постигане на очакваните резултати</w:t>
      </w:r>
      <w:r>
        <w:rPr>
          <w:rFonts w:asciiTheme="majorHAnsi" w:hAnsiTheme="majorHAnsi" w:cs="Times New Roman"/>
          <w:sz w:val="24"/>
          <w:szCs w:val="24"/>
        </w:rPr>
        <w:t>.</w:t>
      </w:r>
    </w:p>
    <w:p w14:paraId="05CB3C63" w14:textId="77777777" w:rsidR="00FC796C" w:rsidRDefault="00FC796C" w:rsidP="00FC796C">
      <w:pPr>
        <w:spacing w:after="0"/>
        <w:ind w:firstLine="567"/>
        <w:jc w:val="both"/>
        <w:rPr>
          <w:rFonts w:asciiTheme="majorHAnsi" w:hAnsiTheme="majorHAnsi" w:cs="Times New Roman"/>
          <w:sz w:val="24"/>
          <w:szCs w:val="24"/>
        </w:rPr>
      </w:pPr>
    </w:p>
    <w:p w14:paraId="68D9C79A" w14:textId="310F2922" w:rsidR="00FC796C" w:rsidRPr="00FC796C" w:rsidRDefault="00FC796C" w:rsidP="00FC796C">
      <w:pPr>
        <w:spacing w:after="0"/>
        <w:ind w:firstLine="567"/>
        <w:jc w:val="both"/>
        <w:rPr>
          <w:rFonts w:asciiTheme="majorHAnsi" w:hAnsiTheme="majorHAnsi" w:cs="Times New Roman"/>
          <w:b/>
          <w:sz w:val="24"/>
          <w:szCs w:val="24"/>
        </w:rPr>
      </w:pPr>
      <w:r w:rsidRPr="00FC796C">
        <w:rPr>
          <w:rFonts w:asciiTheme="majorHAnsi" w:hAnsiTheme="majorHAnsi" w:cs="Times New Roman"/>
          <w:b/>
          <w:sz w:val="24"/>
          <w:szCs w:val="24"/>
        </w:rPr>
        <w:t>Заинтересовани страни</w:t>
      </w:r>
    </w:p>
    <w:p w14:paraId="3F86BFC8" w14:textId="75073EA6" w:rsidR="00FC796C" w:rsidRDefault="00FC796C" w:rsidP="00FC796C">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Процесът по подготовка и извършване на оценка предвижда редица дейности, свързани с комуникация между екипа от външни експерти, извършващи оценката, и всички заинтересовани страни. От една страна, изготвянето на документа изисква дейности по обмен на информация с УО и други публични органи, ангажирани с прилагането на ПМДР с цел да се набавят основните данни, необходими за оценката. От другите заинтересовани страни – бенефициенти, потенциални кандидати, НПО, научни среди и др. ще се търси обратна връзка във връзка с тяхната оценка за степента на изпълнение на програмата, проблемите и препоръки за тяхното преодоляване. </w:t>
      </w:r>
    </w:p>
    <w:p w14:paraId="2FDAE079" w14:textId="77777777" w:rsidR="00E440D5" w:rsidRDefault="00E440D5" w:rsidP="00FC796C">
      <w:pPr>
        <w:spacing w:after="0"/>
        <w:ind w:firstLine="567"/>
        <w:jc w:val="both"/>
        <w:rPr>
          <w:rFonts w:asciiTheme="majorHAnsi" w:hAnsiTheme="majorHAnsi" w:cs="Times New Roman"/>
          <w:sz w:val="24"/>
          <w:szCs w:val="24"/>
        </w:rPr>
      </w:pPr>
    </w:p>
    <w:p w14:paraId="0473F2DA" w14:textId="77777777" w:rsidR="00A06340" w:rsidRPr="00A06340" w:rsidRDefault="00A06340" w:rsidP="004D0069">
      <w:pPr>
        <w:pStyle w:val="Heading2"/>
        <w:rPr>
          <w:rFonts w:cs="Times New Roman"/>
          <w:b/>
          <w:sz w:val="24"/>
          <w:szCs w:val="24"/>
        </w:rPr>
      </w:pPr>
      <w:bookmarkStart w:id="8" w:name="_Toc7098473"/>
      <w:r w:rsidRPr="00A06340">
        <w:rPr>
          <w:rFonts w:cs="Times New Roman"/>
          <w:b/>
          <w:bCs/>
          <w:sz w:val="24"/>
          <w:szCs w:val="24"/>
        </w:rPr>
        <w:t xml:space="preserve">2.3. </w:t>
      </w:r>
      <w:r w:rsidRPr="00A06340">
        <w:rPr>
          <w:rFonts w:cs="Times New Roman"/>
          <w:b/>
          <w:sz w:val="24"/>
          <w:szCs w:val="24"/>
        </w:rPr>
        <w:t>Степен на принос на експертите</w:t>
      </w:r>
      <w:bookmarkEnd w:id="8"/>
    </w:p>
    <w:p w14:paraId="6F3844B3" w14:textId="77777777" w:rsidR="00A06340" w:rsidRPr="00A06340" w:rsidRDefault="00A06340" w:rsidP="00A06340">
      <w:pPr>
        <w:spacing w:after="0"/>
        <w:ind w:firstLine="567"/>
        <w:jc w:val="both"/>
        <w:rPr>
          <w:rFonts w:asciiTheme="majorHAnsi" w:hAnsiTheme="majorHAnsi" w:cs="Times New Roman"/>
          <w:b/>
          <w:sz w:val="24"/>
          <w:szCs w:val="24"/>
        </w:rPr>
      </w:pPr>
      <w:r w:rsidRPr="00A06340">
        <w:rPr>
          <w:rFonts w:asciiTheme="majorHAnsi" w:hAnsiTheme="majorHAnsi" w:cs="Times New Roman"/>
          <w:b/>
          <w:sz w:val="24"/>
          <w:szCs w:val="24"/>
        </w:rPr>
        <w:t xml:space="preserve"> </w:t>
      </w:r>
    </w:p>
    <w:p w14:paraId="657527B7" w14:textId="62103887" w:rsidR="00E14786" w:rsidRPr="004D0069" w:rsidRDefault="00E14786" w:rsidP="004D0069">
      <w:pPr>
        <w:shd w:val="clear" w:color="auto" w:fill="FFFFFF" w:themeFill="background1"/>
        <w:spacing w:after="0"/>
        <w:ind w:firstLine="567"/>
        <w:jc w:val="both"/>
        <w:rPr>
          <w:rFonts w:asciiTheme="majorHAnsi" w:hAnsiTheme="majorHAnsi" w:cs="Times New Roman"/>
          <w:sz w:val="24"/>
          <w:szCs w:val="24"/>
        </w:rPr>
      </w:pPr>
      <w:r w:rsidRPr="00E14786">
        <w:rPr>
          <w:rFonts w:asciiTheme="majorHAnsi" w:hAnsiTheme="majorHAnsi" w:cs="Times New Roman"/>
          <w:sz w:val="24"/>
          <w:szCs w:val="24"/>
        </w:rPr>
        <w:t xml:space="preserve">Осигуряването на ресурси и капацитет за извършване на оценки е регламентирано в чл. 54, (2) и чл. 56 (2) на </w:t>
      </w:r>
      <w:r w:rsidR="00C8125A">
        <w:rPr>
          <w:rFonts w:asciiTheme="majorHAnsi" w:hAnsiTheme="majorHAnsi" w:cs="Times New Roman"/>
          <w:sz w:val="24"/>
          <w:szCs w:val="24"/>
        </w:rPr>
        <w:t>Р</w:t>
      </w:r>
      <w:r w:rsidRPr="00E14786">
        <w:rPr>
          <w:rFonts w:asciiTheme="majorHAnsi" w:hAnsiTheme="majorHAnsi" w:cs="Times New Roman"/>
          <w:sz w:val="24"/>
          <w:szCs w:val="24"/>
        </w:rPr>
        <w:t>егламент</w:t>
      </w:r>
      <w:r w:rsidR="00C8125A">
        <w:rPr>
          <w:rFonts w:asciiTheme="majorHAnsi" w:hAnsiTheme="majorHAnsi" w:cs="Times New Roman"/>
          <w:sz w:val="24"/>
          <w:szCs w:val="24"/>
        </w:rPr>
        <w:t xml:space="preserve"> </w:t>
      </w:r>
      <w:r w:rsidR="00C8125A">
        <w:rPr>
          <w:rFonts w:asciiTheme="majorHAnsi" w:hAnsiTheme="majorHAnsi" w:cs="Times New Roman"/>
          <w:sz w:val="24"/>
          <w:szCs w:val="24"/>
          <w:lang w:val="en-US"/>
        </w:rPr>
        <w:t>(</w:t>
      </w:r>
      <w:r w:rsidR="00C8125A">
        <w:rPr>
          <w:rFonts w:asciiTheme="majorHAnsi" w:hAnsiTheme="majorHAnsi" w:cs="Times New Roman"/>
          <w:sz w:val="24"/>
          <w:szCs w:val="24"/>
        </w:rPr>
        <w:t>ЕС</w:t>
      </w:r>
      <w:r w:rsidR="00C8125A">
        <w:rPr>
          <w:rFonts w:asciiTheme="majorHAnsi" w:hAnsiTheme="majorHAnsi" w:cs="Times New Roman"/>
          <w:sz w:val="24"/>
          <w:szCs w:val="24"/>
          <w:lang w:val="en-US"/>
        </w:rPr>
        <w:t>)</w:t>
      </w:r>
      <w:r w:rsidR="00C8125A">
        <w:rPr>
          <w:rFonts w:asciiTheme="majorHAnsi" w:hAnsiTheme="majorHAnsi" w:cs="Times New Roman"/>
          <w:sz w:val="24"/>
          <w:szCs w:val="24"/>
        </w:rPr>
        <w:t xml:space="preserve"> № 1303</w:t>
      </w:r>
      <w:r w:rsidRPr="00E14786">
        <w:rPr>
          <w:rFonts w:asciiTheme="majorHAnsi" w:hAnsiTheme="majorHAnsi" w:cs="Times New Roman"/>
          <w:sz w:val="24"/>
          <w:szCs w:val="24"/>
        </w:rPr>
        <w:t xml:space="preserve">. Човешките и финансови ресурси, необходими за извършване на оценките </w:t>
      </w:r>
      <w:r>
        <w:rPr>
          <w:rFonts w:asciiTheme="majorHAnsi" w:hAnsiTheme="majorHAnsi" w:cs="Times New Roman"/>
          <w:sz w:val="24"/>
          <w:szCs w:val="24"/>
        </w:rPr>
        <w:t xml:space="preserve">на ПМДР </w:t>
      </w:r>
      <w:r w:rsidRPr="00E14786">
        <w:rPr>
          <w:rFonts w:asciiTheme="majorHAnsi" w:hAnsiTheme="majorHAnsi" w:cs="Times New Roman"/>
          <w:sz w:val="24"/>
          <w:szCs w:val="24"/>
        </w:rPr>
        <w:t>с</w:t>
      </w:r>
      <w:r>
        <w:rPr>
          <w:rFonts w:asciiTheme="majorHAnsi" w:hAnsiTheme="majorHAnsi" w:cs="Times New Roman"/>
          <w:sz w:val="24"/>
          <w:szCs w:val="24"/>
        </w:rPr>
        <w:t xml:space="preserve">а идентифицирани и планирани в </w:t>
      </w:r>
      <w:r w:rsidR="001C6D67">
        <w:rPr>
          <w:rFonts w:asciiTheme="majorHAnsi" w:hAnsiTheme="majorHAnsi" w:cs="Times New Roman"/>
          <w:sz w:val="24"/>
          <w:szCs w:val="24"/>
        </w:rPr>
        <w:t>глава 10 на програмата. В същата глава е упоменато, че Управляващият орган на ПМДР разполага с органичен административен капацитет за извършване на оценките на програмата</w:t>
      </w:r>
      <w:r w:rsidRPr="00E14786">
        <w:rPr>
          <w:rFonts w:asciiTheme="majorHAnsi" w:hAnsiTheme="majorHAnsi" w:cs="Times New Roman"/>
          <w:sz w:val="24"/>
          <w:szCs w:val="24"/>
        </w:rPr>
        <w:t>.</w:t>
      </w:r>
      <w:r w:rsidR="001C6D67">
        <w:rPr>
          <w:rFonts w:asciiTheme="majorHAnsi" w:hAnsiTheme="majorHAnsi" w:cs="Times New Roman"/>
          <w:sz w:val="24"/>
          <w:szCs w:val="24"/>
        </w:rPr>
        <w:t xml:space="preserve"> Въпреки това обаче УО на ПМДР работи за повишаване на качеството на човешките си ресурси не само с оглед дейностите по програмиране и изпълнение на програмата, </w:t>
      </w:r>
      <w:r w:rsidR="001C6D67" w:rsidRPr="004D0069">
        <w:rPr>
          <w:rFonts w:asciiTheme="majorHAnsi" w:hAnsiTheme="majorHAnsi" w:cs="Times New Roman"/>
          <w:sz w:val="24"/>
          <w:szCs w:val="24"/>
        </w:rPr>
        <w:t>но и на нейния мониторинг.</w:t>
      </w:r>
    </w:p>
    <w:p w14:paraId="52B97C1C" w14:textId="06CD54B2" w:rsidR="009E6FB7" w:rsidRPr="004D0069" w:rsidRDefault="00E14786" w:rsidP="004D0069">
      <w:pPr>
        <w:shd w:val="clear" w:color="auto" w:fill="FFFFFF" w:themeFill="background1"/>
        <w:spacing w:after="0"/>
        <w:ind w:firstLine="567"/>
        <w:jc w:val="both"/>
        <w:rPr>
          <w:rFonts w:asciiTheme="majorHAnsi" w:hAnsiTheme="majorHAnsi" w:cs="Times New Roman"/>
          <w:sz w:val="24"/>
          <w:szCs w:val="24"/>
        </w:rPr>
      </w:pPr>
      <w:r w:rsidRPr="004D0069">
        <w:rPr>
          <w:rFonts w:asciiTheme="majorHAnsi" w:hAnsiTheme="majorHAnsi" w:cs="Times New Roman"/>
          <w:sz w:val="24"/>
          <w:szCs w:val="24"/>
        </w:rPr>
        <w:t xml:space="preserve">В рамките на </w:t>
      </w:r>
      <w:r w:rsidR="00C8125A" w:rsidRPr="004D0069">
        <w:rPr>
          <w:rFonts w:asciiTheme="majorHAnsi" w:hAnsiTheme="majorHAnsi" w:cs="Times New Roman"/>
          <w:sz w:val="24"/>
          <w:szCs w:val="24"/>
        </w:rPr>
        <w:t xml:space="preserve">Дирекция „Морско дело и рибарство“, която е Управляващ орган </w:t>
      </w:r>
      <w:r w:rsidRPr="004D0069">
        <w:rPr>
          <w:rFonts w:asciiTheme="majorHAnsi" w:hAnsiTheme="majorHAnsi" w:cs="Times New Roman"/>
          <w:sz w:val="24"/>
          <w:szCs w:val="24"/>
        </w:rPr>
        <w:t xml:space="preserve">на </w:t>
      </w:r>
      <w:r w:rsidR="00C8125A" w:rsidRPr="004D0069">
        <w:rPr>
          <w:rFonts w:asciiTheme="majorHAnsi" w:hAnsiTheme="majorHAnsi" w:cs="Times New Roman"/>
          <w:sz w:val="24"/>
          <w:szCs w:val="24"/>
        </w:rPr>
        <w:t>програмата,</w:t>
      </w:r>
      <w:r w:rsidRPr="004D0069">
        <w:rPr>
          <w:rFonts w:asciiTheme="majorHAnsi" w:hAnsiTheme="majorHAnsi" w:cs="Times New Roman"/>
          <w:sz w:val="24"/>
          <w:szCs w:val="24"/>
        </w:rPr>
        <w:t xml:space="preserve"> са определени експерти, чиято работа</w:t>
      </w:r>
      <w:r w:rsidR="001F595A" w:rsidRPr="004D0069">
        <w:rPr>
          <w:rFonts w:asciiTheme="majorHAnsi" w:hAnsiTheme="majorHAnsi" w:cs="Times New Roman"/>
          <w:sz w:val="24"/>
          <w:szCs w:val="24"/>
        </w:rPr>
        <w:t xml:space="preserve"> включва дейности свързани с оценките на</w:t>
      </w:r>
      <w:r w:rsidRPr="004D0069">
        <w:rPr>
          <w:rFonts w:asciiTheme="majorHAnsi" w:hAnsiTheme="majorHAnsi" w:cs="Times New Roman"/>
          <w:sz w:val="24"/>
          <w:szCs w:val="24"/>
        </w:rPr>
        <w:t xml:space="preserve"> програмата. Функцията по оценка </w:t>
      </w:r>
      <w:r w:rsidR="009E6FB7" w:rsidRPr="004D0069">
        <w:rPr>
          <w:rFonts w:asciiTheme="majorHAnsi" w:hAnsiTheme="majorHAnsi" w:cs="Times New Roman"/>
          <w:sz w:val="24"/>
          <w:szCs w:val="24"/>
        </w:rPr>
        <w:t xml:space="preserve">е заложена в глава 13 на  Наръчника по ПМДР, одобрен от ръководителя на управляващия орган. </w:t>
      </w:r>
    </w:p>
    <w:p w14:paraId="7AA400F2" w14:textId="77777777" w:rsidR="009E6FB7" w:rsidRPr="004D0069" w:rsidRDefault="009E6FB7" w:rsidP="004D0069">
      <w:pPr>
        <w:shd w:val="clear" w:color="auto" w:fill="FFFFFF" w:themeFill="background1"/>
        <w:spacing w:after="0"/>
        <w:ind w:firstLine="567"/>
        <w:jc w:val="both"/>
        <w:rPr>
          <w:rFonts w:asciiTheme="majorHAnsi" w:hAnsiTheme="majorHAnsi" w:cs="Times New Roman"/>
          <w:sz w:val="24"/>
          <w:szCs w:val="24"/>
        </w:rPr>
      </w:pPr>
      <w:r w:rsidRPr="004D0069">
        <w:rPr>
          <w:rFonts w:asciiTheme="majorHAnsi" w:hAnsiTheme="majorHAnsi" w:cs="Times New Roman"/>
          <w:sz w:val="24"/>
          <w:szCs w:val="24"/>
        </w:rPr>
        <w:t xml:space="preserve">Експертите от отдел „Програмиране и мониторинг“ на дирекция „Морско дело и рибарство“ следва да изпълняват основни задачи свързани с процеса на оценка, а именно: </w:t>
      </w:r>
    </w:p>
    <w:p w14:paraId="071C0CAA" w14:textId="77777777" w:rsidR="009E6FB7" w:rsidRDefault="009E6FB7" w:rsidP="00E14786">
      <w:pPr>
        <w:spacing w:after="0"/>
        <w:ind w:firstLine="567"/>
        <w:jc w:val="both"/>
        <w:rPr>
          <w:rFonts w:asciiTheme="majorHAnsi" w:hAnsiTheme="majorHAnsi" w:cs="Times New Roman"/>
          <w:sz w:val="24"/>
          <w:szCs w:val="24"/>
          <w:highlight w:val="yellow"/>
        </w:rPr>
      </w:pPr>
    </w:p>
    <w:p w14:paraId="377A38DB" w14:textId="77777777" w:rsidR="009E6FB7" w:rsidRPr="009E6FB7" w:rsidRDefault="009E6FB7" w:rsidP="009E6FB7">
      <w:pPr>
        <w:spacing w:after="0"/>
        <w:ind w:firstLine="567"/>
        <w:jc w:val="both"/>
        <w:rPr>
          <w:rFonts w:asciiTheme="majorHAnsi" w:hAnsiTheme="majorHAnsi" w:cs="Times New Roman"/>
          <w:sz w:val="24"/>
          <w:szCs w:val="24"/>
        </w:rPr>
      </w:pPr>
      <w:r w:rsidRPr="009E6FB7">
        <w:rPr>
          <w:rFonts w:asciiTheme="majorHAnsi" w:hAnsiTheme="majorHAnsi" w:cs="Times New Roman"/>
          <w:sz w:val="24"/>
          <w:szCs w:val="24"/>
        </w:rPr>
        <w:t>-</w:t>
      </w:r>
      <w:r w:rsidRPr="009E6FB7">
        <w:rPr>
          <w:rFonts w:asciiTheme="majorHAnsi" w:hAnsiTheme="majorHAnsi" w:cs="Times New Roman"/>
          <w:sz w:val="24"/>
          <w:szCs w:val="24"/>
        </w:rPr>
        <w:tab/>
        <w:t>Разработване на План за оценка на ПМДР. Координация, изпълнение, актуализация и наблюдение на осъществяването на задачите, заложени в него;</w:t>
      </w:r>
    </w:p>
    <w:p w14:paraId="66E3F456" w14:textId="77777777" w:rsidR="009E6FB7" w:rsidRPr="009E6FB7" w:rsidRDefault="009E6FB7" w:rsidP="009E6FB7">
      <w:pPr>
        <w:spacing w:after="0"/>
        <w:ind w:firstLine="567"/>
        <w:jc w:val="both"/>
        <w:rPr>
          <w:rFonts w:asciiTheme="majorHAnsi" w:hAnsiTheme="majorHAnsi" w:cs="Times New Roman"/>
          <w:sz w:val="24"/>
          <w:szCs w:val="24"/>
        </w:rPr>
      </w:pPr>
      <w:r w:rsidRPr="009E6FB7">
        <w:rPr>
          <w:rFonts w:asciiTheme="majorHAnsi" w:hAnsiTheme="majorHAnsi" w:cs="Times New Roman"/>
          <w:sz w:val="24"/>
          <w:szCs w:val="24"/>
        </w:rPr>
        <w:lastRenderedPageBreak/>
        <w:t>-</w:t>
      </w:r>
      <w:r w:rsidRPr="009E6FB7">
        <w:rPr>
          <w:rFonts w:asciiTheme="majorHAnsi" w:hAnsiTheme="majorHAnsi" w:cs="Times New Roman"/>
          <w:sz w:val="24"/>
          <w:szCs w:val="24"/>
        </w:rPr>
        <w:tab/>
        <w:t>Анализ на информацията, събрана в процеса на мониторинг на ПМДР;</w:t>
      </w:r>
    </w:p>
    <w:p w14:paraId="52216BB8" w14:textId="77777777" w:rsidR="009E6FB7" w:rsidRPr="009E6FB7" w:rsidRDefault="009E6FB7" w:rsidP="009E6FB7">
      <w:pPr>
        <w:spacing w:after="0"/>
        <w:ind w:firstLine="567"/>
        <w:jc w:val="both"/>
        <w:rPr>
          <w:rFonts w:asciiTheme="majorHAnsi" w:hAnsiTheme="majorHAnsi" w:cs="Times New Roman"/>
          <w:sz w:val="24"/>
          <w:szCs w:val="24"/>
        </w:rPr>
      </w:pPr>
      <w:r w:rsidRPr="009E6FB7">
        <w:rPr>
          <w:rFonts w:asciiTheme="majorHAnsi" w:hAnsiTheme="majorHAnsi" w:cs="Times New Roman"/>
          <w:sz w:val="24"/>
          <w:szCs w:val="24"/>
        </w:rPr>
        <w:t>-</w:t>
      </w:r>
      <w:r w:rsidRPr="009E6FB7">
        <w:rPr>
          <w:rFonts w:asciiTheme="majorHAnsi" w:hAnsiTheme="majorHAnsi" w:cs="Times New Roman"/>
          <w:sz w:val="24"/>
          <w:szCs w:val="24"/>
        </w:rPr>
        <w:tab/>
        <w:t xml:space="preserve">Организация и координация на дейностите по оценка на въздействието и изпълнението на ПМДР – подпомагане провеждането на външни оценки (предварителна, екологична, текуща и последваща), както и самостоятелно извършване на вътрешни оценки;  </w:t>
      </w:r>
    </w:p>
    <w:p w14:paraId="672E61EF" w14:textId="77777777" w:rsidR="009E6FB7" w:rsidRPr="009E6FB7" w:rsidRDefault="009E6FB7" w:rsidP="009E6FB7">
      <w:pPr>
        <w:spacing w:after="0"/>
        <w:ind w:firstLine="567"/>
        <w:jc w:val="both"/>
        <w:rPr>
          <w:rFonts w:asciiTheme="majorHAnsi" w:hAnsiTheme="majorHAnsi" w:cs="Times New Roman"/>
          <w:sz w:val="24"/>
          <w:szCs w:val="24"/>
        </w:rPr>
      </w:pPr>
      <w:r w:rsidRPr="009E6FB7">
        <w:rPr>
          <w:rFonts w:asciiTheme="majorHAnsi" w:hAnsiTheme="majorHAnsi" w:cs="Times New Roman"/>
          <w:sz w:val="24"/>
          <w:szCs w:val="24"/>
        </w:rPr>
        <w:t>-</w:t>
      </w:r>
      <w:r w:rsidRPr="009E6FB7">
        <w:rPr>
          <w:rFonts w:asciiTheme="majorHAnsi" w:hAnsiTheme="majorHAnsi" w:cs="Times New Roman"/>
          <w:sz w:val="24"/>
          <w:szCs w:val="24"/>
        </w:rPr>
        <w:tab/>
        <w:t xml:space="preserve">Координация и подготовка на технически задания за избор на външни изпълнители за извършване на оценки по ПМДР, както и контрол на дейностите на външните оценители; </w:t>
      </w:r>
    </w:p>
    <w:p w14:paraId="797003D5" w14:textId="77777777" w:rsidR="009E6FB7" w:rsidRPr="009E6FB7" w:rsidRDefault="009E6FB7" w:rsidP="009E6FB7">
      <w:pPr>
        <w:spacing w:after="0"/>
        <w:ind w:firstLine="567"/>
        <w:jc w:val="both"/>
        <w:rPr>
          <w:rFonts w:asciiTheme="majorHAnsi" w:hAnsiTheme="majorHAnsi" w:cs="Times New Roman"/>
          <w:sz w:val="24"/>
          <w:szCs w:val="24"/>
        </w:rPr>
      </w:pPr>
      <w:r w:rsidRPr="009E6FB7">
        <w:rPr>
          <w:rFonts w:asciiTheme="majorHAnsi" w:hAnsiTheme="majorHAnsi" w:cs="Times New Roman"/>
          <w:sz w:val="24"/>
          <w:szCs w:val="24"/>
        </w:rPr>
        <w:t>-</w:t>
      </w:r>
      <w:r w:rsidRPr="009E6FB7">
        <w:rPr>
          <w:rFonts w:asciiTheme="majorHAnsi" w:hAnsiTheme="majorHAnsi" w:cs="Times New Roman"/>
          <w:sz w:val="24"/>
          <w:szCs w:val="24"/>
        </w:rPr>
        <w:tab/>
        <w:t xml:space="preserve">Подготовка на теми, методология и инструменти за извършване на оценки в съответствие със специфични теми. </w:t>
      </w:r>
    </w:p>
    <w:p w14:paraId="595005CD" w14:textId="77777777" w:rsidR="009E6FB7" w:rsidRPr="009E6FB7" w:rsidRDefault="009E6FB7" w:rsidP="009E6FB7">
      <w:pPr>
        <w:spacing w:after="0"/>
        <w:ind w:firstLine="567"/>
        <w:jc w:val="both"/>
        <w:rPr>
          <w:rFonts w:asciiTheme="majorHAnsi" w:hAnsiTheme="majorHAnsi" w:cs="Times New Roman"/>
          <w:sz w:val="24"/>
          <w:szCs w:val="24"/>
        </w:rPr>
      </w:pPr>
      <w:r w:rsidRPr="009E6FB7">
        <w:rPr>
          <w:rFonts w:asciiTheme="majorHAnsi" w:hAnsiTheme="majorHAnsi" w:cs="Times New Roman"/>
          <w:sz w:val="24"/>
          <w:szCs w:val="24"/>
        </w:rPr>
        <w:t>-</w:t>
      </w:r>
      <w:r w:rsidRPr="009E6FB7">
        <w:rPr>
          <w:rFonts w:asciiTheme="majorHAnsi" w:hAnsiTheme="majorHAnsi" w:cs="Times New Roman"/>
          <w:sz w:val="24"/>
          <w:szCs w:val="24"/>
        </w:rPr>
        <w:tab/>
        <w:t>Координация и сътрудничество при набирането на информация и статистически данни за извършване на оценките;</w:t>
      </w:r>
    </w:p>
    <w:p w14:paraId="6DFB7A63" w14:textId="77777777" w:rsidR="009E6FB7" w:rsidRPr="009E6FB7" w:rsidRDefault="009E6FB7" w:rsidP="009E6FB7">
      <w:pPr>
        <w:spacing w:after="0"/>
        <w:ind w:firstLine="567"/>
        <w:jc w:val="both"/>
        <w:rPr>
          <w:rFonts w:asciiTheme="majorHAnsi" w:hAnsiTheme="majorHAnsi" w:cs="Times New Roman"/>
          <w:sz w:val="24"/>
          <w:szCs w:val="24"/>
        </w:rPr>
      </w:pPr>
      <w:r w:rsidRPr="009E6FB7">
        <w:rPr>
          <w:rFonts w:asciiTheme="majorHAnsi" w:hAnsiTheme="majorHAnsi" w:cs="Times New Roman"/>
          <w:sz w:val="24"/>
          <w:szCs w:val="24"/>
        </w:rPr>
        <w:t>-</w:t>
      </w:r>
      <w:r w:rsidRPr="009E6FB7">
        <w:rPr>
          <w:rFonts w:asciiTheme="majorHAnsi" w:hAnsiTheme="majorHAnsi" w:cs="Times New Roman"/>
          <w:sz w:val="24"/>
          <w:szCs w:val="24"/>
        </w:rPr>
        <w:tab/>
        <w:t xml:space="preserve">Анализ на данни и резултати от извършени вътрешни оценки и разработка на препоръки, базирани на резултатите от оценките; </w:t>
      </w:r>
    </w:p>
    <w:p w14:paraId="63931DE6" w14:textId="77777777" w:rsidR="009E6FB7" w:rsidRPr="009E6FB7" w:rsidRDefault="009E6FB7" w:rsidP="009E6FB7">
      <w:pPr>
        <w:spacing w:after="0"/>
        <w:ind w:firstLine="567"/>
        <w:jc w:val="both"/>
        <w:rPr>
          <w:rFonts w:asciiTheme="majorHAnsi" w:hAnsiTheme="majorHAnsi" w:cs="Times New Roman"/>
          <w:sz w:val="24"/>
          <w:szCs w:val="24"/>
        </w:rPr>
      </w:pPr>
      <w:r w:rsidRPr="009E6FB7">
        <w:rPr>
          <w:rFonts w:asciiTheme="majorHAnsi" w:hAnsiTheme="majorHAnsi" w:cs="Times New Roman"/>
          <w:sz w:val="24"/>
          <w:szCs w:val="24"/>
        </w:rPr>
        <w:t>-</w:t>
      </w:r>
      <w:r w:rsidRPr="009E6FB7">
        <w:rPr>
          <w:rFonts w:asciiTheme="majorHAnsi" w:hAnsiTheme="majorHAnsi" w:cs="Times New Roman"/>
          <w:sz w:val="24"/>
          <w:szCs w:val="24"/>
        </w:rPr>
        <w:tab/>
        <w:t>Анализ на препоръки, направени от външни оценители/ЕК;</w:t>
      </w:r>
    </w:p>
    <w:p w14:paraId="1DEEFD2A" w14:textId="77777777" w:rsidR="009E6FB7" w:rsidRPr="009E6FB7" w:rsidRDefault="009E6FB7" w:rsidP="009E6FB7">
      <w:pPr>
        <w:spacing w:after="0"/>
        <w:ind w:firstLine="567"/>
        <w:jc w:val="both"/>
        <w:rPr>
          <w:rFonts w:asciiTheme="majorHAnsi" w:hAnsiTheme="majorHAnsi" w:cs="Times New Roman"/>
          <w:sz w:val="24"/>
          <w:szCs w:val="24"/>
        </w:rPr>
      </w:pPr>
      <w:r w:rsidRPr="009E6FB7">
        <w:rPr>
          <w:rFonts w:asciiTheme="majorHAnsi" w:hAnsiTheme="majorHAnsi" w:cs="Times New Roman"/>
          <w:sz w:val="24"/>
          <w:szCs w:val="24"/>
        </w:rPr>
        <w:t>-</w:t>
      </w:r>
      <w:r w:rsidRPr="009E6FB7">
        <w:rPr>
          <w:rFonts w:asciiTheme="majorHAnsi" w:hAnsiTheme="majorHAnsi" w:cs="Times New Roman"/>
          <w:sz w:val="24"/>
          <w:szCs w:val="24"/>
        </w:rPr>
        <w:tab/>
        <w:t>Изготвянето на предложения за промяна на ПМДР или в начина на управление, в резултат на проведени оценки на ПМДР;</w:t>
      </w:r>
    </w:p>
    <w:p w14:paraId="7472EA5A" w14:textId="77777777" w:rsidR="009E6FB7" w:rsidRPr="009E6FB7" w:rsidRDefault="009E6FB7" w:rsidP="009E6FB7">
      <w:pPr>
        <w:spacing w:after="0"/>
        <w:ind w:firstLine="567"/>
        <w:jc w:val="both"/>
        <w:rPr>
          <w:rFonts w:asciiTheme="majorHAnsi" w:hAnsiTheme="majorHAnsi" w:cs="Times New Roman"/>
          <w:sz w:val="24"/>
          <w:szCs w:val="24"/>
        </w:rPr>
      </w:pPr>
      <w:r w:rsidRPr="009E6FB7">
        <w:rPr>
          <w:rFonts w:asciiTheme="majorHAnsi" w:hAnsiTheme="majorHAnsi" w:cs="Times New Roman"/>
          <w:sz w:val="24"/>
          <w:szCs w:val="24"/>
        </w:rPr>
        <w:t>-</w:t>
      </w:r>
      <w:r w:rsidRPr="009E6FB7">
        <w:rPr>
          <w:rFonts w:asciiTheme="majorHAnsi" w:hAnsiTheme="majorHAnsi" w:cs="Times New Roman"/>
          <w:sz w:val="24"/>
          <w:szCs w:val="24"/>
        </w:rPr>
        <w:tab/>
        <w:t>Проверка на степента на изпълнение на препоръки от оценките;</w:t>
      </w:r>
    </w:p>
    <w:p w14:paraId="77958470" w14:textId="77777777" w:rsidR="009E6FB7" w:rsidRPr="009E6FB7" w:rsidRDefault="009E6FB7" w:rsidP="009E6FB7">
      <w:pPr>
        <w:spacing w:after="0"/>
        <w:ind w:firstLine="567"/>
        <w:jc w:val="both"/>
        <w:rPr>
          <w:rFonts w:asciiTheme="majorHAnsi" w:hAnsiTheme="majorHAnsi" w:cs="Times New Roman"/>
          <w:sz w:val="24"/>
          <w:szCs w:val="24"/>
        </w:rPr>
      </w:pPr>
      <w:r w:rsidRPr="009E6FB7">
        <w:rPr>
          <w:rFonts w:asciiTheme="majorHAnsi" w:hAnsiTheme="majorHAnsi" w:cs="Times New Roman"/>
          <w:sz w:val="24"/>
          <w:szCs w:val="24"/>
        </w:rPr>
        <w:t>-</w:t>
      </w:r>
      <w:r w:rsidRPr="009E6FB7">
        <w:rPr>
          <w:rFonts w:asciiTheme="majorHAnsi" w:hAnsiTheme="majorHAnsi" w:cs="Times New Roman"/>
          <w:sz w:val="24"/>
          <w:szCs w:val="24"/>
        </w:rPr>
        <w:tab/>
        <w:t xml:space="preserve">Предоставяне на информация относно извършените оценки на всички заинтересовани страни и сътрудничество с Междуведомствената работна група за оценка на ЕСИФ 2014-2020 г. на национално ниво;  </w:t>
      </w:r>
    </w:p>
    <w:p w14:paraId="28814E50" w14:textId="241D114F" w:rsidR="009E6FB7" w:rsidRDefault="009E6FB7" w:rsidP="009E6FB7">
      <w:pPr>
        <w:spacing w:after="0"/>
        <w:ind w:firstLine="567"/>
        <w:jc w:val="both"/>
        <w:rPr>
          <w:rFonts w:asciiTheme="majorHAnsi" w:hAnsiTheme="majorHAnsi" w:cs="Times New Roman"/>
          <w:sz w:val="24"/>
          <w:szCs w:val="24"/>
        </w:rPr>
      </w:pPr>
      <w:r w:rsidRPr="009E6FB7">
        <w:rPr>
          <w:rFonts w:asciiTheme="majorHAnsi" w:hAnsiTheme="majorHAnsi" w:cs="Times New Roman"/>
          <w:sz w:val="24"/>
          <w:szCs w:val="24"/>
        </w:rPr>
        <w:t>-</w:t>
      </w:r>
      <w:r w:rsidRPr="009E6FB7">
        <w:rPr>
          <w:rFonts w:asciiTheme="majorHAnsi" w:hAnsiTheme="majorHAnsi" w:cs="Times New Roman"/>
          <w:sz w:val="24"/>
          <w:szCs w:val="24"/>
        </w:rPr>
        <w:tab/>
        <w:t>Координация и изпълнение на дейности за осигуряване на публич</w:t>
      </w:r>
      <w:r>
        <w:rPr>
          <w:rFonts w:asciiTheme="majorHAnsi" w:hAnsiTheme="majorHAnsi" w:cs="Times New Roman"/>
          <w:sz w:val="24"/>
          <w:szCs w:val="24"/>
        </w:rPr>
        <w:t xml:space="preserve">ност на резултатите от оценката. </w:t>
      </w:r>
    </w:p>
    <w:p w14:paraId="5A817AE9" w14:textId="0E36D66E" w:rsidR="00E14786" w:rsidRPr="00E14786" w:rsidRDefault="00E14786" w:rsidP="009E6FB7">
      <w:pPr>
        <w:spacing w:after="0"/>
        <w:ind w:firstLine="567"/>
        <w:jc w:val="both"/>
        <w:rPr>
          <w:rFonts w:asciiTheme="majorHAnsi" w:hAnsiTheme="majorHAnsi" w:cs="Times New Roman"/>
          <w:sz w:val="24"/>
          <w:szCs w:val="24"/>
        </w:rPr>
      </w:pPr>
    </w:p>
    <w:p w14:paraId="345517E9" w14:textId="7CB27A88" w:rsidR="00E14786" w:rsidRPr="00E14786" w:rsidRDefault="00E14786" w:rsidP="00A9476C">
      <w:pPr>
        <w:spacing w:after="0"/>
        <w:ind w:firstLine="567"/>
        <w:jc w:val="both"/>
        <w:rPr>
          <w:rFonts w:asciiTheme="majorHAnsi" w:hAnsiTheme="majorHAnsi" w:cs="Times New Roman"/>
          <w:sz w:val="24"/>
          <w:szCs w:val="24"/>
        </w:rPr>
      </w:pPr>
      <w:r w:rsidRPr="00A9476C">
        <w:rPr>
          <w:rFonts w:asciiTheme="majorHAnsi" w:hAnsiTheme="majorHAnsi" w:cs="Times New Roman"/>
          <w:sz w:val="24"/>
          <w:szCs w:val="24"/>
        </w:rPr>
        <w:t xml:space="preserve">В рамките на </w:t>
      </w:r>
      <w:r w:rsidR="00C8125A" w:rsidRPr="00A9476C">
        <w:rPr>
          <w:rFonts w:asciiTheme="majorHAnsi" w:hAnsiTheme="majorHAnsi" w:cs="Times New Roman"/>
          <w:sz w:val="24"/>
          <w:szCs w:val="24"/>
        </w:rPr>
        <w:t xml:space="preserve">техническата помощ по програмата </w:t>
      </w:r>
      <w:r w:rsidRPr="00A9476C">
        <w:rPr>
          <w:rFonts w:asciiTheme="majorHAnsi" w:hAnsiTheme="majorHAnsi" w:cs="Times New Roman"/>
          <w:sz w:val="24"/>
          <w:szCs w:val="24"/>
        </w:rPr>
        <w:t>са предвидени средства</w:t>
      </w:r>
      <w:r w:rsidR="00A9476C" w:rsidRPr="00A9476C">
        <w:rPr>
          <w:rFonts w:asciiTheme="majorHAnsi" w:hAnsiTheme="majorHAnsi" w:cs="Times New Roman"/>
          <w:sz w:val="24"/>
          <w:szCs w:val="24"/>
        </w:rPr>
        <w:t xml:space="preserve"> </w:t>
      </w:r>
      <w:r w:rsidRPr="00A9476C">
        <w:rPr>
          <w:rFonts w:asciiTheme="majorHAnsi" w:hAnsiTheme="majorHAnsi" w:cs="Times New Roman"/>
          <w:sz w:val="24"/>
          <w:szCs w:val="24"/>
        </w:rPr>
        <w:t>за финансовото обезпечаване на дейност</w:t>
      </w:r>
      <w:r w:rsidR="00A9476C" w:rsidRPr="00A9476C">
        <w:rPr>
          <w:rFonts w:asciiTheme="majorHAnsi" w:hAnsiTheme="majorHAnsi" w:cs="Times New Roman"/>
          <w:sz w:val="24"/>
          <w:szCs w:val="24"/>
        </w:rPr>
        <w:t>и, както пряко свързани с мониторинга и оценката, така и</w:t>
      </w:r>
      <w:r w:rsidR="00A9476C">
        <w:rPr>
          <w:rFonts w:asciiTheme="majorHAnsi" w:hAnsiTheme="majorHAnsi" w:cs="Times New Roman"/>
          <w:sz w:val="24"/>
          <w:szCs w:val="24"/>
        </w:rPr>
        <w:t xml:space="preserve"> свързани с изграждане на капацитет и придобиване на умения у служителите, ангажирани с тези дейности. </w:t>
      </w:r>
    </w:p>
    <w:p w14:paraId="4D25F6B7" w14:textId="330B245D" w:rsidR="00E14786" w:rsidRPr="00E14786" w:rsidRDefault="00E14786" w:rsidP="00E14786">
      <w:pPr>
        <w:spacing w:after="0"/>
        <w:ind w:firstLine="567"/>
        <w:jc w:val="both"/>
        <w:rPr>
          <w:rFonts w:asciiTheme="majorHAnsi" w:hAnsiTheme="majorHAnsi" w:cs="Times New Roman"/>
          <w:sz w:val="24"/>
          <w:szCs w:val="24"/>
        </w:rPr>
      </w:pPr>
      <w:r w:rsidRPr="00E14786">
        <w:rPr>
          <w:rFonts w:asciiTheme="majorHAnsi" w:hAnsiTheme="majorHAnsi" w:cs="Times New Roman"/>
          <w:sz w:val="24"/>
          <w:szCs w:val="24"/>
        </w:rPr>
        <w:t>Реализацията на тази подкрепа е конкретизирана чрез мерки за постигането на специфични цели по отношение на административния капацитет и човешки ресурси, в т.ч. и капацитета за извършване на оценки. УО съвместно с дирекция “Човешки ресурси” в М</w:t>
      </w:r>
      <w:r w:rsidR="001B5C02">
        <w:rPr>
          <w:rFonts w:asciiTheme="majorHAnsi" w:hAnsiTheme="majorHAnsi" w:cs="Times New Roman"/>
          <w:sz w:val="24"/>
          <w:szCs w:val="24"/>
        </w:rPr>
        <w:t>ЗХГ</w:t>
      </w:r>
      <w:r w:rsidRPr="00E14786">
        <w:rPr>
          <w:rFonts w:asciiTheme="majorHAnsi" w:hAnsiTheme="majorHAnsi" w:cs="Times New Roman"/>
          <w:sz w:val="24"/>
          <w:szCs w:val="24"/>
        </w:rPr>
        <w:t>, са отговорни за организацията на процеса на анализ на необходимостта от обучения, разработка на специфични обучителни програми и изпълнението им. Годишният план за обучения на М</w:t>
      </w:r>
      <w:r w:rsidR="001B5C02">
        <w:rPr>
          <w:rFonts w:asciiTheme="majorHAnsi" w:hAnsiTheme="majorHAnsi" w:cs="Times New Roman"/>
          <w:sz w:val="24"/>
          <w:szCs w:val="24"/>
        </w:rPr>
        <w:t>ЗХГ</w:t>
      </w:r>
      <w:r w:rsidRPr="00E14786">
        <w:rPr>
          <w:rFonts w:asciiTheme="majorHAnsi" w:hAnsiTheme="majorHAnsi" w:cs="Times New Roman"/>
          <w:sz w:val="24"/>
          <w:szCs w:val="24"/>
        </w:rPr>
        <w:t xml:space="preserve"> (включително Д</w:t>
      </w:r>
      <w:r w:rsidR="001B5C02">
        <w:rPr>
          <w:rFonts w:asciiTheme="majorHAnsi" w:hAnsiTheme="majorHAnsi" w:cs="Times New Roman"/>
          <w:sz w:val="24"/>
          <w:szCs w:val="24"/>
        </w:rPr>
        <w:t>ирекция „Морско дело и рибарство“</w:t>
      </w:r>
      <w:r w:rsidRPr="00E14786">
        <w:rPr>
          <w:rFonts w:asciiTheme="majorHAnsi" w:hAnsiTheme="majorHAnsi" w:cs="Times New Roman"/>
          <w:sz w:val="24"/>
          <w:szCs w:val="24"/>
        </w:rPr>
        <w:t xml:space="preserve">) включва идентифицираните приоритети, от гледна точка </w:t>
      </w:r>
      <w:r w:rsidR="00A9476C">
        <w:rPr>
          <w:rFonts w:asciiTheme="majorHAnsi" w:hAnsiTheme="majorHAnsi" w:cs="Times New Roman"/>
          <w:sz w:val="24"/>
          <w:szCs w:val="24"/>
        </w:rPr>
        <w:t xml:space="preserve">на </w:t>
      </w:r>
      <w:r w:rsidRPr="00E14786">
        <w:rPr>
          <w:rFonts w:asciiTheme="majorHAnsi" w:hAnsiTheme="majorHAnsi" w:cs="Times New Roman"/>
          <w:sz w:val="24"/>
          <w:szCs w:val="24"/>
        </w:rPr>
        <w:t>предмет</w:t>
      </w:r>
      <w:r w:rsidR="00A9476C">
        <w:rPr>
          <w:rFonts w:asciiTheme="majorHAnsi" w:hAnsiTheme="majorHAnsi" w:cs="Times New Roman"/>
          <w:sz w:val="24"/>
          <w:szCs w:val="24"/>
        </w:rPr>
        <w:t>а</w:t>
      </w:r>
      <w:r w:rsidRPr="00E14786">
        <w:rPr>
          <w:rFonts w:asciiTheme="majorHAnsi" w:hAnsiTheme="majorHAnsi" w:cs="Times New Roman"/>
          <w:sz w:val="24"/>
          <w:szCs w:val="24"/>
        </w:rPr>
        <w:t xml:space="preserve"> на обученията и участие</w:t>
      </w:r>
      <w:r w:rsidR="00A9476C">
        <w:rPr>
          <w:rFonts w:asciiTheme="majorHAnsi" w:hAnsiTheme="majorHAnsi" w:cs="Times New Roman"/>
          <w:sz w:val="24"/>
          <w:szCs w:val="24"/>
        </w:rPr>
        <w:t>то</w:t>
      </w:r>
      <w:r w:rsidRPr="00E14786">
        <w:rPr>
          <w:rFonts w:asciiTheme="majorHAnsi" w:hAnsiTheme="majorHAnsi" w:cs="Times New Roman"/>
          <w:sz w:val="24"/>
          <w:szCs w:val="24"/>
        </w:rPr>
        <w:t xml:space="preserve"> на служителите в тях.</w:t>
      </w:r>
      <w:r w:rsidR="00A9476C">
        <w:rPr>
          <w:rFonts w:asciiTheme="majorHAnsi" w:hAnsiTheme="majorHAnsi" w:cs="Times New Roman"/>
          <w:sz w:val="24"/>
          <w:szCs w:val="24"/>
        </w:rPr>
        <w:t xml:space="preserve"> </w:t>
      </w:r>
    </w:p>
    <w:p w14:paraId="44769EED" w14:textId="17AF3E32" w:rsidR="00E14786" w:rsidRPr="00E14786" w:rsidRDefault="00A9476C" w:rsidP="00E14786">
      <w:pPr>
        <w:spacing w:after="0"/>
        <w:ind w:firstLine="567"/>
        <w:jc w:val="both"/>
        <w:rPr>
          <w:rFonts w:asciiTheme="majorHAnsi" w:hAnsiTheme="majorHAnsi" w:cs="Times New Roman"/>
          <w:sz w:val="24"/>
          <w:szCs w:val="24"/>
        </w:rPr>
      </w:pPr>
      <w:r>
        <w:rPr>
          <w:rFonts w:asciiTheme="majorHAnsi" w:hAnsiTheme="majorHAnsi" w:cs="Times New Roman"/>
          <w:sz w:val="24"/>
          <w:szCs w:val="24"/>
        </w:rPr>
        <w:lastRenderedPageBreak/>
        <w:t xml:space="preserve">Като елемент от системата за обучения на служителите в УО, ангажирани в процеса на мониторинг и оценка, </w:t>
      </w:r>
      <w:r w:rsidR="00E14786" w:rsidRPr="00E14786">
        <w:rPr>
          <w:rFonts w:asciiTheme="majorHAnsi" w:hAnsiTheme="majorHAnsi" w:cs="Times New Roman"/>
          <w:sz w:val="24"/>
          <w:szCs w:val="24"/>
        </w:rPr>
        <w:t>могат да бъдат използвани специализираните обучения, провеждани от Европейският институт за публична администрация, участие в международни конференции за оценка на изпълнението и въздействието на ЕСИФ, провеждане на партньорски преглед (peer review), както и в други обучения и инициативи, организирани в България, от ЕК и др.</w:t>
      </w:r>
    </w:p>
    <w:p w14:paraId="04D77BA9" w14:textId="77777777" w:rsidR="00E14786" w:rsidRPr="00A06340" w:rsidRDefault="00E14786" w:rsidP="00E14786">
      <w:pPr>
        <w:spacing w:after="0"/>
        <w:ind w:firstLine="567"/>
        <w:jc w:val="both"/>
        <w:rPr>
          <w:rFonts w:asciiTheme="majorHAnsi" w:hAnsiTheme="majorHAnsi" w:cs="Times New Roman"/>
          <w:b/>
          <w:sz w:val="24"/>
          <w:szCs w:val="24"/>
        </w:rPr>
      </w:pPr>
    </w:p>
    <w:p w14:paraId="766CABCA" w14:textId="77777777" w:rsidR="00A06340" w:rsidRPr="00A06340" w:rsidRDefault="00A06340" w:rsidP="004D0069">
      <w:pPr>
        <w:pStyle w:val="Heading2"/>
        <w:rPr>
          <w:rFonts w:cs="Times New Roman"/>
          <w:b/>
          <w:sz w:val="24"/>
          <w:szCs w:val="24"/>
        </w:rPr>
      </w:pPr>
      <w:bookmarkStart w:id="9" w:name="_Toc7098474"/>
      <w:r w:rsidRPr="00A06340">
        <w:rPr>
          <w:rFonts w:cs="Times New Roman"/>
          <w:b/>
          <w:bCs/>
          <w:sz w:val="24"/>
          <w:szCs w:val="24"/>
        </w:rPr>
        <w:t xml:space="preserve">2.4. </w:t>
      </w:r>
      <w:r w:rsidRPr="00A06340">
        <w:rPr>
          <w:rFonts w:cs="Times New Roman"/>
          <w:b/>
          <w:sz w:val="24"/>
          <w:szCs w:val="24"/>
        </w:rPr>
        <w:t>Насоки за осигуряване на разпространението на резултатите от оценките</w:t>
      </w:r>
      <w:bookmarkEnd w:id="9"/>
    </w:p>
    <w:p w14:paraId="42074C15" w14:textId="77777777" w:rsidR="00A06340" w:rsidRPr="00A06340" w:rsidRDefault="00A06340" w:rsidP="00A06340">
      <w:pPr>
        <w:spacing w:after="0"/>
        <w:ind w:firstLine="567"/>
        <w:jc w:val="both"/>
        <w:rPr>
          <w:rFonts w:asciiTheme="majorHAnsi" w:hAnsiTheme="majorHAnsi" w:cs="Times New Roman"/>
          <w:b/>
          <w:sz w:val="24"/>
          <w:szCs w:val="24"/>
        </w:rPr>
      </w:pPr>
      <w:r w:rsidRPr="00A06340">
        <w:rPr>
          <w:rFonts w:asciiTheme="majorHAnsi" w:hAnsiTheme="majorHAnsi" w:cs="Times New Roman"/>
          <w:b/>
          <w:sz w:val="24"/>
          <w:szCs w:val="24"/>
        </w:rPr>
        <w:t xml:space="preserve"> </w:t>
      </w:r>
    </w:p>
    <w:p w14:paraId="374506CB" w14:textId="6FC87679" w:rsidR="00666A25" w:rsidRPr="00A06340" w:rsidRDefault="00A06340" w:rsidP="00666A25">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От съществено значение за извършването на качествен и ефикасен мониторинг на програмата е качеството на информацията, която се събира, обработва и съхранява от органите, ангажирани в прилагането на ПМДР и най-вече на УО. </w:t>
      </w:r>
    </w:p>
    <w:p w14:paraId="40DE0267" w14:textId="68CD026A"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Съгласно </w:t>
      </w:r>
      <w:r w:rsidR="00026A5E">
        <w:rPr>
          <w:rFonts w:asciiTheme="majorHAnsi" w:hAnsiTheme="majorHAnsi" w:cs="Times New Roman"/>
          <w:sz w:val="24"/>
          <w:szCs w:val="24"/>
        </w:rPr>
        <w:t>Глава 10</w:t>
      </w:r>
      <w:r w:rsidRPr="00A06340">
        <w:rPr>
          <w:rFonts w:asciiTheme="majorHAnsi" w:hAnsiTheme="majorHAnsi" w:cs="Times New Roman"/>
          <w:sz w:val="24"/>
          <w:szCs w:val="24"/>
        </w:rPr>
        <w:t xml:space="preserve"> от програмата, УО на ПМДР има ангажимент да осигури публичност на постигнатите резултати от оценките, като използва комбинация от няколко или всички от посочените комуникационни канали: </w:t>
      </w:r>
    </w:p>
    <w:p w14:paraId="200EF03A"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 Публикуване на резултатите от оценката на интернет страницата на програмата;</w:t>
      </w:r>
    </w:p>
    <w:p w14:paraId="7822AD7E"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 Включване на резултатите от оценката в годишните доклади за изпълнението;</w:t>
      </w:r>
    </w:p>
    <w:p w14:paraId="6566C577"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 Представяне на основните констатации на съответните работни заседания и работни групи;</w:t>
      </w:r>
    </w:p>
    <w:p w14:paraId="32B24876"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 Публикуване на информационни бюлетини по програмата.</w:t>
      </w:r>
    </w:p>
    <w:p w14:paraId="7875EA81" w14:textId="77777777" w:rsidR="00666A25" w:rsidRDefault="00666A25" w:rsidP="00666A25">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След изготвянето на оценка на програмата, като част от дейностите по комуникация, се предвижда резултатите от оценката да бъдат предадени на УО на ПМДР. Събраните данни и констатациите от оценката ще осигурят по-голяма добавена стойност за разработването на политики и по този начин ще поставят основата за политики, основани на доказателства, и по-добро управление на програмата. </w:t>
      </w:r>
    </w:p>
    <w:p w14:paraId="5EB23C17" w14:textId="77777777" w:rsidR="00666A25" w:rsidRPr="00A06340" w:rsidRDefault="00666A25" w:rsidP="00666A25">
      <w:pPr>
        <w:spacing w:after="0"/>
        <w:ind w:firstLine="567"/>
        <w:jc w:val="both"/>
        <w:rPr>
          <w:rFonts w:asciiTheme="majorHAnsi" w:hAnsiTheme="majorHAnsi" w:cs="Times New Roman"/>
          <w:sz w:val="24"/>
          <w:szCs w:val="24"/>
        </w:rPr>
      </w:pPr>
      <w:r w:rsidRPr="00666A25">
        <w:rPr>
          <w:rFonts w:asciiTheme="majorHAnsi" w:hAnsiTheme="majorHAnsi" w:cs="Times New Roman"/>
          <w:sz w:val="24"/>
          <w:szCs w:val="24"/>
        </w:rPr>
        <w:t xml:space="preserve">Основните изводи от извършените оценки </w:t>
      </w:r>
      <w:r>
        <w:rPr>
          <w:rFonts w:asciiTheme="majorHAnsi" w:hAnsiTheme="majorHAnsi" w:cs="Times New Roman"/>
          <w:sz w:val="24"/>
          <w:szCs w:val="24"/>
        </w:rPr>
        <w:t>ще бъдат</w:t>
      </w:r>
      <w:r w:rsidRPr="00666A25">
        <w:rPr>
          <w:rFonts w:asciiTheme="majorHAnsi" w:hAnsiTheme="majorHAnsi" w:cs="Times New Roman"/>
          <w:sz w:val="24"/>
          <w:szCs w:val="24"/>
        </w:rPr>
        <w:t xml:space="preserve"> включ</w:t>
      </w:r>
      <w:r>
        <w:rPr>
          <w:rFonts w:asciiTheme="majorHAnsi" w:hAnsiTheme="majorHAnsi" w:cs="Times New Roman"/>
          <w:sz w:val="24"/>
          <w:szCs w:val="24"/>
        </w:rPr>
        <w:t>ени</w:t>
      </w:r>
      <w:r w:rsidRPr="00666A25">
        <w:rPr>
          <w:rFonts w:asciiTheme="majorHAnsi" w:hAnsiTheme="majorHAnsi" w:cs="Times New Roman"/>
          <w:sz w:val="24"/>
          <w:szCs w:val="24"/>
        </w:rPr>
        <w:t xml:space="preserve"> в Годишните доклади за изпълнение на ПМДР, изпращани до Европейската комисия, както и в информацията за изпълнение на оценките, представяна на КН. Въз основа на резултатите и констатациите от извършените оценки, УО изготвя и представя за одобрение на Ръководителя на УО план за действие за изпълнение на препоръките. Напредъкът в изпълнението на плана за действие ще се докладва на КН.</w:t>
      </w:r>
    </w:p>
    <w:p w14:paraId="0F1E0C75" w14:textId="77777777" w:rsidR="00666A25" w:rsidRPr="00BA6CF3" w:rsidRDefault="00666A25" w:rsidP="00666A25">
      <w:pPr>
        <w:spacing w:after="0"/>
        <w:ind w:firstLine="567"/>
        <w:jc w:val="both"/>
        <w:rPr>
          <w:rFonts w:asciiTheme="majorHAnsi" w:hAnsiTheme="majorHAnsi" w:cs="Times New Roman"/>
          <w:sz w:val="24"/>
          <w:szCs w:val="24"/>
        </w:rPr>
      </w:pPr>
      <w:r w:rsidRPr="00BA6CF3">
        <w:rPr>
          <w:rFonts w:asciiTheme="majorHAnsi" w:hAnsiTheme="majorHAnsi" w:cs="Times New Roman"/>
          <w:sz w:val="24"/>
          <w:szCs w:val="24"/>
        </w:rPr>
        <w:lastRenderedPageBreak/>
        <w:t xml:space="preserve">За отразяването на препоръките и констатациите от оценките УО на програмата следва да предприеме следните действия: </w:t>
      </w:r>
    </w:p>
    <w:p w14:paraId="0ED09EBA" w14:textId="77777777" w:rsidR="00666A25" w:rsidRPr="00BA6CF3" w:rsidRDefault="00666A25" w:rsidP="00666A25">
      <w:pPr>
        <w:spacing w:after="0"/>
        <w:ind w:firstLine="567"/>
        <w:jc w:val="both"/>
        <w:rPr>
          <w:rFonts w:asciiTheme="majorHAnsi" w:hAnsiTheme="majorHAnsi" w:cs="Times New Roman"/>
          <w:sz w:val="24"/>
          <w:szCs w:val="24"/>
        </w:rPr>
      </w:pPr>
      <w:r w:rsidRPr="00BA6CF3">
        <w:rPr>
          <w:rFonts w:asciiTheme="majorHAnsi" w:hAnsiTheme="majorHAnsi" w:cs="Times New Roman"/>
          <w:sz w:val="24"/>
          <w:szCs w:val="24"/>
        </w:rPr>
        <w:t>•</w:t>
      </w:r>
      <w:r w:rsidRPr="00BA6CF3">
        <w:rPr>
          <w:rFonts w:asciiTheme="majorHAnsi" w:hAnsiTheme="majorHAnsi" w:cs="Times New Roman"/>
          <w:sz w:val="24"/>
          <w:szCs w:val="24"/>
        </w:rPr>
        <w:tab/>
        <w:t>Създаване на план за действие за наблюдение на изпълняваните дейности;</w:t>
      </w:r>
    </w:p>
    <w:p w14:paraId="7465FE37" w14:textId="77777777" w:rsidR="00666A25" w:rsidRPr="00BA6CF3" w:rsidRDefault="00666A25" w:rsidP="00666A25">
      <w:pPr>
        <w:spacing w:after="0"/>
        <w:ind w:firstLine="567"/>
        <w:jc w:val="both"/>
        <w:rPr>
          <w:rFonts w:asciiTheme="majorHAnsi" w:hAnsiTheme="majorHAnsi" w:cs="Times New Roman"/>
          <w:sz w:val="24"/>
          <w:szCs w:val="24"/>
        </w:rPr>
      </w:pPr>
      <w:r w:rsidRPr="00BA6CF3">
        <w:rPr>
          <w:rFonts w:asciiTheme="majorHAnsi" w:hAnsiTheme="majorHAnsi" w:cs="Times New Roman"/>
          <w:sz w:val="24"/>
          <w:szCs w:val="24"/>
        </w:rPr>
        <w:t>•</w:t>
      </w:r>
      <w:r w:rsidRPr="00BA6CF3">
        <w:rPr>
          <w:rFonts w:asciiTheme="majorHAnsi" w:hAnsiTheme="majorHAnsi" w:cs="Times New Roman"/>
          <w:sz w:val="24"/>
          <w:szCs w:val="24"/>
        </w:rPr>
        <w:tab/>
      </w:r>
      <w:r w:rsidRPr="00876221">
        <w:rPr>
          <w:rFonts w:asciiTheme="majorHAnsi" w:hAnsiTheme="majorHAnsi" w:cs="Times New Roman"/>
          <w:sz w:val="24"/>
          <w:szCs w:val="24"/>
        </w:rPr>
        <w:t>Представяне на резултатите от оценките в подходящ обем и форма до съответните потребители</w:t>
      </w:r>
      <w:r>
        <w:rPr>
          <w:rFonts w:asciiTheme="majorHAnsi" w:hAnsiTheme="majorHAnsi" w:cs="Times New Roman"/>
          <w:sz w:val="24"/>
          <w:szCs w:val="24"/>
        </w:rPr>
        <w:t>, например о</w:t>
      </w:r>
      <w:r w:rsidRPr="00BA6CF3">
        <w:rPr>
          <w:rFonts w:asciiTheme="majorHAnsi" w:hAnsiTheme="majorHAnsi" w:cs="Times New Roman"/>
          <w:sz w:val="24"/>
          <w:szCs w:val="24"/>
        </w:rPr>
        <w:t>рганизиране на семинари</w:t>
      </w:r>
      <w:r>
        <w:rPr>
          <w:rFonts w:asciiTheme="majorHAnsi" w:hAnsiTheme="majorHAnsi" w:cs="Times New Roman"/>
          <w:sz w:val="24"/>
          <w:szCs w:val="24"/>
        </w:rPr>
        <w:t>, информационни срещи и конференции за информиране на заинтересованите страни за</w:t>
      </w:r>
      <w:r w:rsidRPr="00BA6CF3">
        <w:rPr>
          <w:rFonts w:asciiTheme="majorHAnsi" w:hAnsiTheme="majorHAnsi" w:cs="Times New Roman"/>
          <w:sz w:val="24"/>
          <w:szCs w:val="24"/>
        </w:rPr>
        <w:t xml:space="preserve"> препоръките от оценките;</w:t>
      </w:r>
    </w:p>
    <w:p w14:paraId="07D66A1D" w14:textId="77777777" w:rsidR="00666A25" w:rsidRPr="00BA6CF3" w:rsidRDefault="00666A25" w:rsidP="00666A25">
      <w:pPr>
        <w:spacing w:after="0"/>
        <w:ind w:firstLine="567"/>
        <w:jc w:val="both"/>
        <w:rPr>
          <w:rFonts w:asciiTheme="majorHAnsi" w:hAnsiTheme="majorHAnsi" w:cs="Times New Roman"/>
          <w:sz w:val="24"/>
          <w:szCs w:val="24"/>
        </w:rPr>
      </w:pPr>
      <w:r w:rsidRPr="00BA6CF3">
        <w:rPr>
          <w:rFonts w:asciiTheme="majorHAnsi" w:hAnsiTheme="majorHAnsi" w:cs="Times New Roman"/>
          <w:sz w:val="24"/>
          <w:szCs w:val="24"/>
        </w:rPr>
        <w:t>•</w:t>
      </w:r>
      <w:r w:rsidRPr="00BA6CF3">
        <w:rPr>
          <w:rFonts w:asciiTheme="majorHAnsi" w:hAnsiTheme="majorHAnsi" w:cs="Times New Roman"/>
          <w:sz w:val="24"/>
          <w:szCs w:val="24"/>
        </w:rPr>
        <w:tab/>
        <w:t>Редовно интегриране на наблюдението на оценките.</w:t>
      </w:r>
    </w:p>
    <w:p w14:paraId="47B17DD4" w14:textId="77777777" w:rsidR="00666A25" w:rsidRPr="00BA6CF3" w:rsidRDefault="00666A25" w:rsidP="00666A25">
      <w:pPr>
        <w:spacing w:after="0"/>
        <w:ind w:firstLine="567"/>
        <w:jc w:val="both"/>
        <w:rPr>
          <w:rFonts w:asciiTheme="majorHAnsi" w:hAnsiTheme="majorHAnsi" w:cs="Times New Roman"/>
          <w:sz w:val="24"/>
          <w:szCs w:val="24"/>
        </w:rPr>
      </w:pPr>
    </w:p>
    <w:p w14:paraId="2963DA29" w14:textId="53A1049D" w:rsidR="00BA6CF3" w:rsidRDefault="00666A25" w:rsidP="00BA6CF3">
      <w:pPr>
        <w:spacing w:after="0"/>
        <w:ind w:firstLine="567"/>
        <w:jc w:val="both"/>
        <w:rPr>
          <w:rFonts w:asciiTheme="majorHAnsi" w:hAnsiTheme="majorHAnsi" w:cs="Times New Roman"/>
          <w:sz w:val="24"/>
          <w:szCs w:val="24"/>
        </w:rPr>
      </w:pPr>
      <w:r>
        <w:rPr>
          <w:rFonts w:asciiTheme="majorHAnsi" w:hAnsiTheme="majorHAnsi" w:cs="Times New Roman"/>
          <w:sz w:val="24"/>
          <w:szCs w:val="24"/>
        </w:rPr>
        <w:t>Важен</w:t>
      </w:r>
      <w:r w:rsidRPr="00666A25">
        <w:rPr>
          <w:rFonts w:asciiTheme="majorHAnsi" w:hAnsiTheme="majorHAnsi" w:cs="Times New Roman"/>
          <w:sz w:val="24"/>
          <w:szCs w:val="24"/>
        </w:rPr>
        <w:t xml:space="preserve"> механизъм за гарантиране на използването на резултатите от оценките е включването на заинтересованите в процеса на оценяване и разпространение на информация. Това ще доведе и до повишаване на доверието в резултатите от оценките, и подобряване на шансовете за изпълнение на препоръките.</w:t>
      </w:r>
      <w:r>
        <w:rPr>
          <w:rFonts w:asciiTheme="majorHAnsi" w:hAnsiTheme="majorHAnsi" w:cs="Times New Roman"/>
          <w:sz w:val="24"/>
          <w:szCs w:val="24"/>
        </w:rPr>
        <w:t xml:space="preserve"> </w:t>
      </w:r>
      <w:r w:rsidR="00BA6CF3" w:rsidRPr="00BA6CF3">
        <w:rPr>
          <w:rFonts w:asciiTheme="majorHAnsi" w:hAnsiTheme="majorHAnsi" w:cs="Times New Roman"/>
          <w:sz w:val="24"/>
          <w:szCs w:val="24"/>
        </w:rPr>
        <w:t xml:space="preserve">Разпространението на резултатите от оценката на програмата ще послужи за повишаване на публичността на ПМДР и ще подпомогне процесът на нейното изпълнение. УО на програмата отговаря за съобщаването на резултатите от оценката на заинтересованите страни, в т. ч. Комитета за наблюдение на ПМДР, партньорите и Европейската комисия. </w:t>
      </w:r>
    </w:p>
    <w:p w14:paraId="633AD360" w14:textId="2538897F" w:rsidR="00666A25" w:rsidRDefault="00666A25" w:rsidP="00BA6CF3">
      <w:pPr>
        <w:spacing w:after="0"/>
        <w:ind w:firstLine="567"/>
        <w:jc w:val="both"/>
        <w:rPr>
          <w:rFonts w:asciiTheme="majorHAnsi" w:hAnsiTheme="majorHAnsi" w:cs="Times New Roman"/>
          <w:sz w:val="24"/>
          <w:szCs w:val="24"/>
        </w:rPr>
      </w:pPr>
      <w:r w:rsidRPr="00666A25">
        <w:rPr>
          <w:rFonts w:asciiTheme="majorHAnsi" w:hAnsiTheme="majorHAnsi" w:cs="Times New Roman"/>
          <w:sz w:val="24"/>
          <w:szCs w:val="24"/>
        </w:rPr>
        <w:t>Целта на разпространение на резултатите от оценките е да се осигури достъп до препоръките и изводите от проведените изследвания на всички заинтересовани страни. Това е важно условие за правилното отразяване на изводите и резултатите от оценките в процеса на програмиране и изпълнение, за повишаване на общия ефект от провеждането на оценките, за по-добро разбиране за програмата, нейните резултати и въздействия, съществуващи добри практики и др.</w:t>
      </w:r>
    </w:p>
    <w:p w14:paraId="62CBE9A2" w14:textId="60B7048D" w:rsidR="00666A25" w:rsidRPr="00BA6CF3" w:rsidRDefault="00EF6338" w:rsidP="00BA6CF3">
      <w:pPr>
        <w:spacing w:after="0"/>
        <w:ind w:firstLine="567"/>
        <w:jc w:val="both"/>
        <w:rPr>
          <w:rFonts w:asciiTheme="majorHAnsi" w:hAnsiTheme="majorHAnsi" w:cs="Times New Roman"/>
          <w:sz w:val="24"/>
          <w:szCs w:val="24"/>
        </w:rPr>
      </w:pPr>
      <w:r w:rsidRPr="00EF6338">
        <w:rPr>
          <w:rFonts w:asciiTheme="majorHAnsi" w:hAnsiTheme="majorHAnsi" w:cs="Times New Roman"/>
          <w:sz w:val="24"/>
          <w:szCs w:val="24"/>
        </w:rPr>
        <w:t>Съгласно чл. 54 (4) от Регламент 1303/2013, всички оценки се правят обществено достояние. Поради тази причина, УО предвижда да представя резултатите от всички оценки на ПМДР, както на вниманието на КН, така и на широката общественост, като публикува информация на официалната Интернет-страница на програмата, като ще бъдат използвани и други подходящи поводи и комуникационни канали.</w:t>
      </w:r>
    </w:p>
    <w:p w14:paraId="70FD9BB5" w14:textId="0A309AC1" w:rsidR="00BA6CF3" w:rsidRDefault="001A304F" w:rsidP="00A06340">
      <w:pPr>
        <w:spacing w:after="0"/>
        <w:ind w:firstLine="567"/>
        <w:jc w:val="both"/>
        <w:rPr>
          <w:rFonts w:asciiTheme="majorHAnsi" w:hAnsiTheme="majorHAnsi" w:cs="Times New Roman"/>
          <w:sz w:val="24"/>
          <w:szCs w:val="24"/>
        </w:rPr>
      </w:pPr>
      <w:r w:rsidRPr="001A304F">
        <w:rPr>
          <w:rFonts w:asciiTheme="majorHAnsi" w:hAnsiTheme="majorHAnsi" w:cs="Times New Roman"/>
          <w:sz w:val="24"/>
          <w:szCs w:val="24"/>
        </w:rPr>
        <w:t>За целите на ПМДР се предвижда да се използват следните канали за разпространение на информация, при спазване на приложимите правила за достъп до информация:</w:t>
      </w:r>
    </w:p>
    <w:p w14:paraId="4460C7E1" w14:textId="4077FBD5" w:rsidR="001A304F" w:rsidRPr="00E67CEC" w:rsidRDefault="001A304F" w:rsidP="00665802">
      <w:pPr>
        <w:pStyle w:val="ListParagraph"/>
        <w:numPr>
          <w:ilvl w:val="0"/>
          <w:numId w:val="4"/>
        </w:numPr>
        <w:spacing w:after="0"/>
        <w:ind w:left="0" w:firstLine="567"/>
        <w:jc w:val="both"/>
        <w:rPr>
          <w:rFonts w:asciiTheme="majorHAnsi" w:hAnsiTheme="majorHAnsi" w:cs="Times New Roman"/>
          <w:sz w:val="24"/>
          <w:szCs w:val="24"/>
        </w:rPr>
      </w:pPr>
      <w:r w:rsidRPr="00E67CEC">
        <w:rPr>
          <w:rFonts w:asciiTheme="majorHAnsi" w:hAnsiTheme="majorHAnsi" w:cs="Times New Roman"/>
          <w:sz w:val="24"/>
          <w:szCs w:val="24"/>
        </w:rPr>
        <w:t>Разпространение на докладите за оценка по електронна поща;</w:t>
      </w:r>
    </w:p>
    <w:p w14:paraId="37FF8881" w14:textId="40BA0C0D" w:rsidR="001A304F" w:rsidRPr="001A304F" w:rsidRDefault="001A304F" w:rsidP="001A304F">
      <w:pPr>
        <w:spacing w:after="0"/>
        <w:ind w:firstLine="567"/>
        <w:jc w:val="both"/>
        <w:rPr>
          <w:rFonts w:asciiTheme="majorHAnsi" w:hAnsiTheme="majorHAnsi" w:cs="Times New Roman"/>
          <w:sz w:val="24"/>
          <w:szCs w:val="24"/>
        </w:rPr>
      </w:pPr>
      <w:r w:rsidRPr="001A304F">
        <w:rPr>
          <w:rFonts w:asciiTheme="majorHAnsi" w:hAnsiTheme="majorHAnsi" w:cs="Times New Roman"/>
          <w:sz w:val="24"/>
          <w:szCs w:val="24"/>
        </w:rPr>
        <w:t xml:space="preserve">Информация с резултатите от докладите за оценка ще бъде изпращана до </w:t>
      </w:r>
      <w:r>
        <w:rPr>
          <w:rFonts w:asciiTheme="majorHAnsi" w:hAnsiTheme="majorHAnsi" w:cs="Times New Roman"/>
          <w:sz w:val="24"/>
          <w:szCs w:val="24"/>
        </w:rPr>
        <w:t>определен кръг лица, определени от Ръководителя на УО, вкл. представители на</w:t>
      </w:r>
      <w:r w:rsidRPr="001A304F">
        <w:rPr>
          <w:rFonts w:asciiTheme="majorHAnsi" w:hAnsiTheme="majorHAnsi" w:cs="Times New Roman"/>
          <w:sz w:val="24"/>
          <w:szCs w:val="24"/>
        </w:rPr>
        <w:t xml:space="preserve"> </w:t>
      </w:r>
      <w:r w:rsidRPr="001A304F">
        <w:rPr>
          <w:rFonts w:asciiTheme="majorHAnsi" w:hAnsiTheme="majorHAnsi" w:cs="Times New Roman"/>
          <w:sz w:val="24"/>
          <w:szCs w:val="24"/>
        </w:rPr>
        <w:lastRenderedPageBreak/>
        <w:t xml:space="preserve">УО, </w:t>
      </w:r>
      <w:r>
        <w:rPr>
          <w:rFonts w:asciiTheme="majorHAnsi" w:hAnsiTheme="majorHAnsi" w:cs="Times New Roman"/>
          <w:sz w:val="24"/>
          <w:szCs w:val="24"/>
        </w:rPr>
        <w:t xml:space="preserve">МО, ДФЗ – РА, </w:t>
      </w:r>
      <w:r w:rsidRPr="001A304F">
        <w:rPr>
          <w:rFonts w:asciiTheme="majorHAnsi" w:hAnsiTheme="majorHAnsi" w:cs="Times New Roman"/>
          <w:sz w:val="24"/>
          <w:szCs w:val="24"/>
        </w:rPr>
        <w:t xml:space="preserve">КН, </w:t>
      </w:r>
      <w:r>
        <w:rPr>
          <w:rFonts w:asciiTheme="majorHAnsi" w:hAnsiTheme="majorHAnsi" w:cs="Times New Roman"/>
          <w:sz w:val="24"/>
          <w:szCs w:val="24"/>
        </w:rPr>
        <w:t>други администрации и заинтересовани страни. У</w:t>
      </w:r>
      <w:r w:rsidRPr="001A304F">
        <w:rPr>
          <w:rFonts w:asciiTheme="majorHAnsi" w:hAnsiTheme="majorHAnsi" w:cs="Times New Roman"/>
          <w:sz w:val="24"/>
          <w:szCs w:val="24"/>
        </w:rPr>
        <w:t>правляващият орган си запазва правото да променя и/или разширява списъка за разпространение на информация.</w:t>
      </w:r>
    </w:p>
    <w:p w14:paraId="61248923" w14:textId="037B1EC9" w:rsidR="001A304F" w:rsidRPr="00E67CEC" w:rsidRDefault="001A304F" w:rsidP="00665802">
      <w:pPr>
        <w:pStyle w:val="ListParagraph"/>
        <w:numPr>
          <w:ilvl w:val="0"/>
          <w:numId w:val="4"/>
        </w:numPr>
        <w:spacing w:after="0"/>
        <w:ind w:left="0" w:firstLine="567"/>
        <w:jc w:val="both"/>
        <w:rPr>
          <w:rFonts w:asciiTheme="majorHAnsi" w:hAnsiTheme="majorHAnsi" w:cs="Times New Roman"/>
          <w:sz w:val="24"/>
          <w:szCs w:val="24"/>
        </w:rPr>
      </w:pPr>
      <w:r w:rsidRPr="00E67CEC">
        <w:rPr>
          <w:rFonts w:asciiTheme="majorHAnsi" w:hAnsiTheme="majorHAnsi" w:cs="Times New Roman"/>
          <w:sz w:val="24"/>
          <w:szCs w:val="24"/>
        </w:rPr>
        <w:t>Интернет – чрез Интернет-страницата на УО, Единния информационен портал за структурните фондове на ЕС и при възможност, други подходящи страници;</w:t>
      </w:r>
    </w:p>
    <w:p w14:paraId="51AE0078" w14:textId="77777777" w:rsidR="001A304F" w:rsidRPr="001A304F" w:rsidRDefault="001A304F" w:rsidP="001A304F">
      <w:pPr>
        <w:spacing w:after="0"/>
        <w:ind w:firstLine="567"/>
        <w:jc w:val="both"/>
        <w:rPr>
          <w:rFonts w:asciiTheme="majorHAnsi" w:hAnsiTheme="majorHAnsi" w:cs="Times New Roman"/>
          <w:sz w:val="24"/>
          <w:szCs w:val="24"/>
        </w:rPr>
      </w:pPr>
      <w:r w:rsidRPr="001A304F">
        <w:rPr>
          <w:rFonts w:asciiTheme="majorHAnsi" w:hAnsiTheme="majorHAnsi" w:cs="Times New Roman"/>
          <w:sz w:val="24"/>
          <w:szCs w:val="24"/>
        </w:rPr>
        <w:t>За да се осигури максимална публичност, резюмето и препоръките от крайния доклад от оценката ще бъдат достъпни в интернет след представянето им пред Комитета за наблюдение.</w:t>
      </w:r>
    </w:p>
    <w:p w14:paraId="1B54E5FF" w14:textId="523A105B" w:rsidR="001A304F" w:rsidRPr="00E67CEC" w:rsidRDefault="001A304F" w:rsidP="00665802">
      <w:pPr>
        <w:pStyle w:val="ListParagraph"/>
        <w:numPr>
          <w:ilvl w:val="0"/>
          <w:numId w:val="4"/>
        </w:numPr>
        <w:spacing w:after="0"/>
        <w:ind w:left="0" w:firstLine="567"/>
        <w:jc w:val="both"/>
        <w:rPr>
          <w:rFonts w:asciiTheme="majorHAnsi" w:hAnsiTheme="majorHAnsi" w:cs="Times New Roman"/>
          <w:sz w:val="24"/>
          <w:szCs w:val="24"/>
        </w:rPr>
      </w:pPr>
      <w:r w:rsidRPr="00E67CEC">
        <w:rPr>
          <w:rFonts w:asciiTheme="majorHAnsi" w:hAnsiTheme="majorHAnsi" w:cs="Times New Roman"/>
          <w:sz w:val="24"/>
          <w:szCs w:val="24"/>
        </w:rPr>
        <w:t>Медии (бюлетини, прессъобщения и други публикации);</w:t>
      </w:r>
    </w:p>
    <w:p w14:paraId="2308186B" w14:textId="2464E6F8" w:rsidR="001A304F" w:rsidRPr="00E67CEC" w:rsidRDefault="001A304F" w:rsidP="00665802">
      <w:pPr>
        <w:pStyle w:val="ListParagraph"/>
        <w:numPr>
          <w:ilvl w:val="0"/>
          <w:numId w:val="4"/>
        </w:numPr>
        <w:spacing w:after="0"/>
        <w:ind w:left="0" w:firstLine="567"/>
        <w:jc w:val="both"/>
        <w:rPr>
          <w:rFonts w:asciiTheme="majorHAnsi" w:hAnsiTheme="majorHAnsi" w:cs="Times New Roman"/>
          <w:sz w:val="24"/>
          <w:szCs w:val="24"/>
        </w:rPr>
      </w:pPr>
      <w:r w:rsidRPr="00E67CEC">
        <w:rPr>
          <w:rFonts w:asciiTheme="majorHAnsi" w:hAnsiTheme="majorHAnsi" w:cs="Times New Roman"/>
          <w:sz w:val="24"/>
          <w:szCs w:val="24"/>
        </w:rPr>
        <w:t>Семинари, тематични събития на национално и международно ниво, работни срещи и др.</w:t>
      </w:r>
    </w:p>
    <w:p w14:paraId="05AD8A66" w14:textId="089D7DDE" w:rsidR="001A304F" w:rsidRPr="001A304F" w:rsidRDefault="001A304F" w:rsidP="001A304F">
      <w:pPr>
        <w:spacing w:after="0"/>
        <w:ind w:firstLine="567"/>
        <w:jc w:val="both"/>
        <w:rPr>
          <w:rFonts w:asciiTheme="majorHAnsi" w:hAnsiTheme="majorHAnsi" w:cs="Times New Roman"/>
          <w:sz w:val="24"/>
          <w:szCs w:val="24"/>
        </w:rPr>
      </w:pPr>
      <w:r w:rsidRPr="001A304F">
        <w:rPr>
          <w:rFonts w:asciiTheme="majorHAnsi" w:hAnsiTheme="majorHAnsi" w:cs="Times New Roman"/>
          <w:sz w:val="24"/>
          <w:szCs w:val="24"/>
        </w:rPr>
        <w:t>След одобрението на окончателните доклади от оценките, същите може да бъдат представяни под формата на презентации по време на тематични събития на национално и международно ниво, семинари, конференции и др. подходящи форуми. Презентациите от своя страна ще бъдат достъпни за широката общественост на интернет страниците на организаторите на съответните събития.</w:t>
      </w:r>
    </w:p>
    <w:p w14:paraId="4C4B5435" w14:textId="77777777" w:rsidR="00BA6CF3" w:rsidRPr="00A06340" w:rsidRDefault="00BA6CF3" w:rsidP="00A06340">
      <w:pPr>
        <w:spacing w:after="0"/>
        <w:ind w:firstLine="567"/>
        <w:jc w:val="both"/>
        <w:rPr>
          <w:rFonts w:asciiTheme="majorHAnsi" w:hAnsiTheme="majorHAnsi" w:cs="Times New Roman"/>
          <w:b/>
          <w:sz w:val="24"/>
          <w:szCs w:val="24"/>
        </w:rPr>
      </w:pPr>
    </w:p>
    <w:p w14:paraId="235278C3" w14:textId="77777777" w:rsidR="00A06340" w:rsidRPr="00A06340" w:rsidRDefault="00A06340" w:rsidP="009E219B">
      <w:pPr>
        <w:pStyle w:val="Heading2"/>
        <w:rPr>
          <w:rFonts w:cs="Times New Roman"/>
          <w:b/>
          <w:sz w:val="24"/>
          <w:szCs w:val="24"/>
        </w:rPr>
      </w:pPr>
      <w:bookmarkStart w:id="10" w:name="_Toc7098475"/>
      <w:r w:rsidRPr="00A06340">
        <w:rPr>
          <w:rFonts w:cs="Times New Roman"/>
          <w:b/>
          <w:bCs/>
          <w:sz w:val="24"/>
          <w:szCs w:val="24"/>
        </w:rPr>
        <w:t xml:space="preserve">2.5. </w:t>
      </w:r>
      <w:r w:rsidRPr="00A06340">
        <w:rPr>
          <w:rFonts w:cs="Times New Roman"/>
          <w:b/>
          <w:sz w:val="24"/>
          <w:szCs w:val="24"/>
        </w:rPr>
        <w:t>График за указване как оценките ще допринесат за изпълнението и подготовката на различни доклади по програмата</w:t>
      </w:r>
      <w:bookmarkEnd w:id="10"/>
    </w:p>
    <w:p w14:paraId="2DEFA2BD" w14:textId="77777777" w:rsidR="00A06340" w:rsidRPr="00A06340" w:rsidRDefault="00A06340" w:rsidP="00A06340">
      <w:pPr>
        <w:spacing w:after="0"/>
        <w:ind w:firstLine="567"/>
        <w:jc w:val="both"/>
        <w:rPr>
          <w:rFonts w:asciiTheme="majorHAnsi" w:hAnsiTheme="majorHAnsi" w:cs="Times New Roman"/>
          <w:b/>
          <w:sz w:val="24"/>
          <w:szCs w:val="24"/>
        </w:rPr>
      </w:pPr>
    </w:p>
    <w:p w14:paraId="1B86CBD4"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Планът за оценка съдържа списък на оценките, които УО планира да проведе през програмния период, като той не включва вече проведените предварителна оценка и стратегическа оценка на околната среда на ПМДР 2014-2020.</w:t>
      </w:r>
    </w:p>
    <w:p w14:paraId="1D463685"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Въз основа на разработения План за оценка през програмния период УО гарантира извършването на подходящи и навременни оценки, включително за оценяване на ефективността, ефикасността и въздействието на програмата, както и че всяка оценка е подложена на подходящо проследяване.</w:t>
      </w:r>
    </w:p>
    <w:p w14:paraId="29A65021"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Изготвянето на Плана за оценка допринася за преодоляване на идентифицираните през програмния период 2007-2013 г. пропуски в капацитета за наблюдение и оценка на програмата, които създадоха предпостави за забавяне на необходимите действия за препрограмиране. В периода 2014-2020 г. основен акцент се поставя върху изпълнението, ориентирано към резултатите и подобни процеси могат да доведат до загуба на резерва за изпълнение при непостигане на заложените етапни цели. В този смисъл, чрез Плана за оценка специално </w:t>
      </w:r>
      <w:r w:rsidRPr="00A06340">
        <w:rPr>
          <w:rFonts w:asciiTheme="majorHAnsi" w:hAnsiTheme="majorHAnsi" w:cs="Times New Roman"/>
          <w:sz w:val="24"/>
          <w:szCs w:val="24"/>
        </w:rPr>
        <w:lastRenderedPageBreak/>
        <w:t>внимание ще бъде отделено на оценката на ефективността и ефикасността на процедурите за предоставяне на БФП, системата за предоставяне на помощта по ПМДР, в т.ч. по отношение на заложените индикатори и системата за тяхното събиране и отчитане, финансовите инструменти. Получаването на навременна информация относно резултатите от изпълнението на процедурите за предоставяне на БФП и финансовите инструменти, и особено тези, които са стартирани в началото на програмния период, ще допринесе за навременното предприемане на корективни мерки, при необходимост и до избягване на опасността от загуба на резерва за изпълнение по програмата.</w:t>
      </w:r>
    </w:p>
    <w:p w14:paraId="6C5CC439" w14:textId="5D9A7B32"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Планът за оценка гарантира получаване на своевременна информация и увереност, че предприетите от УО действия водят до постигане на целите и приоритетите на програмата, както и че гарантират най-голямо положително въздействие върху целевите групи и икономиката на страната като цяло. В този смисъл важен акцент в Плана за оценка е фокусът върху специфични теми и въпроси, които са от съществено значение за изпълнението на програмата, напр. приносът и въздействието на програмата</w:t>
      </w:r>
      <w:r w:rsidR="00482C06">
        <w:rPr>
          <w:rFonts w:asciiTheme="majorHAnsi" w:hAnsiTheme="majorHAnsi" w:cs="Times New Roman"/>
          <w:sz w:val="24"/>
          <w:szCs w:val="24"/>
        </w:rPr>
        <w:t xml:space="preserve">, </w:t>
      </w:r>
      <w:r w:rsidRPr="00A06340">
        <w:rPr>
          <w:rFonts w:asciiTheme="majorHAnsi" w:hAnsiTheme="majorHAnsi" w:cs="Times New Roman"/>
          <w:sz w:val="24"/>
          <w:szCs w:val="24"/>
        </w:rPr>
        <w:t>приносът към прилагането на подхода ВОМР, влиянието на програмата върху хоризонталните политики на ЕС и др.</w:t>
      </w:r>
    </w:p>
    <w:p w14:paraId="3DE0AE6D" w14:textId="4B2D04BC"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Чрез Плана за оценка се гарантира и навременното изготвяне на оценки, необходими за предоставяне на информация за докладите, които УО има ангажимент да предоставя на ЕК за периода след 2016 г. Такива са годишните доклади за изпълнение и докладите за напредъка, които следва да се представят през 2017 и 2019 г., съгласно чл.</w:t>
      </w:r>
      <w:r w:rsidR="004C206E">
        <w:rPr>
          <w:rFonts w:asciiTheme="majorHAnsi" w:hAnsiTheme="majorHAnsi" w:cs="Times New Roman"/>
          <w:sz w:val="24"/>
          <w:szCs w:val="24"/>
        </w:rPr>
        <w:t xml:space="preserve"> </w:t>
      </w:r>
      <w:r w:rsidRPr="00A06340">
        <w:rPr>
          <w:rFonts w:asciiTheme="majorHAnsi" w:hAnsiTheme="majorHAnsi" w:cs="Times New Roman"/>
          <w:sz w:val="24"/>
          <w:szCs w:val="24"/>
        </w:rPr>
        <w:t>50 и чл.</w:t>
      </w:r>
      <w:r w:rsidR="004C206E">
        <w:rPr>
          <w:rFonts w:asciiTheme="majorHAnsi" w:hAnsiTheme="majorHAnsi" w:cs="Times New Roman"/>
          <w:sz w:val="24"/>
          <w:szCs w:val="24"/>
        </w:rPr>
        <w:t xml:space="preserve"> </w:t>
      </w:r>
      <w:r w:rsidRPr="00A06340">
        <w:rPr>
          <w:rFonts w:asciiTheme="majorHAnsi" w:hAnsiTheme="majorHAnsi" w:cs="Times New Roman"/>
          <w:sz w:val="24"/>
          <w:szCs w:val="24"/>
        </w:rPr>
        <w:t>52 от Регламент 1303/2013 г., обобщения доклад и синтеза на констатациите за наличните оценки на програмата, които следва да бъдат предадени от Комисията всяка година от 2016 г. на Съвета, Европейския парламент, Европейския икономически и социален комитет и Комитета на Регионите (член 53). Стратегическите доклади на Комисията, които следва да се представят през 2017 г. и 2019 г. ще се позоват на докладите за напредъка на Държавите-членки (член 53 от Регламент (ЕС) № 1303/2013).</w:t>
      </w:r>
    </w:p>
    <w:p w14:paraId="6F905ED7" w14:textId="77777777" w:rsidR="00A06340" w:rsidRPr="00A06340" w:rsidRDefault="00A06340" w:rsidP="00A06340">
      <w:pPr>
        <w:spacing w:after="0"/>
        <w:ind w:firstLine="567"/>
        <w:jc w:val="both"/>
        <w:rPr>
          <w:rFonts w:asciiTheme="majorHAnsi" w:hAnsiTheme="majorHAnsi" w:cs="Times New Roman"/>
          <w:sz w:val="24"/>
          <w:szCs w:val="24"/>
        </w:rPr>
      </w:pPr>
    </w:p>
    <w:p w14:paraId="109356BE" w14:textId="77777777" w:rsidR="00A06340" w:rsidRPr="00113564" w:rsidRDefault="00A06340" w:rsidP="00113564">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Годишни доклади за изпълнение</w:t>
      </w:r>
    </w:p>
    <w:p w14:paraId="0C58E4B0" w14:textId="4915C674"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В съответствие с член 50, параграф 2 от Регламент (ЕС) № 1303/2013 годишните доклади за изпълнението предоставят ключова информация за изпълнението на ПМДР и нейните приоритети, като се позовават на финансовите данни, общите и специфичните показатели на програмата и се определят количествено целеви стойности, включително промени в стойността на показателите за резултат..  </w:t>
      </w:r>
    </w:p>
    <w:p w14:paraId="4949FA98"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lastRenderedPageBreak/>
        <w:t xml:space="preserve">Съдържанието на годишните доклади за изпълнение се определя с насоките на ЕК, посочени в член 2 от Регламент за изпълнение (ЕС) № 1362/2014 на Комисията от 18 декември 2014 г., който предоставя образец на доклад. Част А от доклада се отнася до информацията, която се представя от държавите-членки на годишна база от 2016 г. до 2024 г., докато части Б и В се отнасят до изискванията за докладване за 2017 г. и 2019 г. </w:t>
      </w:r>
    </w:p>
    <w:p w14:paraId="361F7E13"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Данните от индикаторите за резултат, напредък и финансовите показатели, включително информация за етапите и целите за рамката на изпълнението, се отчитат кумулативно, като посочват резултатите, постигнати година след година в таблици 1, 2, 3 от раздел 3.2 на доклада. Във връзка с приключването на ПМДР в съответствие с член 141, параграф 1 от Регламент (ЕС) № 1303/2013, последният годишен доклад за изпълнението обхваща последната счетоводна година от 1 юли 2023 г. до 30 юни 2024 г.</w:t>
      </w:r>
      <w:r w:rsidRPr="00A06340">
        <w:rPr>
          <w:rFonts w:asciiTheme="majorHAnsi" w:hAnsiTheme="majorHAnsi" w:cs="Times New Roman"/>
          <w:sz w:val="24"/>
          <w:szCs w:val="24"/>
        </w:rPr>
        <w:tab/>
        <w:t xml:space="preserve"> </w:t>
      </w:r>
    </w:p>
    <w:p w14:paraId="7134651C"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Освен отчитането на напредъка по изпълнението на ПМДР, се докладват и дейностите по оценяване, реализирани в посочената отчетна година в съответствие с раздел 8 от образеца на годишен доклад. Този раздел предоставя информация за следното:</w:t>
      </w:r>
    </w:p>
    <w:p w14:paraId="0217C495"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Обобщение на дейностите, предприети във връзка с изпълнението на Плана за оценка, включително последващи действия по отношение на констатациите от оценките; </w:t>
      </w:r>
    </w:p>
    <w:p w14:paraId="64DD40B3"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Обобщение на резултатите от всички оценки на програмата, които са станали достъпни през предходната финансова година, с позоваване на името и референтния период на използваните доклади за оценка;</w:t>
      </w:r>
    </w:p>
    <w:p w14:paraId="1707F231"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Хипервръзки към публично достъпни оценки съгласно член 54, параграф 4 от Регламент (ЕС) № 1303/2013. </w:t>
      </w:r>
    </w:p>
    <w:p w14:paraId="26E30025"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От изключително значение е информацията, предоставена в годишните доклади за изпълнение, да включва предприетите последващи действия на базата на отправените констатации в следствие от дейностите по оценка и техния постоянен принос към изпълнението ПМДР. Те следва да бъдат подкрепени от КН на програмата. </w:t>
      </w:r>
    </w:p>
    <w:p w14:paraId="6D8943B6" w14:textId="77777777" w:rsidR="00A06340" w:rsidRPr="00A06340" w:rsidRDefault="00A06340" w:rsidP="00A06340">
      <w:pPr>
        <w:spacing w:after="0"/>
        <w:ind w:firstLine="567"/>
        <w:jc w:val="both"/>
        <w:rPr>
          <w:rFonts w:asciiTheme="majorHAnsi" w:hAnsiTheme="majorHAnsi" w:cs="Times New Roman"/>
          <w:sz w:val="24"/>
          <w:szCs w:val="24"/>
        </w:rPr>
      </w:pPr>
    </w:p>
    <w:p w14:paraId="45F786C4" w14:textId="77777777" w:rsidR="00A06340" w:rsidRPr="00113564" w:rsidRDefault="00A06340" w:rsidP="00113564">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Междинни оценки (Interim)</w:t>
      </w:r>
    </w:p>
    <w:p w14:paraId="65CDDAE8"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По отношение на междинния преглед на програмата в член 125 от Регламент (ЕС) № 508/2014 на Европейския парламент и на Съвета от 15 май 2014 г. се посочва, че до 31 март 2017 г. Комисията представя на Европейския парламент и Съвета, междинен доклад за оценка на получените резултати и качествените и количествените аспекти на изпълнението на финансираните операции.</w:t>
      </w:r>
    </w:p>
    <w:p w14:paraId="2553E4F4" w14:textId="636B337E"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lastRenderedPageBreak/>
        <w:t>Както беше посочено по-горе задължението за междинна оценка, посочено в Регламент (ЕС) № 1303/2013, се отнася до изискване за Комисията, а не за държавите-членки. Първата междинна оценка на ПМДР е заложена да бъде извършена през 2017 г. Независимо от това, като се вземе предвид все още ранния етап, на който се намира изпълнението на програмата, и с цел ефективно и ефикасно проследяване на въздействието на ПМДР, първата Междинна оценка следва да се извърши през 2019 г., а втората - през 2021 г.</w:t>
      </w:r>
      <w:r w:rsidR="003345B4">
        <w:rPr>
          <w:rFonts w:asciiTheme="majorHAnsi" w:hAnsiTheme="majorHAnsi" w:cs="Times New Roman"/>
          <w:sz w:val="24"/>
          <w:szCs w:val="24"/>
        </w:rPr>
        <w:t xml:space="preserve"> </w:t>
      </w:r>
    </w:p>
    <w:p w14:paraId="1E8322FC" w14:textId="77777777" w:rsidR="00A06340" w:rsidRPr="00A06340" w:rsidRDefault="00A06340" w:rsidP="00A06340">
      <w:pPr>
        <w:spacing w:after="0"/>
        <w:ind w:firstLine="567"/>
        <w:jc w:val="both"/>
        <w:rPr>
          <w:rFonts w:asciiTheme="majorHAnsi" w:hAnsiTheme="majorHAnsi" w:cs="Times New Roman"/>
          <w:sz w:val="24"/>
          <w:szCs w:val="24"/>
        </w:rPr>
      </w:pPr>
    </w:p>
    <w:p w14:paraId="27E1D5D2" w14:textId="77777777" w:rsidR="00A06340" w:rsidRPr="00113564" w:rsidRDefault="00A06340" w:rsidP="00113564">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 xml:space="preserve">Преглед на напредъка </w:t>
      </w:r>
    </w:p>
    <w:p w14:paraId="00879197" w14:textId="2411F6E5"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В съответствие с член 21 от Регламент (ЕС) № 1303/2013 през 2019 г. Европейската комисия ще извърши преглед на изпълнението, основан на рамката за изпълнение на ПМДР. Прегледът на ефективността разглежда постигането на основните етапи на ПМДР на ниво приоритети на Съюза, въз основа на информацията от оценките, представени в годишния доклад за изпълнението за 2019 г. </w:t>
      </w:r>
      <w:r w:rsidR="00F91B5D">
        <w:rPr>
          <w:rFonts w:asciiTheme="majorHAnsi" w:hAnsiTheme="majorHAnsi" w:cs="Times New Roman"/>
          <w:sz w:val="24"/>
          <w:szCs w:val="24"/>
        </w:rPr>
        <w:t xml:space="preserve">, който </w:t>
      </w:r>
      <w:r w:rsidRPr="00A06340">
        <w:rPr>
          <w:rFonts w:asciiTheme="majorHAnsi" w:hAnsiTheme="majorHAnsi" w:cs="Times New Roman"/>
          <w:sz w:val="24"/>
          <w:szCs w:val="24"/>
        </w:rPr>
        <w:t>трябва да предостави надеждна и достатъчна информация на разположение на ЕК за споменатия преглед на изпълнението. Препоръчително е да бъдат взети предвид и констатациите, заложени в първ</w:t>
      </w:r>
      <w:r w:rsidR="00482A82">
        <w:rPr>
          <w:rFonts w:asciiTheme="majorHAnsi" w:hAnsiTheme="majorHAnsi" w:cs="Times New Roman"/>
          <w:sz w:val="24"/>
          <w:szCs w:val="24"/>
        </w:rPr>
        <w:t xml:space="preserve">ия доклад от извършена </w:t>
      </w:r>
      <w:r w:rsidRPr="00A06340">
        <w:rPr>
          <w:rFonts w:asciiTheme="majorHAnsi" w:hAnsiTheme="majorHAnsi" w:cs="Times New Roman"/>
          <w:sz w:val="24"/>
          <w:szCs w:val="24"/>
        </w:rPr>
        <w:t xml:space="preserve"> Междинна оценка </w:t>
      </w:r>
      <w:r w:rsidR="00482A82">
        <w:rPr>
          <w:rFonts w:asciiTheme="majorHAnsi" w:hAnsiTheme="majorHAnsi" w:cs="Times New Roman"/>
          <w:sz w:val="24"/>
          <w:szCs w:val="24"/>
        </w:rPr>
        <w:t xml:space="preserve">на програмата </w:t>
      </w:r>
      <w:r w:rsidRPr="00A06340">
        <w:rPr>
          <w:rFonts w:asciiTheme="majorHAnsi" w:hAnsiTheme="majorHAnsi" w:cs="Times New Roman"/>
          <w:sz w:val="24"/>
          <w:szCs w:val="24"/>
        </w:rPr>
        <w:t xml:space="preserve">за 2019 г. </w:t>
      </w:r>
    </w:p>
    <w:p w14:paraId="6BE90DB1" w14:textId="77777777" w:rsidR="00A06340" w:rsidRPr="00A06340" w:rsidRDefault="00A06340" w:rsidP="00A06340">
      <w:pPr>
        <w:spacing w:after="0"/>
        <w:ind w:firstLine="567"/>
        <w:jc w:val="both"/>
        <w:rPr>
          <w:rFonts w:asciiTheme="majorHAnsi" w:hAnsiTheme="majorHAnsi" w:cs="Times New Roman"/>
          <w:sz w:val="24"/>
          <w:szCs w:val="24"/>
        </w:rPr>
      </w:pPr>
    </w:p>
    <w:p w14:paraId="66BF3636" w14:textId="77777777" w:rsidR="00A06340" w:rsidRPr="00113564" w:rsidRDefault="00A06340" w:rsidP="00113564">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 xml:space="preserve">Последваща (Ex-post) оценка </w:t>
      </w:r>
    </w:p>
    <w:p w14:paraId="31C0E7AC" w14:textId="77777777"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В съответствие с член 117 от Регламент (ЕС) № 508/2014 Комисията изготвя доклад за последваща оценка в тясно сътрудничество с държавите-членки и в съответствие с член 57 от Регламент (ЕС) № 1303/2013, ще приключи до 31 декември 2024 г. В това отношение България следва да осигури всички необходими данни и информация на Комисията за посочената оценка на програмата.</w:t>
      </w:r>
    </w:p>
    <w:p w14:paraId="50848507" w14:textId="712A5A0F" w:rsidR="00A06340" w:rsidRP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Като се вземат предвид планираните две междинни оценки за постигнатите резултати до края на 201</w:t>
      </w:r>
      <w:r w:rsidR="003345B4">
        <w:rPr>
          <w:rFonts w:asciiTheme="majorHAnsi" w:hAnsiTheme="majorHAnsi" w:cs="Times New Roman"/>
          <w:sz w:val="24"/>
          <w:szCs w:val="24"/>
        </w:rPr>
        <w:t>8</w:t>
      </w:r>
      <w:r w:rsidRPr="00A06340">
        <w:rPr>
          <w:rFonts w:asciiTheme="majorHAnsi" w:hAnsiTheme="majorHAnsi" w:cs="Times New Roman"/>
          <w:sz w:val="24"/>
          <w:szCs w:val="24"/>
        </w:rPr>
        <w:t xml:space="preserve"> г. и до края на 202</w:t>
      </w:r>
      <w:r w:rsidR="003345B4">
        <w:rPr>
          <w:rFonts w:asciiTheme="majorHAnsi" w:hAnsiTheme="majorHAnsi" w:cs="Times New Roman"/>
          <w:sz w:val="24"/>
          <w:szCs w:val="24"/>
        </w:rPr>
        <w:t>0</w:t>
      </w:r>
      <w:r w:rsidRPr="00A06340">
        <w:rPr>
          <w:rFonts w:asciiTheme="majorHAnsi" w:hAnsiTheme="majorHAnsi" w:cs="Times New Roman"/>
          <w:sz w:val="24"/>
          <w:szCs w:val="24"/>
        </w:rPr>
        <w:t xml:space="preserve"> и с оглед заложеното в глава 10 на ПМДР в настоящия План за оценка не е предвидено извършването на последваща оценка на ПМДР. Ангажимент на УО е да предостави цялата необходима  информация при извършване на доклада за последваща оценка от страна на ЕК.  В допълнение следва да се отбележи, че оценката на изпълнените мерките и показателите, постигнати до края на 2023 г., ще бъде представена в окончателния доклад на изпълнението, който ще бъде представен през 2024 г. </w:t>
      </w:r>
    </w:p>
    <w:p w14:paraId="06F04BB1" w14:textId="11981F39" w:rsidR="00A06340" w:rsidRDefault="00A06340" w:rsidP="00A06340">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 xml:space="preserve">При извършване на преглед на потребностите от оценка на програмата на по-късен етап УО може да извърши модификация в настоящия План за оценка, включвайки при необходимост провеждането и на последваща оценка. Ако такава </w:t>
      </w:r>
      <w:r w:rsidRPr="00A06340">
        <w:rPr>
          <w:rFonts w:asciiTheme="majorHAnsi" w:hAnsiTheme="majorHAnsi" w:cs="Times New Roman"/>
          <w:sz w:val="24"/>
          <w:szCs w:val="24"/>
        </w:rPr>
        <w:lastRenderedPageBreak/>
        <w:t xml:space="preserve">бъде предвидена на по-късен етап, необходимо е тя да бъде завършена до месец април 2024 г. в съответствие с чл. 57(2) от Регламент (ЕС) № 1303/2013. </w:t>
      </w:r>
    </w:p>
    <w:p w14:paraId="13F289F4" w14:textId="77777777" w:rsidR="009E219B" w:rsidRPr="00A06340" w:rsidRDefault="009E219B" w:rsidP="00A06340">
      <w:pPr>
        <w:spacing w:after="0"/>
        <w:ind w:firstLine="567"/>
        <w:jc w:val="both"/>
        <w:rPr>
          <w:rFonts w:asciiTheme="majorHAnsi" w:hAnsiTheme="majorHAnsi" w:cs="Times New Roman"/>
          <w:sz w:val="24"/>
          <w:szCs w:val="24"/>
        </w:rPr>
      </w:pPr>
    </w:p>
    <w:p w14:paraId="12F85B46" w14:textId="77777777" w:rsidR="00A06340" w:rsidRPr="00A06340" w:rsidRDefault="00A06340" w:rsidP="009E219B">
      <w:pPr>
        <w:pStyle w:val="Heading2"/>
        <w:rPr>
          <w:rFonts w:cs="Times New Roman"/>
          <w:b/>
          <w:sz w:val="24"/>
          <w:szCs w:val="24"/>
        </w:rPr>
      </w:pPr>
      <w:bookmarkStart w:id="11" w:name="_Toc7098476"/>
      <w:r w:rsidRPr="00A06340">
        <w:rPr>
          <w:rFonts w:cs="Times New Roman"/>
          <w:b/>
          <w:bCs/>
          <w:sz w:val="24"/>
          <w:szCs w:val="24"/>
        </w:rPr>
        <w:t xml:space="preserve">2.6. </w:t>
      </w:r>
      <w:r w:rsidRPr="00A06340">
        <w:rPr>
          <w:rFonts w:cs="Times New Roman"/>
          <w:b/>
          <w:sz w:val="24"/>
          <w:szCs w:val="24"/>
        </w:rPr>
        <w:t>Общ бюджет за изпълнението на процеса по оценка</w:t>
      </w:r>
      <w:bookmarkEnd w:id="11"/>
    </w:p>
    <w:p w14:paraId="5CD23BB5" w14:textId="77777777" w:rsidR="00A06340" w:rsidRPr="00A06340" w:rsidRDefault="00A06340" w:rsidP="00A06340">
      <w:pPr>
        <w:spacing w:after="0"/>
        <w:ind w:firstLine="567"/>
        <w:jc w:val="both"/>
        <w:rPr>
          <w:rFonts w:asciiTheme="majorHAnsi" w:hAnsiTheme="majorHAnsi" w:cs="Times New Roman"/>
          <w:b/>
          <w:sz w:val="24"/>
          <w:szCs w:val="24"/>
        </w:rPr>
      </w:pPr>
    </w:p>
    <w:p w14:paraId="0F269E0B" w14:textId="391E0C44" w:rsidR="00EE2282" w:rsidRDefault="00EE2282" w:rsidP="00EE2282">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За качественото изпълнение на дейности по подготовка и извършване на Междинна оценка на програмата ще бъдат ангажирани финансови и човешки ресурси. Бюджетът за оценяване на ПМДР</w:t>
      </w:r>
      <w:r>
        <w:rPr>
          <w:rFonts w:asciiTheme="majorHAnsi" w:hAnsiTheme="majorHAnsi" w:cs="Times New Roman"/>
          <w:sz w:val="24"/>
          <w:szCs w:val="24"/>
        </w:rPr>
        <w:t xml:space="preserve"> е</w:t>
      </w:r>
      <w:r w:rsidRPr="00A06340">
        <w:rPr>
          <w:rFonts w:asciiTheme="majorHAnsi" w:hAnsiTheme="majorHAnsi" w:cs="Times New Roman"/>
          <w:sz w:val="24"/>
          <w:szCs w:val="24"/>
        </w:rPr>
        <w:t xml:space="preserve"> указан в </w:t>
      </w:r>
      <w:r w:rsidR="00482A82">
        <w:rPr>
          <w:rFonts w:asciiTheme="majorHAnsi" w:hAnsiTheme="majorHAnsi" w:cs="Times New Roman"/>
          <w:sz w:val="24"/>
          <w:szCs w:val="24"/>
        </w:rPr>
        <w:t>Глава</w:t>
      </w:r>
      <w:r w:rsidR="00482A82" w:rsidRPr="00A06340">
        <w:rPr>
          <w:rFonts w:asciiTheme="majorHAnsi" w:hAnsiTheme="majorHAnsi" w:cs="Times New Roman"/>
          <w:sz w:val="24"/>
          <w:szCs w:val="24"/>
        </w:rPr>
        <w:t xml:space="preserve"> </w:t>
      </w:r>
      <w:r w:rsidRPr="00A06340">
        <w:rPr>
          <w:rFonts w:asciiTheme="majorHAnsi" w:hAnsiTheme="majorHAnsi" w:cs="Times New Roman"/>
          <w:sz w:val="24"/>
          <w:szCs w:val="24"/>
        </w:rPr>
        <w:t>10</w:t>
      </w:r>
      <w:r w:rsidR="00E57BE7">
        <w:rPr>
          <w:rFonts w:asciiTheme="majorHAnsi" w:hAnsiTheme="majorHAnsi" w:cs="Times New Roman"/>
          <w:sz w:val="24"/>
          <w:szCs w:val="24"/>
        </w:rPr>
        <w:t xml:space="preserve"> </w:t>
      </w:r>
      <w:r w:rsidRPr="00A06340">
        <w:rPr>
          <w:rFonts w:asciiTheme="majorHAnsi" w:hAnsiTheme="majorHAnsi" w:cs="Times New Roman"/>
          <w:sz w:val="24"/>
          <w:szCs w:val="24"/>
        </w:rPr>
        <w:t>от програмата</w:t>
      </w:r>
      <w:r>
        <w:rPr>
          <w:rFonts w:asciiTheme="majorHAnsi" w:hAnsiTheme="majorHAnsi" w:cs="Times New Roman"/>
          <w:sz w:val="24"/>
          <w:szCs w:val="24"/>
        </w:rPr>
        <w:t xml:space="preserve">. </w:t>
      </w:r>
      <w:r w:rsidRPr="00A06340">
        <w:rPr>
          <w:rFonts w:asciiTheme="majorHAnsi" w:hAnsiTheme="majorHAnsi" w:cs="Times New Roman"/>
          <w:sz w:val="24"/>
          <w:szCs w:val="24"/>
        </w:rPr>
        <w:t>Дейностите, предприети за оценка</w:t>
      </w:r>
      <w:r>
        <w:rPr>
          <w:rFonts w:asciiTheme="majorHAnsi" w:hAnsiTheme="majorHAnsi" w:cs="Times New Roman"/>
          <w:sz w:val="24"/>
          <w:szCs w:val="24"/>
        </w:rPr>
        <w:t xml:space="preserve"> на ПМДР</w:t>
      </w:r>
      <w:r w:rsidRPr="00A06340">
        <w:rPr>
          <w:rFonts w:asciiTheme="majorHAnsi" w:hAnsiTheme="majorHAnsi" w:cs="Times New Roman"/>
          <w:sz w:val="24"/>
          <w:szCs w:val="24"/>
        </w:rPr>
        <w:t xml:space="preserve">, </w:t>
      </w:r>
      <w:r>
        <w:rPr>
          <w:rFonts w:asciiTheme="majorHAnsi" w:hAnsiTheme="majorHAnsi" w:cs="Times New Roman"/>
          <w:sz w:val="24"/>
          <w:szCs w:val="24"/>
        </w:rPr>
        <w:t xml:space="preserve">са </w:t>
      </w:r>
      <w:r w:rsidRPr="00A06340">
        <w:rPr>
          <w:rFonts w:asciiTheme="majorHAnsi" w:hAnsiTheme="majorHAnsi" w:cs="Times New Roman"/>
          <w:sz w:val="24"/>
          <w:szCs w:val="24"/>
        </w:rPr>
        <w:t xml:space="preserve"> подкрепени от мярка „Техническата помощ“ на ПМДР с планиран общ прогнозен бюджет от 200 000</w:t>
      </w:r>
      <w:r w:rsidRPr="00A06340">
        <w:rPr>
          <w:rFonts w:asciiTheme="majorHAnsi" w:hAnsiTheme="majorHAnsi" w:cs="Times New Roman"/>
          <w:sz w:val="24"/>
          <w:szCs w:val="24"/>
          <w:lang w:val="en-US"/>
        </w:rPr>
        <w:t xml:space="preserve"> </w:t>
      </w:r>
      <w:r w:rsidRPr="00A06340">
        <w:rPr>
          <w:rFonts w:asciiTheme="majorHAnsi" w:hAnsiTheme="majorHAnsi" w:cs="Times New Roman"/>
          <w:sz w:val="24"/>
          <w:szCs w:val="24"/>
        </w:rPr>
        <w:t>евро, което възлиза на около 4% от разпределените бюджетни средства за техническата помощ на програмата.</w:t>
      </w:r>
      <w:r>
        <w:rPr>
          <w:rFonts w:asciiTheme="majorHAnsi" w:hAnsiTheme="majorHAnsi" w:cs="Times New Roman"/>
          <w:sz w:val="24"/>
          <w:szCs w:val="24"/>
        </w:rPr>
        <w:t xml:space="preserve"> </w:t>
      </w:r>
    </w:p>
    <w:p w14:paraId="08498033" w14:textId="7D414CBE" w:rsidR="00A06340" w:rsidRPr="00A06340" w:rsidRDefault="00A06340" w:rsidP="00A06340">
      <w:pPr>
        <w:spacing w:after="0"/>
        <w:ind w:firstLine="567"/>
        <w:jc w:val="both"/>
        <w:rPr>
          <w:rFonts w:asciiTheme="majorHAnsi" w:hAnsiTheme="majorHAnsi" w:cs="Times New Roman"/>
          <w:sz w:val="24"/>
          <w:szCs w:val="24"/>
        </w:rPr>
      </w:pPr>
    </w:p>
    <w:p w14:paraId="3BBC2FC7" w14:textId="77777777" w:rsidR="00A06340" w:rsidRPr="00E05F79" w:rsidRDefault="00A06340" w:rsidP="00E05F79">
      <w:pPr>
        <w:pStyle w:val="Heading2"/>
        <w:rPr>
          <w:rFonts w:cs="Times New Roman"/>
          <w:b/>
          <w:sz w:val="24"/>
          <w:szCs w:val="24"/>
        </w:rPr>
      </w:pPr>
      <w:bookmarkStart w:id="12" w:name="_Toc7098477"/>
      <w:r w:rsidRPr="00E05F79">
        <w:rPr>
          <w:rFonts w:cs="Times New Roman"/>
          <w:b/>
          <w:sz w:val="24"/>
          <w:szCs w:val="24"/>
        </w:rPr>
        <w:t>3. Планирани оценки – 2бр.</w:t>
      </w:r>
      <w:bookmarkEnd w:id="12"/>
      <w:r w:rsidRPr="00E05F79">
        <w:rPr>
          <w:rFonts w:cs="Times New Roman"/>
          <w:b/>
          <w:sz w:val="24"/>
          <w:szCs w:val="24"/>
        </w:rPr>
        <w:t xml:space="preserve"> </w:t>
      </w:r>
    </w:p>
    <w:p w14:paraId="3D81B671" w14:textId="77777777" w:rsidR="00A06340" w:rsidRPr="00A06340" w:rsidRDefault="00A06340" w:rsidP="00A06340">
      <w:pPr>
        <w:spacing w:after="0"/>
        <w:ind w:firstLine="567"/>
        <w:jc w:val="both"/>
        <w:rPr>
          <w:rFonts w:asciiTheme="majorHAnsi" w:hAnsiTheme="majorHAnsi" w:cs="Times New Roman"/>
          <w:b/>
          <w:bCs/>
          <w:sz w:val="24"/>
          <w:szCs w:val="24"/>
        </w:rPr>
      </w:pPr>
    </w:p>
    <w:p w14:paraId="3440DC07" w14:textId="77777777" w:rsidR="00A06340" w:rsidRPr="00A06340" w:rsidRDefault="00A06340" w:rsidP="00A06340">
      <w:pPr>
        <w:spacing w:after="0"/>
        <w:ind w:firstLine="567"/>
        <w:jc w:val="both"/>
        <w:rPr>
          <w:rFonts w:asciiTheme="majorHAnsi" w:hAnsiTheme="majorHAnsi" w:cs="Times New Roman"/>
          <w:bCs/>
          <w:sz w:val="24"/>
          <w:szCs w:val="24"/>
        </w:rPr>
      </w:pPr>
      <w:r w:rsidRPr="00A06340">
        <w:rPr>
          <w:rFonts w:asciiTheme="majorHAnsi" w:hAnsiTheme="majorHAnsi" w:cs="Times New Roman"/>
          <w:bCs/>
          <w:sz w:val="24"/>
          <w:szCs w:val="24"/>
        </w:rPr>
        <w:t xml:space="preserve">В глава 10 от ПМДР е записано, че „звеното за оценяване  ще подготвя доклад на годишна база относно оценяването на програмата, ще уведомява УО и Комитета за наблюдение при необходимост. Това също така ще гарантира, че оценките ще могат да служат за подготвянето на навременни доклади относно резултатите от ОП, по-специално подготовката на годишните доклади за изпълнението за периода 2016-2023 г. и ключовите годишни доклади за 2017 г. и 2019 г.“ </w:t>
      </w:r>
    </w:p>
    <w:p w14:paraId="3745BD41" w14:textId="77777777" w:rsidR="00A06340" w:rsidRPr="00A06340" w:rsidRDefault="00A06340" w:rsidP="00A06340">
      <w:pPr>
        <w:spacing w:after="0"/>
        <w:ind w:firstLine="567"/>
        <w:jc w:val="both"/>
        <w:rPr>
          <w:rFonts w:asciiTheme="majorHAnsi" w:hAnsiTheme="majorHAnsi" w:cs="Times New Roman"/>
          <w:bCs/>
          <w:sz w:val="24"/>
          <w:szCs w:val="24"/>
        </w:rPr>
      </w:pPr>
      <w:r w:rsidRPr="00A06340">
        <w:rPr>
          <w:rFonts w:asciiTheme="majorHAnsi" w:hAnsiTheme="majorHAnsi" w:cs="Times New Roman"/>
          <w:bCs/>
          <w:sz w:val="24"/>
          <w:szCs w:val="24"/>
        </w:rPr>
        <w:t xml:space="preserve">Настоящият План за оценка взема предвид и това, че задължението за изготвяне на Междинна оценка, посочено в Регламент (ЕС) № 1303/2013, се отнася до изискване към Комисията, а не за държавите-членки на Съюза. </w:t>
      </w:r>
    </w:p>
    <w:p w14:paraId="097A2FBF" w14:textId="77777777" w:rsidR="00A06340" w:rsidRPr="00A06340" w:rsidRDefault="00A06340" w:rsidP="00A06340">
      <w:pPr>
        <w:spacing w:after="0"/>
        <w:ind w:firstLine="567"/>
        <w:jc w:val="both"/>
        <w:rPr>
          <w:rFonts w:asciiTheme="majorHAnsi" w:hAnsiTheme="majorHAnsi" w:cs="Times New Roman"/>
          <w:bCs/>
          <w:sz w:val="24"/>
          <w:szCs w:val="24"/>
        </w:rPr>
      </w:pPr>
      <w:r w:rsidRPr="00A06340">
        <w:rPr>
          <w:rFonts w:asciiTheme="majorHAnsi" w:hAnsiTheme="majorHAnsi" w:cs="Times New Roman"/>
          <w:bCs/>
          <w:sz w:val="24"/>
          <w:szCs w:val="24"/>
        </w:rPr>
        <w:t xml:space="preserve">С оглед на това в Плана за оценка следва да се заложи нова времева рамка, що се касае за ключовите междинни доклади. Те следва да се изпълнят за годините 2019 и 2021. </w:t>
      </w:r>
    </w:p>
    <w:p w14:paraId="2F8670A7" w14:textId="77777777" w:rsidR="00A06340" w:rsidRPr="00A06340" w:rsidRDefault="00A06340" w:rsidP="00A06340">
      <w:pPr>
        <w:spacing w:after="0"/>
        <w:ind w:firstLine="567"/>
        <w:jc w:val="both"/>
        <w:rPr>
          <w:rFonts w:asciiTheme="majorHAnsi" w:hAnsiTheme="majorHAnsi" w:cs="Times New Roman"/>
          <w:b/>
          <w:bCs/>
          <w:sz w:val="24"/>
          <w:szCs w:val="24"/>
        </w:rPr>
      </w:pPr>
      <w:r w:rsidRPr="00A06340">
        <w:rPr>
          <w:rFonts w:asciiTheme="majorHAnsi" w:hAnsiTheme="majorHAnsi" w:cs="Times New Roman"/>
          <w:bCs/>
          <w:sz w:val="24"/>
          <w:szCs w:val="24"/>
        </w:rPr>
        <w:t>Адекватно разчетеното време за извършване на оценките е от решаващо значение те да се изготвят качествено и да се счетат за ефективни, особено когато става въпрос за оценки на въздействието на програмата. Следва да се отдели достатъчно време, за да станат видими резултатите от направените констатации, насочени към промени в политиката по прилагане на ПМДР. В тази връзка 1 дейностите по оценка, предложени в настоящия План за оценка, са съобразени с текущото състояние на изпълнението на програмата, за да се гарантира тяхната ефективност.</w:t>
      </w:r>
      <w:r w:rsidRPr="00A06340">
        <w:rPr>
          <w:rFonts w:asciiTheme="majorHAnsi" w:hAnsiTheme="majorHAnsi" w:cs="Times New Roman"/>
          <w:b/>
          <w:bCs/>
          <w:sz w:val="24"/>
          <w:szCs w:val="24"/>
        </w:rPr>
        <w:tab/>
      </w:r>
    </w:p>
    <w:p w14:paraId="539C8E55" w14:textId="77777777" w:rsidR="00A06340" w:rsidRPr="00A06340" w:rsidRDefault="00A06340" w:rsidP="00A06340">
      <w:pPr>
        <w:spacing w:after="0"/>
        <w:ind w:firstLine="567"/>
        <w:jc w:val="both"/>
        <w:rPr>
          <w:rFonts w:asciiTheme="majorHAnsi" w:hAnsiTheme="majorHAnsi" w:cs="Times New Roman"/>
          <w:b/>
          <w:sz w:val="24"/>
          <w:szCs w:val="24"/>
        </w:rPr>
      </w:pPr>
    </w:p>
    <w:p w14:paraId="380D40A6" w14:textId="63FB728A" w:rsidR="00A06340" w:rsidRPr="00A06340" w:rsidRDefault="00A06340" w:rsidP="00E05F79">
      <w:pPr>
        <w:pStyle w:val="Heading2"/>
        <w:jc w:val="both"/>
        <w:rPr>
          <w:rFonts w:cs="Times New Roman"/>
          <w:b/>
          <w:sz w:val="24"/>
          <w:szCs w:val="24"/>
        </w:rPr>
      </w:pPr>
      <w:bookmarkStart w:id="13" w:name="_Toc7098478"/>
      <w:r w:rsidRPr="00A06340">
        <w:rPr>
          <w:rFonts w:cs="Times New Roman"/>
          <w:b/>
          <w:bCs/>
          <w:sz w:val="24"/>
          <w:szCs w:val="24"/>
        </w:rPr>
        <w:t xml:space="preserve">3.1. </w:t>
      </w:r>
      <w:r w:rsidRPr="00A06340">
        <w:rPr>
          <w:rFonts w:cs="Times New Roman"/>
          <w:b/>
          <w:sz w:val="24"/>
          <w:szCs w:val="24"/>
        </w:rPr>
        <w:t>Списък и времеви график на оценките, които ще се извършват през годин</w:t>
      </w:r>
      <w:r w:rsidR="00D15EE7">
        <w:rPr>
          <w:rFonts w:cs="Times New Roman"/>
          <w:b/>
          <w:sz w:val="24"/>
          <w:szCs w:val="24"/>
        </w:rPr>
        <w:t>ите</w:t>
      </w:r>
      <w:r w:rsidRPr="00A06340">
        <w:rPr>
          <w:rFonts w:cs="Times New Roman"/>
          <w:b/>
          <w:sz w:val="24"/>
          <w:szCs w:val="24"/>
        </w:rPr>
        <w:t>, в т.ч. документация относно избора на теми</w:t>
      </w:r>
      <w:bookmarkEnd w:id="13"/>
    </w:p>
    <w:p w14:paraId="6C1A97DB" w14:textId="57A195C6" w:rsidR="00D15EE7" w:rsidRDefault="00D15EE7" w:rsidP="00D15EE7"/>
    <w:p w14:paraId="09267214" w14:textId="1CFD2FF7" w:rsidR="00D15EE7" w:rsidRPr="00BA29C0" w:rsidRDefault="00D15EE7" w:rsidP="00D15EE7">
      <w:pPr>
        <w:rPr>
          <w:rFonts w:asciiTheme="majorHAnsi" w:hAnsiTheme="majorHAnsi" w:cs="Times New Roman"/>
          <w:bCs/>
          <w:sz w:val="24"/>
          <w:szCs w:val="24"/>
        </w:rPr>
      </w:pPr>
      <w:r w:rsidRPr="00BA29C0">
        <w:rPr>
          <w:rFonts w:asciiTheme="majorHAnsi" w:hAnsiTheme="majorHAnsi" w:cs="Times New Roman"/>
          <w:bCs/>
          <w:sz w:val="24"/>
          <w:szCs w:val="24"/>
        </w:rPr>
        <w:t>Изпълнението на оценките по програмата следва да се изпълни съгла</w:t>
      </w:r>
      <w:r>
        <w:rPr>
          <w:rFonts w:asciiTheme="majorHAnsi" w:hAnsiTheme="majorHAnsi" w:cs="Times New Roman"/>
          <w:bCs/>
          <w:sz w:val="24"/>
          <w:szCs w:val="24"/>
        </w:rPr>
        <w:t>с</w:t>
      </w:r>
      <w:r w:rsidRPr="00BA29C0">
        <w:rPr>
          <w:rFonts w:asciiTheme="majorHAnsi" w:hAnsiTheme="majorHAnsi" w:cs="Times New Roman"/>
          <w:bCs/>
          <w:sz w:val="24"/>
          <w:szCs w:val="24"/>
        </w:rPr>
        <w:t>но настоящия план график за илюстриране на планираните оценки</w:t>
      </w:r>
      <w:r>
        <w:rPr>
          <w:rFonts w:asciiTheme="majorHAnsi" w:hAnsiTheme="majorHAnsi" w:cs="Times New Roman"/>
          <w:bCs/>
          <w:sz w:val="24"/>
          <w:szCs w:val="24"/>
        </w:rPr>
        <w:t xml:space="preserve">, и съгласно темите определени в т. </w:t>
      </w:r>
      <w:r w:rsidRPr="00BA29C0">
        <w:rPr>
          <w:rFonts w:asciiTheme="majorHAnsi" w:hAnsiTheme="majorHAnsi" w:cs="Times New Roman"/>
          <w:bCs/>
          <w:sz w:val="24"/>
          <w:szCs w:val="24"/>
        </w:rPr>
        <w:t xml:space="preserve">: </w:t>
      </w:r>
    </w:p>
    <w:tbl>
      <w:tblPr>
        <w:tblStyle w:val="TableGrid"/>
        <w:tblW w:w="10167" w:type="dxa"/>
        <w:tblInd w:w="-95" w:type="dxa"/>
        <w:tblLook w:val="04A0" w:firstRow="1" w:lastRow="0" w:firstColumn="1" w:lastColumn="0" w:noHBand="0" w:noVBand="1"/>
      </w:tblPr>
      <w:tblGrid>
        <w:gridCol w:w="1939"/>
        <w:gridCol w:w="748"/>
        <w:gridCol w:w="748"/>
        <w:gridCol w:w="748"/>
        <w:gridCol w:w="748"/>
        <w:gridCol w:w="748"/>
        <w:gridCol w:w="748"/>
        <w:gridCol w:w="748"/>
        <w:gridCol w:w="748"/>
        <w:gridCol w:w="748"/>
        <w:gridCol w:w="748"/>
        <w:gridCol w:w="748"/>
      </w:tblGrid>
      <w:tr w:rsidR="00D15EE7" w:rsidRPr="00BA29C0" w14:paraId="11EE84C9" w14:textId="77777777" w:rsidTr="00E05F79">
        <w:tc>
          <w:tcPr>
            <w:tcW w:w="1939" w:type="dxa"/>
          </w:tcPr>
          <w:p w14:paraId="61D3AB84"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rPr>
              <w:t>Оценка/ година</w:t>
            </w:r>
          </w:p>
        </w:tc>
        <w:tc>
          <w:tcPr>
            <w:tcW w:w="748" w:type="dxa"/>
          </w:tcPr>
          <w:p w14:paraId="1067CBA9"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rPr>
              <w:t>2014</w:t>
            </w:r>
          </w:p>
        </w:tc>
        <w:tc>
          <w:tcPr>
            <w:tcW w:w="748" w:type="dxa"/>
          </w:tcPr>
          <w:p w14:paraId="78FCCAAA"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rPr>
              <w:t>2015</w:t>
            </w:r>
          </w:p>
        </w:tc>
        <w:tc>
          <w:tcPr>
            <w:tcW w:w="748" w:type="dxa"/>
          </w:tcPr>
          <w:p w14:paraId="14F7C569"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rPr>
              <w:t>2016</w:t>
            </w:r>
          </w:p>
        </w:tc>
        <w:tc>
          <w:tcPr>
            <w:tcW w:w="748" w:type="dxa"/>
          </w:tcPr>
          <w:p w14:paraId="005D051F"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rPr>
              <w:t>2017</w:t>
            </w:r>
          </w:p>
        </w:tc>
        <w:tc>
          <w:tcPr>
            <w:tcW w:w="748" w:type="dxa"/>
          </w:tcPr>
          <w:p w14:paraId="0B9A1DAD"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rPr>
              <w:t>2018</w:t>
            </w:r>
          </w:p>
        </w:tc>
        <w:tc>
          <w:tcPr>
            <w:tcW w:w="748" w:type="dxa"/>
          </w:tcPr>
          <w:p w14:paraId="32713E28"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rPr>
              <w:t>2019</w:t>
            </w:r>
          </w:p>
        </w:tc>
        <w:tc>
          <w:tcPr>
            <w:tcW w:w="748" w:type="dxa"/>
          </w:tcPr>
          <w:p w14:paraId="3D6A5140"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rPr>
              <w:t>2020</w:t>
            </w:r>
          </w:p>
        </w:tc>
        <w:tc>
          <w:tcPr>
            <w:tcW w:w="748" w:type="dxa"/>
          </w:tcPr>
          <w:p w14:paraId="32BBCED8"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rPr>
              <w:t>2021</w:t>
            </w:r>
          </w:p>
        </w:tc>
        <w:tc>
          <w:tcPr>
            <w:tcW w:w="748" w:type="dxa"/>
          </w:tcPr>
          <w:p w14:paraId="69FAF44E"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rPr>
              <w:t>2022</w:t>
            </w:r>
          </w:p>
        </w:tc>
        <w:tc>
          <w:tcPr>
            <w:tcW w:w="748" w:type="dxa"/>
          </w:tcPr>
          <w:p w14:paraId="5B7B4B3F"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rPr>
              <w:t>2023</w:t>
            </w:r>
          </w:p>
        </w:tc>
        <w:tc>
          <w:tcPr>
            <w:tcW w:w="748" w:type="dxa"/>
          </w:tcPr>
          <w:p w14:paraId="240293D8"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rPr>
              <w:t>2024</w:t>
            </w:r>
          </w:p>
        </w:tc>
      </w:tr>
      <w:tr w:rsidR="00D15EE7" w:rsidRPr="00BA29C0" w14:paraId="38881411" w14:textId="77777777" w:rsidTr="00E05F79">
        <w:trPr>
          <w:trHeight w:val="692"/>
        </w:trPr>
        <w:tc>
          <w:tcPr>
            <w:tcW w:w="1939" w:type="dxa"/>
          </w:tcPr>
          <w:p w14:paraId="0668D928"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lang w:val="en-GB"/>
              </w:rPr>
              <w:t>Ex ante</w:t>
            </w:r>
          </w:p>
        </w:tc>
        <w:tc>
          <w:tcPr>
            <w:tcW w:w="748" w:type="dxa"/>
            <w:shd w:val="clear" w:color="auto" w:fill="D9D9D9" w:themeFill="background1" w:themeFillShade="D9"/>
          </w:tcPr>
          <w:p w14:paraId="7F5F879A" w14:textId="77777777" w:rsidR="00D15EE7" w:rsidRPr="00BA29C0" w:rsidRDefault="00D15EE7" w:rsidP="00A35614">
            <w:pPr>
              <w:rPr>
                <w:rFonts w:asciiTheme="majorHAnsi" w:hAnsiTheme="majorHAnsi"/>
                <w:sz w:val="24"/>
                <w:szCs w:val="24"/>
              </w:rPr>
            </w:pPr>
          </w:p>
        </w:tc>
        <w:tc>
          <w:tcPr>
            <w:tcW w:w="748" w:type="dxa"/>
          </w:tcPr>
          <w:p w14:paraId="0EE2285E" w14:textId="77777777" w:rsidR="00D15EE7" w:rsidRPr="00BA29C0" w:rsidRDefault="00D15EE7" w:rsidP="00A35614">
            <w:pPr>
              <w:rPr>
                <w:rFonts w:asciiTheme="majorHAnsi" w:hAnsiTheme="majorHAnsi"/>
                <w:sz w:val="24"/>
                <w:szCs w:val="24"/>
              </w:rPr>
            </w:pPr>
          </w:p>
        </w:tc>
        <w:tc>
          <w:tcPr>
            <w:tcW w:w="748" w:type="dxa"/>
          </w:tcPr>
          <w:p w14:paraId="153356B9" w14:textId="77777777" w:rsidR="00D15EE7" w:rsidRPr="00BA29C0" w:rsidRDefault="00D15EE7" w:rsidP="00A35614">
            <w:pPr>
              <w:rPr>
                <w:rFonts w:asciiTheme="majorHAnsi" w:hAnsiTheme="majorHAnsi"/>
                <w:sz w:val="24"/>
                <w:szCs w:val="24"/>
              </w:rPr>
            </w:pPr>
          </w:p>
        </w:tc>
        <w:tc>
          <w:tcPr>
            <w:tcW w:w="748" w:type="dxa"/>
          </w:tcPr>
          <w:p w14:paraId="6D92B000" w14:textId="77777777" w:rsidR="00D15EE7" w:rsidRPr="00BA29C0" w:rsidRDefault="00D15EE7" w:rsidP="00A35614">
            <w:pPr>
              <w:rPr>
                <w:rFonts w:asciiTheme="majorHAnsi" w:hAnsiTheme="majorHAnsi"/>
                <w:sz w:val="24"/>
                <w:szCs w:val="24"/>
              </w:rPr>
            </w:pPr>
          </w:p>
        </w:tc>
        <w:tc>
          <w:tcPr>
            <w:tcW w:w="748" w:type="dxa"/>
          </w:tcPr>
          <w:p w14:paraId="2F76E411" w14:textId="77777777" w:rsidR="00D15EE7" w:rsidRPr="00BA29C0" w:rsidRDefault="00D15EE7" w:rsidP="00A35614">
            <w:pPr>
              <w:rPr>
                <w:rFonts w:asciiTheme="majorHAnsi" w:hAnsiTheme="majorHAnsi"/>
                <w:sz w:val="24"/>
                <w:szCs w:val="24"/>
              </w:rPr>
            </w:pPr>
          </w:p>
        </w:tc>
        <w:tc>
          <w:tcPr>
            <w:tcW w:w="748" w:type="dxa"/>
          </w:tcPr>
          <w:p w14:paraId="7F182196" w14:textId="77777777" w:rsidR="00D15EE7" w:rsidRPr="00BA29C0" w:rsidRDefault="00D15EE7" w:rsidP="00A35614">
            <w:pPr>
              <w:rPr>
                <w:rFonts w:asciiTheme="majorHAnsi" w:hAnsiTheme="majorHAnsi"/>
                <w:sz w:val="24"/>
                <w:szCs w:val="24"/>
              </w:rPr>
            </w:pPr>
          </w:p>
        </w:tc>
        <w:tc>
          <w:tcPr>
            <w:tcW w:w="748" w:type="dxa"/>
          </w:tcPr>
          <w:p w14:paraId="5BCD6749" w14:textId="77777777" w:rsidR="00D15EE7" w:rsidRPr="00BA29C0" w:rsidRDefault="00D15EE7" w:rsidP="00A35614">
            <w:pPr>
              <w:rPr>
                <w:rFonts w:asciiTheme="majorHAnsi" w:hAnsiTheme="majorHAnsi"/>
                <w:sz w:val="24"/>
                <w:szCs w:val="24"/>
              </w:rPr>
            </w:pPr>
          </w:p>
        </w:tc>
        <w:tc>
          <w:tcPr>
            <w:tcW w:w="748" w:type="dxa"/>
          </w:tcPr>
          <w:p w14:paraId="720035A8" w14:textId="77777777" w:rsidR="00D15EE7" w:rsidRPr="00BA29C0" w:rsidRDefault="00D15EE7" w:rsidP="00A35614">
            <w:pPr>
              <w:rPr>
                <w:rFonts w:asciiTheme="majorHAnsi" w:hAnsiTheme="majorHAnsi"/>
                <w:sz w:val="24"/>
                <w:szCs w:val="24"/>
              </w:rPr>
            </w:pPr>
          </w:p>
        </w:tc>
        <w:tc>
          <w:tcPr>
            <w:tcW w:w="748" w:type="dxa"/>
          </w:tcPr>
          <w:p w14:paraId="0D175B94" w14:textId="77777777" w:rsidR="00D15EE7" w:rsidRPr="00BA29C0" w:rsidRDefault="00D15EE7" w:rsidP="00A35614">
            <w:pPr>
              <w:rPr>
                <w:rFonts w:asciiTheme="majorHAnsi" w:hAnsiTheme="majorHAnsi"/>
                <w:sz w:val="24"/>
                <w:szCs w:val="24"/>
              </w:rPr>
            </w:pPr>
          </w:p>
        </w:tc>
        <w:tc>
          <w:tcPr>
            <w:tcW w:w="748" w:type="dxa"/>
          </w:tcPr>
          <w:p w14:paraId="542105D2" w14:textId="77777777" w:rsidR="00D15EE7" w:rsidRPr="00BA29C0" w:rsidRDefault="00D15EE7" w:rsidP="00A35614">
            <w:pPr>
              <w:rPr>
                <w:rFonts w:asciiTheme="majorHAnsi" w:hAnsiTheme="majorHAnsi"/>
                <w:sz w:val="24"/>
                <w:szCs w:val="24"/>
              </w:rPr>
            </w:pPr>
          </w:p>
        </w:tc>
        <w:tc>
          <w:tcPr>
            <w:tcW w:w="748" w:type="dxa"/>
          </w:tcPr>
          <w:p w14:paraId="11E926F4" w14:textId="77777777" w:rsidR="00D15EE7" w:rsidRPr="00BA29C0" w:rsidRDefault="00D15EE7" w:rsidP="00A35614">
            <w:pPr>
              <w:rPr>
                <w:rFonts w:asciiTheme="majorHAnsi" w:hAnsiTheme="majorHAnsi"/>
                <w:sz w:val="24"/>
                <w:szCs w:val="24"/>
              </w:rPr>
            </w:pPr>
          </w:p>
        </w:tc>
      </w:tr>
      <w:tr w:rsidR="00D15EE7" w:rsidRPr="00BA29C0" w14:paraId="191C7993" w14:textId="77777777" w:rsidTr="00E05F79">
        <w:trPr>
          <w:trHeight w:val="692"/>
        </w:trPr>
        <w:tc>
          <w:tcPr>
            <w:tcW w:w="1939" w:type="dxa"/>
          </w:tcPr>
          <w:p w14:paraId="57769735"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lang w:val="en-GB"/>
              </w:rPr>
              <w:t>СЕО</w:t>
            </w:r>
          </w:p>
        </w:tc>
        <w:tc>
          <w:tcPr>
            <w:tcW w:w="748" w:type="dxa"/>
            <w:shd w:val="clear" w:color="auto" w:fill="D9D9D9" w:themeFill="background1" w:themeFillShade="D9"/>
          </w:tcPr>
          <w:p w14:paraId="7B93AD95" w14:textId="77777777" w:rsidR="00D15EE7" w:rsidRPr="00BA29C0" w:rsidRDefault="00D15EE7" w:rsidP="00A35614">
            <w:pPr>
              <w:rPr>
                <w:rFonts w:asciiTheme="majorHAnsi" w:hAnsiTheme="majorHAnsi"/>
                <w:sz w:val="24"/>
                <w:szCs w:val="24"/>
              </w:rPr>
            </w:pPr>
          </w:p>
        </w:tc>
        <w:tc>
          <w:tcPr>
            <w:tcW w:w="748" w:type="dxa"/>
          </w:tcPr>
          <w:p w14:paraId="6B772B75" w14:textId="77777777" w:rsidR="00D15EE7" w:rsidRPr="00BA29C0" w:rsidRDefault="00D15EE7" w:rsidP="00A35614">
            <w:pPr>
              <w:rPr>
                <w:rFonts w:asciiTheme="majorHAnsi" w:hAnsiTheme="majorHAnsi"/>
                <w:sz w:val="24"/>
                <w:szCs w:val="24"/>
              </w:rPr>
            </w:pPr>
          </w:p>
        </w:tc>
        <w:tc>
          <w:tcPr>
            <w:tcW w:w="748" w:type="dxa"/>
          </w:tcPr>
          <w:p w14:paraId="55CB0AEF" w14:textId="77777777" w:rsidR="00D15EE7" w:rsidRPr="00BA29C0" w:rsidRDefault="00D15EE7" w:rsidP="00A35614">
            <w:pPr>
              <w:rPr>
                <w:rFonts w:asciiTheme="majorHAnsi" w:hAnsiTheme="majorHAnsi"/>
                <w:sz w:val="24"/>
                <w:szCs w:val="24"/>
              </w:rPr>
            </w:pPr>
          </w:p>
        </w:tc>
        <w:tc>
          <w:tcPr>
            <w:tcW w:w="748" w:type="dxa"/>
          </w:tcPr>
          <w:p w14:paraId="696F4E29" w14:textId="77777777" w:rsidR="00D15EE7" w:rsidRPr="00BA29C0" w:rsidRDefault="00D15EE7" w:rsidP="00A35614">
            <w:pPr>
              <w:rPr>
                <w:rFonts w:asciiTheme="majorHAnsi" w:hAnsiTheme="majorHAnsi"/>
                <w:sz w:val="24"/>
                <w:szCs w:val="24"/>
              </w:rPr>
            </w:pPr>
          </w:p>
        </w:tc>
        <w:tc>
          <w:tcPr>
            <w:tcW w:w="748" w:type="dxa"/>
          </w:tcPr>
          <w:p w14:paraId="6E1664D7" w14:textId="77777777" w:rsidR="00D15EE7" w:rsidRPr="00BA29C0" w:rsidRDefault="00D15EE7" w:rsidP="00A35614">
            <w:pPr>
              <w:rPr>
                <w:rFonts w:asciiTheme="majorHAnsi" w:hAnsiTheme="majorHAnsi"/>
                <w:sz w:val="24"/>
                <w:szCs w:val="24"/>
              </w:rPr>
            </w:pPr>
          </w:p>
        </w:tc>
        <w:tc>
          <w:tcPr>
            <w:tcW w:w="748" w:type="dxa"/>
          </w:tcPr>
          <w:p w14:paraId="6C278629" w14:textId="77777777" w:rsidR="00D15EE7" w:rsidRPr="00BA29C0" w:rsidRDefault="00D15EE7" w:rsidP="00A35614">
            <w:pPr>
              <w:rPr>
                <w:rFonts w:asciiTheme="majorHAnsi" w:hAnsiTheme="majorHAnsi"/>
                <w:sz w:val="24"/>
                <w:szCs w:val="24"/>
              </w:rPr>
            </w:pPr>
          </w:p>
        </w:tc>
        <w:tc>
          <w:tcPr>
            <w:tcW w:w="748" w:type="dxa"/>
          </w:tcPr>
          <w:p w14:paraId="4352CF0D" w14:textId="77777777" w:rsidR="00D15EE7" w:rsidRPr="00BA29C0" w:rsidRDefault="00D15EE7" w:rsidP="00A35614">
            <w:pPr>
              <w:rPr>
                <w:rFonts w:asciiTheme="majorHAnsi" w:hAnsiTheme="majorHAnsi"/>
                <w:sz w:val="24"/>
                <w:szCs w:val="24"/>
              </w:rPr>
            </w:pPr>
          </w:p>
        </w:tc>
        <w:tc>
          <w:tcPr>
            <w:tcW w:w="748" w:type="dxa"/>
          </w:tcPr>
          <w:p w14:paraId="5ADDFED0" w14:textId="77777777" w:rsidR="00D15EE7" w:rsidRPr="00BA29C0" w:rsidRDefault="00D15EE7" w:rsidP="00A35614">
            <w:pPr>
              <w:rPr>
                <w:rFonts w:asciiTheme="majorHAnsi" w:hAnsiTheme="majorHAnsi"/>
                <w:sz w:val="24"/>
                <w:szCs w:val="24"/>
              </w:rPr>
            </w:pPr>
          </w:p>
        </w:tc>
        <w:tc>
          <w:tcPr>
            <w:tcW w:w="748" w:type="dxa"/>
          </w:tcPr>
          <w:p w14:paraId="11854A48" w14:textId="77777777" w:rsidR="00D15EE7" w:rsidRPr="00BA29C0" w:rsidRDefault="00D15EE7" w:rsidP="00A35614">
            <w:pPr>
              <w:rPr>
                <w:rFonts w:asciiTheme="majorHAnsi" w:hAnsiTheme="majorHAnsi"/>
                <w:sz w:val="24"/>
                <w:szCs w:val="24"/>
              </w:rPr>
            </w:pPr>
          </w:p>
        </w:tc>
        <w:tc>
          <w:tcPr>
            <w:tcW w:w="748" w:type="dxa"/>
          </w:tcPr>
          <w:p w14:paraId="417F6208" w14:textId="77777777" w:rsidR="00D15EE7" w:rsidRPr="00BA29C0" w:rsidRDefault="00D15EE7" w:rsidP="00A35614">
            <w:pPr>
              <w:rPr>
                <w:rFonts w:asciiTheme="majorHAnsi" w:hAnsiTheme="majorHAnsi"/>
                <w:sz w:val="24"/>
                <w:szCs w:val="24"/>
              </w:rPr>
            </w:pPr>
          </w:p>
        </w:tc>
        <w:tc>
          <w:tcPr>
            <w:tcW w:w="748" w:type="dxa"/>
          </w:tcPr>
          <w:p w14:paraId="4EE09762" w14:textId="77777777" w:rsidR="00D15EE7" w:rsidRPr="00BA29C0" w:rsidRDefault="00D15EE7" w:rsidP="00A35614">
            <w:pPr>
              <w:rPr>
                <w:rFonts w:asciiTheme="majorHAnsi" w:hAnsiTheme="majorHAnsi"/>
                <w:sz w:val="24"/>
                <w:szCs w:val="24"/>
              </w:rPr>
            </w:pPr>
          </w:p>
        </w:tc>
      </w:tr>
      <w:tr w:rsidR="00D15EE7" w:rsidRPr="00BA29C0" w14:paraId="005778D8" w14:textId="77777777" w:rsidTr="00E05F79">
        <w:tc>
          <w:tcPr>
            <w:tcW w:w="1939" w:type="dxa"/>
          </w:tcPr>
          <w:p w14:paraId="7470B040"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rPr>
              <w:t>Първа междинна оценка</w:t>
            </w:r>
          </w:p>
        </w:tc>
        <w:tc>
          <w:tcPr>
            <w:tcW w:w="748" w:type="dxa"/>
          </w:tcPr>
          <w:p w14:paraId="22267BC4" w14:textId="77777777" w:rsidR="00D15EE7" w:rsidRPr="00BA29C0" w:rsidRDefault="00D15EE7" w:rsidP="00A35614">
            <w:pPr>
              <w:rPr>
                <w:rFonts w:asciiTheme="majorHAnsi" w:hAnsiTheme="majorHAnsi"/>
                <w:sz w:val="24"/>
                <w:szCs w:val="24"/>
              </w:rPr>
            </w:pPr>
          </w:p>
        </w:tc>
        <w:tc>
          <w:tcPr>
            <w:tcW w:w="2992" w:type="dxa"/>
            <w:gridSpan w:val="4"/>
            <w:shd w:val="clear" w:color="auto" w:fill="F2F2F2" w:themeFill="background1" w:themeFillShade="F2"/>
          </w:tcPr>
          <w:p w14:paraId="3966D310" w14:textId="77777777" w:rsidR="00D15EE7" w:rsidRPr="00BA29C0" w:rsidRDefault="00D15EE7" w:rsidP="00A35614">
            <w:pPr>
              <w:jc w:val="center"/>
              <w:rPr>
                <w:rFonts w:asciiTheme="majorHAnsi" w:hAnsiTheme="majorHAnsi"/>
                <w:sz w:val="24"/>
                <w:szCs w:val="24"/>
              </w:rPr>
            </w:pPr>
            <w:r w:rsidRPr="00BA29C0">
              <w:rPr>
                <w:rFonts w:asciiTheme="majorHAnsi" w:hAnsiTheme="majorHAnsi"/>
                <w:sz w:val="24"/>
                <w:szCs w:val="24"/>
              </w:rPr>
              <w:t>Обхват</w:t>
            </w:r>
          </w:p>
        </w:tc>
        <w:tc>
          <w:tcPr>
            <w:tcW w:w="748" w:type="dxa"/>
            <w:shd w:val="clear" w:color="auto" w:fill="D9D9D9" w:themeFill="background1" w:themeFillShade="D9"/>
          </w:tcPr>
          <w:p w14:paraId="38BBE3E1" w14:textId="77777777" w:rsidR="00D15EE7" w:rsidRPr="00BA29C0" w:rsidRDefault="00D15EE7" w:rsidP="00A35614">
            <w:pPr>
              <w:rPr>
                <w:rFonts w:asciiTheme="majorHAnsi" w:hAnsiTheme="majorHAnsi"/>
                <w:sz w:val="24"/>
                <w:szCs w:val="24"/>
              </w:rPr>
            </w:pPr>
          </w:p>
        </w:tc>
        <w:tc>
          <w:tcPr>
            <w:tcW w:w="748" w:type="dxa"/>
          </w:tcPr>
          <w:p w14:paraId="1B220B21" w14:textId="77777777" w:rsidR="00D15EE7" w:rsidRPr="00BA29C0" w:rsidRDefault="00D15EE7" w:rsidP="00A35614">
            <w:pPr>
              <w:rPr>
                <w:rFonts w:asciiTheme="majorHAnsi" w:hAnsiTheme="majorHAnsi"/>
                <w:sz w:val="24"/>
                <w:szCs w:val="24"/>
              </w:rPr>
            </w:pPr>
          </w:p>
        </w:tc>
        <w:tc>
          <w:tcPr>
            <w:tcW w:w="748" w:type="dxa"/>
          </w:tcPr>
          <w:p w14:paraId="0411A30B" w14:textId="77777777" w:rsidR="00D15EE7" w:rsidRPr="00BA29C0" w:rsidRDefault="00D15EE7" w:rsidP="00A35614">
            <w:pPr>
              <w:rPr>
                <w:rFonts w:asciiTheme="majorHAnsi" w:hAnsiTheme="majorHAnsi"/>
                <w:sz w:val="24"/>
                <w:szCs w:val="24"/>
              </w:rPr>
            </w:pPr>
          </w:p>
        </w:tc>
        <w:tc>
          <w:tcPr>
            <w:tcW w:w="748" w:type="dxa"/>
          </w:tcPr>
          <w:p w14:paraId="33A89D5C" w14:textId="77777777" w:rsidR="00D15EE7" w:rsidRPr="00BA29C0" w:rsidRDefault="00D15EE7" w:rsidP="00A35614">
            <w:pPr>
              <w:rPr>
                <w:rFonts w:asciiTheme="majorHAnsi" w:hAnsiTheme="majorHAnsi"/>
                <w:sz w:val="24"/>
                <w:szCs w:val="24"/>
              </w:rPr>
            </w:pPr>
          </w:p>
        </w:tc>
        <w:tc>
          <w:tcPr>
            <w:tcW w:w="748" w:type="dxa"/>
          </w:tcPr>
          <w:p w14:paraId="66A9AD62" w14:textId="77777777" w:rsidR="00D15EE7" w:rsidRPr="00BA29C0" w:rsidRDefault="00D15EE7" w:rsidP="00A35614">
            <w:pPr>
              <w:rPr>
                <w:rFonts w:asciiTheme="majorHAnsi" w:hAnsiTheme="majorHAnsi"/>
                <w:sz w:val="24"/>
                <w:szCs w:val="24"/>
              </w:rPr>
            </w:pPr>
          </w:p>
        </w:tc>
        <w:tc>
          <w:tcPr>
            <w:tcW w:w="748" w:type="dxa"/>
          </w:tcPr>
          <w:p w14:paraId="166D7613" w14:textId="77777777" w:rsidR="00D15EE7" w:rsidRPr="00BA29C0" w:rsidRDefault="00D15EE7" w:rsidP="00A35614">
            <w:pPr>
              <w:rPr>
                <w:rFonts w:asciiTheme="majorHAnsi" w:hAnsiTheme="majorHAnsi"/>
                <w:sz w:val="24"/>
                <w:szCs w:val="24"/>
              </w:rPr>
            </w:pPr>
          </w:p>
        </w:tc>
      </w:tr>
      <w:tr w:rsidR="00D15EE7" w:rsidRPr="00BA29C0" w14:paraId="78853DC8" w14:textId="77777777" w:rsidTr="00E05F79">
        <w:tc>
          <w:tcPr>
            <w:tcW w:w="1939" w:type="dxa"/>
          </w:tcPr>
          <w:p w14:paraId="36C3A3F3"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rPr>
              <w:t>Втора междинна оценка</w:t>
            </w:r>
          </w:p>
        </w:tc>
        <w:tc>
          <w:tcPr>
            <w:tcW w:w="748" w:type="dxa"/>
          </w:tcPr>
          <w:p w14:paraId="0A7584F0" w14:textId="77777777" w:rsidR="00D15EE7" w:rsidRPr="00BA29C0" w:rsidRDefault="00D15EE7" w:rsidP="00A35614">
            <w:pPr>
              <w:rPr>
                <w:rFonts w:asciiTheme="majorHAnsi" w:hAnsiTheme="majorHAnsi"/>
                <w:sz w:val="24"/>
                <w:szCs w:val="24"/>
              </w:rPr>
            </w:pPr>
          </w:p>
        </w:tc>
        <w:tc>
          <w:tcPr>
            <w:tcW w:w="748" w:type="dxa"/>
          </w:tcPr>
          <w:p w14:paraId="59799D03" w14:textId="77777777" w:rsidR="00D15EE7" w:rsidRPr="00BA29C0" w:rsidRDefault="00D15EE7" w:rsidP="00A35614">
            <w:pPr>
              <w:rPr>
                <w:rFonts w:asciiTheme="majorHAnsi" w:hAnsiTheme="majorHAnsi"/>
                <w:sz w:val="24"/>
                <w:szCs w:val="24"/>
              </w:rPr>
            </w:pPr>
          </w:p>
        </w:tc>
        <w:tc>
          <w:tcPr>
            <w:tcW w:w="748" w:type="dxa"/>
          </w:tcPr>
          <w:p w14:paraId="29897447" w14:textId="77777777" w:rsidR="00D15EE7" w:rsidRPr="00BA29C0" w:rsidRDefault="00D15EE7" w:rsidP="00A35614">
            <w:pPr>
              <w:rPr>
                <w:rFonts w:asciiTheme="majorHAnsi" w:hAnsiTheme="majorHAnsi"/>
                <w:sz w:val="24"/>
                <w:szCs w:val="24"/>
              </w:rPr>
            </w:pPr>
          </w:p>
        </w:tc>
        <w:tc>
          <w:tcPr>
            <w:tcW w:w="748" w:type="dxa"/>
          </w:tcPr>
          <w:p w14:paraId="193E88C2" w14:textId="77777777" w:rsidR="00D15EE7" w:rsidRPr="00BA29C0" w:rsidRDefault="00D15EE7" w:rsidP="00A35614">
            <w:pPr>
              <w:rPr>
                <w:rFonts w:asciiTheme="majorHAnsi" w:hAnsiTheme="majorHAnsi"/>
                <w:sz w:val="24"/>
                <w:szCs w:val="24"/>
              </w:rPr>
            </w:pPr>
          </w:p>
        </w:tc>
        <w:tc>
          <w:tcPr>
            <w:tcW w:w="2244" w:type="dxa"/>
            <w:gridSpan w:val="3"/>
            <w:shd w:val="clear" w:color="auto" w:fill="F2F2F2" w:themeFill="background1" w:themeFillShade="F2"/>
          </w:tcPr>
          <w:p w14:paraId="0F114077" w14:textId="77777777" w:rsidR="00D15EE7" w:rsidRPr="00BA29C0" w:rsidRDefault="00D15EE7" w:rsidP="00A35614">
            <w:pPr>
              <w:jc w:val="center"/>
              <w:rPr>
                <w:rFonts w:asciiTheme="majorHAnsi" w:hAnsiTheme="majorHAnsi"/>
                <w:sz w:val="24"/>
                <w:szCs w:val="24"/>
              </w:rPr>
            </w:pPr>
            <w:r w:rsidRPr="00BA29C0">
              <w:rPr>
                <w:rFonts w:asciiTheme="majorHAnsi" w:hAnsiTheme="majorHAnsi"/>
                <w:sz w:val="24"/>
                <w:szCs w:val="24"/>
              </w:rPr>
              <w:t>Обхват</w:t>
            </w:r>
          </w:p>
        </w:tc>
        <w:tc>
          <w:tcPr>
            <w:tcW w:w="748" w:type="dxa"/>
            <w:shd w:val="clear" w:color="auto" w:fill="D9D9D9" w:themeFill="background1" w:themeFillShade="D9"/>
          </w:tcPr>
          <w:p w14:paraId="23E2BB5F" w14:textId="77777777" w:rsidR="00D15EE7" w:rsidRPr="00BA29C0" w:rsidRDefault="00D15EE7" w:rsidP="00A35614">
            <w:pPr>
              <w:rPr>
                <w:rFonts w:asciiTheme="majorHAnsi" w:hAnsiTheme="majorHAnsi"/>
                <w:sz w:val="24"/>
                <w:szCs w:val="24"/>
              </w:rPr>
            </w:pPr>
          </w:p>
        </w:tc>
        <w:tc>
          <w:tcPr>
            <w:tcW w:w="748" w:type="dxa"/>
          </w:tcPr>
          <w:p w14:paraId="4C3AF072" w14:textId="77777777" w:rsidR="00D15EE7" w:rsidRPr="00BA29C0" w:rsidRDefault="00D15EE7" w:rsidP="00A35614">
            <w:pPr>
              <w:rPr>
                <w:rFonts w:asciiTheme="majorHAnsi" w:hAnsiTheme="majorHAnsi"/>
                <w:sz w:val="24"/>
                <w:szCs w:val="24"/>
              </w:rPr>
            </w:pPr>
          </w:p>
        </w:tc>
        <w:tc>
          <w:tcPr>
            <w:tcW w:w="748" w:type="dxa"/>
          </w:tcPr>
          <w:p w14:paraId="0C272374" w14:textId="77777777" w:rsidR="00D15EE7" w:rsidRPr="00BA29C0" w:rsidRDefault="00D15EE7" w:rsidP="00A35614">
            <w:pPr>
              <w:rPr>
                <w:rFonts w:asciiTheme="majorHAnsi" w:hAnsiTheme="majorHAnsi"/>
                <w:sz w:val="24"/>
                <w:szCs w:val="24"/>
              </w:rPr>
            </w:pPr>
          </w:p>
        </w:tc>
        <w:tc>
          <w:tcPr>
            <w:tcW w:w="748" w:type="dxa"/>
          </w:tcPr>
          <w:p w14:paraId="5487CB0B" w14:textId="77777777" w:rsidR="00D15EE7" w:rsidRPr="00BA29C0" w:rsidRDefault="00D15EE7" w:rsidP="00A35614">
            <w:pPr>
              <w:rPr>
                <w:rFonts w:asciiTheme="majorHAnsi" w:hAnsiTheme="majorHAnsi"/>
                <w:sz w:val="24"/>
                <w:szCs w:val="24"/>
              </w:rPr>
            </w:pPr>
          </w:p>
        </w:tc>
      </w:tr>
      <w:tr w:rsidR="00D15EE7" w:rsidRPr="00BA29C0" w14:paraId="60B8A081" w14:textId="77777777" w:rsidTr="00E05F79">
        <w:tc>
          <w:tcPr>
            <w:tcW w:w="1939" w:type="dxa"/>
          </w:tcPr>
          <w:p w14:paraId="2AA02B3A" w14:textId="0BCB73AB" w:rsidR="00D15EE7" w:rsidRPr="00BA29C0" w:rsidRDefault="00D15EE7" w:rsidP="00A35614">
            <w:pPr>
              <w:rPr>
                <w:rFonts w:asciiTheme="majorHAnsi" w:hAnsiTheme="majorHAnsi"/>
                <w:sz w:val="24"/>
                <w:szCs w:val="24"/>
              </w:rPr>
            </w:pPr>
            <w:r w:rsidRPr="00BA29C0">
              <w:rPr>
                <w:rFonts w:asciiTheme="majorHAnsi" w:hAnsiTheme="majorHAnsi"/>
                <w:sz w:val="24"/>
                <w:szCs w:val="24"/>
              </w:rPr>
              <w:t>Финален доклад на изпълнението</w:t>
            </w:r>
            <w:r w:rsidR="00C53E60">
              <w:rPr>
                <w:rFonts w:asciiTheme="majorHAnsi" w:hAnsiTheme="majorHAnsi"/>
                <w:sz w:val="24"/>
                <w:szCs w:val="24"/>
              </w:rPr>
              <w:t>, включващ резултатите от извършените оценки на ПМДР</w:t>
            </w:r>
          </w:p>
        </w:tc>
        <w:tc>
          <w:tcPr>
            <w:tcW w:w="748" w:type="dxa"/>
            <w:shd w:val="clear" w:color="auto" w:fill="FFFFFF" w:themeFill="background1"/>
          </w:tcPr>
          <w:p w14:paraId="5DA7166D" w14:textId="77777777" w:rsidR="00D15EE7" w:rsidRPr="00BA29C0" w:rsidRDefault="00D15EE7" w:rsidP="00A35614">
            <w:pPr>
              <w:jc w:val="center"/>
              <w:rPr>
                <w:rFonts w:asciiTheme="majorHAnsi" w:hAnsiTheme="majorHAnsi"/>
                <w:sz w:val="24"/>
                <w:szCs w:val="24"/>
              </w:rPr>
            </w:pPr>
          </w:p>
        </w:tc>
        <w:tc>
          <w:tcPr>
            <w:tcW w:w="6732" w:type="dxa"/>
            <w:gridSpan w:val="9"/>
            <w:shd w:val="clear" w:color="auto" w:fill="F2F2F2" w:themeFill="background1" w:themeFillShade="F2"/>
          </w:tcPr>
          <w:p w14:paraId="6E1442F0" w14:textId="77777777" w:rsidR="00D15EE7" w:rsidRPr="00BA29C0" w:rsidRDefault="00D15EE7" w:rsidP="00A35614">
            <w:pPr>
              <w:jc w:val="center"/>
              <w:rPr>
                <w:rFonts w:asciiTheme="majorHAnsi" w:hAnsiTheme="majorHAnsi"/>
                <w:sz w:val="24"/>
                <w:szCs w:val="24"/>
              </w:rPr>
            </w:pPr>
            <w:r w:rsidRPr="00BA29C0">
              <w:rPr>
                <w:rFonts w:asciiTheme="majorHAnsi" w:hAnsiTheme="majorHAnsi"/>
                <w:sz w:val="24"/>
                <w:szCs w:val="24"/>
              </w:rPr>
              <w:t>Обхват</w:t>
            </w:r>
          </w:p>
        </w:tc>
        <w:tc>
          <w:tcPr>
            <w:tcW w:w="748" w:type="dxa"/>
            <w:shd w:val="clear" w:color="auto" w:fill="D9D9D9" w:themeFill="background1" w:themeFillShade="D9"/>
          </w:tcPr>
          <w:p w14:paraId="1A58EE3F" w14:textId="77777777" w:rsidR="00D15EE7" w:rsidRPr="00BA29C0" w:rsidRDefault="00D15EE7" w:rsidP="00A35614">
            <w:pPr>
              <w:rPr>
                <w:rFonts w:asciiTheme="majorHAnsi" w:hAnsiTheme="majorHAnsi"/>
                <w:sz w:val="24"/>
                <w:szCs w:val="24"/>
              </w:rPr>
            </w:pPr>
          </w:p>
        </w:tc>
      </w:tr>
      <w:tr w:rsidR="00D15EE7" w:rsidRPr="00BA29C0" w14:paraId="563C37FE" w14:textId="77777777" w:rsidTr="00E05F79">
        <w:trPr>
          <w:trHeight w:val="755"/>
        </w:trPr>
        <w:tc>
          <w:tcPr>
            <w:tcW w:w="1939" w:type="dxa"/>
          </w:tcPr>
          <w:p w14:paraId="25F268DB" w14:textId="77777777" w:rsidR="00D15EE7" w:rsidRPr="00BA29C0" w:rsidRDefault="00D15EE7" w:rsidP="00A35614">
            <w:pPr>
              <w:rPr>
                <w:rFonts w:asciiTheme="majorHAnsi" w:hAnsiTheme="majorHAnsi"/>
                <w:sz w:val="24"/>
                <w:szCs w:val="24"/>
              </w:rPr>
            </w:pPr>
            <w:r w:rsidRPr="00BA29C0">
              <w:rPr>
                <w:rFonts w:asciiTheme="majorHAnsi" w:hAnsiTheme="majorHAnsi"/>
                <w:sz w:val="24"/>
                <w:szCs w:val="24"/>
              </w:rPr>
              <w:t>Последваща оценка от ЕК</w:t>
            </w:r>
          </w:p>
        </w:tc>
        <w:tc>
          <w:tcPr>
            <w:tcW w:w="748" w:type="dxa"/>
          </w:tcPr>
          <w:p w14:paraId="5FAD53ED" w14:textId="77777777" w:rsidR="00D15EE7" w:rsidRPr="00BA29C0" w:rsidRDefault="00D15EE7" w:rsidP="00A35614">
            <w:pPr>
              <w:rPr>
                <w:rFonts w:asciiTheme="majorHAnsi" w:hAnsiTheme="majorHAnsi"/>
                <w:sz w:val="24"/>
                <w:szCs w:val="24"/>
              </w:rPr>
            </w:pPr>
          </w:p>
        </w:tc>
        <w:tc>
          <w:tcPr>
            <w:tcW w:w="6732" w:type="dxa"/>
            <w:gridSpan w:val="9"/>
            <w:shd w:val="clear" w:color="auto" w:fill="F2F2F2" w:themeFill="background1" w:themeFillShade="F2"/>
          </w:tcPr>
          <w:p w14:paraId="1779980C" w14:textId="77777777" w:rsidR="00D15EE7" w:rsidRPr="00BA29C0" w:rsidRDefault="00D15EE7" w:rsidP="00A35614">
            <w:pPr>
              <w:jc w:val="center"/>
              <w:rPr>
                <w:rFonts w:asciiTheme="majorHAnsi" w:hAnsiTheme="majorHAnsi"/>
                <w:sz w:val="24"/>
                <w:szCs w:val="24"/>
              </w:rPr>
            </w:pPr>
            <w:r w:rsidRPr="00BA29C0">
              <w:rPr>
                <w:rFonts w:asciiTheme="majorHAnsi" w:hAnsiTheme="majorHAnsi"/>
                <w:sz w:val="24"/>
                <w:szCs w:val="24"/>
              </w:rPr>
              <w:t>Обхват</w:t>
            </w:r>
          </w:p>
          <w:p w14:paraId="2ECABBE2" w14:textId="77777777" w:rsidR="00D15EE7" w:rsidRPr="00BA29C0" w:rsidRDefault="00D15EE7" w:rsidP="00A35614">
            <w:pPr>
              <w:jc w:val="center"/>
              <w:rPr>
                <w:rFonts w:asciiTheme="majorHAnsi" w:hAnsiTheme="majorHAnsi"/>
                <w:sz w:val="24"/>
                <w:szCs w:val="24"/>
              </w:rPr>
            </w:pPr>
          </w:p>
        </w:tc>
        <w:tc>
          <w:tcPr>
            <w:tcW w:w="748" w:type="dxa"/>
            <w:shd w:val="clear" w:color="auto" w:fill="D9D9D9" w:themeFill="background1" w:themeFillShade="D9"/>
          </w:tcPr>
          <w:p w14:paraId="3296976E" w14:textId="77777777" w:rsidR="00D15EE7" w:rsidRPr="00BA29C0" w:rsidRDefault="00D15EE7" w:rsidP="00A35614">
            <w:pPr>
              <w:rPr>
                <w:rFonts w:asciiTheme="majorHAnsi" w:hAnsiTheme="majorHAnsi"/>
                <w:sz w:val="24"/>
                <w:szCs w:val="24"/>
              </w:rPr>
            </w:pPr>
          </w:p>
        </w:tc>
      </w:tr>
    </w:tbl>
    <w:p w14:paraId="22523135" w14:textId="15013103" w:rsidR="00A06340" w:rsidRDefault="00A06340" w:rsidP="00D15EE7">
      <w:pPr>
        <w:spacing w:after="0"/>
        <w:ind w:firstLine="567"/>
        <w:jc w:val="both"/>
        <w:rPr>
          <w:rFonts w:asciiTheme="majorHAnsi" w:hAnsiTheme="majorHAnsi" w:cs="Times New Roman"/>
          <w:sz w:val="24"/>
          <w:szCs w:val="24"/>
        </w:rPr>
      </w:pPr>
    </w:p>
    <w:p w14:paraId="58D17C1B" w14:textId="77777777" w:rsidR="007C4516" w:rsidRDefault="007C4516" w:rsidP="007C4516">
      <w:pPr>
        <w:spacing w:after="0"/>
        <w:ind w:firstLine="567"/>
        <w:jc w:val="both"/>
        <w:rPr>
          <w:rFonts w:asciiTheme="majorHAnsi" w:hAnsiTheme="majorHAnsi" w:cs="Times New Roman"/>
          <w:sz w:val="24"/>
          <w:szCs w:val="24"/>
        </w:rPr>
      </w:pPr>
    </w:p>
    <w:p w14:paraId="33FD6A5A" w14:textId="38C6E076" w:rsidR="00A06340" w:rsidRDefault="00A06340" w:rsidP="009E219B">
      <w:pPr>
        <w:pStyle w:val="Heading2"/>
        <w:rPr>
          <w:rFonts w:cs="Times New Roman"/>
          <w:b/>
          <w:sz w:val="24"/>
          <w:szCs w:val="24"/>
        </w:rPr>
      </w:pPr>
      <w:bookmarkStart w:id="14" w:name="_Toc7098479"/>
      <w:r w:rsidRPr="00A06340">
        <w:rPr>
          <w:rFonts w:cs="Times New Roman"/>
          <w:b/>
          <w:bCs/>
          <w:sz w:val="24"/>
          <w:szCs w:val="24"/>
        </w:rPr>
        <w:t xml:space="preserve">3.2. </w:t>
      </w:r>
      <w:r w:rsidR="009E219B">
        <w:rPr>
          <w:rFonts w:cs="Times New Roman"/>
          <w:b/>
          <w:bCs/>
          <w:sz w:val="24"/>
          <w:szCs w:val="24"/>
        </w:rPr>
        <w:t>П</w:t>
      </w:r>
      <w:r w:rsidRPr="00A06340">
        <w:rPr>
          <w:rFonts w:cs="Times New Roman"/>
          <w:b/>
          <w:sz w:val="24"/>
          <w:szCs w:val="24"/>
        </w:rPr>
        <w:t>ланът за оценка ще конкретизира всеки вид квалификация</w:t>
      </w:r>
      <w:bookmarkEnd w:id="14"/>
    </w:p>
    <w:p w14:paraId="48853B8E" w14:textId="77777777" w:rsidR="00C23E81" w:rsidRPr="00A06340" w:rsidRDefault="00C23E81" w:rsidP="00A06340">
      <w:pPr>
        <w:spacing w:after="0"/>
        <w:ind w:firstLine="567"/>
        <w:jc w:val="both"/>
        <w:rPr>
          <w:rFonts w:asciiTheme="majorHAnsi" w:hAnsiTheme="majorHAnsi" w:cs="Times New Roman"/>
          <w:b/>
          <w:sz w:val="24"/>
          <w:szCs w:val="24"/>
        </w:rPr>
      </w:pPr>
    </w:p>
    <w:p w14:paraId="6EDA6054" w14:textId="55FD3BDF" w:rsidR="00C23E81" w:rsidRPr="00C23E81" w:rsidRDefault="00C23E81" w:rsidP="007749BF">
      <w:pPr>
        <w:ind w:firstLine="706"/>
        <w:jc w:val="both"/>
      </w:pPr>
      <w:r w:rsidRPr="00BA29C0">
        <w:rPr>
          <w:rFonts w:asciiTheme="majorHAnsi" w:hAnsiTheme="majorHAnsi" w:cs="Times New Roman"/>
          <w:sz w:val="24"/>
          <w:szCs w:val="24"/>
        </w:rPr>
        <w:t xml:space="preserve">Както е заложено в глава 10 от програмата, човешките ресурси </w:t>
      </w:r>
      <w:r>
        <w:rPr>
          <w:rFonts w:asciiTheme="majorHAnsi" w:hAnsiTheme="majorHAnsi" w:cs="Times New Roman"/>
          <w:sz w:val="24"/>
          <w:szCs w:val="24"/>
        </w:rPr>
        <w:t xml:space="preserve">на разположение на УО </w:t>
      </w:r>
      <w:r w:rsidRPr="00BA29C0">
        <w:rPr>
          <w:rFonts w:asciiTheme="majorHAnsi" w:hAnsiTheme="majorHAnsi" w:cs="Times New Roman"/>
          <w:sz w:val="24"/>
          <w:szCs w:val="24"/>
        </w:rPr>
        <w:t xml:space="preserve">са ограничени. В допълнение към неблагоприятната икономическа ситуация в страната, компетентните институции полагат всички </w:t>
      </w:r>
      <w:r w:rsidRPr="00BA29C0">
        <w:rPr>
          <w:rFonts w:asciiTheme="majorHAnsi" w:hAnsiTheme="majorHAnsi" w:cs="Times New Roman"/>
          <w:sz w:val="24"/>
          <w:szCs w:val="24"/>
        </w:rPr>
        <w:lastRenderedPageBreak/>
        <w:t xml:space="preserve">усилия преодоляване на проблемите за гарантиране на безпроблемното изпълнение на програмата. Управляващя огран  гарантира, че разполага с достатъчен брой подходящи кадри за изпълнението на програмата и на плана за оценка. Следователно оценяването може да се повери на външни изпълнители/експерти, с изключение на случаите на вътрешна оценка/самооценка. </w:t>
      </w:r>
      <w:r>
        <w:rPr>
          <w:rFonts w:asciiTheme="majorHAnsi" w:hAnsiTheme="majorHAnsi" w:cs="Times New Roman"/>
          <w:sz w:val="24"/>
          <w:szCs w:val="24"/>
        </w:rPr>
        <w:t xml:space="preserve">Специфичните задачи на УО са заложени в </w:t>
      </w:r>
      <w:r w:rsidRPr="00E86593">
        <w:rPr>
          <w:rFonts w:asciiTheme="majorHAnsi" w:hAnsiTheme="majorHAnsi" w:cs="Times New Roman"/>
          <w:sz w:val="24"/>
          <w:szCs w:val="24"/>
        </w:rPr>
        <w:t>глава 13 от Наръчника по програма „Морско дело и рибарство”  2014 - 2020 (ПМДР)</w:t>
      </w:r>
      <w:r>
        <w:rPr>
          <w:rFonts w:asciiTheme="majorHAnsi" w:hAnsiTheme="majorHAnsi" w:cs="Times New Roman"/>
          <w:sz w:val="24"/>
          <w:szCs w:val="24"/>
        </w:rPr>
        <w:t xml:space="preserve">. </w:t>
      </w:r>
      <w:r w:rsidRPr="00C23E81">
        <w:rPr>
          <w:rFonts w:asciiTheme="majorHAnsi" w:hAnsiTheme="majorHAnsi" w:cs="Times New Roman"/>
          <w:sz w:val="24"/>
          <w:szCs w:val="24"/>
        </w:rPr>
        <w:t>Членовете на Звеното за оценка</w:t>
      </w:r>
      <w:r>
        <w:rPr>
          <w:rFonts w:asciiTheme="majorHAnsi" w:hAnsiTheme="majorHAnsi" w:cs="Times New Roman"/>
          <w:sz w:val="24"/>
          <w:szCs w:val="24"/>
        </w:rPr>
        <w:t xml:space="preserve"> </w:t>
      </w:r>
      <w:r w:rsidRPr="00C23E81">
        <w:rPr>
          <w:rFonts w:asciiTheme="majorHAnsi" w:hAnsiTheme="majorHAnsi" w:cs="Times New Roman"/>
          <w:sz w:val="24"/>
          <w:szCs w:val="24"/>
        </w:rPr>
        <w:t xml:space="preserve">следва </w:t>
      </w:r>
      <w:r>
        <w:rPr>
          <w:rFonts w:asciiTheme="majorHAnsi" w:hAnsiTheme="majorHAnsi" w:cs="Times New Roman"/>
          <w:sz w:val="24"/>
          <w:szCs w:val="24"/>
        </w:rPr>
        <w:t>да</w:t>
      </w:r>
      <w:r w:rsidRPr="00BA29C0">
        <w:rPr>
          <w:rFonts w:asciiTheme="majorHAnsi" w:hAnsiTheme="majorHAnsi" w:cs="Times New Roman"/>
          <w:sz w:val="24"/>
          <w:szCs w:val="24"/>
        </w:rPr>
        <w:t xml:space="preserve"> вземат участие в обучителни курсове за придобиване на подходящите експертни</w:t>
      </w:r>
      <w:r w:rsidRPr="00C23E81">
        <w:rPr>
          <w:rFonts w:asciiTheme="majorHAnsi" w:hAnsiTheme="majorHAnsi" w:cs="Times New Roman"/>
          <w:b/>
          <w:sz w:val="24"/>
          <w:szCs w:val="24"/>
        </w:rPr>
        <w:t xml:space="preserve"> </w:t>
      </w:r>
      <w:r w:rsidRPr="00BA29C0">
        <w:rPr>
          <w:rFonts w:asciiTheme="majorHAnsi" w:hAnsiTheme="majorHAnsi" w:cs="Times New Roman"/>
          <w:sz w:val="24"/>
          <w:szCs w:val="24"/>
        </w:rPr>
        <w:t xml:space="preserve">умения, когато това се налага. Процесът по координация, организация и провеждане на оценки на ПМДР е дефиниран в отговорностите на УО на ПМДР. Функциите по оценката и координационните връзки са ясно определени и разделени от други дейности по отношение на изпълнение, контрол и одит на ПМДР, като същите се извършват от отдел „Програмиране и мониторинг“ на дирекция „Морско дело и рибарство“ в МЗХГ. </w:t>
      </w:r>
      <w:r>
        <w:rPr>
          <w:rFonts w:asciiTheme="majorHAnsi" w:hAnsiTheme="majorHAnsi" w:cs="Times New Roman"/>
          <w:sz w:val="24"/>
          <w:szCs w:val="24"/>
        </w:rPr>
        <w:t xml:space="preserve">Повишаване на </w:t>
      </w:r>
      <w:r w:rsidR="00624AC8">
        <w:rPr>
          <w:rFonts w:asciiTheme="majorHAnsi" w:hAnsiTheme="majorHAnsi" w:cs="Times New Roman"/>
          <w:sz w:val="24"/>
          <w:szCs w:val="24"/>
        </w:rPr>
        <w:t>квалификацията</w:t>
      </w:r>
      <w:r>
        <w:rPr>
          <w:rFonts w:asciiTheme="majorHAnsi" w:hAnsiTheme="majorHAnsi" w:cs="Times New Roman"/>
          <w:sz w:val="24"/>
          <w:szCs w:val="24"/>
        </w:rPr>
        <w:t xml:space="preserve"> на служителите по отношение на дейностите по оценка е възможно в направления „Анализ на политики“, </w:t>
      </w:r>
      <w:r w:rsidR="0035205B">
        <w:rPr>
          <w:rFonts w:asciiTheme="majorHAnsi" w:hAnsiTheme="majorHAnsi" w:cs="Times New Roman"/>
          <w:sz w:val="24"/>
          <w:szCs w:val="24"/>
        </w:rPr>
        <w:t>„</w:t>
      </w:r>
      <w:r w:rsidRPr="00C23E81">
        <w:rPr>
          <w:rFonts w:asciiTheme="majorHAnsi" w:hAnsiTheme="majorHAnsi" w:cs="Times New Roman"/>
          <w:sz w:val="24"/>
          <w:szCs w:val="24"/>
        </w:rPr>
        <w:t>Публични политики – разработване, прилагане, мониторинг и оценка“</w:t>
      </w:r>
      <w:r w:rsidR="007749BF">
        <w:t xml:space="preserve">, </w:t>
      </w:r>
      <w:r w:rsidR="0035205B">
        <w:t>„</w:t>
      </w:r>
      <w:r w:rsidR="0035205B" w:rsidRPr="0035205B">
        <w:rPr>
          <w:rFonts w:asciiTheme="majorHAnsi" w:hAnsiTheme="majorHAnsi" w:cs="Times New Roman"/>
          <w:sz w:val="24"/>
          <w:szCs w:val="24"/>
        </w:rPr>
        <w:t>Оценка на въздействието</w:t>
      </w:r>
      <w:r w:rsidR="0035205B">
        <w:rPr>
          <w:rFonts w:asciiTheme="majorHAnsi" w:hAnsiTheme="majorHAnsi" w:cs="Times New Roman"/>
          <w:sz w:val="24"/>
          <w:szCs w:val="24"/>
        </w:rPr>
        <w:t>“</w:t>
      </w:r>
      <w:r w:rsidR="007749BF">
        <w:rPr>
          <w:rFonts w:asciiTheme="majorHAnsi" w:hAnsiTheme="majorHAnsi" w:cs="Times New Roman"/>
          <w:sz w:val="24"/>
          <w:szCs w:val="24"/>
        </w:rPr>
        <w:t xml:space="preserve"> и „</w:t>
      </w:r>
      <w:r w:rsidR="007749BF" w:rsidRPr="007749BF">
        <w:rPr>
          <w:rFonts w:asciiTheme="majorHAnsi" w:hAnsiTheme="majorHAnsi" w:cs="Times New Roman"/>
          <w:sz w:val="24"/>
          <w:szCs w:val="24"/>
        </w:rPr>
        <w:t>Законодателство и методология по финансово</w:t>
      </w:r>
      <w:r w:rsidR="007749BF">
        <w:rPr>
          <w:rFonts w:asciiTheme="majorHAnsi" w:hAnsiTheme="majorHAnsi" w:cs="Times New Roman"/>
          <w:sz w:val="24"/>
          <w:szCs w:val="24"/>
        </w:rPr>
        <w:t xml:space="preserve"> </w:t>
      </w:r>
      <w:r w:rsidR="007749BF" w:rsidRPr="007749BF">
        <w:rPr>
          <w:rFonts w:asciiTheme="majorHAnsi" w:hAnsiTheme="majorHAnsi" w:cs="Times New Roman"/>
          <w:sz w:val="24"/>
          <w:szCs w:val="24"/>
        </w:rPr>
        <w:t>управление и контрол</w:t>
      </w:r>
      <w:r w:rsidR="007749BF">
        <w:rPr>
          <w:rFonts w:asciiTheme="majorHAnsi" w:hAnsiTheme="majorHAnsi" w:cs="Times New Roman"/>
          <w:sz w:val="24"/>
          <w:szCs w:val="24"/>
        </w:rPr>
        <w:t>“</w:t>
      </w:r>
      <w:r w:rsidR="0035205B">
        <w:rPr>
          <w:rFonts w:asciiTheme="majorHAnsi" w:hAnsiTheme="majorHAnsi" w:cs="Times New Roman"/>
          <w:sz w:val="24"/>
          <w:szCs w:val="24"/>
        </w:rPr>
        <w:t xml:space="preserve">. </w:t>
      </w:r>
    </w:p>
    <w:p w14:paraId="1BE5DF81" w14:textId="6E594E70" w:rsidR="00A06340" w:rsidRPr="00A06340" w:rsidRDefault="00A06340" w:rsidP="00A06340">
      <w:pPr>
        <w:spacing w:after="0"/>
        <w:ind w:firstLine="567"/>
        <w:jc w:val="both"/>
        <w:rPr>
          <w:rFonts w:asciiTheme="majorHAnsi" w:hAnsiTheme="majorHAnsi" w:cs="Times New Roman"/>
          <w:b/>
          <w:sz w:val="24"/>
          <w:szCs w:val="24"/>
        </w:rPr>
      </w:pPr>
    </w:p>
    <w:p w14:paraId="5CBC256A" w14:textId="77777777" w:rsidR="00A06340" w:rsidRPr="00A06340" w:rsidRDefault="00A06340" w:rsidP="009E219B">
      <w:pPr>
        <w:pStyle w:val="Heading2"/>
        <w:rPr>
          <w:rFonts w:cs="Times New Roman"/>
          <w:b/>
          <w:sz w:val="24"/>
          <w:szCs w:val="24"/>
        </w:rPr>
      </w:pPr>
      <w:bookmarkStart w:id="15" w:name="_Toc7098480"/>
      <w:r w:rsidRPr="00A06340">
        <w:rPr>
          <w:rFonts w:cs="Times New Roman"/>
          <w:b/>
          <w:bCs/>
          <w:sz w:val="24"/>
          <w:szCs w:val="24"/>
        </w:rPr>
        <w:t xml:space="preserve">3.3. </w:t>
      </w:r>
      <w:r w:rsidRPr="00A06340">
        <w:rPr>
          <w:rFonts w:cs="Times New Roman"/>
          <w:b/>
          <w:sz w:val="24"/>
          <w:szCs w:val="24"/>
        </w:rPr>
        <w:t>Контекст и обосновка, вкл. основния подход (или оценка на въздействието) и основните въпроси на оценките</w:t>
      </w:r>
      <w:bookmarkEnd w:id="15"/>
    </w:p>
    <w:p w14:paraId="38F42D46" w14:textId="77777777" w:rsidR="00A06340" w:rsidRPr="00A06340" w:rsidRDefault="00A06340" w:rsidP="00A06340">
      <w:pPr>
        <w:spacing w:after="0"/>
        <w:ind w:firstLine="567"/>
        <w:jc w:val="both"/>
        <w:rPr>
          <w:rFonts w:asciiTheme="majorHAnsi" w:hAnsiTheme="majorHAnsi" w:cs="Times New Roman"/>
          <w:b/>
          <w:sz w:val="24"/>
          <w:szCs w:val="24"/>
        </w:rPr>
      </w:pPr>
    </w:p>
    <w:p w14:paraId="0EF26FAD"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sz w:val="24"/>
          <w:szCs w:val="24"/>
          <w:lang w:val="en-US"/>
        </w:rPr>
        <w:t xml:space="preserve">За нуждите на оценката беше разработен въпросник, който ще бъде изпратен до представители на заинтересованите страни, като данните от него ще бъдат обработени, обобщени и анализирани. Резултатите от обработените въпросници ще бъдат взети под внимание и включени в Междинната оценка на програмата.  </w:t>
      </w:r>
    </w:p>
    <w:p w14:paraId="05B2FFFD"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3F1352F8" w14:textId="77777777" w:rsidR="00A06340" w:rsidRPr="00A06340" w:rsidRDefault="00A06340" w:rsidP="00A06340">
      <w:pPr>
        <w:spacing w:after="0"/>
        <w:ind w:firstLine="567"/>
        <w:jc w:val="both"/>
        <w:rPr>
          <w:rFonts w:asciiTheme="majorHAnsi" w:hAnsiTheme="majorHAnsi" w:cs="Times New Roman"/>
          <w:b/>
          <w:sz w:val="24"/>
          <w:szCs w:val="24"/>
          <w:lang w:val="en-US"/>
        </w:rPr>
      </w:pPr>
      <w:r w:rsidRPr="00A06340">
        <w:rPr>
          <w:rFonts w:asciiTheme="majorHAnsi" w:hAnsiTheme="majorHAnsi" w:cs="Times New Roman"/>
          <w:b/>
          <w:sz w:val="24"/>
          <w:szCs w:val="24"/>
          <w:lang w:val="en-US"/>
        </w:rPr>
        <w:t>Въпроси за оценка:</w:t>
      </w:r>
    </w:p>
    <w:p w14:paraId="6362C790" w14:textId="77777777" w:rsidR="00A06340" w:rsidRPr="00A06340" w:rsidRDefault="00A06340" w:rsidP="00A06340">
      <w:pPr>
        <w:spacing w:after="0"/>
        <w:ind w:firstLine="567"/>
        <w:jc w:val="both"/>
        <w:rPr>
          <w:rFonts w:asciiTheme="majorHAnsi" w:hAnsiTheme="majorHAnsi" w:cs="Times New Roman"/>
          <w:b/>
          <w:sz w:val="24"/>
          <w:szCs w:val="24"/>
          <w:lang w:val="en-US"/>
        </w:rPr>
      </w:pPr>
    </w:p>
    <w:p w14:paraId="5F8EC67D"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w:t>
      </w:r>
      <w:r w:rsidRPr="00A06340">
        <w:rPr>
          <w:rFonts w:asciiTheme="majorHAnsi" w:hAnsiTheme="majorHAnsi" w:cs="Times New Roman"/>
          <w:b/>
          <w:sz w:val="24"/>
          <w:szCs w:val="24"/>
        </w:rPr>
        <w:t xml:space="preserve"> </w:t>
      </w:r>
      <w:r w:rsidRPr="00A06340">
        <w:rPr>
          <w:rFonts w:asciiTheme="majorHAnsi" w:hAnsiTheme="majorHAnsi" w:cs="Times New Roman"/>
          <w:b/>
          <w:sz w:val="24"/>
          <w:szCs w:val="24"/>
          <w:lang w:val="en-US"/>
        </w:rPr>
        <w:t>1:</w:t>
      </w:r>
      <w:r w:rsidRPr="00A06340">
        <w:rPr>
          <w:rFonts w:asciiTheme="majorHAnsi" w:hAnsiTheme="majorHAnsi" w:cs="Times New Roman"/>
          <w:sz w:val="24"/>
          <w:szCs w:val="24"/>
          <w:lang w:val="en-US"/>
        </w:rPr>
        <w:t xml:space="preserve"> Настъпили ли са промени в регулаторния, социално-икономическия и политическия контекст по време на изпълнението на програмата? Възникнали ли са нови нужди? </w:t>
      </w:r>
    </w:p>
    <w:p w14:paraId="036187D3"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4FA45808"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2:</w:t>
      </w:r>
      <w:r w:rsidRPr="00A06340">
        <w:rPr>
          <w:rFonts w:asciiTheme="majorHAnsi" w:hAnsiTheme="majorHAnsi" w:cs="Times New Roman"/>
          <w:sz w:val="24"/>
          <w:szCs w:val="24"/>
          <w:lang w:val="en-US"/>
        </w:rPr>
        <w:t xml:space="preserve"> Внесени ли са изменения в ПМДР? На какъв етап са тези изменения и какво предвиждат? </w:t>
      </w:r>
    </w:p>
    <w:p w14:paraId="6ED21574"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0C8DE839"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3:</w:t>
      </w:r>
      <w:r w:rsidRPr="00A06340">
        <w:rPr>
          <w:rFonts w:asciiTheme="majorHAnsi" w:hAnsiTheme="majorHAnsi" w:cs="Times New Roman"/>
          <w:sz w:val="24"/>
          <w:szCs w:val="24"/>
          <w:lang w:val="en-US"/>
        </w:rPr>
        <w:t xml:space="preserve"> Доколко ефективни са системите за мониторинг и контрол на програмата? До каква степен процесите на управление - от подаването на проекта до извършването на плащания, позволяват ефективно изпълнение на проекти, които най-добре постигат целите на програмата? Извършени ли са промени в системата за мониторинг и контрол до момента? Ако да, опишете и посочете причините за това. </w:t>
      </w:r>
    </w:p>
    <w:p w14:paraId="3B128788"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50E6486B"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4:</w:t>
      </w:r>
      <w:r w:rsidRPr="00A06340">
        <w:rPr>
          <w:rFonts w:asciiTheme="majorHAnsi" w:hAnsiTheme="majorHAnsi" w:cs="Times New Roman"/>
          <w:sz w:val="24"/>
          <w:szCs w:val="24"/>
          <w:lang w:val="en-US"/>
        </w:rPr>
        <w:t xml:space="preserve"> Доколко ефективно са спазени принципите относно участието на партньорите в изпълнението на програмата? Бяха ли заинтересованите страни ефективно включени в изпълнението на ПМДР и как? Координирано ли беше изпълнението на ПМДР?</w:t>
      </w:r>
    </w:p>
    <w:p w14:paraId="2D750CCF"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7E79362A"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5:</w:t>
      </w:r>
      <w:r w:rsidRPr="00A06340">
        <w:rPr>
          <w:rFonts w:asciiTheme="majorHAnsi" w:hAnsiTheme="majorHAnsi" w:cs="Times New Roman"/>
          <w:sz w:val="24"/>
          <w:szCs w:val="24"/>
          <w:lang w:val="en-US"/>
        </w:rPr>
        <w:t xml:space="preserve"> Доколко ефективно са спазени принципите за насърчаване на равенството между мъжете и жените и недопускане на дискриминация, включително достъпност за лица с увреждания, както и мерки, които се прилагат, за да се гарантира интегрирането на равенството между половете в програмата? Бяха ли включени в изпълнението на ПМДР заинтересованите страни (по-специално екологично насочени организации и организации на жените)?</w:t>
      </w:r>
    </w:p>
    <w:p w14:paraId="0B1FE8B7"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622F66E8"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6:</w:t>
      </w:r>
      <w:r w:rsidRPr="00A06340">
        <w:rPr>
          <w:rFonts w:asciiTheme="majorHAnsi" w:hAnsiTheme="majorHAnsi" w:cs="Times New Roman"/>
          <w:sz w:val="24"/>
          <w:szCs w:val="24"/>
          <w:lang w:val="en-US"/>
        </w:rPr>
        <w:t xml:space="preserve"> До каква степен изпълнените действия отчитат принципите относно устойчивото развитие, включително преглед на действията, предприети за насърчаване на устойчивото развитие?</w:t>
      </w:r>
    </w:p>
    <w:p w14:paraId="4F8BB57C"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3DBE42C5"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7:</w:t>
      </w:r>
      <w:r w:rsidRPr="00A06340">
        <w:rPr>
          <w:rFonts w:asciiTheme="majorHAnsi" w:hAnsiTheme="majorHAnsi" w:cs="Times New Roman"/>
          <w:sz w:val="24"/>
          <w:szCs w:val="24"/>
          <w:lang w:val="en-US"/>
        </w:rPr>
        <w:t xml:space="preserve"> До каква степен изпълнените мерки по ПМДР подпомагат целите на Съюза, насочени към борбата с изменението на климата? Допринесоха ли мерките на ПМДР за целите, свързани с изменението на климата, в каква степен бяха постигнати, в т. ч. по отношение на финансовите показатели, показателите за резултатите и резултатите?</w:t>
      </w:r>
    </w:p>
    <w:p w14:paraId="4714488C"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702FF98C"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8:</w:t>
      </w:r>
      <w:r w:rsidRPr="00A06340">
        <w:rPr>
          <w:rFonts w:asciiTheme="majorHAnsi" w:hAnsiTheme="majorHAnsi" w:cs="Times New Roman"/>
          <w:sz w:val="24"/>
          <w:szCs w:val="24"/>
          <w:lang w:val="en-US"/>
        </w:rPr>
        <w:t xml:space="preserve"> До каква степен изпълнените операции допринасят за постигането на целите на стратегията на Съюза за интелигентен, устойчив и приобщаващ растеж?</w:t>
      </w:r>
    </w:p>
    <w:p w14:paraId="7B857621"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4A11BD02"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9:</w:t>
      </w:r>
      <w:r w:rsidRPr="00A06340">
        <w:rPr>
          <w:rFonts w:asciiTheme="majorHAnsi" w:hAnsiTheme="majorHAnsi" w:cs="Times New Roman"/>
          <w:sz w:val="24"/>
          <w:szCs w:val="24"/>
          <w:lang w:val="en-US"/>
        </w:rPr>
        <w:t xml:space="preserve"> Какво е състоянието на програмата в края на 2018 г.? </w:t>
      </w:r>
    </w:p>
    <w:p w14:paraId="258CDAA8"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27AD2C36"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lastRenderedPageBreak/>
        <w:t>Въпрос 10:</w:t>
      </w:r>
      <w:r w:rsidRPr="00A06340">
        <w:rPr>
          <w:rFonts w:asciiTheme="majorHAnsi" w:hAnsiTheme="majorHAnsi" w:cs="Times New Roman"/>
          <w:sz w:val="24"/>
          <w:szCs w:val="24"/>
          <w:lang w:val="en-US"/>
        </w:rPr>
        <w:t xml:space="preserve"> Какви резултати и финансови показатели са постигнати по приоритет 1 на Съюза „Насърчаване на устойчиво в екологично отношение, иновативно, конкурентоспособно и основано на знания рибарство, характеризиращо се с ефективно използване на ресурсите“?</w:t>
      </w:r>
    </w:p>
    <w:p w14:paraId="3985CA8A"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5CB7EF71"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11:</w:t>
      </w:r>
      <w:r w:rsidRPr="00A06340">
        <w:rPr>
          <w:rFonts w:asciiTheme="majorHAnsi" w:hAnsiTheme="majorHAnsi" w:cs="Times New Roman"/>
          <w:sz w:val="24"/>
          <w:szCs w:val="24"/>
          <w:lang w:val="en-US"/>
        </w:rPr>
        <w:t xml:space="preserve"> В случай че не са постигнати основни етапи или финансови показатели до края на 2018 г., какви са причините и какво е сегашното състояние на мерките по този приоритет?</w:t>
      </w:r>
    </w:p>
    <w:p w14:paraId="17699DB1"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49D34865"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12:</w:t>
      </w:r>
      <w:r w:rsidRPr="00A06340">
        <w:rPr>
          <w:rFonts w:asciiTheme="majorHAnsi" w:hAnsiTheme="majorHAnsi" w:cs="Times New Roman"/>
          <w:sz w:val="24"/>
          <w:szCs w:val="24"/>
          <w:lang w:val="en-US"/>
        </w:rPr>
        <w:t xml:space="preserve"> Какви резултати и финансови показатели са постигнати по приоритет 2 на Съюза „Насърчаване на устойчиви в екологично отношение, характеризиращи се с ефективно използване на ресурсите, иновативни, конкурентоспособни и основани на знания аквакултури“?</w:t>
      </w:r>
    </w:p>
    <w:p w14:paraId="498D3444"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491AEBEB"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13:</w:t>
      </w:r>
      <w:r w:rsidRPr="00A06340">
        <w:rPr>
          <w:rFonts w:asciiTheme="majorHAnsi" w:hAnsiTheme="majorHAnsi" w:cs="Times New Roman"/>
          <w:sz w:val="24"/>
          <w:szCs w:val="24"/>
          <w:lang w:val="en-US"/>
        </w:rPr>
        <w:t xml:space="preserve"> В случай</w:t>
      </w:r>
      <w:r w:rsidRPr="00A06340">
        <w:rPr>
          <w:rFonts w:asciiTheme="majorHAnsi" w:hAnsiTheme="majorHAnsi" w:cs="Times New Roman"/>
          <w:sz w:val="24"/>
          <w:szCs w:val="24"/>
        </w:rPr>
        <w:t>,</w:t>
      </w:r>
      <w:r w:rsidRPr="00A06340">
        <w:rPr>
          <w:rFonts w:asciiTheme="majorHAnsi" w:hAnsiTheme="majorHAnsi" w:cs="Times New Roman"/>
          <w:sz w:val="24"/>
          <w:szCs w:val="24"/>
          <w:lang w:val="en-US"/>
        </w:rPr>
        <w:t xml:space="preserve"> че не са постигнати основни цели или финансови показатели до края на 2018 г., какви са причините и какво е сегашното състояние на мерките по този приоритет?</w:t>
      </w:r>
    </w:p>
    <w:p w14:paraId="28D980B2"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3B2AFCD7"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14:</w:t>
      </w:r>
      <w:r w:rsidRPr="00A06340">
        <w:rPr>
          <w:rFonts w:asciiTheme="majorHAnsi" w:hAnsiTheme="majorHAnsi" w:cs="Times New Roman"/>
          <w:sz w:val="24"/>
          <w:szCs w:val="24"/>
          <w:lang w:val="en-US"/>
        </w:rPr>
        <w:t xml:space="preserve"> Какви резултати и финансови показатели са постигнати по приоритет 3 на Съюза „Насърчаване на изпълнението на ОПОР“?</w:t>
      </w:r>
    </w:p>
    <w:p w14:paraId="7B328537"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5C2D8943"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15:</w:t>
      </w:r>
      <w:r w:rsidRPr="00A06340">
        <w:rPr>
          <w:rFonts w:asciiTheme="majorHAnsi" w:hAnsiTheme="majorHAnsi" w:cs="Times New Roman"/>
          <w:sz w:val="24"/>
          <w:szCs w:val="24"/>
          <w:lang w:val="en-US"/>
        </w:rPr>
        <w:t xml:space="preserve"> В случай че не са постигнати важни етапи или финансови показатели до края на 2018 г., какви са причините и какво е сегашното състояние на мерките по този приоритет?</w:t>
      </w:r>
    </w:p>
    <w:p w14:paraId="59F7B9F6"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0FA5FE6B"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16:</w:t>
      </w:r>
      <w:r w:rsidRPr="00A06340">
        <w:rPr>
          <w:rFonts w:asciiTheme="majorHAnsi" w:hAnsiTheme="majorHAnsi" w:cs="Times New Roman"/>
          <w:sz w:val="24"/>
          <w:szCs w:val="24"/>
          <w:lang w:val="en-US"/>
        </w:rPr>
        <w:t xml:space="preserve"> Какви резултати и финансови показатели са постигнати по приоритет 4 на Съюза „Повишаване на заетостта и териториалното сближаване“?</w:t>
      </w:r>
    </w:p>
    <w:p w14:paraId="6E1DFF7F"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0FDFA6EC"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17:</w:t>
      </w:r>
      <w:r w:rsidRPr="00A06340">
        <w:rPr>
          <w:rFonts w:asciiTheme="majorHAnsi" w:hAnsiTheme="majorHAnsi" w:cs="Times New Roman"/>
          <w:sz w:val="24"/>
          <w:szCs w:val="24"/>
          <w:lang w:val="en-US"/>
        </w:rPr>
        <w:t xml:space="preserve"> В случай че не са постигнати основни етапи или финансови показатели до края на 2018 г., какви са причините и какво е сегашното състояние на мерките по този приоритет?</w:t>
      </w:r>
    </w:p>
    <w:p w14:paraId="121361E9"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0C9FE7A3"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18:</w:t>
      </w:r>
      <w:r w:rsidRPr="00A06340">
        <w:rPr>
          <w:rFonts w:asciiTheme="majorHAnsi" w:hAnsiTheme="majorHAnsi" w:cs="Times New Roman"/>
          <w:sz w:val="24"/>
          <w:szCs w:val="24"/>
          <w:lang w:val="en-US"/>
        </w:rPr>
        <w:t xml:space="preserve"> Какви резултати и финансови показатели са постигнати по приоритет 5 на Съюза „Насърчаване на предлагането на пазара и преработването“?</w:t>
      </w:r>
    </w:p>
    <w:p w14:paraId="6D861055"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4B2D8EF4"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lastRenderedPageBreak/>
        <w:t>Въпрос 19:</w:t>
      </w:r>
      <w:r w:rsidRPr="00A06340">
        <w:rPr>
          <w:rFonts w:asciiTheme="majorHAnsi" w:hAnsiTheme="majorHAnsi" w:cs="Times New Roman"/>
          <w:sz w:val="24"/>
          <w:szCs w:val="24"/>
          <w:lang w:val="en-US"/>
        </w:rPr>
        <w:t xml:space="preserve"> В случай че не са постигнати основни етапи или финансови показатели до края на 2018 г., какви са причините и какво е сегашното състояние на мерките по този приоритет?</w:t>
      </w:r>
    </w:p>
    <w:p w14:paraId="2DD20D12"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6E4C2AA0"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20:</w:t>
      </w:r>
      <w:r w:rsidRPr="00A06340">
        <w:rPr>
          <w:rFonts w:asciiTheme="majorHAnsi" w:hAnsiTheme="majorHAnsi" w:cs="Times New Roman"/>
          <w:sz w:val="24"/>
          <w:szCs w:val="24"/>
          <w:lang w:val="en-US"/>
        </w:rPr>
        <w:t xml:space="preserve"> Какви резултати и финансови показатели са постигнати по приоритет 6 на Съюза „Насърчаване на изпълнението на Интегрирана морска политика“?</w:t>
      </w:r>
    </w:p>
    <w:p w14:paraId="7B0C3A14"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1F1CF825"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21:</w:t>
      </w:r>
      <w:r w:rsidRPr="00A06340">
        <w:rPr>
          <w:rFonts w:asciiTheme="majorHAnsi" w:hAnsiTheme="majorHAnsi" w:cs="Times New Roman"/>
          <w:sz w:val="24"/>
          <w:szCs w:val="24"/>
          <w:lang w:val="en-US"/>
        </w:rPr>
        <w:t xml:space="preserve"> В случай че не са постигнати основни етапи или финансови показатели до края на 2018 г., какви са причините и какво е сегашното състояние на мерките по този приоритет?</w:t>
      </w:r>
    </w:p>
    <w:p w14:paraId="3568660E"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011FECEC"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22:</w:t>
      </w:r>
      <w:r w:rsidRPr="00A06340">
        <w:rPr>
          <w:rFonts w:asciiTheme="majorHAnsi" w:hAnsiTheme="majorHAnsi" w:cs="Times New Roman"/>
          <w:sz w:val="24"/>
          <w:szCs w:val="24"/>
          <w:lang w:val="en-US"/>
        </w:rPr>
        <w:t xml:space="preserve"> Как ще бъдат постигнати целите на ПМДР до 2023 г.?</w:t>
      </w:r>
    </w:p>
    <w:p w14:paraId="40D0D84D"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2706CF27" w14:textId="77777777" w:rsidR="00A06340" w:rsidRPr="00A06340" w:rsidRDefault="00A06340" w:rsidP="00A06340">
      <w:pPr>
        <w:spacing w:after="0"/>
        <w:ind w:firstLine="567"/>
        <w:jc w:val="both"/>
        <w:rPr>
          <w:rFonts w:asciiTheme="majorHAnsi" w:hAnsiTheme="majorHAnsi" w:cs="Times New Roman"/>
          <w:sz w:val="24"/>
          <w:szCs w:val="24"/>
          <w:lang w:val="en-US"/>
        </w:rPr>
      </w:pPr>
      <w:r w:rsidRPr="00A06340">
        <w:rPr>
          <w:rFonts w:asciiTheme="majorHAnsi" w:hAnsiTheme="majorHAnsi" w:cs="Times New Roman"/>
          <w:b/>
          <w:sz w:val="24"/>
          <w:szCs w:val="24"/>
          <w:lang w:val="en-US"/>
        </w:rPr>
        <w:t>Въпрос 23:</w:t>
      </w:r>
      <w:r w:rsidRPr="00A06340">
        <w:rPr>
          <w:rFonts w:asciiTheme="majorHAnsi" w:hAnsiTheme="majorHAnsi" w:cs="Times New Roman"/>
          <w:sz w:val="24"/>
          <w:szCs w:val="24"/>
          <w:lang w:val="en-US"/>
        </w:rPr>
        <w:t xml:space="preserve"> Какви действия се извършват или могат да бъдат изпълнени, от кои заинтересовани страни и в какъв срок, за да се увеличи степента на успеваемост на прилаганите мерки и ефективността на програмата?</w:t>
      </w:r>
    </w:p>
    <w:p w14:paraId="4B45CD8E"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4FEB97E0" w14:textId="25019E27" w:rsidR="00A06340" w:rsidRPr="00BA29C0" w:rsidRDefault="00A06340" w:rsidP="002A0B59">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lang w:val="en-US"/>
        </w:rPr>
        <w:t xml:space="preserve">Темите за оценка и въпросите, изброени по-горе, не са изчерпателни и могат </w:t>
      </w:r>
      <w:r w:rsidRPr="002A0B59">
        <w:rPr>
          <w:rFonts w:asciiTheme="majorHAnsi" w:hAnsiTheme="majorHAnsi" w:cs="Times New Roman"/>
          <w:sz w:val="24"/>
          <w:szCs w:val="24"/>
          <w:lang w:val="en-US"/>
        </w:rPr>
        <w:t>да бъдат изменяни/допълнително дефинирани, ако се счете за необходимо.</w:t>
      </w:r>
      <w:r w:rsidR="002A0B59" w:rsidRPr="002A0B59">
        <w:rPr>
          <w:rFonts w:asciiTheme="majorHAnsi" w:hAnsiTheme="majorHAnsi" w:cs="Times New Roman"/>
          <w:sz w:val="24"/>
          <w:szCs w:val="24"/>
        </w:rPr>
        <w:t xml:space="preserve"> </w:t>
      </w:r>
      <w:r w:rsidR="002A0B59" w:rsidRPr="00BA29C0">
        <w:rPr>
          <w:rFonts w:asciiTheme="majorHAnsi" w:hAnsiTheme="majorHAnsi" w:cs="Times New Roman"/>
          <w:sz w:val="24"/>
          <w:szCs w:val="24"/>
        </w:rPr>
        <w:t>Контекстът</w:t>
      </w:r>
      <w:r w:rsidR="002A0B59" w:rsidRPr="002A0B59">
        <w:rPr>
          <w:rFonts w:asciiTheme="majorHAnsi" w:hAnsiTheme="majorHAnsi" w:cs="Times New Roman"/>
          <w:sz w:val="24"/>
          <w:szCs w:val="24"/>
        </w:rPr>
        <w:t xml:space="preserve"> и </w:t>
      </w:r>
      <w:r w:rsidR="002A0B59" w:rsidRPr="00BA29C0">
        <w:rPr>
          <w:rFonts w:asciiTheme="majorHAnsi" w:hAnsiTheme="majorHAnsi" w:cs="Times New Roman"/>
          <w:sz w:val="24"/>
          <w:szCs w:val="24"/>
        </w:rPr>
        <w:t>основния подход са разгледани по-долу.</w:t>
      </w:r>
    </w:p>
    <w:p w14:paraId="1D7DED67" w14:textId="5FE5085C" w:rsidR="002A0B59" w:rsidRPr="00A06340" w:rsidRDefault="002A0B59" w:rsidP="00A06340">
      <w:pPr>
        <w:spacing w:after="0"/>
        <w:ind w:firstLine="567"/>
        <w:jc w:val="both"/>
        <w:rPr>
          <w:rFonts w:asciiTheme="majorHAnsi" w:hAnsiTheme="majorHAnsi" w:cs="Times New Roman"/>
          <w:sz w:val="24"/>
          <w:szCs w:val="24"/>
          <w:lang w:val="en-US"/>
        </w:rPr>
      </w:pPr>
    </w:p>
    <w:p w14:paraId="1C2E5DAB" w14:textId="77777777" w:rsidR="00A06340" w:rsidRPr="00A06340" w:rsidRDefault="00A06340" w:rsidP="00A06340">
      <w:pPr>
        <w:spacing w:after="0"/>
        <w:ind w:firstLine="567"/>
        <w:jc w:val="both"/>
        <w:rPr>
          <w:rFonts w:asciiTheme="majorHAnsi" w:hAnsiTheme="majorHAnsi" w:cs="Times New Roman"/>
          <w:sz w:val="24"/>
          <w:szCs w:val="24"/>
          <w:lang w:val="en-US"/>
        </w:rPr>
      </w:pPr>
    </w:p>
    <w:p w14:paraId="39CC352D" w14:textId="77777777" w:rsidR="00A06340" w:rsidRPr="00A06340" w:rsidRDefault="00A06340" w:rsidP="009E219B">
      <w:pPr>
        <w:pStyle w:val="Heading2"/>
        <w:rPr>
          <w:rFonts w:cs="Times New Roman"/>
          <w:b/>
          <w:sz w:val="24"/>
          <w:szCs w:val="24"/>
        </w:rPr>
      </w:pPr>
      <w:bookmarkStart w:id="16" w:name="_Toc7098481"/>
      <w:r w:rsidRPr="00A06340">
        <w:rPr>
          <w:rFonts w:cs="Times New Roman"/>
          <w:b/>
          <w:bCs/>
          <w:sz w:val="24"/>
          <w:szCs w:val="24"/>
        </w:rPr>
        <w:t xml:space="preserve">3.4. </w:t>
      </w:r>
      <w:r w:rsidRPr="00A06340">
        <w:rPr>
          <w:rFonts w:cs="Times New Roman"/>
          <w:b/>
          <w:sz w:val="24"/>
          <w:szCs w:val="24"/>
        </w:rPr>
        <w:t>Използвани методи и информация</w:t>
      </w:r>
      <w:bookmarkEnd w:id="16"/>
    </w:p>
    <w:p w14:paraId="6A20C0D5" w14:textId="77777777" w:rsidR="00A06340" w:rsidRPr="00A06340" w:rsidRDefault="00A06340" w:rsidP="00A06340">
      <w:pPr>
        <w:spacing w:after="0"/>
        <w:ind w:firstLine="567"/>
        <w:jc w:val="both"/>
        <w:rPr>
          <w:rFonts w:asciiTheme="majorHAnsi" w:hAnsiTheme="majorHAnsi" w:cs="Times New Roman"/>
          <w:b/>
          <w:sz w:val="24"/>
          <w:szCs w:val="24"/>
        </w:rPr>
      </w:pPr>
    </w:p>
    <w:p w14:paraId="5B3D9197" w14:textId="3A3E1FE7" w:rsidR="007C4516" w:rsidRPr="009E219B" w:rsidRDefault="007C4516" w:rsidP="007C4516">
      <w:pPr>
        <w:spacing w:after="0"/>
        <w:ind w:firstLine="567"/>
        <w:jc w:val="both"/>
        <w:rPr>
          <w:rFonts w:asciiTheme="majorHAnsi" w:hAnsiTheme="majorHAnsi" w:cs="Times New Roman"/>
          <w:sz w:val="24"/>
          <w:szCs w:val="24"/>
        </w:rPr>
      </w:pPr>
      <w:r w:rsidRPr="009E219B">
        <w:rPr>
          <w:rFonts w:asciiTheme="majorHAnsi" w:hAnsiTheme="majorHAnsi" w:cs="Times New Roman"/>
          <w:sz w:val="24"/>
          <w:szCs w:val="24"/>
        </w:rPr>
        <w:t>Методологията за извършване на оценка следва да включва комбинация от методи и инструменти между най-малкото следните:</w:t>
      </w:r>
    </w:p>
    <w:p w14:paraId="640722D3" w14:textId="7C5AB8CE" w:rsidR="007C4516" w:rsidRPr="009E219B" w:rsidRDefault="007C4516" w:rsidP="00665802">
      <w:pPr>
        <w:pStyle w:val="ListParagraph"/>
        <w:numPr>
          <w:ilvl w:val="0"/>
          <w:numId w:val="8"/>
        </w:numPr>
        <w:spacing w:after="0"/>
        <w:jc w:val="both"/>
        <w:rPr>
          <w:rFonts w:asciiTheme="majorHAnsi" w:hAnsiTheme="majorHAnsi" w:cs="Times New Roman"/>
          <w:sz w:val="24"/>
          <w:szCs w:val="24"/>
        </w:rPr>
      </w:pPr>
      <w:r w:rsidRPr="009E219B">
        <w:rPr>
          <w:rFonts w:asciiTheme="majorHAnsi" w:hAnsiTheme="majorHAnsi" w:cs="Times New Roman"/>
          <w:sz w:val="24"/>
          <w:szCs w:val="24"/>
        </w:rPr>
        <w:t>Преглед и анализ на релевантните източници на информация и свързани документи;</w:t>
      </w:r>
    </w:p>
    <w:p w14:paraId="00CFD1BF" w14:textId="3F70B983" w:rsidR="007C4516" w:rsidRPr="009E219B" w:rsidRDefault="007C4516" w:rsidP="00665802">
      <w:pPr>
        <w:pStyle w:val="ListParagraph"/>
        <w:numPr>
          <w:ilvl w:val="0"/>
          <w:numId w:val="8"/>
        </w:numPr>
        <w:spacing w:after="0"/>
        <w:jc w:val="both"/>
        <w:rPr>
          <w:rFonts w:asciiTheme="majorHAnsi" w:hAnsiTheme="majorHAnsi" w:cs="Times New Roman"/>
          <w:sz w:val="24"/>
          <w:szCs w:val="24"/>
        </w:rPr>
      </w:pPr>
      <w:r w:rsidRPr="009E219B">
        <w:rPr>
          <w:rFonts w:asciiTheme="majorHAnsi" w:hAnsiTheme="majorHAnsi" w:cs="Times New Roman"/>
          <w:sz w:val="24"/>
          <w:szCs w:val="24"/>
        </w:rPr>
        <w:t>Извършване на собствени проучвания за събиране на количествени и качествени данни, представляващи изходна база за извършване на оценката;</w:t>
      </w:r>
    </w:p>
    <w:p w14:paraId="3FAE3EBD" w14:textId="6289A809" w:rsidR="007C4516" w:rsidRPr="009E219B" w:rsidRDefault="007C4516" w:rsidP="00665802">
      <w:pPr>
        <w:pStyle w:val="ListParagraph"/>
        <w:numPr>
          <w:ilvl w:val="0"/>
          <w:numId w:val="8"/>
        </w:numPr>
        <w:spacing w:after="0"/>
        <w:jc w:val="both"/>
        <w:rPr>
          <w:rFonts w:asciiTheme="majorHAnsi" w:hAnsiTheme="majorHAnsi" w:cs="Times New Roman"/>
          <w:sz w:val="24"/>
          <w:szCs w:val="24"/>
        </w:rPr>
      </w:pPr>
      <w:r w:rsidRPr="009E219B">
        <w:rPr>
          <w:rFonts w:asciiTheme="majorHAnsi" w:hAnsiTheme="majorHAnsi" w:cs="Times New Roman"/>
          <w:sz w:val="24"/>
          <w:szCs w:val="24"/>
        </w:rPr>
        <w:t xml:space="preserve"> Анализ на вече натрупан опит, идентифицирани проблеми и добри практики;</w:t>
      </w:r>
    </w:p>
    <w:p w14:paraId="1AA9B4E7" w14:textId="56004C1E" w:rsidR="007C4516" w:rsidRPr="009E219B" w:rsidRDefault="007C4516" w:rsidP="00665802">
      <w:pPr>
        <w:pStyle w:val="ListParagraph"/>
        <w:numPr>
          <w:ilvl w:val="0"/>
          <w:numId w:val="8"/>
        </w:numPr>
        <w:spacing w:after="0"/>
        <w:jc w:val="both"/>
        <w:rPr>
          <w:rFonts w:asciiTheme="majorHAnsi" w:hAnsiTheme="majorHAnsi" w:cs="Times New Roman"/>
          <w:sz w:val="24"/>
          <w:szCs w:val="24"/>
        </w:rPr>
      </w:pPr>
      <w:r w:rsidRPr="009E219B">
        <w:rPr>
          <w:rFonts w:asciiTheme="majorHAnsi" w:hAnsiTheme="majorHAnsi" w:cs="Times New Roman"/>
          <w:sz w:val="24"/>
          <w:szCs w:val="24"/>
        </w:rPr>
        <w:t>Провеждане на теренни проучвания;</w:t>
      </w:r>
    </w:p>
    <w:p w14:paraId="7B8DB17E" w14:textId="75FA8709" w:rsidR="007C4516" w:rsidRPr="009E219B" w:rsidRDefault="007C4516" w:rsidP="00665802">
      <w:pPr>
        <w:pStyle w:val="ListParagraph"/>
        <w:numPr>
          <w:ilvl w:val="0"/>
          <w:numId w:val="8"/>
        </w:numPr>
        <w:spacing w:after="0"/>
        <w:jc w:val="both"/>
        <w:rPr>
          <w:rFonts w:asciiTheme="majorHAnsi" w:hAnsiTheme="majorHAnsi" w:cs="Times New Roman"/>
          <w:sz w:val="24"/>
          <w:szCs w:val="24"/>
        </w:rPr>
      </w:pPr>
      <w:r w:rsidRPr="009E219B">
        <w:rPr>
          <w:rFonts w:asciiTheme="majorHAnsi" w:hAnsiTheme="majorHAnsi" w:cs="Times New Roman"/>
          <w:sz w:val="24"/>
          <w:szCs w:val="24"/>
        </w:rPr>
        <w:lastRenderedPageBreak/>
        <w:t>Запитвания/интервюта с представители на Управляващия орган , целевите групи и останалите заинтересовани страни;</w:t>
      </w:r>
    </w:p>
    <w:p w14:paraId="05DF3C18" w14:textId="59185AEE" w:rsidR="007C4516" w:rsidRPr="009E219B" w:rsidRDefault="007C4516" w:rsidP="00665802">
      <w:pPr>
        <w:pStyle w:val="ListParagraph"/>
        <w:numPr>
          <w:ilvl w:val="0"/>
          <w:numId w:val="8"/>
        </w:numPr>
        <w:spacing w:after="0"/>
        <w:jc w:val="both"/>
        <w:rPr>
          <w:rFonts w:asciiTheme="majorHAnsi" w:hAnsiTheme="majorHAnsi" w:cs="Times New Roman"/>
          <w:sz w:val="24"/>
          <w:szCs w:val="24"/>
        </w:rPr>
      </w:pPr>
      <w:r w:rsidRPr="009E219B">
        <w:rPr>
          <w:rFonts w:asciiTheme="majorHAnsi" w:hAnsiTheme="majorHAnsi" w:cs="Times New Roman"/>
          <w:sz w:val="24"/>
          <w:szCs w:val="24"/>
        </w:rPr>
        <w:t>Анализи на целите ;</w:t>
      </w:r>
    </w:p>
    <w:p w14:paraId="60110802" w14:textId="47CC2C82" w:rsidR="007C4516" w:rsidRPr="009E219B" w:rsidRDefault="007C4516" w:rsidP="00665802">
      <w:pPr>
        <w:pStyle w:val="ListParagraph"/>
        <w:numPr>
          <w:ilvl w:val="0"/>
          <w:numId w:val="8"/>
        </w:numPr>
        <w:spacing w:after="0"/>
        <w:jc w:val="both"/>
        <w:rPr>
          <w:rFonts w:asciiTheme="majorHAnsi" w:hAnsiTheme="majorHAnsi" w:cs="Times New Roman"/>
          <w:sz w:val="24"/>
          <w:szCs w:val="24"/>
        </w:rPr>
      </w:pPr>
      <w:r w:rsidRPr="009E219B">
        <w:rPr>
          <w:rFonts w:asciiTheme="majorHAnsi" w:hAnsiTheme="majorHAnsi" w:cs="Times New Roman"/>
          <w:sz w:val="24"/>
          <w:szCs w:val="24"/>
        </w:rPr>
        <w:t>Анализ на икономичността, ефективността и ефикасността на изпълнението;</w:t>
      </w:r>
    </w:p>
    <w:p w14:paraId="086D23C6" w14:textId="7ED4642B" w:rsidR="007C4516" w:rsidRPr="009E219B" w:rsidRDefault="007C4516" w:rsidP="00665802">
      <w:pPr>
        <w:pStyle w:val="ListParagraph"/>
        <w:numPr>
          <w:ilvl w:val="0"/>
          <w:numId w:val="8"/>
        </w:numPr>
        <w:spacing w:after="0"/>
        <w:jc w:val="both"/>
        <w:rPr>
          <w:rFonts w:asciiTheme="majorHAnsi" w:hAnsiTheme="majorHAnsi" w:cs="Times New Roman"/>
          <w:sz w:val="24"/>
          <w:szCs w:val="24"/>
        </w:rPr>
      </w:pPr>
      <w:r w:rsidRPr="009E219B">
        <w:rPr>
          <w:rFonts w:asciiTheme="majorHAnsi" w:hAnsiTheme="majorHAnsi" w:cs="Times New Roman"/>
          <w:sz w:val="24"/>
          <w:szCs w:val="24"/>
        </w:rPr>
        <w:t>Анализ на устойчивостта на изпълнението - показатели, индикатори за оценка на устойчивост и ефект от устойчивостта.</w:t>
      </w:r>
    </w:p>
    <w:p w14:paraId="6A3D7FFE" w14:textId="6365458F" w:rsidR="002A0B59" w:rsidRPr="002A0B59" w:rsidRDefault="002A0B59" w:rsidP="00665802">
      <w:pPr>
        <w:pStyle w:val="ListParagraph"/>
        <w:numPr>
          <w:ilvl w:val="0"/>
          <w:numId w:val="8"/>
        </w:numPr>
        <w:spacing w:after="0"/>
        <w:jc w:val="both"/>
        <w:rPr>
          <w:rFonts w:asciiTheme="majorHAnsi" w:hAnsiTheme="majorHAnsi" w:cs="Times New Roman"/>
          <w:sz w:val="24"/>
          <w:szCs w:val="24"/>
        </w:rPr>
      </w:pPr>
      <w:r w:rsidRPr="009E219B">
        <w:rPr>
          <w:rFonts w:asciiTheme="majorHAnsi" w:hAnsiTheme="majorHAnsi" w:cs="Times New Roman"/>
          <w:sz w:val="24"/>
          <w:szCs w:val="24"/>
        </w:rPr>
        <w:t xml:space="preserve"> Оценка на процесите и изпълнението (process evaluation) – Този тип оценка има за задача да анализира ефективността на работата/процесите/системите и да предложи подходящи мерки, с оглед на тяхното ускоряване и подобряване</w:t>
      </w:r>
      <w:r w:rsidRPr="002A0B59">
        <w:rPr>
          <w:rFonts w:asciiTheme="majorHAnsi" w:hAnsiTheme="majorHAnsi" w:cs="Times New Roman"/>
          <w:sz w:val="24"/>
          <w:szCs w:val="24"/>
        </w:rPr>
        <w:t>.</w:t>
      </w:r>
    </w:p>
    <w:p w14:paraId="546418CD" w14:textId="3F2A7317" w:rsidR="002A0B59" w:rsidRPr="002A0B59" w:rsidRDefault="002A0B59" w:rsidP="00665802">
      <w:pPr>
        <w:pStyle w:val="ListParagraph"/>
        <w:numPr>
          <w:ilvl w:val="0"/>
          <w:numId w:val="8"/>
        </w:numPr>
        <w:spacing w:after="0"/>
        <w:jc w:val="both"/>
        <w:rPr>
          <w:rFonts w:asciiTheme="majorHAnsi" w:hAnsiTheme="majorHAnsi" w:cs="Times New Roman"/>
          <w:sz w:val="24"/>
          <w:szCs w:val="24"/>
        </w:rPr>
      </w:pPr>
      <w:r w:rsidRPr="002A0B59">
        <w:rPr>
          <w:rFonts w:asciiTheme="majorHAnsi" w:hAnsiTheme="majorHAnsi" w:cs="Times New Roman"/>
          <w:sz w:val="24"/>
          <w:szCs w:val="24"/>
        </w:rPr>
        <w:t>•Оценка, базирана на теорията – При този тип оценки основно следва да се приложат традиционни изследователски методи – както качествени, така и количествени. Сред най-често използваните в първата група са набиране и преглед на специализирана литература и документи, провеждане на интервюта и фокус групи, изследване на конкретни случаи и други. Сред вторите – използване на методи на описателната статистика, логически модели, метод за изчисление на разходи за единица продукт (при оценка на ефикасността), извадкови статистически изследвания или различни вариации на методи, при които се остойностяват ползите и разходите.</w:t>
      </w:r>
    </w:p>
    <w:p w14:paraId="1F184F09" w14:textId="5A8E01A9" w:rsidR="002A0B59" w:rsidRPr="002A0B59" w:rsidRDefault="002A0B59" w:rsidP="00665802">
      <w:pPr>
        <w:pStyle w:val="ListParagraph"/>
        <w:numPr>
          <w:ilvl w:val="0"/>
          <w:numId w:val="8"/>
        </w:numPr>
        <w:spacing w:after="0"/>
        <w:jc w:val="both"/>
        <w:rPr>
          <w:rFonts w:asciiTheme="majorHAnsi" w:hAnsiTheme="majorHAnsi" w:cs="Times New Roman"/>
          <w:sz w:val="24"/>
          <w:szCs w:val="24"/>
        </w:rPr>
      </w:pPr>
      <w:r w:rsidRPr="002A0B59">
        <w:rPr>
          <w:rFonts w:asciiTheme="majorHAnsi" w:hAnsiTheme="majorHAnsi" w:cs="Times New Roman"/>
          <w:sz w:val="24"/>
          <w:szCs w:val="24"/>
        </w:rPr>
        <w:t>Контрафактологични оценки на въздействието – При този тип оценки стремежът е да се изясни каква част от получения след края на дадена интервенция резултат се дължи на тази интервенция.</w:t>
      </w:r>
    </w:p>
    <w:p w14:paraId="029CC897" w14:textId="14E2951A" w:rsidR="002A0B59" w:rsidRDefault="002A0B59" w:rsidP="00665802">
      <w:pPr>
        <w:pStyle w:val="ListParagraph"/>
        <w:numPr>
          <w:ilvl w:val="0"/>
          <w:numId w:val="8"/>
        </w:numPr>
        <w:spacing w:after="0"/>
        <w:jc w:val="both"/>
        <w:rPr>
          <w:rFonts w:asciiTheme="majorHAnsi" w:hAnsiTheme="majorHAnsi" w:cs="Times New Roman"/>
          <w:sz w:val="24"/>
          <w:szCs w:val="24"/>
        </w:rPr>
      </w:pPr>
      <w:r w:rsidRPr="002A0B59">
        <w:rPr>
          <w:rFonts w:asciiTheme="majorHAnsi" w:hAnsiTheme="majorHAnsi" w:cs="Times New Roman"/>
          <w:sz w:val="24"/>
          <w:szCs w:val="24"/>
        </w:rPr>
        <w:t>Метод на триангулацията – Данните и заключенията трябва да бъдат обосновани чрез използване на поне два източника на информация с цел получаване на потенциално адекватно ниво на достоверност. Оценителят следва да използва множество източници на информация по време на оценяването и да разчита на данни, които се подкрепят съгласувано от информационните източници. Следва да се използва подход, базиращ се на доказателства (тоест количествен, основаващ се на факти и цифри) и базиращ се на мнения (тоест субективни източници, такива като интервюта, проучвания, фокус групи), с цел да изследва по метода на триангулацията получените данни и заключенията относно всички оценъчни въпроси, когато този подход е приложим.</w:t>
      </w:r>
    </w:p>
    <w:p w14:paraId="088B1DF6" w14:textId="77777777" w:rsidR="00EE2282" w:rsidRDefault="00EE2282" w:rsidP="007C4516">
      <w:pPr>
        <w:spacing w:after="0"/>
        <w:ind w:firstLine="567"/>
        <w:jc w:val="both"/>
        <w:rPr>
          <w:rFonts w:asciiTheme="majorHAnsi" w:hAnsiTheme="majorHAnsi" w:cs="Times New Roman"/>
          <w:sz w:val="24"/>
          <w:szCs w:val="24"/>
          <w:highlight w:val="yellow"/>
        </w:rPr>
      </w:pPr>
    </w:p>
    <w:p w14:paraId="31A134DD" w14:textId="4BF09725" w:rsidR="00A06340" w:rsidRPr="00A06340" w:rsidRDefault="00A06340" w:rsidP="00A06340">
      <w:pPr>
        <w:spacing w:after="0"/>
        <w:ind w:firstLine="567"/>
        <w:jc w:val="both"/>
        <w:rPr>
          <w:rFonts w:asciiTheme="majorHAnsi" w:hAnsiTheme="majorHAnsi" w:cs="Times New Roman"/>
          <w:b/>
          <w:sz w:val="24"/>
          <w:szCs w:val="24"/>
        </w:rPr>
      </w:pPr>
    </w:p>
    <w:p w14:paraId="604B890C" w14:textId="77777777" w:rsidR="002A0B59" w:rsidRDefault="00A06340" w:rsidP="009E219B">
      <w:pPr>
        <w:pStyle w:val="Heading2"/>
        <w:rPr>
          <w:rFonts w:cs="Times New Roman"/>
          <w:b/>
          <w:sz w:val="24"/>
          <w:szCs w:val="24"/>
        </w:rPr>
      </w:pPr>
      <w:bookmarkStart w:id="17" w:name="_Toc7098482"/>
      <w:r w:rsidRPr="00A06340">
        <w:rPr>
          <w:rFonts w:cs="Times New Roman"/>
          <w:b/>
          <w:bCs/>
          <w:sz w:val="24"/>
          <w:szCs w:val="24"/>
        </w:rPr>
        <w:lastRenderedPageBreak/>
        <w:t xml:space="preserve">3.5. </w:t>
      </w:r>
      <w:r w:rsidRPr="00A06340">
        <w:rPr>
          <w:rFonts w:cs="Times New Roman"/>
          <w:b/>
          <w:sz w:val="24"/>
          <w:szCs w:val="24"/>
        </w:rPr>
        <w:t>Гарантиране, че необходимата информация за определени оценки ще е налична или ще бъде налична в бъдеще, както и график за целта</w:t>
      </w:r>
      <w:bookmarkEnd w:id="17"/>
      <w:r w:rsidRPr="00A06340">
        <w:rPr>
          <w:rFonts w:cs="Times New Roman"/>
          <w:b/>
          <w:sz w:val="24"/>
          <w:szCs w:val="24"/>
        </w:rPr>
        <w:t xml:space="preserve"> </w:t>
      </w:r>
    </w:p>
    <w:p w14:paraId="1075D7DB" w14:textId="1410B70F" w:rsidR="00A06340" w:rsidRDefault="00A06340" w:rsidP="00A06340">
      <w:pPr>
        <w:spacing w:after="0"/>
        <w:ind w:firstLine="567"/>
        <w:jc w:val="both"/>
        <w:rPr>
          <w:rFonts w:asciiTheme="majorHAnsi" w:hAnsiTheme="majorHAnsi" w:cs="Times New Roman"/>
          <w:b/>
          <w:sz w:val="24"/>
          <w:szCs w:val="24"/>
        </w:rPr>
      </w:pPr>
    </w:p>
    <w:p w14:paraId="398BD571" w14:textId="77777777" w:rsidR="002A0B59" w:rsidRPr="009E219B" w:rsidRDefault="002A0B59" w:rsidP="00BA29C0">
      <w:pPr>
        <w:spacing w:after="0"/>
        <w:jc w:val="both"/>
        <w:rPr>
          <w:rFonts w:asciiTheme="majorHAnsi" w:hAnsiTheme="majorHAnsi" w:cs="Times New Roman"/>
          <w:sz w:val="24"/>
          <w:szCs w:val="24"/>
        </w:rPr>
      </w:pPr>
      <w:r w:rsidRPr="009E219B">
        <w:rPr>
          <w:rFonts w:asciiTheme="majorHAnsi" w:hAnsiTheme="majorHAnsi" w:cs="Times New Roman"/>
          <w:sz w:val="24"/>
          <w:szCs w:val="24"/>
        </w:rPr>
        <w:t>При извършване на оценката, се използват най-малко следните източници на информация:</w:t>
      </w:r>
    </w:p>
    <w:p w14:paraId="44882A31" w14:textId="38B046CC" w:rsidR="002A0B59" w:rsidRPr="009E219B" w:rsidRDefault="002A0B59" w:rsidP="00665802">
      <w:pPr>
        <w:pStyle w:val="ListParagraph"/>
        <w:numPr>
          <w:ilvl w:val="0"/>
          <w:numId w:val="9"/>
        </w:numPr>
        <w:spacing w:after="0"/>
        <w:jc w:val="both"/>
        <w:rPr>
          <w:rFonts w:asciiTheme="majorHAnsi" w:hAnsiTheme="majorHAnsi" w:cs="Times New Roman"/>
          <w:sz w:val="24"/>
          <w:szCs w:val="24"/>
        </w:rPr>
      </w:pPr>
      <w:r w:rsidRPr="009E219B">
        <w:rPr>
          <w:rFonts w:asciiTheme="majorHAnsi" w:hAnsiTheme="majorHAnsi" w:cs="Times New Roman"/>
          <w:sz w:val="24"/>
          <w:szCs w:val="24"/>
        </w:rPr>
        <w:t>Национален статистически институт;</w:t>
      </w:r>
    </w:p>
    <w:p w14:paraId="36C760FC" w14:textId="0A31E9AF" w:rsidR="002A0B59" w:rsidRPr="009E219B" w:rsidRDefault="002A0B59" w:rsidP="00665802">
      <w:pPr>
        <w:pStyle w:val="ListParagraph"/>
        <w:numPr>
          <w:ilvl w:val="0"/>
          <w:numId w:val="9"/>
        </w:numPr>
        <w:spacing w:after="0"/>
        <w:jc w:val="both"/>
        <w:rPr>
          <w:rFonts w:asciiTheme="majorHAnsi" w:hAnsiTheme="majorHAnsi" w:cs="Times New Roman"/>
          <w:sz w:val="24"/>
          <w:szCs w:val="24"/>
        </w:rPr>
      </w:pPr>
      <w:r w:rsidRPr="009E219B">
        <w:rPr>
          <w:rFonts w:asciiTheme="majorHAnsi" w:hAnsiTheme="majorHAnsi" w:cs="Times New Roman"/>
          <w:sz w:val="24"/>
          <w:szCs w:val="24"/>
        </w:rPr>
        <w:t>Евростат;</w:t>
      </w:r>
    </w:p>
    <w:p w14:paraId="19E06C74" w14:textId="4B513C15" w:rsidR="002A0B59" w:rsidRPr="009E219B" w:rsidRDefault="002A0B59" w:rsidP="00665802">
      <w:pPr>
        <w:pStyle w:val="ListParagraph"/>
        <w:numPr>
          <w:ilvl w:val="0"/>
          <w:numId w:val="9"/>
        </w:numPr>
        <w:spacing w:after="0"/>
        <w:jc w:val="both"/>
        <w:rPr>
          <w:rFonts w:asciiTheme="majorHAnsi" w:hAnsiTheme="majorHAnsi" w:cs="Times New Roman"/>
          <w:sz w:val="24"/>
          <w:szCs w:val="24"/>
        </w:rPr>
      </w:pPr>
      <w:r w:rsidRPr="009E219B">
        <w:rPr>
          <w:rFonts w:asciiTheme="majorHAnsi" w:hAnsiTheme="majorHAnsi" w:cs="Times New Roman"/>
          <w:sz w:val="24"/>
          <w:szCs w:val="24"/>
        </w:rPr>
        <w:t>Национални стратегически, планови и програмни документи, обнародвани в държавен вестник или съответно в правителствения портал за обществени консултации – www.strategy.bg, както и официалните интернет страници на съответните институции;</w:t>
      </w:r>
    </w:p>
    <w:p w14:paraId="51AD6DDD" w14:textId="717C9B24" w:rsidR="002A0B59" w:rsidRPr="009E219B" w:rsidRDefault="002A0B59" w:rsidP="00665802">
      <w:pPr>
        <w:pStyle w:val="ListParagraph"/>
        <w:numPr>
          <w:ilvl w:val="0"/>
          <w:numId w:val="9"/>
        </w:numPr>
        <w:spacing w:after="0"/>
        <w:jc w:val="both"/>
        <w:rPr>
          <w:rFonts w:asciiTheme="majorHAnsi" w:hAnsiTheme="majorHAnsi" w:cs="Times New Roman"/>
          <w:sz w:val="24"/>
          <w:szCs w:val="24"/>
        </w:rPr>
      </w:pPr>
      <w:r w:rsidRPr="009E219B">
        <w:rPr>
          <w:rFonts w:asciiTheme="majorHAnsi" w:hAnsiTheme="majorHAnsi" w:cs="Times New Roman"/>
          <w:sz w:val="24"/>
          <w:szCs w:val="24"/>
        </w:rPr>
        <w:t>Данни и информация на Европейската комисия;</w:t>
      </w:r>
    </w:p>
    <w:p w14:paraId="4CBF38B5" w14:textId="557D0D36" w:rsidR="002A0B59" w:rsidRPr="009E219B" w:rsidRDefault="002A0B59" w:rsidP="00665802">
      <w:pPr>
        <w:pStyle w:val="ListParagraph"/>
        <w:numPr>
          <w:ilvl w:val="0"/>
          <w:numId w:val="9"/>
        </w:numPr>
        <w:spacing w:after="0"/>
        <w:jc w:val="both"/>
        <w:rPr>
          <w:rFonts w:asciiTheme="majorHAnsi" w:hAnsiTheme="majorHAnsi" w:cs="Times New Roman"/>
          <w:sz w:val="24"/>
          <w:szCs w:val="24"/>
        </w:rPr>
      </w:pPr>
      <w:r w:rsidRPr="009E219B">
        <w:rPr>
          <w:rFonts w:asciiTheme="majorHAnsi" w:hAnsiTheme="majorHAnsi" w:cs="Times New Roman"/>
          <w:sz w:val="24"/>
          <w:szCs w:val="24"/>
        </w:rPr>
        <w:t xml:space="preserve">Данни и информация, предоставена от УО; </w:t>
      </w:r>
    </w:p>
    <w:p w14:paraId="5EEF6021" w14:textId="77777777" w:rsidR="002A0B59" w:rsidRPr="009E219B" w:rsidRDefault="002A0B59" w:rsidP="00665802">
      <w:pPr>
        <w:pStyle w:val="ListParagraph"/>
        <w:numPr>
          <w:ilvl w:val="0"/>
          <w:numId w:val="9"/>
        </w:numPr>
        <w:spacing w:after="0"/>
        <w:jc w:val="both"/>
        <w:rPr>
          <w:rFonts w:asciiTheme="majorHAnsi" w:hAnsiTheme="majorHAnsi" w:cs="Times New Roman"/>
          <w:sz w:val="24"/>
          <w:szCs w:val="24"/>
        </w:rPr>
      </w:pPr>
      <w:r w:rsidRPr="009E219B">
        <w:rPr>
          <w:rFonts w:asciiTheme="majorHAnsi" w:hAnsiTheme="majorHAnsi" w:cs="Times New Roman"/>
          <w:sz w:val="24"/>
          <w:szCs w:val="24"/>
        </w:rPr>
        <w:t>Данни на съвместния изследователски център (JRC) и докладите на Научно-технически и икономически комитет по рибарство (НТИКР), както и данни, предоставени от други заинтересовани страни като ИАРА, МОСВ и др.</w:t>
      </w:r>
    </w:p>
    <w:p w14:paraId="2047ACCE" w14:textId="7648DF54" w:rsidR="002A0B59" w:rsidRPr="009E219B" w:rsidRDefault="002A0B59" w:rsidP="00665802">
      <w:pPr>
        <w:pStyle w:val="ListParagraph"/>
        <w:numPr>
          <w:ilvl w:val="0"/>
          <w:numId w:val="9"/>
        </w:numPr>
        <w:spacing w:after="0"/>
        <w:jc w:val="both"/>
        <w:rPr>
          <w:rFonts w:asciiTheme="majorHAnsi" w:hAnsiTheme="majorHAnsi" w:cs="Times New Roman"/>
          <w:sz w:val="24"/>
          <w:szCs w:val="24"/>
        </w:rPr>
      </w:pPr>
      <w:r w:rsidRPr="009E219B">
        <w:rPr>
          <w:rFonts w:asciiTheme="majorHAnsi" w:hAnsiTheme="majorHAnsi" w:cs="Times New Roman"/>
          <w:sz w:val="24"/>
          <w:szCs w:val="24"/>
        </w:rPr>
        <w:t>Информация, събрана от проведени теренни проучвания, интервюта и анкети с представители на заинтересованите страни.</w:t>
      </w:r>
    </w:p>
    <w:p w14:paraId="64ACA375" w14:textId="393BA856" w:rsidR="002A0B59" w:rsidRPr="00BA29C0" w:rsidRDefault="002A0B59" w:rsidP="00BA29C0">
      <w:pPr>
        <w:spacing w:after="0"/>
        <w:jc w:val="both"/>
        <w:rPr>
          <w:rFonts w:asciiTheme="majorHAnsi" w:hAnsiTheme="majorHAnsi" w:cs="Times New Roman"/>
          <w:sz w:val="24"/>
          <w:szCs w:val="24"/>
        </w:rPr>
      </w:pPr>
      <w:r w:rsidRPr="009E219B">
        <w:rPr>
          <w:rFonts w:asciiTheme="majorHAnsi" w:hAnsiTheme="majorHAnsi" w:cs="Times New Roman"/>
          <w:sz w:val="24"/>
          <w:szCs w:val="24"/>
        </w:rPr>
        <w:t>С оглед на използването изцяло на официални данни от компетентните  източници се гарантира устойчивостта и достоверността на събраната информация.</w:t>
      </w:r>
      <w:r>
        <w:rPr>
          <w:rFonts w:asciiTheme="majorHAnsi" w:hAnsiTheme="majorHAnsi" w:cs="Times New Roman"/>
          <w:sz w:val="24"/>
          <w:szCs w:val="24"/>
        </w:rPr>
        <w:t xml:space="preserve"> </w:t>
      </w:r>
    </w:p>
    <w:p w14:paraId="7A2950DB" w14:textId="1356F5A2" w:rsidR="007C4516" w:rsidRPr="007C4516" w:rsidRDefault="007C4516" w:rsidP="009E219B">
      <w:pPr>
        <w:spacing w:after="0"/>
        <w:jc w:val="both"/>
        <w:rPr>
          <w:rFonts w:asciiTheme="majorHAnsi" w:hAnsiTheme="majorHAnsi" w:cs="Times New Roman"/>
          <w:sz w:val="24"/>
          <w:szCs w:val="24"/>
        </w:rPr>
      </w:pPr>
    </w:p>
    <w:p w14:paraId="13E6B0AC" w14:textId="77777777" w:rsidR="00A06340" w:rsidRPr="00A06340" w:rsidRDefault="00A06340" w:rsidP="00A06340">
      <w:pPr>
        <w:spacing w:after="0"/>
        <w:ind w:firstLine="567"/>
        <w:jc w:val="both"/>
        <w:rPr>
          <w:rFonts w:asciiTheme="majorHAnsi" w:hAnsiTheme="majorHAnsi" w:cs="Times New Roman"/>
          <w:b/>
          <w:sz w:val="24"/>
          <w:szCs w:val="24"/>
        </w:rPr>
      </w:pPr>
    </w:p>
    <w:p w14:paraId="14146E3C" w14:textId="75A64664" w:rsidR="00A06340" w:rsidRDefault="00A06340" w:rsidP="009E219B">
      <w:pPr>
        <w:pStyle w:val="Heading2"/>
        <w:rPr>
          <w:rFonts w:cs="Times New Roman"/>
          <w:b/>
          <w:sz w:val="24"/>
          <w:szCs w:val="24"/>
        </w:rPr>
      </w:pPr>
      <w:bookmarkStart w:id="18" w:name="_Toc7098483"/>
      <w:r w:rsidRPr="00A06340">
        <w:rPr>
          <w:rFonts w:cs="Times New Roman"/>
          <w:b/>
          <w:bCs/>
          <w:sz w:val="24"/>
          <w:szCs w:val="24"/>
        </w:rPr>
        <w:t xml:space="preserve">3.6. </w:t>
      </w:r>
      <w:r w:rsidRPr="00A06340">
        <w:rPr>
          <w:rFonts w:cs="Times New Roman"/>
          <w:b/>
          <w:sz w:val="24"/>
          <w:szCs w:val="24"/>
        </w:rPr>
        <w:t>Времетраене и ориентировъчни дати</w:t>
      </w:r>
      <w:bookmarkEnd w:id="18"/>
    </w:p>
    <w:p w14:paraId="1DDE3B59" w14:textId="77777777" w:rsidR="00482C06" w:rsidRPr="00A06340" w:rsidRDefault="00482C06" w:rsidP="00482C06">
      <w:pPr>
        <w:spacing w:after="0"/>
        <w:ind w:firstLine="567"/>
        <w:jc w:val="both"/>
        <w:rPr>
          <w:rFonts w:asciiTheme="majorHAnsi" w:hAnsiTheme="majorHAnsi" w:cs="Times New Roman"/>
          <w:sz w:val="24"/>
          <w:szCs w:val="24"/>
        </w:rPr>
      </w:pPr>
    </w:p>
    <w:p w14:paraId="719784B8" w14:textId="77777777" w:rsidR="00482C06" w:rsidRPr="00113564" w:rsidRDefault="00482C06" w:rsidP="00482C06">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 xml:space="preserve">Предварителна оценка </w:t>
      </w:r>
    </w:p>
    <w:p w14:paraId="5CCB7A4F" w14:textId="7777777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Извършена през август 2014 г.</w:t>
      </w:r>
    </w:p>
    <w:p w14:paraId="051FFF18" w14:textId="7777777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Препоръките от оценката са взети предвид при разработването на ПМДР, която впоследствие е одобрена през октомври 2015 г.</w:t>
      </w:r>
    </w:p>
    <w:p w14:paraId="3789FFC1" w14:textId="2595DF62" w:rsidR="00482C06" w:rsidRDefault="00482C06" w:rsidP="00482C06">
      <w:pPr>
        <w:spacing w:after="0"/>
        <w:ind w:firstLine="567"/>
        <w:jc w:val="both"/>
        <w:rPr>
          <w:rFonts w:asciiTheme="majorHAnsi" w:hAnsiTheme="majorHAnsi" w:cs="Times New Roman"/>
          <w:sz w:val="24"/>
          <w:szCs w:val="24"/>
        </w:rPr>
      </w:pPr>
    </w:p>
    <w:p w14:paraId="01A76901" w14:textId="037BB491" w:rsidR="00E05F79" w:rsidRPr="00E05F79" w:rsidRDefault="00E05F79" w:rsidP="00482C06">
      <w:pPr>
        <w:spacing w:after="0"/>
        <w:ind w:firstLine="567"/>
        <w:jc w:val="both"/>
        <w:rPr>
          <w:rFonts w:asciiTheme="majorHAnsi" w:hAnsiTheme="majorHAnsi" w:cs="Times New Roman"/>
          <w:sz w:val="24"/>
          <w:szCs w:val="24"/>
        </w:rPr>
      </w:pPr>
      <w:r w:rsidRPr="00E05F79">
        <w:rPr>
          <w:rFonts w:asciiTheme="majorHAnsi" w:hAnsiTheme="majorHAnsi" w:cs="Times New Roman"/>
          <w:sz w:val="24"/>
          <w:szCs w:val="24"/>
        </w:rPr>
        <w:t xml:space="preserve">Съгласно разпоредбите на Регламент за изпълнение (ЕС) № 771/2014 на комисията от 14 юли 2014 година за установяване на правила съгласно Регламент (ЕС) № 508/2014 на Европейския парламент и на Съвета за Европейския фонд за морско дело и рибарство по отношение на модела за оперативните програми, структурата на плановете за компенсирането на допълнителните разходи, </w:t>
      </w:r>
      <w:r w:rsidRPr="00E05F79">
        <w:rPr>
          <w:rFonts w:asciiTheme="majorHAnsi" w:hAnsiTheme="majorHAnsi" w:cs="Times New Roman"/>
          <w:sz w:val="24"/>
          <w:szCs w:val="24"/>
        </w:rPr>
        <w:lastRenderedPageBreak/>
        <w:t xml:space="preserve">направени от операторите във връзка с риболова, отглеждането, преработването и предлагането на пазара на определени продукти от риболов и аквакултури от най-отдалечените региони, образеца за предаване на финансови данни, съдържанието на докладите за предварителна оценка и минималните изисквания за плана за оценка, които трябва да бъдат представени в рамките на Европейския фонд за морско дело и рибарство, </w:t>
      </w:r>
      <w:r>
        <w:rPr>
          <w:rFonts w:asciiTheme="majorHAnsi" w:hAnsiTheme="majorHAnsi" w:cs="Times New Roman"/>
          <w:sz w:val="24"/>
          <w:szCs w:val="24"/>
        </w:rPr>
        <w:t>г</w:t>
      </w:r>
      <w:r w:rsidRPr="00E05F79">
        <w:rPr>
          <w:rFonts w:asciiTheme="majorHAnsi" w:hAnsiTheme="majorHAnsi" w:cs="Times New Roman"/>
          <w:sz w:val="24"/>
          <w:szCs w:val="24"/>
        </w:rPr>
        <w:t>рафикът на плана за оценка следва да съдържа: „...Кратко описание на индикативното планиране на дейностите ...за годишните доклади за изпълнението през 2017 и 2019 г., и доклада за последваща оценка...“. Наличието на това изискване предполага и се улеснява чрез посочването на последователността и характеристиките на всички годишни доклади за изпълнение</w:t>
      </w:r>
      <w:r>
        <w:rPr>
          <w:rFonts w:asciiTheme="majorHAnsi" w:hAnsiTheme="majorHAnsi" w:cs="Times New Roman"/>
          <w:sz w:val="24"/>
          <w:szCs w:val="24"/>
        </w:rPr>
        <w:t xml:space="preserve"> в настоящия План за оценка на ПМДР</w:t>
      </w:r>
      <w:r w:rsidRPr="00E05F79">
        <w:rPr>
          <w:rFonts w:asciiTheme="majorHAnsi" w:hAnsiTheme="majorHAnsi" w:cs="Times New Roman"/>
          <w:sz w:val="24"/>
          <w:szCs w:val="24"/>
        </w:rPr>
        <w:t>. Отделно, съгласно заложеното изискване на глава 10 от ПМДР: „УО ще подготви и представи план за оценка за одобрение от Комитета за наблюдение не по-късно от една година след приемането на програмата“. По този начин е зададен времевия обхват на плана за оценка, като логично той предвижда включването на всички доклади за изпълнение чието изготвяне е стартирало в рамките на година от конституирането на Комитета за наблюдение на програмата</w:t>
      </w:r>
      <w:r>
        <w:rPr>
          <w:rFonts w:asciiTheme="majorHAnsi" w:hAnsiTheme="majorHAnsi" w:cs="Times New Roman"/>
          <w:sz w:val="24"/>
          <w:szCs w:val="24"/>
        </w:rPr>
        <w:t>, както следва:</w:t>
      </w:r>
    </w:p>
    <w:p w14:paraId="2AE38F22" w14:textId="77777777" w:rsidR="00E05F79" w:rsidRPr="00A06340" w:rsidRDefault="00E05F79" w:rsidP="00482C06">
      <w:pPr>
        <w:spacing w:after="0"/>
        <w:ind w:firstLine="567"/>
        <w:jc w:val="both"/>
        <w:rPr>
          <w:rFonts w:asciiTheme="majorHAnsi" w:hAnsiTheme="majorHAnsi" w:cs="Times New Roman"/>
          <w:sz w:val="24"/>
          <w:szCs w:val="24"/>
        </w:rPr>
      </w:pPr>
    </w:p>
    <w:p w14:paraId="44256641" w14:textId="6C4F3112" w:rsidR="00482C06" w:rsidRPr="00113564" w:rsidRDefault="00482C06" w:rsidP="00482C06">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 xml:space="preserve">Първи годишен доклад за изпълнението </w:t>
      </w:r>
    </w:p>
    <w:p w14:paraId="69D0AEF7" w14:textId="7043A0AD"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Първият годишен доклад за изпълнението на ПМДР обхваща календарните 2014 и 2015 г.</w:t>
      </w:r>
      <w:r w:rsidR="00480760">
        <w:rPr>
          <w:rFonts w:asciiTheme="majorHAnsi" w:hAnsiTheme="majorHAnsi" w:cs="Times New Roman"/>
          <w:sz w:val="24"/>
          <w:szCs w:val="24"/>
        </w:rPr>
        <w:t xml:space="preserve"> база и обобщена информация за </w:t>
      </w:r>
    </w:p>
    <w:p w14:paraId="05D53464" w14:textId="28DB05F3"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Краен срок за подаване до ЕК: 31 май 2016 г. </w:t>
      </w:r>
    </w:p>
    <w:p w14:paraId="5F47A111" w14:textId="758010EB"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Докладът е изготвен от УО и приет на заседание на Комитета за наблюдение и приет от Европейската комисия. </w:t>
      </w:r>
    </w:p>
    <w:p w14:paraId="59FAE09E" w14:textId="77777777" w:rsidR="00482C06" w:rsidRPr="00A06340" w:rsidRDefault="00482C06" w:rsidP="00482C06">
      <w:pPr>
        <w:spacing w:after="0"/>
        <w:ind w:firstLine="567"/>
        <w:jc w:val="both"/>
        <w:rPr>
          <w:rFonts w:asciiTheme="majorHAnsi" w:hAnsiTheme="majorHAnsi" w:cs="Times New Roman"/>
          <w:sz w:val="24"/>
          <w:szCs w:val="24"/>
        </w:rPr>
      </w:pPr>
    </w:p>
    <w:p w14:paraId="0887E644" w14:textId="77777777" w:rsidR="00482C06" w:rsidRPr="00113564" w:rsidRDefault="00482C06" w:rsidP="00482C06">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Втори годишен доклад за изпълнението (за 2016 г.)</w:t>
      </w:r>
    </w:p>
    <w:p w14:paraId="60998283" w14:textId="7777777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Краен срок за подаване до ЕК: 31 май 2017 г.</w:t>
      </w:r>
    </w:p>
    <w:p w14:paraId="7C30C430" w14:textId="7777777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 Докладът е изготвен от УО и приет на заседание на Комитета за наблюдение и приет от Европейската комисия. </w:t>
      </w:r>
    </w:p>
    <w:p w14:paraId="75E35527" w14:textId="4D15F8D0" w:rsidR="00482C06" w:rsidRPr="00A06340" w:rsidRDefault="00482C06" w:rsidP="00482C06">
      <w:pPr>
        <w:spacing w:after="0"/>
        <w:ind w:firstLine="567"/>
        <w:jc w:val="both"/>
        <w:rPr>
          <w:rFonts w:asciiTheme="majorHAnsi" w:hAnsiTheme="majorHAnsi" w:cs="Times New Roman"/>
          <w:sz w:val="24"/>
          <w:szCs w:val="24"/>
        </w:rPr>
      </w:pPr>
    </w:p>
    <w:p w14:paraId="2D46B2C7" w14:textId="5EF71DB3" w:rsidR="00482C06" w:rsidRPr="00113564" w:rsidRDefault="00482C06" w:rsidP="00482C06">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Трети годишен доклад за изпълнението (за 2017 г.)</w:t>
      </w:r>
    </w:p>
    <w:p w14:paraId="0C454EA5" w14:textId="493B4993"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Краен срок за подаване до ЕК: 31 май 2018 г.</w:t>
      </w:r>
    </w:p>
    <w:p w14:paraId="59E6B4F4" w14:textId="5D0F876C"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 xml:space="preserve">Докладът е изготвен от УО и приет на заседание на Комитета за наблюдение и приет от Европейската комисия. </w:t>
      </w:r>
    </w:p>
    <w:p w14:paraId="02B8EA82" w14:textId="37CB1E44" w:rsidR="00482C06" w:rsidRPr="00A06340" w:rsidRDefault="00482C06" w:rsidP="00482C06">
      <w:pPr>
        <w:spacing w:after="0"/>
        <w:ind w:firstLine="567"/>
        <w:jc w:val="both"/>
        <w:rPr>
          <w:rFonts w:asciiTheme="majorHAnsi" w:hAnsiTheme="majorHAnsi" w:cs="Times New Roman"/>
          <w:sz w:val="24"/>
          <w:szCs w:val="24"/>
        </w:rPr>
      </w:pPr>
    </w:p>
    <w:p w14:paraId="0B0925FE" w14:textId="77777777" w:rsidR="00482C06" w:rsidRPr="00113564" w:rsidRDefault="00482C06" w:rsidP="00482C06">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Междинна оценка на изпълнението (обхващаща периода 2014—2018 г.)</w:t>
      </w:r>
    </w:p>
    <w:p w14:paraId="79032D8E" w14:textId="7777777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lastRenderedPageBreak/>
        <w:t>-</w:t>
      </w:r>
      <w:r w:rsidRPr="00A06340">
        <w:rPr>
          <w:rFonts w:asciiTheme="majorHAnsi" w:hAnsiTheme="majorHAnsi" w:cs="Times New Roman"/>
          <w:sz w:val="24"/>
          <w:szCs w:val="24"/>
        </w:rPr>
        <w:tab/>
        <w:t>Краен срок за подаване в ЕК: 31 май 2019 г. заедно с 4-тия доклад за изпълнението‘</w:t>
      </w:r>
    </w:p>
    <w:p w14:paraId="09F79ED6" w14:textId="7777777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Ориентировъчен срок за извършване на проучвания и завършена оценка: януари 2019 г. до средата на май 2019 г.</w:t>
      </w:r>
    </w:p>
    <w:p w14:paraId="7B951E7A" w14:textId="7777777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Ориентировъчен срок за подаване на годишния доклад към Комитета за наблюдение (включително с възможност за последващо преразглеждане на, ако е необходимо): април до средата на май 2019 г.</w:t>
      </w:r>
    </w:p>
    <w:p w14:paraId="22BF2B01" w14:textId="7777777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Ориентировъчен срок за подаване на годишния доклад към Комитета за наблюдение (включително с възможност за последващо преразглеждане на, ако е необходимо): април до средата на май 2018 г.</w:t>
      </w:r>
    </w:p>
    <w:p w14:paraId="1AE1826F" w14:textId="77777777" w:rsidR="00482C06" w:rsidRPr="00A06340" w:rsidRDefault="00482C06" w:rsidP="00482C06">
      <w:pPr>
        <w:spacing w:after="0"/>
        <w:ind w:firstLine="567"/>
        <w:jc w:val="both"/>
        <w:rPr>
          <w:rFonts w:asciiTheme="majorHAnsi" w:hAnsiTheme="majorHAnsi" w:cs="Times New Roman"/>
          <w:sz w:val="24"/>
          <w:szCs w:val="24"/>
        </w:rPr>
      </w:pPr>
    </w:p>
    <w:p w14:paraId="58559139" w14:textId="04211039" w:rsidR="00482C06" w:rsidRPr="00113564" w:rsidRDefault="00482C06" w:rsidP="00482C06">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Четвърти годишен доклад за изпълнението (за 2018 г.)</w:t>
      </w:r>
    </w:p>
    <w:p w14:paraId="65B11AAF" w14:textId="03780FFC"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Краен срок за подаване до ЕК: 31 май 2019 г.</w:t>
      </w:r>
    </w:p>
    <w:p w14:paraId="5659A9C1" w14:textId="3009EFA5"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Индикативен времеви обхват за подготовка на доклада: декември 2018 г. до края на март 2019 г.</w:t>
      </w:r>
    </w:p>
    <w:p w14:paraId="48D22675" w14:textId="1A73E046"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Ориентировъчен срок за подаване на годишния доклад към Комитета за наблюдение (включително с възможно</w:t>
      </w:r>
      <w:r>
        <w:rPr>
          <w:rFonts w:asciiTheme="majorHAnsi" w:hAnsiTheme="majorHAnsi" w:cs="Times New Roman"/>
          <w:sz w:val="24"/>
          <w:szCs w:val="24"/>
        </w:rPr>
        <w:t>ст за последващо преразглеждане</w:t>
      </w:r>
      <w:r w:rsidRPr="00A06340">
        <w:rPr>
          <w:rFonts w:asciiTheme="majorHAnsi" w:hAnsiTheme="majorHAnsi" w:cs="Times New Roman"/>
          <w:sz w:val="24"/>
          <w:szCs w:val="24"/>
        </w:rPr>
        <w:t>, ако е необходимо): април до средата на май 2019 г.</w:t>
      </w:r>
    </w:p>
    <w:p w14:paraId="411A2C13" w14:textId="77777777" w:rsidR="00482C06" w:rsidRPr="00A06340" w:rsidRDefault="00482C06" w:rsidP="00482C06">
      <w:pPr>
        <w:spacing w:after="0"/>
        <w:ind w:firstLine="567"/>
        <w:jc w:val="both"/>
        <w:rPr>
          <w:rFonts w:asciiTheme="majorHAnsi" w:hAnsiTheme="majorHAnsi" w:cs="Times New Roman"/>
          <w:sz w:val="24"/>
          <w:szCs w:val="24"/>
        </w:rPr>
      </w:pPr>
    </w:p>
    <w:p w14:paraId="24199904" w14:textId="77777777" w:rsidR="00482C06" w:rsidRPr="00113564" w:rsidRDefault="00482C06" w:rsidP="00482C06">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Преглед на напредъка по програмата</w:t>
      </w:r>
    </w:p>
    <w:p w14:paraId="050FE634" w14:textId="7777777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Краен срок за подаване до ЕК: 31 май 2019 г.</w:t>
      </w:r>
    </w:p>
    <w:p w14:paraId="4DFF11C3" w14:textId="7777777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Индикативен времеви обхват за подготовка на доклада: декември 2018 г. до края на юли 2019 г.</w:t>
      </w:r>
    </w:p>
    <w:p w14:paraId="4D593A82" w14:textId="77777777" w:rsidR="00482C06" w:rsidRPr="00A06340" w:rsidRDefault="00482C06" w:rsidP="00482C06">
      <w:pPr>
        <w:spacing w:after="0"/>
        <w:ind w:firstLine="567"/>
        <w:jc w:val="both"/>
        <w:rPr>
          <w:rFonts w:asciiTheme="majorHAnsi" w:hAnsiTheme="majorHAnsi" w:cs="Times New Roman"/>
          <w:sz w:val="24"/>
          <w:szCs w:val="24"/>
        </w:rPr>
      </w:pPr>
    </w:p>
    <w:p w14:paraId="732670CE" w14:textId="6A6F9E8A" w:rsidR="00482C06" w:rsidRPr="00113564" w:rsidRDefault="00482C06" w:rsidP="00482C06">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Пети годишен доклад за изпълнението (за 2019 г.)</w:t>
      </w:r>
    </w:p>
    <w:p w14:paraId="24C2780A" w14:textId="57220E6A"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Краен срок за подаване до ЕК: 31 май 2020 г.</w:t>
      </w:r>
    </w:p>
    <w:p w14:paraId="5383CC02" w14:textId="7777777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Индикативен времеви обхват за подготовка на доклада: декември 2019 г. до края на март 2020 г.</w:t>
      </w:r>
    </w:p>
    <w:p w14:paraId="0236414C" w14:textId="7777777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Ориентировъчен срок за подаване на годишния доклад към Комитета за наблюдение (включително с възможност за последващо преразглеждане на, ако е необходимо): април до средата на май 2020 г.</w:t>
      </w:r>
    </w:p>
    <w:p w14:paraId="7673A88B" w14:textId="77777777" w:rsidR="00482C06" w:rsidRPr="00A06340" w:rsidRDefault="00482C06" w:rsidP="00482C06">
      <w:pPr>
        <w:spacing w:after="0"/>
        <w:ind w:firstLine="567"/>
        <w:jc w:val="both"/>
        <w:rPr>
          <w:rFonts w:asciiTheme="majorHAnsi" w:hAnsiTheme="majorHAnsi" w:cs="Times New Roman"/>
          <w:sz w:val="24"/>
          <w:szCs w:val="24"/>
        </w:rPr>
      </w:pPr>
    </w:p>
    <w:p w14:paraId="4E15D595" w14:textId="508FE321" w:rsidR="00482C06" w:rsidRPr="00113564" w:rsidRDefault="00482C06" w:rsidP="00482C06">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Шести годишен доклад за изпълнението (за 2020 г.)</w:t>
      </w:r>
    </w:p>
    <w:p w14:paraId="36AF9410" w14:textId="3B095509"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Краен срок за подаване до ЕК: 31 май 2021 г.</w:t>
      </w:r>
    </w:p>
    <w:p w14:paraId="08D008FA" w14:textId="33730CC2"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Индикативен времеви обхват за подготовка на доклада: декември 2020 г. до края на март 2021 г.</w:t>
      </w:r>
    </w:p>
    <w:p w14:paraId="2FF50629" w14:textId="4B2C0589" w:rsidR="00482C06"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lastRenderedPageBreak/>
        <w:t>-</w:t>
      </w:r>
      <w:r w:rsidRPr="00A06340">
        <w:rPr>
          <w:rFonts w:asciiTheme="majorHAnsi" w:hAnsiTheme="majorHAnsi" w:cs="Times New Roman"/>
          <w:sz w:val="24"/>
          <w:szCs w:val="24"/>
        </w:rPr>
        <w:tab/>
        <w:t>Ориентировъчен срок за подаване на годишния доклад към Комитета за наблюдение (включително с възможност за последващо преразглеждане на, ако е необходимо): април до средата на май 2021 г.</w:t>
      </w:r>
    </w:p>
    <w:p w14:paraId="65FA143B" w14:textId="77777777" w:rsidR="00482C06" w:rsidRDefault="00482C06" w:rsidP="00482C06">
      <w:pPr>
        <w:spacing w:after="0"/>
        <w:ind w:firstLine="567"/>
        <w:jc w:val="both"/>
        <w:rPr>
          <w:rFonts w:asciiTheme="majorHAnsi" w:hAnsiTheme="majorHAnsi" w:cs="Times New Roman"/>
          <w:sz w:val="24"/>
          <w:szCs w:val="24"/>
        </w:rPr>
      </w:pPr>
    </w:p>
    <w:p w14:paraId="45E70442" w14:textId="77777777" w:rsidR="00482C06" w:rsidRPr="00113564" w:rsidRDefault="00482C06" w:rsidP="00482C06">
      <w:pPr>
        <w:spacing w:after="0"/>
        <w:ind w:firstLine="567"/>
        <w:jc w:val="both"/>
        <w:rPr>
          <w:rFonts w:asciiTheme="majorHAnsi" w:hAnsiTheme="majorHAnsi" w:cs="Times New Roman"/>
          <w:b/>
          <w:sz w:val="24"/>
          <w:szCs w:val="24"/>
        </w:rPr>
      </w:pPr>
      <w:r>
        <w:rPr>
          <w:rFonts w:asciiTheme="majorHAnsi" w:hAnsiTheme="majorHAnsi" w:cs="Times New Roman"/>
          <w:b/>
          <w:sz w:val="24"/>
          <w:szCs w:val="24"/>
        </w:rPr>
        <w:t>Втора м</w:t>
      </w:r>
      <w:r w:rsidRPr="00113564">
        <w:rPr>
          <w:rFonts w:asciiTheme="majorHAnsi" w:hAnsiTheme="majorHAnsi" w:cs="Times New Roman"/>
          <w:b/>
          <w:sz w:val="24"/>
          <w:szCs w:val="24"/>
        </w:rPr>
        <w:t xml:space="preserve">еждинна оценка </w:t>
      </w:r>
      <w:r>
        <w:rPr>
          <w:rFonts w:asciiTheme="majorHAnsi" w:hAnsiTheme="majorHAnsi" w:cs="Times New Roman"/>
          <w:b/>
          <w:sz w:val="24"/>
          <w:szCs w:val="24"/>
        </w:rPr>
        <w:t>(обхващаща периода 2018—2020</w:t>
      </w:r>
      <w:r w:rsidRPr="00113564">
        <w:rPr>
          <w:rFonts w:asciiTheme="majorHAnsi" w:hAnsiTheme="majorHAnsi" w:cs="Times New Roman"/>
          <w:b/>
          <w:sz w:val="24"/>
          <w:szCs w:val="24"/>
        </w:rPr>
        <w:t xml:space="preserve"> г.)</w:t>
      </w:r>
    </w:p>
    <w:p w14:paraId="4A9B363C" w14:textId="13F55FCF"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Краен срок за пода</w:t>
      </w:r>
      <w:r>
        <w:rPr>
          <w:rFonts w:asciiTheme="majorHAnsi" w:hAnsiTheme="majorHAnsi" w:cs="Times New Roman"/>
          <w:sz w:val="24"/>
          <w:szCs w:val="24"/>
        </w:rPr>
        <w:t>ване в ЕК: 31 май 2021 г. заедно със шестия</w:t>
      </w:r>
      <w:r w:rsidRPr="00A06340">
        <w:rPr>
          <w:rFonts w:asciiTheme="majorHAnsi" w:hAnsiTheme="majorHAnsi" w:cs="Times New Roman"/>
          <w:sz w:val="24"/>
          <w:szCs w:val="24"/>
        </w:rPr>
        <w:t xml:space="preserve"> доклад за изпълнението‘</w:t>
      </w:r>
    </w:p>
    <w:p w14:paraId="3F7C88F8" w14:textId="7777777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Ориентировъчен срок за извършване на проучвания и завършена оценка: януари 20</w:t>
      </w:r>
      <w:r>
        <w:rPr>
          <w:rFonts w:asciiTheme="majorHAnsi" w:hAnsiTheme="majorHAnsi" w:cs="Times New Roman"/>
          <w:sz w:val="24"/>
          <w:szCs w:val="24"/>
        </w:rPr>
        <w:t>21 г. до средата на май 2021</w:t>
      </w:r>
      <w:r w:rsidRPr="00A06340">
        <w:rPr>
          <w:rFonts w:asciiTheme="majorHAnsi" w:hAnsiTheme="majorHAnsi" w:cs="Times New Roman"/>
          <w:sz w:val="24"/>
          <w:szCs w:val="24"/>
        </w:rPr>
        <w:t xml:space="preserve"> г.</w:t>
      </w:r>
    </w:p>
    <w:p w14:paraId="279F5E86" w14:textId="7777777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Ориентировъчен срок за подаване на годишния доклад към Комитета за наблюдение (включително с възможност за последващо преразглеждане на, ако е необходим</w:t>
      </w:r>
      <w:r>
        <w:rPr>
          <w:rFonts w:asciiTheme="majorHAnsi" w:hAnsiTheme="majorHAnsi" w:cs="Times New Roman"/>
          <w:sz w:val="24"/>
          <w:szCs w:val="24"/>
        </w:rPr>
        <w:t>о): април до средата на май 2021</w:t>
      </w:r>
      <w:r w:rsidRPr="00A06340">
        <w:rPr>
          <w:rFonts w:asciiTheme="majorHAnsi" w:hAnsiTheme="majorHAnsi" w:cs="Times New Roman"/>
          <w:sz w:val="24"/>
          <w:szCs w:val="24"/>
        </w:rPr>
        <w:t xml:space="preserve"> г.</w:t>
      </w:r>
    </w:p>
    <w:p w14:paraId="27F9F8A6" w14:textId="7777777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Ориентировъчен срок за подаване на годишния доклад към Комитета за наблюдение (включително с възможност за последващо преразглеждане на, ако е необходимо): април до средата на май 20</w:t>
      </w:r>
      <w:r>
        <w:rPr>
          <w:rFonts w:asciiTheme="majorHAnsi" w:hAnsiTheme="majorHAnsi" w:cs="Times New Roman"/>
          <w:sz w:val="24"/>
          <w:szCs w:val="24"/>
        </w:rPr>
        <w:t>21</w:t>
      </w:r>
      <w:r w:rsidRPr="00A06340">
        <w:rPr>
          <w:rFonts w:asciiTheme="majorHAnsi" w:hAnsiTheme="majorHAnsi" w:cs="Times New Roman"/>
          <w:sz w:val="24"/>
          <w:szCs w:val="24"/>
        </w:rPr>
        <w:t xml:space="preserve"> г.</w:t>
      </w:r>
    </w:p>
    <w:p w14:paraId="043DFAFA" w14:textId="6564897D" w:rsidR="00482C06" w:rsidRPr="00A06340" w:rsidRDefault="00482C06" w:rsidP="00482C06">
      <w:pPr>
        <w:spacing w:after="0"/>
        <w:ind w:firstLine="567"/>
        <w:jc w:val="both"/>
        <w:rPr>
          <w:rFonts w:asciiTheme="majorHAnsi" w:hAnsiTheme="majorHAnsi" w:cs="Times New Roman"/>
          <w:sz w:val="24"/>
          <w:szCs w:val="24"/>
        </w:rPr>
      </w:pPr>
    </w:p>
    <w:p w14:paraId="58D1FEC4" w14:textId="6C87E865" w:rsidR="00482C06" w:rsidRPr="00113564" w:rsidRDefault="00482C06" w:rsidP="00482C06">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Седми годишен доклад за изпълнението (за 2021 г.)</w:t>
      </w:r>
    </w:p>
    <w:p w14:paraId="0B279D04" w14:textId="34EB5132"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Краен срок за подаване до ЕК: 31 май 2022 г.</w:t>
      </w:r>
    </w:p>
    <w:p w14:paraId="09BF66F1" w14:textId="2A19AB2E"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Индикативен времеви обхват за подготовка на доклада: декември 2021 г. до края на март 2022 г.</w:t>
      </w:r>
    </w:p>
    <w:p w14:paraId="0EDCDFC7" w14:textId="72282716"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Ориентировъчен срок за подаване на годишния доклад към Комитета за наблюдение (включително с възможност за последващо преразглеждане на, ако е необходимо): април до средата на май 2022 г.</w:t>
      </w:r>
    </w:p>
    <w:p w14:paraId="4A819FEC" w14:textId="0970721A" w:rsidR="00482C06" w:rsidRPr="00A06340" w:rsidRDefault="00482C06" w:rsidP="00482C06">
      <w:pPr>
        <w:spacing w:after="0"/>
        <w:ind w:firstLine="567"/>
        <w:jc w:val="both"/>
        <w:rPr>
          <w:rFonts w:asciiTheme="majorHAnsi" w:hAnsiTheme="majorHAnsi" w:cs="Times New Roman"/>
          <w:sz w:val="24"/>
          <w:szCs w:val="24"/>
        </w:rPr>
      </w:pPr>
    </w:p>
    <w:p w14:paraId="69E0F746" w14:textId="39D613B5" w:rsidR="00482C06" w:rsidRPr="00113564" w:rsidRDefault="00482C06" w:rsidP="00482C06">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Осми годишен доклад за изпълнението (за 2022 г.)</w:t>
      </w:r>
    </w:p>
    <w:p w14:paraId="767B30C3" w14:textId="64BECC6F"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Краен срок за подаване до ЕК: 31 май 2023 г.</w:t>
      </w:r>
    </w:p>
    <w:p w14:paraId="6F0A9E1A" w14:textId="06B5BBAF"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Индикативен времеви обхват за подготовка на доклада: декември 2022 г. до края на март 2023 г.</w:t>
      </w:r>
    </w:p>
    <w:p w14:paraId="05602FA1" w14:textId="3376180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Ориентировъчен срок за подаване на годишния доклад към Комитета за наблюдение (включително с възможност за последващо преразглеждане на, ако е необходимо): април до средата на май 2023 г.</w:t>
      </w:r>
    </w:p>
    <w:p w14:paraId="560FE16B" w14:textId="54848488" w:rsidR="00482C06" w:rsidRPr="00A06340" w:rsidRDefault="00482C06" w:rsidP="00482C06">
      <w:pPr>
        <w:spacing w:after="0"/>
        <w:ind w:firstLine="567"/>
        <w:jc w:val="both"/>
        <w:rPr>
          <w:rFonts w:asciiTheme="majorHAnsi" w:hAnsiTheme="majorHAnsi" w:cs="Times New Roman"/>
          <w:sz w:val="24"/>
          <w:szCs w:val="24"/>
        </w:rPr>
      </w:pPr>
    </w:p>
    <w:p w14:paraId="3A47ACF9" w14:textId="7ADD33E3" w:rsidR="00482C06" w:rsidRPr="00113564" w:rsidRDefault="00482C06" w:rsidP="00482C06">
      <w:pPr>
        <w:spacing w:after="0"/>
        <w:ind w:firstLine="567"/>
        <w:jc w:val="both"/>
        <w:rPr>
          <w:rFonts w:asciiTheme="majorHAnsi" w:hAnsiTheme="majorHAnsi" w:cs="Times New Roman"/>
          <w:b/>
          <w:sz w:val="24"/>
          <w:szCs w:val="24"/>
        </w:rPr>
      </w:pPr>
      <w:r w:rsidRPr="00113564">
        <w:rPr>
          <w:rFonts w:asciiTheme="majorHAnsi" w:hAnsiTheme="majorHAnsi" w:cs="Times New Roman"/>
          <w:b/>
          <w:sz w:val="24"/>
          <w:szCs w:val="24"/>
        </w:rPr>
        <w:t>Финален доклад за изпълнението (за 2023 г.)</w:t>
      </w:r>
    </w:p>
    <w:p w14:paraId="6AC3A3E5" w14:textId="131C8D8B"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Краен срок за подаване до ЕК: 31 май 2024 г.</w:t>
      </w:r>
    </w:p>
    <w:p w14:paraId="6E73876B" w14:textId="3AD0CC67"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t>-</w:t>
      </w:r>
      <w:r w:rsidRPr="00A06340">
        <w:rPr>
          <w:rFonts w:asciiTheme="majorHAnsi" w:hAnsiTheme="majorHAnsi" w:cs="Times New Roman"/>
          <w:sz w:val="24"/>
          <w:szCs w:val="24"/>
        </w:rPr>
        <w:tab/>
        <w:t>Индикативен времеви обхват за подготовка на доклада: декември 2023 г. до края на март 2024 г.</w:t>
      </w:r>
    </w:p>
    <w:p w14:paraId="611EFE0B" w14:textId="2F692A88" w:rsidR="00482C06" w:rsidRPr="00A06340" w:rsidRDefault="00482C06" w:rsidP="00482C06">
      <w:pPr>
        <w:spacing w:after="0"/>
        <w:ind w:firstLine="567"/>
        <w:jc w:val="both"/>
        <w:rPr>
          <w:rFonts w:asciiTheme="majorHAnsi" w:hAnsiTheme="majorHAnsi" w:cs="Times New Roman"/>
          <w:sz w:val="24"/>
          <w:szCs w:val="24"/>
        </w:rPr>
      </w:pPr>
      <w:r w:rsidRPr="00A06340">
        <w:rPr>
          <w:rFonts w:asciiTheme="majorHAnsi" w:hAnsiTheme="majorHAnsi" w:cs="Times New Roman"/>
          <w:sz w:val="24"/>
          <w:szCs w:val="24"/>
        </w:rPr>
        <w:lastRenderedPageBreak/>
        <w:t>-</w:t>
      </w:r>
      <w:r w:rsidRPr="00A06340">
        <w:rPr>
          <w:rFonts w:asciiTheme="majorHAnsi" w:hAnsiTheme="majorHAnsi" w:cs="Times New Roman"/>
          <w:sz w:val="24"/>
          <w:szCs w:val="24"/>
        </w:rPr>
        <w:tab/>
        <w:t>Ориентировъчен срок за подаване на финалния доклад към Комитета за наблюдение (включително с възможност за последващо преразглеждане на, ако е необходимо): април до средата на май 2024 г.</w:t>
      </w:r>
    </w:p>
    <w:p w14:paraId="3E1AED9A" w14:textId="6198D833" w:rsidR="003345B4" w:rsidRDefault="003345B4" w:rsidP="00A06340">
      <w:pPr>
        <w:spacing w:after="0"/>
        <w:ind w:firstLine="567"/>
        <w:jc w:val="both"/>
        <w:rPr>
          <w:rFonts w:asciiTheme="majorHAnsi" w:hAnsiTheme="majorHAnsi" w:cs="Times New Roman"/>
          <w:b/>
          <w:sz w:val="24"/>
          <w:szCs w:val="24"/>
        </w:rPr>
      </w:pPr>
    </w:p>
    <w:p w14:paraId="3FAB0D85" w14:textId="77777777" w:rsidR="003345B4" w:rsidRPr="00A06340" w:rsidRDefault="003345B4" w:rsidP="00A06340">
      <w:pPr>
        <w:spacing w:after="0"/>
        <w:ind w:firstLine="567"/>
        <w:jc w:val="both"/>
        <w:rPr>
          <w:rFonts w:asciiTheme="majorHAnsi" w:hAnsiTheme="majorHAnsi" w:cs="Times New Roman"/>
          <w:b/>
          <w:sz w:val="24"/>
          <w:szCs w:val="24"/>
        </w:rPr>
      </w:pPr>
    </w:p>
    <w:p w14:paraId="164DF0CB" w14:textId="77777777" w:rsidR="00A06340" w:rsidRPr="00A06340" w:rsidRDefault="00A06340" w:rsidP="009E219B">
      <w:pPr>
        <w:pStyle w:val="Heading2"/>
        <w:rPr>
          <w:rFonts w:cs="Times New Roman"/>
          <w:b/>
          <w:sz w:val="24"/>
          <w:szCs w:val="24"/>
        </w:rPr>
      </w:pPr>
      <w:bookmarkStart w:id="19" w:name="_Toc7098484"/>
      <w:r w:rsidRPr="00A06340">
        <w:rPr>
          <w:rFonts w:cs="Times New Roman"/>
          <w:b/>
          <w:bCs/>
          <w:sz w:val="24"/>
          <w:szCs w:val="24"/>
        </w:rPr>
        <w:t xml:space="preserve">3.7. </w:t>
      </w:r>
      <w:r w:rsidRPr="00A06340">
        <w:rPr>
          <w:rFonts w:cs="Times New Roman"/>
          <w:b/>
          <w:sz w:val="24"/>
          <w:szCs w:val="24"/>
        </w:rPr>
        <w:t>Очакван бюджет за всяка оценка (свързан с избраните методи и времетраене на договора)</w:t>
      </w:r>
      <w:bookmarkEnd w:id="19"/>
    </w:p>
    <w:p w14:paraId="3380C96C" w14:textId="1B138FE1" w:rsidR="00A55B0A" w:rsidRPr="00A06340" w:rsidRDefault="00A55B0A" w:rsidP="00A06340">
      <w:pPr>
        <w:spacing w:after="0"/>
        <w:ind w:firstLine="567"/>
        <w:jc w:val="both"/>
        <w:rPr>
          <w:rFonts w:asciiTheme="majorHAnsi" w:hAnsiTheme="majorHAnsi" w:cs="Times New Roman"/>
          <w:b/>
          <w:sz w:val="24"/>
          <w:szCs w:val="24"/>
        </w:rPr>
      </w:pPr>
    </w:p>
    <w:tbl>
      <w:tblPr>
        <w:tblStyle w:val="TableGrid"/>
        <w:tblW w:w="0" w:type="auto"/>
        <w:tblLook w:val="04A0" w:firstRow="1" w:lastRow="0" w:firstColumn="1" w:lastColumn="0" w:noHBand="0" w:noVBand="1"/>
      </w:tblPr>
      <w:tblGrid>
        <w:gridCol w:w="3092"/>
        <w:gridCol w:w="3097"/>
        <w:gridCol w:w="3099"/>
      </w:tblGrid>
      <w:tr w:rsidR="00AD6428" w14:paraId="6D1844A4" w14:textId="77777777" w:rsidTr="00BA29C0">
        <w:tc>
          <w:tcPr>
            <w:tcW w:w="3116" w:type="dxa"/>
            <w:shd w:val="clear" w:color="auto" w:fill="D9D9D9" w:themeFill="background1" w:themeFillShade="D9"/>
          </w:tcPr>
          <w:p w14:paraId="4BC789B8" w14:textId="77777777" w:rsidR="00AD6428" w:rsidRPr="00BA29C0" w:rsidRDefault="00AD6428" w:rsidP="00A35614">
            <w:pPr>
              <w:rPr>
                <w:rFonts w:asciiTheme="majorHAnsi" w:hAnsiTheme="majorHAnsi" w:cs="Times New Roman"/>
                <w:sz w:val="24"/>
                <w:szCs w:val="24"/>
              </w:rPr>
            </w:pPr>
            <w:r w:rsidRPr="00BA29C0">
              <w:rPr>
                <w:rFonts w:asciiTheme="majorHAnsi" w:hAnsiTheme="majorHAnsi" w:cs="Times New Roman"/>
                <w:sz w:val="24"/>
                <w:szCs w:val="24"/>
              </w:rPr>
              <w:t>Оценка</w:t>
            </w:r>
          </w:p>
        </w:tc>
        <w:tc>
          <w:tcPr>
            <w:tcW w:w="3117" w:type="dxa"/>
            <w:shd w:val="clear" w:color="auto" w:fill="D9D9D9" w:themeFill="background1" w:themeFillShade="D9"/>
          </w:tcPr>
          <w:p w14:paraId="40FB2518" w14:textId="77777777" w:rsidR="00AD6428" w:rsidRPr="00BA29C0" w:rsidRDefault="00AD6428" w:rsidP="00A35614">
            <w:pPr>
              <w:rPr>
                <w:rFonts w:asciiTheme="majorHAnsi" w:hAnsiTheme="majorHAnsi" w:cs="Times New Roman"/>
                <w:sz w:val="24"/>
                <w:szCs w:val="24"/>
              </w:rPr>
            </w:pPr>
            <w:r w:rsidRPr="00BA29C0">
              <w:rPr>
                <w:rFonts w:asciiTheme="majorHAnsi" w:hAnsiTheme="majorHAnsi" w:cs="Times New Roman"/>
                <w:sz w:val="24"/>
                <w:szCs w:val="24"/>
              </w:rPr>
              <w:t>Максимален бюджет</w:t>
            </w:r>
          </w:p>
        </w:tc>
        <w:tc>
          <w:tcPr>
            <w:tcW w:w="3117" w:type="dxa"/>
            <w:shd w:val="clear" w:color="auto" w:fill="D9D9D9" w:themeFill="background1" w:themeFillShade="D9"/>
          </w:tcPr>
          <w:p w14:paraId="7DCAEDF8" w14:textId="77777777" w:rsidR="00AD6428" w:rsidRPr="00BA29C0" w:rsidRDefault="00AD6428" w:rsidP="00A35614">
            <w:pPr>
              <w:rPr>
                <w:rFonts w:asciiTheme="majorHAnsi" w:hAnsiTheme="majorHAnsi" w:cs="Times New Roman"/>
                <w:sz w:val="24"/>
                <w:szCs w:val="24"/>
              </w:rPr>
            </w:pPr>
            <w:r w:rsidRPr="00BA29C0">
              <w:rPr>
                <w:rFonts w:asciiTheme="majorHAnsi" w:hAnsiTheme="majorHAnsi" w:cs="Times New Roman"/>
                <w:sz w:val="24"/>
                <w:szCs w:val="24"/>
              </w:rPr>
              <w:t>Подготовка на документация за възлагане на ОП</w:t>
            </w:r>
          </w:p>
        </w:tc>
      </w:tr>
      <w:tr w:rsidR="00AD6428" w14:paraId="0C98B27C" w14:textId="77777777" w:rsidTr="00A35614">
        <w:tc>
          <w:tcPr>
            <w:tcW w:w="3116" w:type="dxa"/>
          </w:tcPr>
          <w:p w14:paraId="570E4A07" w14:textId="77777777" w:rsidR="00AD6428" w:rsidRPr="00BA29C0" w:rsidRDefault="00AD6428" w:rsidP="00A35614">
            <w:pPr>
              <w:rPr>
                <w:rFonts w:asciiTheme="majorHAnsi" w:hAnsiTheme="majorHAnsi" w:cs="Times New Roman"/>
                <w:sz w:val="24"/>
                <w:szCs w:val="24"/>
              </w:rPr>
            </w:pPr>
            <w:r w:rsidRPr="00BA29C0">
              <w:rPr>
                <w:rFonts w:asciiTheme="majorHAnsi" w:hAnsiTheme="majorHAnsi" w:cs="Times New Roman"/>
                <w:sz w:val="24"/>
                <w:szCs w:val="24"/>
              </w:rPr>
              <w:t>Еx-ante</w:t>
            </w:r>
          </w:p>
        </w:tc>
        <w:tc>
          <w:tcPr>
            <w:tcW w:w="3117" w:type="dxa"/>
          </w:tcPr>
          <w:p w14:paraId="5A3AD186" w14:textId="77777777" w:rsidR="00AD6428" w:rsidRPr="00BA29C0" w:rsidRDefault="00AD6428" w:rsidP="00A35614">
            <w:pPr>
              <w:rPr>
                <w:rFonts w:asciiTheme="majorHAnsi" w:hAnsiTheme="majorHAnsi" w:cs="Times New Roman"/>
                <w:sz w:val="24"/>
                <w:szCs w:val="24"/>
              </w:rPr>
            </w:pPr>
            <w:r w:rsidRPr="00BA29C0">
              <w:rPr>
                <w:rFonts w:asciiTheme="majorHAnsi" w:hAnsiTheme="majorHAnsi" w:cs="Times New Roman"/>
                <w:sz w:val="24"/>
                <w:szCs w:val="24"/>
              </w:rPr>
              <w:t>Информация от УО</w:t>
            </w:r>
          </w:p>
        </w:tc>
        <w:tc>
          <w:tcPr>
            <w:tcW w:w="3117" w:type="dxa"/>
          </w:tcPr>
          <w:p w14:paraId="1D84D980" w14:textId="77777777" w:rsidR="00AD6428" w:rsidRPr="00BA29C0" w:rsidRDefault="00AD6428" w:rsidP="00A35614">
            <w:pPr>
              <w:rPr>
                <w:rFonts w:asciiTheme="majorHAnsi" w:hAnsiTheme="majorHAnsi" w:cs="Times New Roman"/>
                <w:sz w:val="24"/>
                <w:szCs w:val="24"/>
              </w:rPr>
            </w:pPr>
            <w:r w:rsidRPr="00BA29C0">
              <w:rPr>
                <w:rFonts w:asciiTheme="majorHAnsi" w:hAnsiTheme="majorHAnsi" w:cs="Times New Roman"/>
                <w:sz w:val="24"/>
                <w:szCs w:val="24"/>
              </w:rPr>
              <w:t>По данни от УО</w:t>
            </w:r>
          </w:p>
        </w:tc>
      </w:tr>
      <w:tr w:rsidR="00AD6428" w14:paraId="192DCCAA" w14:textId="77777777" w:rsidTr="00A35614">
        <w:tc>
          <w:tcPr>
            <w:tcW w:w="3116" w:type="dxa"/>
          </w:tcPr>
          <w:p w14:paraId="5903EE40" w14:textId="77777777" w:rsidR="00AD6428" w:rsidRPr="00BA29C0" w:rsidRDefault="00AD6428" w:rsidP="00A35614">
            <w:pPr>
              <w:rPr>
                <w:rFonts w:asciiTheme="majorHAnsi" w:hAnsiTheme="majorHAnsi" w:cs="Times New Roman"/>
                <w:sz w:val="24"/>
                <w:szCs w:val="24"/>
              </w:rPr>
            </w:pPr>
            <w:r w:rsidRPr="00BA29C0">
              <w:rPr>
                <w:rFonts w:asciiTheme="majorHAnsi" w:hAnsiTheme="majorHAnsi" w:cs="Times New Roman"/>
                <w:sz w:val="24"/>
                <w:szCs w:val="24"/>
              </w:rPr>
              <w:t>СЕО</w:t>
            </w:r>
          </w:p>
        </w:tc>
        <w:tc>
          <w:tcPr>
            <w:tcW w:w="3117" w:type="dxa"/>
          </w:tcPr>
          <w:p w14:paraId="06D7F7BA" w14:textId="77777777" w:rsidR="00AD6428" w:rsidRPr="00BA29C0" w:rsidRDefault="00AD6428" w:rsidP="00A35614">
            <w:pPr>
              <w:rPr>
                <w:rFonts w:asciiTheme="majorHAnsi" w:hAnsiTheme="majorHAnsi" w:cs="Times New Roman"/>
                <w:sz w:val="24"/>
                <w:szCs w:val="24"/>
              </w:rPr>
            </w:pPr>
            <w:r w:rsidRPr="00BA29C0">
              <w:rPr>
                <w:rFonts w:asciiTheme="majorHAnsi" w:hAnsiTheme="majorHAnsi" w:cs="Times New Roman"/>
                <w:sz w:val="24"/>
                <w:szCs w:val="24"/>
              </w:rPr>
              <w:t>Информация от УО</w:t>
            </w:r>
          </w:p>
        </w:tc>
        <w:tc>
          <w:tcPr>
            <w:tcW w:w="3117" w:type="dxa"/>
          </w:tcPr>
          <w:p w14:paraId="26475252" w14:textId="77777777" w:rsidR="00AD6428" w:rsidRPr="00BA29C0" w:rsidRDefault="00AD6428" w:rsidP="00A35614">
            <w:pPr>
              <w:rPr>
                <w:rFonts w:asciiTheme="majorHAnsi" w:hAnsiTheme="majorHAnsi" w:cs="Times New Roman"/>
                <w:sz w:val="24"/>
                <w:szCs w:val="24"/>
              </w:rPr>
            </w:pPr>
            <w:r w:rsidRPr="00BA29C0">
              <w:rPr>
                <w:rFonts w:asciiTheme="majorHAnsi" w:hAnsiTheme="majorHAnsi" w:cs="Times New Roman"/>
                <w:sz w:val="24"/>
                <w:szCs w:val="24"/>
              </w:rPr>
              <w:t>По данни от УО</w:t>
            </w:r>
          </w:p>
        </w:tc>
      </w:tr>
      <w:tr w:rsidR="00AD6428" w14:paraId="619CEBC8" w14:textId="77777777" w:rsidTr="00A35614">
        <w:tc>
          <w:tcPr>
            <w:tcW w:w="3116" w:type="dxa"/>
          </w:tcPr>
          <w:p w14:paraId="0D114411" w14:textId="77777777" w:rsidR="00AD6428" w:rsidRPr="00BA29C0" w:rsidRDefault="00AD6428" w:rsidP="00A35614">
            <w:pPr>
              <w:rPr>
                <w:rFonts w:asciiTheme="majorHAnsi" w:hAnsiTheme="majorHAnsi" w:cs="Times New Roman"/>
                <w:sz w:val="24"/>
                <w:szCs w:val="24"/>
              </w:rPr>
            </w:pPr>
            <w:r w:rsidRPr="00BA29C0">
              <w:rPr>
                <w:rFonts w:asciiTheme="majorHAnsi" w:hAnsiTheme="majorHAnsi" w:cs="Times New Roman"/>
                <w:sz w:val="24"/>
                <w:szCs w:val="24"/>
              </w:rPr>
              <w:t>Първа междинна оценка и план за оценка</w:t>
            </w:r>
          </w:p>
        </w:tc>
        <w:tc>
          <w:tcPr>
            <w:tcW w:w="3117" w:type="dxa"/>
          </w:tcPr>
          <w:p w14:paraId="6A6CFD64" w14:textId="77777777" w:rsidR="00AD6428" w:rsidRPr="00BA29C0" w:rsidRDefault="00AD6428" w:rsidP="00A35614">
            <w:pPr>
              <w:rPr>
                <w:rFonts w:asciiTheme="majorHAnsi" w:hAnsiTheme="majorHAnsi" w:cs="Times New Roman"/>
                <w:sz w:val="24"/>
                <w:szCs w:val="24"/>
              </w:rPr>
            </w:pPr>
            <w:r w:rsidRPr="00BA29C0">
              <w:rPr>
                <w:rFonts w:asciiTheme="majorHAnsi" w:hAnsiTheme="majorHAnsi" w:cs="Times New Roman"/>
                <w:sz w:val="24"/>
                <w:szCs w:val="24"/>
              </w:rPr>
              <w:t xml:space="preserve">195 583 лв. </w:t>
            </w:r>
          </w:p>
        </w:tc>
        <w:tc>
          <w:tcPr>
            <w:tcW w:w="3117" w:type="dxa"/>
          </w:tcPr>
          <w:p w14:paraId="7241CE86" w14:textId="77777777" w:rsidR="00AD6428" w:rsidRPr="00BA29C0" w:rsidRDefault="00AD6428" w:rsidP="00A35614">
            <w:pPr>
              <w:rPr>
                <w:rFonts w:asciiTheme="majorHAnsi" w:hAnsiTheme="majorHAnsi" w:cs="Times New Roman"/>
                <w:sz w:val="24"/>
                <w:szCs w:val="24"/>
              </w:rPr>
            </w:pPr>
            <w:r w:rsidRPr="00BA29C0">
              <w:rPr>
                <w:rFonts w:asciiTheme="majorHAnsi" w:hAnsiTheme="majorHAnsi" w:cs="Times New Roman"/>
                <w:sz w:val="24"/>
                <w:szCs w:val="24"/>
              </w:rPr>
              <w:t xml:space="preserve">Възложена през декември 2018 г. </w:t>
            </w:r>
          </w:p>
        </w:tc>
      </w:tr>
      <w:tr w:rsidR="00AD6428" w14:paraId="440767D6" w14:textId="77777777" w:rsidTr="00A35614">
        <w:tc>
          <w:tcPr>
            <w:tcW w:w="3116" w:type="dxa"/>
          </w:tcPr>
          <w:p w14:paraId="5C0E304C" w14:textId="77777777" w:rsidR="00AD6428" w:rsidRPr="00BA29C0" w:rsidRDefault="00AD6428" w:rsidP="00A35614">
            <w:pPr>
              <w:rPr>
                <w:rFonts w:asciiTheme="majorHAnsi" w:hAnsiTheme="majorHAnsi" w:cs="Times New Roman"/>
                <w:sz w:val="24"/>
                <w:szCs w:val="24"/>
              </w:rPr>
            </w:pPr>
            <w:r w:rsidRPr="00BA29C0">
              <w:rPr>
                <w:rFonts w:asciiTheme="majorHAnsi" w:hAnsiTheme="majorHAnsi" w:cs="Times New Roman"/>
                <w:sz w:val="24"/>
                <w:szCs w:val="24"/>
              </w:rPr>
              <w:t>Втора междинна оценка</w:t>
            </w:r>
          </w:p>
        </w:tc>
        <w:tc>
          <w:tcPr>
            <w:tcW w:w="3117" w:type="dxa"/>
          </w:tcPr>
          <w:p w14:paraId="275FA8E1" w14:textId="77777777" w:rsidR="00AD6428" w:rsidRPr="00BA29C0" w:rsidRDefault="00AD6428" w:rsidP="00A35614">
            <w:pPr>
              <w:rPr>
                <w:rFonts w:asciiTheme="majorHAnsi" w:hAnsiTheme="majorHAnsi" w:cs="Times New Roman"/>
                <w:sz w:val="24"/>
                <w:szCs w:val="24"/>
              </w:rPr>
            </w:pPr>
            <w:r w:rsidRPr="00BA29C0">
              <w:rPr>
                <w:rFonts w:asciiTheme="majorHAnsi" w:hAnsiTheme="majorHAnsi" w:cs="Times New Roman"/>
                <w:sz w:val="24"/>
                <w:szCs w:val="24"/>
              </w:rPr>
              <w:t>195 583 лв.</w:t>
            </w:r>
          </w:p>
        </w:tc>
        <w:tc>
          <w:tcPr>
            <w:tcW w:w="3117" w:type="dxa"/>
          </w:tcPr>
          <w:p w14:paraId="1BDE8E57" w14:textId="77777777" w:rsidR="00AD6428" w:rsidRPr="00BA29C0" w:rsidRDefault="00AD6428" w:rsidP="00A35614">
            <w:pPr>
              <w:rPr>
                <w:rFonts w:asciiTheme="majorHAnsi" w:hAnsiTheme="majorHAnsi" w:cs="Times New Roman"/>
                <w:sz w:val="24"/>
                <w:szCs w:val="24"/>
              </w:rPr>
            </w:pPr>
            <w:r w:rsidRPr="00BA29C0">
              <w:rPr>
                <w:rFonts w:asciiTheme="majorHAnsi" w:hAnsiTheme="majorHAnsi" w:cs="Times New Roman"/>
                <w:sz w:val="24"/>
                <w:szCs w:val="24"/>
              </w:rPr>
              <w:t>Стартиране на процедура за възлагане на ОП през август 2020</w:t>
            </w:r>
          </w:p>
        </w:tc>
      </w:tr>
    </w:tbl>
    <w:p w14:paraId="132B8895" w14:textId="1727BAAF" w:rsidR="00AD696D" w:rsidRPr="00A06340" w:rsidRDefault="00AD696D" w:rsidP="00A06340">
      <w:pPr>
        <w:spacing w:after="0"/>
        <w:ind w:firstLine="567"/>
        <w:jc w:val="both"/>
        <w:rPr>
          <w:rFonts w:asciiTheme="majorHAnsi" w:hAnsiTheme="majorHAnsi" w:cs="Times New Roman"/>
          <w:sz w:val="24"/>
          <w:szCs w:val="24"/>
        </w:rPr>
      </w:pPr>
    </w:p>
    <w:sectPr w:rsidR="00AD696D" w:rsidRPr="00A0634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7B651" w14:textId="77777777" w:rsidR="003A5E71" w:rsidRDefault="003A5E71" w:rsidP="00F94B1B">
      <w:pPr>
        <w:spacing w:after="0" w:line="240" w:lineRule="auto"/>
      </w:pPr>
      <w:r>
        <w:separator/>
      </w:r>
    </w:p>
  </w:endnote>
  <w:endnote w:type="continuationSeparator" w:id="0">
    <w:p w14:paraId="65BF68A7" w14:textId="77777777" w:rsidR="003A5E71" w:rsidRDefault="003A5E71" w:rsidP="00F94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2BD4A" w14:textId="77777777" w:rsidR="00624AC8" w:rsidRDefault="00624A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7246885"/>
      <w:docPartObj>
        <w:docPartGallery w:val="Page Numbers (Bottom of Page)"/>
        <w:docPartUnique/>
      </w:docPartObj>
    </w:sdtPr>
    <w:sdtEndPr/>
    <w:sdtContent>
      <w:p w14:paraId="12193DC7" w14:textId="06143B33" w:rsidR="00624AC8" w:rsidRDefault="00624AC8">
        <w:pPr>
          <w:pStyle w:val="Footer"/>
          <w:jc w:val="right"/>
        </w:pPr>
        <w:r>
          <w:fldChar w:fldCharType="begin"/>
        </w:r>
        <w:r>
          <w:instrText>PAGE   \* MERGEFORMAT</w:instrText>
        </w:r>
        <w:r>
          <w:fldChar w:fldCharType="separate"/>
        </w:r>
        <w:r w:rsidR="000B0CF9">
          <w:rPr>
            <w:noProof/>
          </w:rPr>
          <w:t>2</w:t>
        </w:r>
        <w:r>
          <w:fldChar w:fldCharType="end"/>
        </w:r>
      </w:p>
    </w:sdtContent>
  </w:sdt>
  <w:p w14:paraId="6D63C29F" w14:textId="77777777" w:rsidR="00624AC8" w:rsidRDefault="00624A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CECBA" w14:textId="77777777" w:rsidR="00624AC8" w:rsidRDefault="00624A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1C5B88" w14:textId="77777777" w:rsidR="003A5E71" w:rsidRDefault="003A5E71" w:rsidP="00F94B1B">
      <w:pPr>
        <w:spacing w:after="0" w:line="240" w:lineRule="auto"/>
      </w:pPr>
      <w:r>
        <w:separator/>
      </w:r>
    </w:p>
  </w:footnote>
  <w:footnote w:type="continuationSeparator" w:id="0">
    <w:p w14:paraId="32C3F1DD" w14:textId="77777777" w:rsidR="003A5E71" w:rsidRDefault="003A5E71" w:rsidP="00F94B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67617" w14:textId="77777777" w:rsidR="00624AC8" w:rsidRDefault="00624A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01065" w14:textId="77777777" w:rsidR="00624AC8" w:rsidRDefault="00624AC8">
    <w:pPr>
      <w:pStyle w:val="Header"/>
    </w:pPr>
  </w:p>
  <w:p w14:paraId="7111C9C1" w14:textId="77777777" w:rsidR="00624AC8" w:rsidRDefault="00624AC8" w:rsidP="00F94B1B">
    <w:pPr>
      <w:pStyle w:val="Header"/>
      <w:ind w:hanging="567"/>
    </w:pPr>
    <w:r>
      <w:rPr>
        <w:noProof/>
        <w:lang w:val="en-US"/>
      </w:rPr>
      <w:drawing>
        <wp:inline distT="0" distB="0" distL="0" distR="0" wp14:anchorId="0C0A730E" wp14:editId="07EC9B35">
          <wp:extent cx="6553200" cy="1578294"/>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8474" cy="1579564"/>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2DA73" w14:textId="77777777" w:rsidR="00624AC8" w:rsidRDefault="00624A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97BB7"/>
    <w:multiLevelType w:val="hybridMultilevel"/>
    <w:tmpl w:val="EF5AD6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EB26E9E"/>
    <w:multiLevelType w:val="hybridMultilevel"/>
    <w:tmpl w:val="FE7C89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EF45F60"/>
    <w:multiLevelType w:val="hybridMultilevel"/>
    <w:tmpl w:val="436604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27872466"/>
    <w:multiLevelType w:val="hybridMultilevel"/>
    <w:tmpl w:val="FD10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C5028A"/>
    <w:multiLevelType w:val="hybridMultilevel"/>
    <w:tmpl w:val="BCB85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04197B"/>
    <w:multiLevelType w:val="hybridMultilevel"/>
    <w:tmpl w:val="02B2D13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
    <w:nsid w:val="61567C48"/>
    <w:multiLevelType w:val="hybridMultilevel"/>
    <w:tmpl w:val="F81E2A0C"/>
    <w:lvl w:ilvl="0" w:tplc="04020001">
      <w:start w:val="1"/>
      <w:numFmt w:val="bullet"/>
      <w:lvlText w:val=""/>
      <w:lvlJc w:val="left"/>
      <w:pPr>
        <w:ind w:left="1287" w:hanging="360"/>
      </w:pPr>
      <w:rPr>
        <w:rFonts w:ascii="Symbol" w:hAnsi="Symbol" w:hint="default"/>
      </w:rPr>
    </w:lvl>
    <w:lvl w:ilvl="1" w:tplc="1E3EB180">
      <w:numFmt w:val="bullet"/>
      <w:lvlText w:val="•"/>
      <w:lvlJc w:val="left"/>
      <w:pPr>
        <w:ind w:left="2442" w:hanging="795"/>
      </w:pPr>
      <w:rPr>
        <w:rFonts w:ascii="Times New Roman" w:eastAsiaTheme="minorHAnsi" w:hAnsi="Times New Roman" w:cs="Times New Roman"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7">
    <w:nsid w:val="64294711"/>
    <w:multiLevelType w:val="hybridMultilevel"/>
    <w:tmpl w:val="1DB06036"/>
    <w:lvl w:ilvl="0" w:tplc="04090001">
      <w:start w:val="1"/>
      <w:numFmt w:val="bullet"/>
      <w:lvlText w:val=""/>
      <w:lvlJc w:val="left"/>
      <w:pPr>
        <w:ind w:left="1287" w:hanging="360"/>
      </w:pPr>
      <w:rPr>
        <w:rFonts w:ascii="Symbol" w:hAnsi="Symbol"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nsid w:val="7CF51234"/>
    <w:multiLevelType w:val="hybridMultilevel"/>
    <w:tmpl w:val="7B5CEFA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6"/>
  </w:num>
  <w:num w:numId="2">
    <w:abstractNumId w:val="1"/>
  </w:num>
  <w:num w:numId="3">
    <w:abstractNumId w:val="0"/>
  </w:num>
  <w:num w:numId="4">
    <w:abstractNumId w:val="5"/>
  </w:num>
  <w:num w:numId="5">
    <w:abstractNumId w:val="8"/>
  </w:num>
  <w:num w:numId="6">
    <w:abstractNumId w:val="2"/>
  </w:num>
  <w:num w:numId="7">
    <w:abstractNumId w:val="4"/>
  </w:num>
  <w:num w:numId="8">
    <w:abstractNumId w:val="3"/>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837"/>
    <w:rsid w:val="00012221"/>
    <w:rsid w:val="00023631"/>
    <w:rsid w:val="00026A5E"/>
    <w:rsid w:val="00043C70"/>
    <w:rsid w:val="0005450C"/>
    <w:rsid w:val="0005627E"/>
    <w:rsid w:val="00065837"/>
    <w:rsid w:val="00076AF5"/>
    <w:rsid w:val="00084812"/>
    <w:rsid w:val="0008605C"/>
    <w:rsid w:val="000B0CF9"/>
    <w:rsid w:val="000B7488"/>
    <w:rsid w:val="000C3717"/>
    <w:rsid w:val="000D564F"/>
    <w:rsid w:val="000E6FD7"/>
    <w:rsid w:val="00103B84"/>
    <w:rsid w:val="00104791"/>
    <w:rsid w:val="001072E4"/>
    <w:rsid w:val="00113564"/>
    <w:rsid w:val="00113CBE"/>
    <w:rsid w:val="00114BB2"/>
    <w:rsid w:val="001301AD"/>
    <w:rsid w:val="00142EF5"/>
    <w:rsid w:val="001462A7"/>
    <w:rsid w:val="00157451"/>
    <w:rsid w:val="001724C0"/>
    <w:rsid w:val="0017594A"/>
    <w:rsid w:val="00183E47"/>
    <w:rsid w:val="001856EB"/>
    <w:rsid w:val="001932E6"/>
    <w:rsid w:val="00194F10"/>
    <w:rsid w:val="00196C35"/>
    <w:rsid w:val="001A304F"/>
    <w:rsid w:val="001A6F72"/>
    <w:rsid w:val="001B0A0E"/>
    <w:rsid w:val="001B0C6C"/>
    <w:rsid w:val="001B3542"/>
    <w:rsid w:val="001B4146"/>
    <w:rsid w:val="001B5C02"/>
    <w:rsid w:val="001C053E"/>
    <w:rsid w:val="001C6D67"/>
    <w:rsid w:val="001C6DCD"/>
    <w:rsid w:val="001C6E4D"/>
    <w:rsid w:val="001E2D25"/>
    <w:rsid w:val="001E46D9"/>
    <w:rsid w:val="001F07F9"/>
    <w:rsid w:val="001F2399"/>
    <w:rsid w:val="001F413E"/>
    <w:rsid w:val="001F5164"/>
    <w:rsid w:val="001F595A"/>
    <w:rsid w:val="001F6067"/>
    <w:rsid w:val="00211BE4"/>
    <w:rsid w:val="002320A0"/>
    <w:rsid w:val="00234EAD"/>
    <w:rsid w:val="00251F98"/>
    <w:rsid w:val="00256EB7"/>
    <w:rsid w:val="00273C13"/>
    <w:rsid w:val="00275968"/>
    <w:rsid w:val="0028697D"/>
    <w:rsid w:val="00293397"/>
    <w:rsid w:val="0029649C"/>
    <w:rsid w:val="00297DA6"/>
    <w:rsid w:val="002A0B59"/>
    <w:rsid w:val="002B1BE0"/>
    <w:rsid w:val="002C0D21"/>
    <w:rsid w:val="002D00A0"/>
    <w:rsid w:val="002E02F8"/>
    <w:rsid w:val="002F0528"/>
    <w:rsid w:val="002F2CEC"/>
    <w:rsid w:val="002F5F74"/>
    <w:rsid w:val="003034D1"/>
    <w:rsid w:val="00311C15"/>
    <w:rsid w:val="0031227C"/>
    <w:rsid w:val="00312515"/>
    <w:rsid w:val="0031456D"/>
    <w:rsid w:val="00323574"/>
    <w:rsid w:val="003345B4"/>
    <w:rsid w:val="003429C4"/>
    <w:rsid w:val="00350674"/>
    <w:rsid w:val="0035205B"/>
    <w:rsid w:val="003670B2"/>
    <w:rsid w:val="00392B3D"/>
    <w:rsid w:val="003A5E71"/>
    <w:rsid w:val="003B586D"/>
    <w:rsid w:val="003C222E"/>
    <w:rsid w:val="003E4F3E"/>
    <w:rsid w:val="00401103"/>
    <w:rsid w:val="00411DDC"/>
    <w:rsid w:val="004205BB"/>
    <w:rsid w:val="00425B65"/>
    <w:rsid w:val="00426735"/>
    <w:rsid w:val="00467A1B"/>
    <w:rsid w:val="00470159"/>
    <w:rsid w:val="004770D6"/>
    <w:rsid w:val="00480760"/>
    <w:rsid w:val="00482A82"/>
    <w:rsid w:val="00482C06"/>
    <w:rsid w:val="004838F4"/>
    <w:rsid w:val="00486709"/>
    <w:rsid w:val="004A110C"/>
    <w:rsid w:val="004A31F2"/>
    <w:rsid w:val="004C206E"/>
    <w:rsid w:val="004C3201"/>
    <w:rsid w:val="004D0069"/>
    <w:rsid w:val="004D706C"/>
    <w:rsid w:val="004E44CA"/>
    <w:rsid w:val="004E5F13"/>
    <w:rsid w:val="005050F2"/>
    <w:rsid w:val="005117B7"/>
    <w:rsid w:val="00524386"/>
    <w:rsid w:val="00526173"/>
    <w:rsid w:val="0053134D"/>
    <w:rsid w:val="00543CDF"/>
    <w:rsid w:val="00584076"/>
    <w:rsid w:val="00584558"/>
    <w:rsid w:val="00585B9E"/>
    <w:rsid w:val="00587391"/>
    <w:rsid w:val="00596979"/>
    <w:rsid w:val="005E0D55"/>
    <w:rsid w:val="005E56BA"/>
    <w:rsid w:val="005E608C"/>
    <w:rsid w:val="00600C7D"/>
    <w:rsid w:val="00601C65"/>
    <w:rsid w:val="0060252B"/>
    <w:rsid w:val="0060747D"/>
    <w:rsid w:val="00610026"/>
    <w:rsid w:val="00623C23"/>
    <w:rsid w:val="00623CE8"/>
    <w:rsid w:val="00624AC8"/>
    <w:rsid w:val="00633A02"/>
    <w:rsid w:val="00647EA3"/>
    <w:rsid w:val="00665802"/>
    <w:rsid w:val="00666A25"/>
    <w:rsid w:val="00666B35"/>
    <w:rsid w:val="00671E43"/>
    <w:rsid w:val="006854B1"/>
    <w:rsid w:val="006A22E2"/>
    <w:rsid w:val="007028C5"/>
    <w:rsid w:val="00710A98"/>
    <w:rsid w:val="007111BE"/>
    <w:rsid w:val="00711C36"/>
    <w:rsid w:val="00717710"/>
    <w:rsid w:val="00723143"/>
    <w:rsid w:val="007664CC"/>
    <w:rsid w:val="007718B6"/>
    <w:rsid w:val="00773FB8"/>
    <w:rsid w:val="007749BF"/>
    <w:rsid w:val="00782BB8"/>
    <w:rsid w:val="007955F2"/>
    <w:rsid w:val="00796159"/>
    <w:rsid w:val="007A0310"/>
    <w:rsid w:val="007B3830"/>
    <w:rsid w:val="007C3503"/>
    <w:rsid w:val="007C4516"/>
    <w:rsid w:val="007C4E60"/>
    <w:rsid w:val="007D45C4"/>
    <w:rsid w:val="007D57BD"/>
    <w:rsid w:val="00825F22"/>
    <w:rsid w:val="00831BCA"/>
    <w:rsid w:val="00851C4E"/>
    <w:rsid w:val="008534AD"/>
    <w:rsid w:val="0085687C"/>
    <w:rsid w:val="00863DB4"/>
    <w:rsid w:val="00865BE1"/>
    <w:rsid w:val="00872ED1"/>
    <w:rsid w:val="0087411D"/>
    <w:rsid w:val="00876221"/>
    <w:rsid w:val="008A504F"/>
    <w:rsid w:val="008B6ABB"/>
    <w:rsid w:val="008C12D3"/>
    <w:rsid w:val="008C1823"/>
    <w:rsid w:val="008C5331"/>
    <w:rsid w:val="008E5896"/>
    <w:rsid w:val="008F14D2"/>
    <w:rsid w:val="008F7380"/>
    <w:rsid w:val="0090162A"/>
    <w:rsid w:val="00901EB8"/>
    <w:rsid w:val="00905C12"/>
    <w:rsid w:val="009121C2"/>
    <w:rsid w:val="009151BE"/>
    <w:rsid w:val="009204ED"/>
    <w:rsid w:val="00932665"/>
    <w:rsid w:val="00936C8E"/>
    <w:rsid w:val="0097587A"/>
    <w:rsid w:val="00985A5A"/>
    <w:rsid w:val="00987BC0"/>
    <w:rsid w:val="00995F4D"/>
    <w:rsid w:val="00996367"/>
    <w:rsid w:val="009A1862"/>
    <w:rsid w:val="009C37F6"/>
    <w:rsid w:val="009D39EC"/>
    <w:rsid w:val="009E219B"/>
    <w:rsid w:val="009E2740"/>
    <w:rsid w:val="009E6995"/>
    <w:rsid w:val="009E6FB7"/>
    <w:rsid w:val="009F5A5C"/>
    <w:rsid w:val="009F61BA"/>
    <w:rsid w:val="00A000C7"/>
    <w:rsid w:val="00A02EA4"/>
    <w:rsid w:val="00A04FC8"/>
    <w:rsid w:val="00A06340"/>
    <w:rsid w:val="00A158EA"/>
    <w:rsid w:val="00A22238"/>
    <w:rsid w:val="00A22C97"/>
    <w:rsid w:val="00A24A24"/>
    <w:rsid w:val="00A35614"/>
    <w:rsid w:val="00A45124"/>
    <w:rsid w:val="00A55B0A"/>
    <w:rsid w:val="00A578BC"/>
    <w:rsid w:val="00A61F63"/>
    <w:rsid w:val="00A637FC"/>
    <w:rsid w:val="00A714CD"/>
    <w:rsid w:val="00A72FE9"/>
    <w:rsid w:val="00A73879"/>
    <w:rsid w:val="00A76901"/>
    <w:rsid w:val="00A801C7"/>
    <w:rsid w:val="00A9476C"/>
    <w:rsid w:val="00A97255"/>
    <w:rsid w:val="00AA4233"/>
    <w:rsid w:val="00AD1687"/>
    <w:rsid w:val="00AD6428"/>
    <w:rsid w:val="00AD696D"/>
    <w:rsid w:val="00AF6ABA"/>
    <w:rsid w:val="00B05AA2"/>
    <w:rsid w:val="00B17776"/>
    <w:rsid w:val="00B24B60"/>
    <w:rsid w:val="00B52A7B"/>
    <w:rsid w:val="00B52D87"/>
    <w:rsid w:val="00B823AA"/>
    <w:rsid w:val="00BA0028"/>
    <w:rsid w:val="00BA1847"/>
    <w:rsid w:val="00BA29C0"/>
    <w:rsid w:val="00BA43AB"/>
    <w:rsid w:val="00BA4FB7"/>
    <w:rsid w:val="00BA6CF3"/>
    <w:rsid w:val="00BB299E"/>
    <w:rsid w:val="00BE7EBE"/>
    <w:rsid w:val="00C00A18"/>
    <w:rsid w:val="00C11753"/>
    <w:rsid w:val="00C23E81"/>
    <w:rsid w:val="00C255C7"/>
    <w:rsid w:val="00C27F43"/>
    <w:rsid w:val="00C36CB5"/>
    <w:rsid w:val="00C370AD"/>
    <w:rsid w:val="00C53E60"/>
    <w:rsid w:val="00C610CC"/>
    <w:rsid w:val="00C75D4E"/>
    <w:rsid w:val="00C8125A"/>
    <w:rsid w:val="00C96275"/>
    <w:rsid w:val="00CA2BB1"/>
    <w:rsid w:val="00CB2E81"/>
    <w:rsid w:val="00CC015B"/>
    <w:rsid w:val="00CD04D1"/>
    <w:rsid w:val="00CD6BC8"/>
    <w:rsid w:val="00CE3AE0"/>
    <w:rsid w:val="00CF0A53"/>
    <w:rsid w:val="00CF0C05"/>
    <w:rsid w:val="00CF3EA2"/>
    <w:rsid w:val="00CF4A05"/>
    <w:rsid w:val="00D12BDB"/>
    <w:rsid w:val="00D14869"/>
    <w:rsid w:val="00D15EE7"/>
    <w:rsid w:val="00D20D8B"/>
    <w:rsid w:val="00D45094"/>
    <w:rsid w:val="00D456F5"/>
    <w:rsid w:val="00D80546"/>
    <w:rsid w:val="00D82D70"/>
    <w:rsid w:val="00D83956"/>
    <w:rsid w:val="00D9226D"/>
    <w:rsid w:val="00D947DF"/>
    <w:rsid w:val="00D96AE4"/>
    <w:rsid w:val="00DA1CEF"/>
    <w:rsid w:val="00DB0ED7"/>
    <w:rsid w:val="00DC39C2"/>
    <w:rsid w:val="00DC4F56"/>
    <w:rsid w:val="00DE249C"/>
    <w:rsid w:val="00DF173E"/>
    <w:rsid w:val="00E04956"/>
    <w:rsid w:val="00E05F79"/>
    <w:rsid w:val="00E14786"/>
    <w:rsid w:val="00E25231"/>
    <w:rsid w:val="00E308CC"/>
    <w:rsid w:val="00E40A6E"/>
    <w:rsid w:val="00E440D5"/>
    <w:rsid w:val="00E57BE7"/>
    <w:rsid w:val="00E57C15"/>
    <w:rsid w:val="00E62A35"/>
    <w:rsid w:val="00E67919"/>
    <w:rsid w:val="00E67CEC"/>
    <w:rsid w:val="00E7000A"/>
    <w:rsid w:val="00E7126E"/>
    <w:rsid w:val="00E76B4C"/>
    <w:rsid w:val="00E7748C"/>
    <w:rsid w:val="00E77948"/>
    <w:rsid w:val="00E86593"/>
    <w:rsid w:val="00E87BFE"/>
    <w:rsid w:val="00E95F2E"/>
    <w:rsid w:val="00E9786D"/>
    <w:rsid w:val="00EA32D1"/>
    <w:rsid w:val="00EB0FE8"/>
    <w:rsid w:val="00EB214B"/>
    <w:rsid w:val="00EB2B89"/>
    <w:rsid w:val="00EB44E1"/>
    <w:rsid w:val="00EC0CAB"/>
    <w:rsid w:val="00EC2D93"/>
    <w:rsid w:val="00EC466B"/>
    <w:rsid w:val="00EC4979"/>
    <w:rsid w:val="00ED2BB3"/>
    <w:rsid w:val="00ED6721"/>
    <w:rsid w:val="00EE11B5"/>
    <w:rsid w:val="00EE2282"/>
    <w:rsid w:val="00EF1AA6"/>
    <w:rsid w:val="00EF6338"/>
    <w:rsid w:val="00F02B94"/>
    <w:rsid w:val="00F07152"/>
    <w:rsid w:val="00F2462E"/>
    <w:rsid w:val="00F30B8F"/>
    <w:rsid w:val="00F42480"/>
    <w:rsid w:val="00F5025C"/>
    <w:rsid w:val="00F52F9D"/>
    <w:rsid w:val="00F574AA"/>
    <w:rsid w:val="00F57EDF"/>
    <w:rsid w:val="00F62E33"/>
    <w:rsid w:val="00F66C75"/>
    <w:rsid w:val="00F90183"/>
    <w:rsid w:val="00F91B5D"/>
    <w:rsid w:val="00F94B1B"/>
    <w:rsid w:val="00FA1584"/>
    <w:rsid w:val="00FA3C63"/>
    <w:rsid w:val="00FA7128"/>
    <w:rsid w:val="00FC1E5F"/>
    <w:rsid w:val="00FC796C"/>
    <w:rsid w:val="00FD4E5B"/>
    <w:rsid w:val="00FE48F1"/>
    <w:rsid w:val="00FE6E3B"/>
    <w:rsid w:val="00FF2253"/>
    <w:rsid w:val="00FF43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3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B59"/>
  </w:style>
  <w:style w:type="paragraph" w:styleId="Heading1">
    <w:name w:val="heading 1"/>
    <w:basedOn w:val="Normal"/>
    <w:next w:val="Normal"/>
    <w:link w:val="Heading1Char"/>
    <w:uiPriority w:val="9"/>
    <w:qFormat/>
    <w:rsid w:val="002E02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D696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Списък на абзаци"/>
    <w:basedOn w:val="Normal"/>
    <w:link w:val="ListParagraphChar"/>
    <w:uiPriority w:val="99"/>
    <w:qFormat/>
    <w:rsid w:val="00710A98"/>
    <w:pPr>
      <w:ind w:left="720"/>
      <w:contextualSpacing/>
    </w:pPr>
  </w:style>
  <w:style w:type="paragraph" w:styleId="BalloonText">
    <w:name w:val="Balloon Text"/>
    <w:basedOn w:val="Normal"/>
    <w:link w:val="BalloonTextChar"/>
    <w:uiPriority w:val="99"/>
    <w:semiHidden/>
    <w:unhideWhenUsed/>
    <w:rsid w:val="00F94B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B1B"/>
    <w:rPr>
      <w:rFonts w:ascii="Tahoma" w:hAnsi="Tahoma" w:cs="Tahoma"/>
      <w:sz w:val="16"/>
      <w:szCs w:val="16"/>
    </w:rPr>
  </w:style>
  <w:style w:type="paragraph" w:styleId="Header">
    <w:name w:val="header"/>
    <w:basedOn w:val="Normal"/>
    <w:link w:val="HeaderChar"/>
    <w:uiPriority w:val="99"/>
    <w:unhideWhenUsed/>
    <w:rsid w:val="00F94B1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94B1B"/>
  </w:style>
  <w:style w:type="paragraph" w:styleId="Footer">
    <w:name w:val="footer"/>
    <w:basedOn w:val="Normal"/>
    <w:link w:val="FooterChar"/>
    <w:uiPriority w:val="99"/>
    <w:unhideWhenUsed/>
    <w:rsid w:val="00F94B1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94B1B"/>
  </w:style>
  <w:style w:type="table" w:styleId="TableGrid">
    <w:name w:val="Table Grid"/>
    <w:basedOn w:val="TableNormal"/>
    <w:uiPriority w:val="39"/>
    <w:rsid w:val="00F94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932E6"/>
    <w:rPr>
      <w:sz w:val="16"/>
      <w:szCs w:val="16"/>
    </w:rPr>
  </w:style>
  <w:style w:type="paragraph" w:styleId="CommentText">
    <w:name w:val="annotation text"/>
    <w:basedOn w:val="Normal"/>
    <w:link w:val="CommentTextChar"/>
    <w:uiPriority w:val="99"/>
    <w:semiHidden/>
    <w:unhideWhenUsed/>
    <w:rsid w:val="001932E6"/>
    <w:pPr>
      <w:spacing w:line="240" w:lineRule="auto"/>
    </w:pPr>
    <w:rPr>
      <w:sz w:val="20"/>
      <w:szCs w:val="20"/>
    </w:rPr>
  </w:style>
  <w:style w:type="character" w:customStyle="1" w:styleId="CommentTextChar">
    <w:name w:val="Comment Text Char"/>
    <w:basedOn w:val="DefaultParagraphFont"/>
    <w:link w:val="CommentText"/>
    <w:uiPriority w:val="99"/>
    <w:semiHidden/>
    <w:rsid w:val="001932E6"/>
    <w:rPr>
      <w:sz w:val="20"/>
      <w:szCs w:val="20"/>
    </w:rPr>
  </w:style>
  <w:style w:type="character" w:customStyle="1" w:styleId="tlid-translation">
    <w:name w:val="tlid-translation"/>
    <w:basedOn w:val="DefaultParagraphFont"/>
    <w:rsid w:val="00023631"/>
  </w:style>
  <w:style w:type="paragraph" w:styleId="CommentSubject">
    <w:name w:val="annotation subject"/>
    <w:basedOn w:val="CommentText"/>
    <w:next w:val="CommentText"/>
    <w:link w:val="CommentSubjectChar"/>
    <w:uiPriority w:val="99"/>
    <w:semiHidden/>
    <w:unhideWhenUsed/>
    <w:rsid w:val="001E2D25"/>
    <w:rPr>
      <w:b/>
      <w:bCs/>
    </w:rPr>
  </w:style>
  <w:style w:type="character" w:customStyle="1" w:styleId="CommentSubjectChar">
    <w:name w:val="Comment Subject Char"/>
    <w:basedOn w:val="CommentTextChar"/>
    <w:link w:val="CommentSubject"/>
    <w:uiPriority w:val="99"/>
    <w:semiHidden/>
    <w:rsid w:val="001E2D25"/>
    <w:rPr>
      <w:b/>
      <w:bCs/>
      <w:sz w:val="20"/>
      <w:szCs w:val="20"/>
    </w:rPr>
  </w:style>
  <w:style w:type="paragraph" w:styleId="HTMLPreformatted">
    <w:name w:val="HTML Preformatted"/>
    <w:basedOn w:val="Normal"/>
    <w:link w:val="HTMLPreformattedChar"/>
    <w:uiPriority w:val="99"/>
    <w:unhideWhenUsed/>
    <w:rsid w:val="00425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rsid w:val="00425B65"/>
    <w:rPr>
      <w:rFonts w:ascii="Courier New" w:eastAsia="Times New Roman" w:hAnsi="Courier New" w:cs="Courier New"/>
      <w:sz w:val="20"/>
      <w:szCs w:val="20"/>
      <w:lang w:eastAsia="bg-BG"/>
    </w:rPr>
  </w:style>
  <w:style w:type="character" w:styleId="Emphasis">
    <w:name w:val="Emphasis"/>
    <w:basedOn w:val="DefaultParagraphFont"/>
    <w:uiPriority w:val="20"/>
    <w:qFormat/>
    <w:rsid w:val="001F2399"/>
    <w:rPr>
      <w:i/>
      <w:iCs/>
    </w:rPr>
  </w:style>
  <w:style w:type="paragraph" w:customStyle="1" w:styleId="Default">
    <w:name w:val="Default"/>
    <w:rsid w:val="00A24A24"/>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2E02F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2E02F8"/>
    <w:pPr>
      <w:outlineLvl w:val="9"/>
    </w:pPr>
    <w:rPr>
      <w:lang w:eastAsia="bg-BG"/>
    </w:rPr>
  </w:style>
  <w:style w:type="character" w:customStyle="1" w:styleId="Heading2Char">
    <w:name w:val="Heading 2 Char"/>
    <w:basedOn w:val="DefaultParagraphFont"/>
    <w:link w:val="Heading2"/>
    <w:uiPriority w:val="9"/>
    <w:semiHidden/>
    <w:rsid w:val="00AD696D"/>
    <w:rPr>
      <w:rFonts w:asciiTheme="majorHAnsi" w:eastAsiaTheme="majorEastAsia" w:hAnsiTheme="majorHAnsi" w:cstheme="majorBidi"/>
      <w:color w:val="365F91" w:themeColor="accent1" w:themeShade="BF"/>
      <w:sz w:val="26"/>
      <w:szCs w:val="26"/>
    </w:rPr>
  </w:style>
  <w:style w:type="paragraph" w:styleId="TOC1">
    <w:name w:val="toc 1"/>
    <w:basedOn w:val="Normal"/>
    <w:next w:val="Normal"/>
    <w:autoRedefine/>
    <w:uiPriority w:val="39"/>
    <w:unhideWhenUsed/>
    <w:rsid w:val="00AD696D"/>
    <w:pPr>
      <w:spacing w:after="100"/>
    </w:pPr>
  </w:style>
  <w:style w:type="paragraph" w:styleId="TOC2">
    <w:name w:val="toc 2"/>
    <w:basedOn w:val="Normal"/>
    <w:next w:val="Normal"/>
    <w:autoRedefine/>
    <w:uiPriority w:val="39"/>
    <w:unhideWhenUsed/>
    <w:rsid w:val="00AD696D"/>
    <w:pPr>
      <w:spacing w:after="100"/>
      <w:ind w:left="220"/>
    </w:pPr>
  </w:style>
  <w:style w:type="character" w:styleId="Hyperlink">
    <w:name w:val="Hyperlink"/>
    <w:basedOn w:val="DefaultParagraphFont"/>
    <w:uiPriority w:val="99"/>
    <w:unhideWhenUsed/>
    <w:rsid w:val="00AD696D"/>
    <w:rPr>
      <w:color w:val="0000FF" w:themeColor="hyperlink"/>
      <w:u w:val="single"/>
    </w:rPr>
  </w:style>
  <w:style w:type="character" w:customStyle="1" w:styleId="ListParagraphChar">
    <w:name w:val="List Paragraph Char"/>
    <w:aliases w:val="List Paragraph1 Char,List1 Char,List Paragraph11 Char,Списък на абзаци Char"/>
    <w:link w:val="ListParagraph"/>
    <w:uiPriority w:val="99"/>
    <w:locked/>
    <w:rsid w:val="00EC2D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B59"/>
  </w:style>
  <w:style w:type="paragraph" w:styleId="Heading1">
    <w:name w:val="heading 1"/>
    <w:basedOn w:val="Normal"/>
    <w:next w:val="Normal"/>
    <w:link w:val="Heading1Char"/>
    <w:uiPriority w:val="9"/>
    <w:qFormat/>
    <w:rsid w:val="002E02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D696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Списък на абзаци"/>
    <w:basedOn w:val="Normal"/>
    <w:link w:val="ListParagraphChar"/>
    <w:uiPriority w:val="99"/>
    <w:qFormat/>
    <w:rsid w:val="00710A98"/>
    <w:pPr>
      <w:ind w:left="720"/>
      <w:contextualSpacing/>
    </w:pPr>
  </w:style>
  <w:style w:type="paragraph" w:styleId="BalloonText">
    <w:name w:val="Balloon Text"/>
    <w:basedOn w:val="Normal"/>
    <w:link w:val="BalloonTextChar"/>
    <w:uiPriority w:val="99"/>
    <w:semiHidden/>
    <w:unhideWhenUsed/>
    <w:rsid w:val="00F94B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B1B"/>
    <w:rPr>
      <w:rFonts w:ascii="Tahoma" w:hAnsi="Tahoma" w:cs="Tahoma"/>
      <w:sz w:val="16"/>
      <w:szCs w:val="16"/>
    </w:rPr>
  </w:style>
  <w:style w:type="paragraph" w:styleId="Header">
    <w:name w:val="header"/>
    <w:basedOn w:val="Normal"/>
    <w:link w:val="HeaderChar"/>
    <w:uiPriority w:val="99"/>
    <w:unhideWhenUsed/>
    <w:rsid w:val="00F94B1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94B1B"/>
  </w:style>
  <w:style w:type="paragraph" w:styleId="Footer">
    <w:name w:val="footer"/>
    <w:basedOn w:val="Normal"/>
    <w:link w:val="FooterChar"/>
    <w:uiPriority w:val="99"/>
    <w:unhideWhenUsed/>
    <w:rsid w:val="00F94B1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94B1B"/>
  </w:style>
  <w:style w:type="table" w:styleId="TableGrid">
    <w:name w:val="Table Grid"/>
    <w:basedOn w:val="TableNormal"/>
    <w:uiPriority w:val="39"/>
    <w:rsid w:val="00F94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932E6"/>
    <w:rPr>
      <w:sz w:val="16"/>
      <w:szCs w:val="16"/>
    </w:rPr>
  </w:style>
  <w:style w:type="paragraph" w:styleId="CommentText">
    <w:name w:val="annotation text"/>
    <w:basedOn w:val="Normal"/>
    <w:link w:val="CommentTextChar"/>
    <w:uiPriority w:val="99"/>
    <w:semiHidden/>
    <w:unhideWhenUsed/>
    <w:rsid w:val="001932E6"/>
    <w:pPr>
      <w:spacing w:line="240" w:lineRule="auto"/>
    </w:pPr>
    <w:rPr>
      <w:sz w:val="20"/>
      <w:szCs w:val="20"/>
    </w:rPr>
  </w:style>
  <w:style w:type="character" w:customStyle="1" w:styleId="CommentTextChar">
    <w:name w:val="Comment Text Char"/>
    <w:basedOn w:val="DefaultParagraphFont"/>
    <w:link w:val="CommentText"/>
    <w:uiPriority w:val="99"/>
    <w:semiHidden/>
    <w:rsid w:val="001932E6"/>
    <w:rPr>
      <w:sz w:val="20"/>
      <w:szCs w:val="20"/>
    </w:rPr>
  </w:style>
  <w:style w:type="character" w:customStyle="1" w:styleId="tlid-translation">
    <w:name w:val="tlid-translation"/>
    <w:basedOn w:val="DefaultParagraphFont"/>
    <w:rsid w:val="00023631"/>
  </w:style>
  <w:style w:type="paragraph" w:styleId="CommentSubject">
    <w:name w:val="annotation subject"/>
    <w:basedOn w:val="CommentText"/>
    <w:next w:val="CommentText"/>
    <w:link w:val="CommentSubjectChar"/>
    <w:uiPriority w:val="99"/>
    <w:semiHidden/>
    <w:unhideWhenUsed/>
    <w:rsid w:val="001E2D25"/>
    <w:rPr>
      <w:b/>
      <w:bCs/>
    </w:rPr>
  </w:style>
  <w:style w:type="character" w:customStyle="1" w:styleId="CommentSubjectChar">
    <w:name w:val="Comment Subject Char"/>
    <w:basedOn w:val="CommentTextChar"/>
    <w:link w:val="CommentSubject"/>
    <w:uiPriority w:val="99"/>
    <w:semiHidden/>
    <w:rsid w:val="001E2D25"/>
    <w:rPr>
      <w:b/>
      <w:bCs/>
      <w:sz w:val="20"/>
      <w:szCs w:val="20"/>
    </w:rPr>
  </w:style>
  <w:style w:type="paragraph" w:styleId="HTMLPreformatted">
    <w:name w:val="HTML Preformatted"/>
    <w:basedOn w:val="Normal"/>
    <w:link w:val="HTMLPreformattedChar"/>
    <w:uiPriority w:val="99"/>
    <w:unhideWhenUsed/>
    <w:rsid w:val="00425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rsid w:val="00425B65"/>
    <w:rPr>
      <w:rFonts w:ascii="Courier New" w:eastAsia="Times New Roman" w:hAnsi="Courier New" w:cs="Courier New"/>
      <w:sz w:val="20"/>
      <w:szCs w:val="20"/>
      <w:lang w:eastAsia="bg-BG"/>
    </w:rPr>
  </w:style>
  <w:style w:type="character" w:styleId="Emphasis">
    <w:name w:val="Emphasis"/>
    <w:basedOn w:val="DefaultParagraphFont"/>
    <w:uiPriority w:val="20"/>
    <w:qFormat/>
    <w:rsid w:val="001F2399"/>
    <w:rPr>
      <w:i/>
      <w:iCs/>
    </w:rPr>
  </w:style>
  <w:style w:type="paragraph" w:customStyle="1" w:styleId="Default">
    <w:name w:val="Default"/>
    <w:rsid w:val="00A24A24"/>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2E02F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2E02F8"/>
    <w:pPr>
      <w:outlineLvl w:val="9"/>
    </w:pPr>
    <w:rPr>
      <w:lang w:eastAsia="bg-BG"/>
    </w:rPr>
  </w:style>
  <w:style w:type="character" w:customStyle="1" w:styleId="Heading2Char">
    <w:name w:val="Heading 2 Char"/>
    <w:basedOn w:val="DefaultParagraphFont"/>
    <w:link w:val="Heading2"/>
    <w:uiPriority w:val="9"/>
    <w:semiHidden/>
    <w:rsid w:val="00AD696D"/>
    <w:rPr>
      <w:rFonts w:asciiTheme="majorHAnsi" w:eastAsiaTheme="majorEastAsia" w:hAnsiTheme="majorHAnsi" w:cstheme="majorBidi"/>
      <w:color w:val="365F91" w:themeColor="accent1" w:themeShade="BF"/>
      <w:sz w:val="26"/>
      <w:szCs w:val="26"/>
    </w:rPr>
  </w:style>
  <w:style w:type="paragraph" w:styleId="TOC1">
    <w:name w:val="toc 1"/>
    <w:basedOn w:val="Normal"/>
    <w:next w:val="Normal"/>
    <w:autoRedefine/>
    <w:uiPriority w:val="39"/>
    <w:unhideWhenUsed/>
    <w:rsid w:val="00AD696D"/>
    <w:pPr>
      <w:spacing w:after="100"/>
    </w:pPr>
  </w:style>
  <w:style w:type="paragraph" w:styleId="TOC2">
    <w:name w:val="toc 2"/>
    <w:basedOn w:val="Normal"/>
    <w:next w:val="Normal"/>
    <w:autoRedefine/>
    <w:uiPriority w:val="39"/>
    <w:unhideWhenUsed/>
    <w:rsid w:val="00AD696D"/>
    <w:pPr>
      <w:spacing w:after="100"/>
      <w:ind w:left="220"/>
    </w:pPr>
  </w:style>
  <w:style w:type="character" w:styleId="Hyperlink">
    <w:name w:val="Hyperlink"/>
    <w:basedOn w:val="DefaultParagraphFont"/>
    <w:uiPriority w:val="99"/>
    <w:unhideWhenUsed/>
    <w:rsid w:val="00AD696D"/>
    <w:rPr>
      <w:color w:val="0000FF" w:themeColor="hyperlink"/>
      <w:u w:val="single"/>
    </w:rPr>
  </w:style>
  <w:style w:type="character" w:customStyle="1" w:styleId="ListParagraphChar">
    <w:name w:val="List Paragraph Char"/>
    <w:aliases w:val="List Paragraph1 Char,List1 Char,List Paragraph11 Char,Списък на абзаци Char"/>
    <w:link w:val="ListParagraph"/>
    <w:uiPriority w:val="99"/>
    <w:locked/>
    <w:rsid w:val="00EC2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8489">
      <w:bodyDiv w:val="1"/>
      <w:marLeft w:val="0"/>
      <w:marRight w:val="0"/>
      <w:marTop w:val="0"/>
      <w:marBottom w:val="0"/>
      <w:divBdr>
        <w:top w:val="none" w:sz="0" w:space="0" w:color="auto"/>
        <w:left w:val="none" w:sz="0" w:space="0" w:color="auto"/>
        <w:bottom w:val="none" w:sz="0" w:space="0" w:color="auto"/>
        <w:right w:val="none" w:sz="0" w:space="0" w:color="auto"/>
      </w:divBdr>
    </w:div>
    <w:div w:id="18705281">
      <w:bodyDiv w:val="1"/>
      <w:marLeft w:val="0"/>
      <w:marRight w:val="0"/>
      <w:marTop w:val="0"/>
      <w:marBottom w:val="0"/>
      <w:divBdr>
        <w:top w:val="none" w:sz="0" w:space="0" w:color="auto"/>
        <w:left w:val="none" w:sz="0" w:space="0" w:color="auto"/>
        <w:bottom w:val="none" w:sz="0" w:space="0" w:color="auto"/>
        <w:right w:val="none" w:sz="0" w:space="0" w:color="auto"/>
      </w:divBdr>
    </w:div>
    <w:div w:id="108355436">
      <w:bodyDiv w:val="1"/>
      <w:marLeft w:val="0"/>
      <w:marRight w:val="0"/>
      <w:marTop w:val="0"/>
      <w:marBottom w:val="0"/>
      <w:divBdr>
        <w:top w:val="none" w:sz="0" w:space="0" w:color="auto"/>
        <w:left w:val="none" w:sz="0" w:space="0" w:color="auto"/>
        <w:bottom w:val="none" w:sz="0" w:space="0" w:color="auto"/>
        <w:right w:val="none" w:sz="0" w:space="0" w:color="auto"/>
      </w:divBdr>
    </w:div>
    <w:div w:id="156769559">
      <w:bodyDiv w:val="1"/>
      <w:marLeft w:val="0"/>
      <w:marRight w:val="0"/>
      <w:marTop w:val="0"/>
      <w:marBottom w:val="0"/>
      <w:divBdr>
        <w:top w:val="none" w:sz="0" w:space="0" w:color="auto"/>
        <w:left w:val="none" w:sz="0" w:space="0" w:color="auto"/>
        <w:bottom w:val="none" w:sz="0" w:space="0" w:color="auto"/>
        <w:right w:val="none" w:sz="0" w:space="0" w:color="auto"/>
      </w:divBdr>
    </w:div>
    <w:div w:id="165243473">
      <w:bodyDiv w:val="1"/>
      <w:marLeft w:val="0"/>
      <w:marRight w:val="0"/>
      <w:marTop w:val="0"/>
      <w:marBottom w:val="0"/>
      <w:divBdr>
        <w:top w:val="none" w:sz="0" w:space="0" w:color="auto"/>
        <w:left w:val="none" w:sz="0" w:space="0" w:color="auto"/>
        <w:bottom w:val="none" w:sz="0" w:space="0" w:color="auto"/>
        <w:right w:val="none" w:sz="0" w:space="0" w:color="auto"/>
      </w:divBdr>
    </w:div>
    <w:div w:id="174614032">
      <w:bodyDiv w:val="1"/>
      <w:marLeft w:val="0"/>
      <w:marRight w:val="0"/>
      <w:marTop w:val="0"/>
      <w:marBottom w:val="0"/>
      <w:divBdr>
        <w:top w:val="none" w:sz="0" w:space="0" w:color="auto"/>
        <w:left w:val="none" w:sz="0" w:space="0" w:color="auto"/>
        <w:bottom w:val="none" w:sz="0" w:space="0" w:color="auto"/>
        <w:right w:val="none" w:sz="0" w:space="0" w:color="auto"/>
      </w:divBdr>
    </w:div>
    <w:div w:id="188570119">
      <w:bodyDiv w:val="1"/>
      <w:marLeft w:val="0"/>
      <w:marRight w:val="0"/>
      <w:marTop w:val="0"/>
      <w:marBottom w:val="0"/>
      <w:divBdr>
        <w:top w:val="none" w:sz="0" w:space="0" w:color="auto"/>
        <w:left w:val="none" w:sz="0" w:space="0" w:color="auto"/>
        <w:bottom w:val="none" w:sz="0" w:space="0" w:color="auto"/>
        <w:right w:val="none" w:sz="0" w:space="0" w:color="auto"/>
      </w:divBdr>
    </w:div>
    <w:div w:id="223176961">
      <w:bodyDiv w:val="1"/>
      <w:marLeft w:val="0"/>
      <w:marRight w:val="0"/>
      <w:marTop w:val="0"/>
      <w:marBottom w:val="0"/>
      <w:divBdr>
        <w:top w:val="none" w:sz="0" w:space="0" w:color="auto"/>
        <w:left w:val="none" w:sz="0" w:space="0" w:color="auto"/>
        <w:bottom w:val="none" w:sz="0" w:space="0" w:color="auto"/>
        <w:right w:val="none" w:sz="0" w:space="0" w:color="auto"/>
      </w:divBdr>
    </w:div>
    <w:div w:id="241645432">
      <w:bodyDiv w:val="1"/>
      <w:marLeft w:val="0"/>
      <w:marRight w:val="0"/>
      <w:marTop w:val="0"/>
      <w:marBottom w:val="0"/>
      <w:divBdr>
        <w:top w:val="none" w:sz="0" w:space="0" w:color="auto"/>
        <w:left w:val="none" w:sz="0" w:space="0" w:color="auto"/>
        <w:bottom w:val="none" w:sz="0" w:space="0" w:color="auto"/>
        <w:right w:val="none" w:sz="0" w:space="0" w:color="auto"/>
      </w:divBdr>
    </w:div>
    <w:div w:id="271058951">
      <w:bodyDiv w:val="1"/>
      <w:marLeft w:val="0"/>
      <w:marRight w:val="0"/>
      <w:marTop w:val="0"/>
      <w:marBottom w:val="0"/>
      <w:divBdr>
        <w:top w:val="none" w:sz="0" w:space="0" w:color="auto"/>
        <w:left w:val="none" w:sz="0" w:space="0" w:color="auto"/>
        <w:bottom w:val="none" w:sz="0" w:space="0" w:color="auto"/>
        <w:right w:val="none" w:sz="0" w:space="0" w:color="auto"/>
      </w:divBdr>
    </w:div>
    <w:div w:id="463499804">
      <w:bodyDiv w:val="1"/>
      <w:marLeft w:val="0"/>
      <w:marRight w:val="0"/>
      <w:marTop w:val="0"/>
      <w:marBottom w:val="0"/>
      <w:divBdr>
        <w:top w:val="none" w:sz="0" w:space="0" w:color="auto"/>
        <w:left w:val="none" w:sz="0" w:space="0" w:color="auto"/>
        <w:bottom w:val="none" w:sz="0" w:space="0" w:color="auto"/>
        <w:right w:val="none" w:sz="0" w:space="0" w:color="auto"/>
      </w:divBdr>
    </w:div>
    <w:div w:id="488978760">
      <w:bodyDiv w:val="1"/>
      <w:marLeft w:val="0"/>
      <w:marRight w:val="0"/>
      <w:marTop w:val="0"/>
      <w:marBottom w:val="0"/>
      <w:divBdr>
        <w:top w:val="none" w:sz="0" w:space="0" w:color="auto"/>
        <w:left w:val="none" w:sz="0" w:space="0" w:color="auto"/>
        <w:bottom w:val="none" w:sz="0" w:space="0" w:color="auto"/>
        <w:right w:val="none" w:sz="0" w:space="0" w:color="auto"/>
      </w:divBdr>
    </w:div>
    <w:div w:id="498890321">
      <w:bodyDiv w:val="1"/>
      <w:marLeft w:val="0"/>
      <w:marRight w:val="0"/>
      <w:marTop w:val="0"/>
      <w:marBottom w:val="0"/>
      <w:divBdr>
        <w:top w:val="none" w:sz="0" w:space="0" w:color="auto"/>
        <w:left w:val="none" w:sz="0" w:space="0" w:color="auto"/>
        <w:bottom w:val="none" w:sz="0" w:space="0" w:color="auto"/>
        <w:right w:val="none" w:sz="0" w:space="0" w:color="auto"/>
      </w:divBdr>
    </w:div>
    <w:div w:id="592056094">
      <w:bodyDiv w:val="1"/>
      <w:marLeft w:val="0"/>
      <w:marRight w:val="0"/>
      <w:marTop w:val="0"/>
      <w:marBottom w:val="0"/>
      <w:divBdr>
        <w:top w:val="none" w:sz="0" w:space="0" w:color="auto"/>
        <w:left w:val="none" w:sz="0" w:space="0" w:color="auto"/>
        <w:bottom w:val="none" w:sz="0" w:space="0" w:color="auto"/>
        <w:right w:val="none" w:sz="0" w:space="0" w:color="auto"/>
      </w:divBdr>
    </w:div>
    <w:div w:id="594367169">
      <w:bodyDiv w:val="1"/>
      <w:marLeft w:val="0"/>
      <w:marRight w:val="0"/>
      <w:marTop w:val="0"/>
      <w:marBottom w:val="0"/>
      <w:divBdr>
        <w:top w:val="none" w:sz="0" w:space="0" w:color="auto"/>
        <w:left w:val="none" w:sz="0" w:space="0" w:color="auto"/>
        <w:bottom w:val="none" w:sz="0" w:space="0" w:color="auto"/>
        <w:right w:val="none" w:sz="0" w:space="0" w:color="auto"/>
      </w:divBdr>
    </w:div>
    <w:div w:id="626735978">
      <w:bodyDiv w:val="1"/>
      <w:marLeft w:val="0"/>
      <w:marRight w:val="0"/>
      <w:marTop w:val="0"/>
      <w:marBottom w:val="0"/>
      <w:divBdr>
        <w:top w:val="none" w:sz="0" w:space="0" w:color="auto"/>
        <w:left w:val="none" w:sz="0" w:space="0" w:color="auto"/>
        <w:bottom w:val="none" w:sz="0" w:space="0" w:color="auto"/>
        <w:right w:val="none" w:sz="0" w:space="0" w:color="auto"/>
      </w:divBdr>
    </w:div>
    <w:div w:id="701593404">
      <w:bodyDiv w:val="1"/>
      <w:marLeft w:val="0"/>
      <w:marRight w:val="0"/>
      <w:marTop w:val="0"/>
      <w:marBottom w:val="0"/>
      <w:divBdr>
        <w:top w:val="none" w:sz="0" w:space="0" w:color="auto"/>
        <w:left w:val="none" w:sz="0" w:space="0" w:color="auto"/>
        <w:bottom w:val="none" w:sz="0" w:space="0" w:color="auto"/>
        <w:right w:val="none" w:sz="0" w:space="0" w:color="auto"/>
      </w:divBdr>
    </w:div>
    <w:div w:id="768542800">
      <w:bodyDiv w:val="1"/>
      <w:marLeft w:val="0"/>
      <w:marRight w:val="0"/>
      <w:marTop w:val="0"/>
      <w:marBottom w:val="0"/>
      <w:divBdr>
        <w:top w:val="none" w:sz="0" w:space="0" w:color="auto"/>
        <w:left w:val="none" w:sz="0" w:space="0" w:color="auto"/>
        <w:bottom w:val="none" w:sz="0" w:space="0" w:color="auto"/>
        <w:right w:val="none" w:sz="0" w:space="0" w:color="auto"/>
      </w:divBdr>
    </w:div>
    <w:div w:id="797575151">
      <w:bodyDiv w:val="1"/>
      <w:marLeft w:val="0"/>
      <w:marRight w:val="0"/>
      <w:marTop w:val="0"/>
      <w:marBottom w:val="0"/>
      <w:divBdr>
        <w:top w:val="none" w:sz="0" w:space="0" w:color="auto"/>
        <w:left w:val="none" w:sz="0" w:space="0" w:color="auto"/>
        <w:bottom w:val="none" w:sz="0" w:space="0" w:color="auto"/>
        <w:right w:val="none" w:sz="0" w:space="0" w:color="auto"/>
      </w:divBdr>
    </w:div>
    <w:div w:id="843783232">
      <w:bodyDiv w:val="1"/>
      <w:marLeft w:val="0"/>
      <w:marRight w:val="0"/>
      <w:marTop w:val="0"/>
      <w:marBottom w:val="0"/>
      <w:divBdr>
        <w:top w:val="none" w:sz="0" w:space="0" w:color="auto"/>
        <w:left w:val="none" w:sz="0" w:space="0" w:color="auto"/>
        <w:bottom w:val="none" w:sz="0" w:space="0" w:color="auto"/>
        <w:right w:val="none" w:sz="0" w:space="0" w:color="auto"/>
      </w:divBdr>
    </w:div>
    <w:div w:id="937179392">
      <w:bodyDiv w:val="1"/>
      <w:marLeft w:val="0"/>
      <w:marRight w:val="0"/>
      <w:marTop w:val="0"/>
      <w:marBottom w:val="0"/>
      <w:divBdr>
        <w:top w:val="none" w:sz="0" w:space="0" w:color="auto"/>
        <w:left w:val="none" w:sz="0" w:space="0" w:color="auto"/>
        <w:bottom w:val="none" w:sz="0" w:space="0" w:color="auto"/>
        <w:right w:val="none" w:sz="0" w:space="0" w:color="auto"/>
      </w:divBdr>
    </w:div>
    <w:div w:id="955527884">
      <w:bodyDiv w:val="1"/>
      <w:marLeft w:val="0"/>
      <w:marRight w:val="0"/>
      <w:marTop w:val="0"/>
      <w:marBottom w:val="0"/>
      <w:divBdr>
        <w:top w:val="none" w:sz="0" w:space="0" w:color="auto"/>
        <w:left w:val="none" w:sz="0" w:space="0" w:color="auto"/>
        <w:bottom w:val="none" w:sz="0" w:space="0" w:color="auto"/>
        <w:right w:val="none" w:sz="0" w:space="0" w:color="auto"/>
      </w:divBdr>
    </w:div>
    <w:div w:id="1059858925">
      <w:bodyDiv w:val="1"/>
      <w:marLeft w:val="0"/>
      <w:marRight w:val="0"/>
      <w:marTop w:val="0"/>
      <w:marBottom w:val="0"/>
      <w:divBdr>
        <w:top w:val="none" w:sz="0" w:space="0" w:color="auto"/>
        <w:left w:val="none" w:sz="0" w:space="0" w:color="auto"/>
        <w:bottom w:val="none" w:sz="0" w:space="0" w:color="auto"/>
        <w:right w:val="none" w:sz="0" w:space="0" w:color="auto"/>
      </w:divBdr>
    </w:div>
    <w:div w:id="1082146766">
      <w:bodyDiv w:val="1"/>
      <w:marLeft w:val="0"/>
      <w:marRight w:val="0"/>
      <w:marTop w:val="0"/>
      <w:marBottom w:val="0"/>
      <w:divBdr>
        <w:top w:val="none" w:sz="0" w:space="0" w:color="auto"/>
        <w:left w:val="none" w:sz="0" w:space="0" w:color="auto"/>
        <w:bottom w:val="none" w:sz="0" w:space="0" w:color="auto"/>
        <w:right w:val="none" w:sz="0" w:space="0" w:color="auto"/>
      </w:divBdr>
    </w:div>
    <w:div w:id="1104686546">
      <w:bodyDiv w:val="1"/>
      <w:marLeft w:val="0"/>
      <w:marRight w:val="0"/>
      <w:marTop w:val="0"/>
      <w:marBottom w:val="0"/>
      <w:divBdr>
        <w:top w:val="none" w:sz="0" w:space="0" w:color="auto"/>
        <w:left w:val="none" w:sz="0" w:space="0" w:color="auto"/>
        <w:bottom w:val="none" w:sz="0" w:space="0" w:color="auto"/>
        <w:right w:val="none" w:sz="0" w:space="0" w:color="auto"/>
      </w:divBdr>
    </w:div>
    <w:div w:id="1132751840">
      <w:bodyDiv w:val="1"/>
      <w:marLeft w:val="0"/>
      <w:marRight w:val="0"/>
      <w:marTop w:val="0"/>
      <w:marBottom w:val="0"/>
      <w:divBdr>
        <w:top w:val="none" w:sz="0" w:space="0" w:color="auto"/>
        <w:left w:val="none" w:sz="0" w:space="0" w:color="auto"/>
        <w:bottom w:val="none" w:sz="0" w:space="0" w:color="auto"/>
        <w:right w:val="none" w:sz="0" w:space="0" w:color="auto"/>
      </w:divBdr>
    </w:div>
    <w:div w:id="1157915671">
      <w:bodyDiv w:val="1"/>
      <w:marLeft w:val="0"/>
      <w:marRight w:val="0"/>
      <w:marTop w:val="0"/>
      <w:marBottom w:val="0"/>
      <w:divBdr>
        <w:top w:val="none" w:sz="0" w:space="0" w:color="auto"/>
        <w:left w:val="none" w:sz="0" w:space="0" w:color="auto"/>
        <w:bottom w:val="none" w:sz="0" w:space="0" w:color="auto"/>
        <w:right w:val="none" w:sz="0" w:space="0" w:color="auto"/>
      </w:divBdr>
    </w:div>
    <w:div w:id="1186793239">
      <w:bodyDiv w:val="1"/>
      <w:marLeft w:val="0"/>
      <w:marRight w:val="0"/>
      <w:marTop w:val="0"/>
      <w:marBottom w:val="0"/>
      <w:divBdr>
        <w:top w:val="none" w:sz="0" w:space="0" w:color="auto"/>
        <w:left w:val="none" w:sz="0" w:space="0" w:color="auto"/>
        <w:bottom w:val="none" w:sz="0" w:space="0" w:color="auto"/>
        <w:right w:val="none" w:sz="0" w:space="0" w:color="auto"/>
      </w:divBdr>
    </w:div>
    <w:div w:id="1221988275">
      <w:bodyDiv w:val="1"/>
      <w:marLeft w:val="0"/>
      <w:marRight w:val="0"/>
      <w:marTop w:val="0"/>
      <w:marBottom w:val="0"/>
      <w:divBdr>
        <w:top w:val="none" w:sz="0" w:space="0" w:color="auto"/>
        <w:left w:val="none" w:sz="0" w:space="0" w:color="auto"/>
        <w:bottom w:val="none" w:sz="0" w:space="0" w:color="auto"/>
        <w:right w:val="none" w:sz="0" w:space="0" w:color="auto"/>
      </w:divBdr>
    </w:div>
    <w:div w:id="1314724728">
      <w:bodyDiv w:val="1"/>
      <w:marLeft w:val="0"/>
      <w:marRight w:val="0"/>
      <w:marTop w:val="0"/>
      <w:marBottom w:val="0"/>
      <w:divBdr>
        <w:top w:val="none" w:sz="0" w:space="0" w:color="auto"/>
        <w:left w:val="none" w:sz="0" w:space="0" w:color="auto"/>
        <w:bottom w:val="none" w:sz="0" w:space="0" w:color="auto"/>
        <w:right w:val="none" w:sz="0" w:space="0" w:color="auto"/>
      </w:divBdr>
    </w:div>
    <w:div w:id="1426416910">
      <w:bodyDiv w:val="1"/>
      <w:marLeft w:val="0"/>
      <w:marRight w:val="0"/>
      <w:marTop w:val="0"/>
      <w:marBottom w:val="0"/>
      <w:divBdr>
        <w:top w:val="none" w:sz="0" w:space="0" w:color="auto"/>
        <w:left w:val="none" w:sz="0" w:space="0" w:color="auto"/>
        <w:bottom w:val="none" w:sz="0" w:space="0" w:color="auto"/>
        <w:right w:val="none" w:sz="0" w:space="0" w:color="auto"/>
      </w:divBdr>
    </w:div>
    <w:div w:id="1525830135">
      <w:bodyDiv w:val="1"/>
      <w:marLeft w:val="0"/>
      <w:marRight w:val="0"/>
      <w:marTop w:val="0"/>
      <w:marBottom w:val="0"/>
      <w:divBdr>
        <w:top w:val="none" w:sz="0" w:space="0" w:color="auto"/>
        <w:left w:val="none" w:sz="0" w:space="0" w:color="auto"/>
        <w:bottom w:val="none" w:sz="0" w:space="0" w:color="auto"/>
        <w:right w:val="none" w:sz="0" w:space="0" w:color="auto"/>
      </w:divBdr>
    </w:div>
    <w:div w:id="1532839191">
      <w:bodyDiv w:val="1"/>
      <w:marLeft w:val="0"/>
      <w:marRight w:val="0"/>
      <w:marTop w:val="0"/>
      <w:marBottom w:val="0"/>
      <w:divBdr>
        <w:top w:val="none" w:sz="0" w:space="0" w:color="auto"/>
        <w:left w:val="none" w:sz="0" w:space="0" w:color="auto"/>
        <w:bottom w:val="none" w:sz="0" w:space="0" w:color="auto"/>
        <w:right w:val="none" w:sz="0" w:space="0" w:color="auto"/>
      </w:divBdr>
    </w:div>
    <w:div w:id="1542742165">
      <w:bodyDiv w:val="1"/>
      <w:marLeft w:val="0"/>
      <w:marRight w:val="0"/>
      <w:marTop w:val="0"/>
      <w:marBottom w:val="0"/>
      <w:divBdr>
        <w:top w:val="none" w:sz="0" w:space="0" w:color="auto"/>
        <w:left w:val="none" w:sz="0" w:space="0" w:color="auto"/>
        <w:bottom w:val="none" w:sz="0" w:space="0" w:color="auto"/>
        <w:right w:val="none" w:sz="0" w:space="0" w:color="auto"/>
      </w:divBdr>
    </w:div>
    <w:div w:id="1550264022">
      <w:bodyDiv w:val="1"/>
      <w:marLeft w:val="0"/>
      <w:marRight w:val="0"/>
      <w:marTop w:val="0"/>
      <w:marBottom w:val="0"/>
      <w:divBdr>
        <w:top w:val="none" w:sz="0" w:space="0" w:color="auto"/>
        <w:left w:val="none" w:sz="0" w:space="0" w:color="auto"/>
        <w:bottom w:val="none" w:sz="0" w:space="0" w:color="auto"/>
        <w:right w:val="none" w:sz="0" w:space="0" w:color="auto"/>
      </w:divBdr>
    </w:div>
    <w:div w:id="1593512995">
      <w:bodyDiv w:val="1"/>
      <w:marLeft w:val="0"/>
      <w:marRight w:val="0"/>
      <w:marTop w:val="0"/>
      <w:marBottom w:val="0"/>
      <w:divBdr>
        <w:top w:val="none" w:sz="0" w:space="0" w:color="auto"/>
        <w:left w:val="none" w:sz="0" w:space="0" w:color="auto"/>
        <w:bottom w:val="none" w:sz="0" w:space="0" w:color="auto"/>
        <w:right w:val="none" w:sz="0" w:space="0" w:color="auto"/>
      </w:divBdr>
    </w:div>
    <w:div w:id="1620994666">
      <w:bodyDiv w:val="1"/>
      <w:marLeft w:val="0"/>
      <w:marRight w:val="0"/>
      <w:marTop w:val="0"/>
      <w:marBottom w:val="0"/>
      <w:divBdr>
        <w:top w:val="none" w:sz="0" w:space="0" w:color="auto"/>
        <w:left w:val="none" w:sz="0" w:space="0" w:color="auto"/>
        <w:bottom w:val="none" w:sz="0" w:space="0" w:color="auto"/>
        <w:right w:val="none" w:sz="0" w:space="0" w:color="auto"/>
      </w:divBdr>
    </w:div>
    <w:div w:id="1747258982">
      <w:bodyDiv w:val="1"/>
      <w:marLeft w:val="0"/>
      <w:marRight w:val="0"/>
      <w:marTop w:val="0"/>
      <w:marBottom w:val="0"/>
      <w:divBdr>
        <w:top w:val="none" w:sz="0" w:space="0" w:color="auto"/>
        <w:left w:val="none" w:sz="0" w:space="0" w:color="auto"/>
        <w:bottom w:val="none" w:sz="0" w:space="0" w:color="auto"/>
        <w:right w:val="none" w:sz="0" w:space="0" w:color="auto"/>
      </w:divBdr>
    </w:div>
    <w:div w:id="1763142286">
      <w:bodyDiv w:val="1"/>
      <w:marLeft w:val="0"/>
      <w:marRight w:val="0"/>
      <w:marTop w:val="0"/>
      <w:marBottom w:val="0"/>
      <w:divBdr>
        <w:top w:val="none" w:sz="0" w:space="0" w:color="auto"/>
        <w:left w:val="none" w:sz="0" w:space="0" w:color="auto"/>
        <w:bottom w:val="none" w:sz="0" w:space="0" w:color="auto"/>
        <w:right w:val="none" w:sz="0" w:space="0" w:color="auto"/>
      </w:divBdr>
    </w:div>
    <w:div w:id="1841653029">
      <w:bodyDiv w:val="1"/>
      <w:marLeft w:val="0"/>
      <w:marRight w:val="0"/>
      <w:marTop w:val="0"/>
      <w:marBottom w:val="0"/>
      <w:divBdr>
        <w:top w:val="none" w:sz="0" w:space="0" w:color="auto"/>
        <w:left w:val="none" w:sz="0" w:space="0" w:color="auto"/>
        <w:bottom w:val="none" w:sz="0" w:space="0" w:color="auto"/>
        <w:right w:val="none" w:sz="0" w:space="0" w:color="auto"/>
      </w:divBdr>
    </w:div>
    <w:div w:id="1893611620">
      <w:bodyDiv w:val="1"/>
      <w:marLeft w:val="0"/>
      <w:marRight w:val="0"/>
      <w:marTop w:val="0"/>
      <w:marBottom w:val="0"/>
      <w:divBdr>
        <w:top w:val="none" w:sz="0" w:space="0" w:color="auto"/>
        <w:left w:val="none" w:sz="0" w:space="0" w:color="auto"/>
        <w:bottom w:val="none" w:sz="0" w:space="0" w:color="auto"/>
        <w:right w:val="none" w:sz="0" w:space="0" w:color="auto"/>
      </w:divBdr>
    </w:div>
    <w:div w:id="2007585819">
      <w:bodyDiv w:val="1"/>
      <w:marLeft w:val="0"/>
      <w:marRight w:val="0"/>
      <w:marTop w:val="0"/>
      <w:marBottom w:val="0"/>
      <w:divBdr>
        <w:top w:val="none" w:sz="0" w:space="0" w:color="auto"/>
        <w:left w:val="none" w:sz="0" w:space="0" w:color="auto"/>
        <w:bottom w:val="none" w:sz="0" w:space="0" w:color="auto"/>
        <w:right w:val="none" w:sz="0" w:space="0" w:color="auto"/>
      </w:divBdr>
    </w:div>
    <w:div w:id="212298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124AB-4252-408D-9F49-B9172149F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10440</Words>
  <Characters>59509</Characters>
  <Application>Microsoft Office Word</Application>
  <DocSecurity>0</DocSecurity>
  <Lines>495</Lines>
  <Paragraphs>139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69810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2019-04-25T12:49:00Z</dcterms:created>
  <dcterms:modified xsi:type="dcterms:W3CDTF">2019-04-25T12:49:00Z</dcterms:modified>
</cp:coreProperties>
</file>