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2136" w:type="dxa"/>
        <w:tblInd w:w="-106" w:type="dxa"/>
        <w:tblLook w:val="00A0" w:firstRow="1" w:lastRow="0" w:firstColumn="1" w:lastColumn="0" w:noHBand="0" w:noVBand="0"/>
      </w:tblPr>
      <w:tblGrid>
        <w:gridCol w:w="976"/>
        <w:gridCol w:w="200"/>
        <w:gridCol w:w="776"/>
        <w:gridCol w:w="200"/>
        <w:gridCol w:w="5856"/>
        <w:gridCol w:w="3152"/>
        <w:gridCol w:w="976"/>
      </w:tblGrid>
      <w:tr w:rsidR="001C533E" w:rsidRPr="007253B6" w:rsidTr="00730E55">
        <w:trPr>
          <w:trHeight w:val="615"/>
        </w:trPr>
        <w:tc>
          <w:tcPr>
            <w:tcW w:w="976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1C533E" w:rsidRPr="007253B6" w:rsidRDefault="001C533E" w:rsidP="00730E55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0184" w:type="dxa"/>
            <w:gridSpan w:val="5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1C533E" w:rsidRPr="007253B6" w:rsidRDefault="001C533E" w:rsidP="00730E55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 w:rsidRPr="007253B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 xml:space="preserve">Приложение </w:t>
            </w:r>
            <w:r w:rsidRPr="007253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№ </w:t>
            </w:r>
            <w:r w:rsidRPr="007253B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7253B6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</w:tc>
      </w:tr>
      <w:tr w:rsidR="001C533E" w:rsidRPr="00D12E63" w:rsidTr="00730E55">
        <w:trPr>
          <w:trHeight w:val="1290"/>
        </w:trPr>
        <w:tc>
          <w:tcPr>
            <w:tcW w:w="9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184" w:type="dxa"/>
            <w:gridSpan w:val="5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Критерии и методология за оценка на проектните предложения по П</w:t>
            </w:r>
            <w:bookmarkStart w:id="0" w:name="_Toc515527120"/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роцедура за подбор на проекти по </w:t>
            </w:r>
            <w:r w:rsidRPr="00D12E6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Мярка 1.1 Инвестиции в преработка и маркетинг в сектора на рибарството и </w:t>
            </w:r>
            <w:proofErr w:type="spellStart"/>
            <w:r w:rsidRPr="00D12E6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аквакултурите</w:t>
            </w:r>
            <w:bookmarkEnd w:id="0"/>
            <w:proofErr w:type="spellEnd"/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 xml:space="preserve">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315"/>
        </w:trPr>
        <w:tc>
          <w:tcPr>
            <w:tcW w:w="9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184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I. Методология за оценка на проектни предложения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gridAfter w:val="4"/>
          <w:wAfter w:w="10184" w:type="dxa"/>
          <w:trHeight w:val="6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795"/>
        </w:trPr>
        <w:tc>
          <w:tcPr>
            <w:tcW w:w="9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0184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I. Критерии за оценка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проверявани от МИРГ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690"/>
        </w:trPr>
        <w:tc>
          <w:tcPr>
            <w:tcW w:w="9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0184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1. Проверка за </w:t>
            </w:r>
            <w:proofErr w:type="spellStart"/>
            <w:r w:rsidRPr="00D12E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окомплектованост</w:t>
            </w:r>
            <w:proofErr w:type="spellEnd"/>
            <w:r w:rsidRPr="00D12E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на всички изискуеми документи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:</w:t>
            </w:r>
            <w:r w:rsidRPr="00D12E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495"/>
        </w:trPr>
        <w:tc>
          <w:tcPr>
            <w:tcW w:w="9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3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ДА/НЕ/НЕПР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1035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97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Проектното предложение е подадено по реда, определен в Условия за кандидатстване по настоящата процедура.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1147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Бизнес планът е попълнен в лева и е използван  зададеният образец съгласно Условия за кандидатстване по настоящата процедура. </w:t>
            </w:r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1140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Налице са всички изискуеми документи и са попълнени съгласно изискванията, посочени в Условията за кандидатстване по настоящата процедура.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1245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Кандидатът е допустим съгласно изискванията на Условия за кандидатстване по настоящата процедура.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1365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Включените в проекта дейности са допустими за финансиране съгласно изискванията на Условия за кандидатстване по настоящата процедура.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1155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ПП попада в териториалният обхват на СВОМР на МИРГ Несебър – </w:t>
            </w:r>
            <w:proofErr w:type="spellStart"/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Месемврия</w:t>
            </w:r>
            <w:proofErr w:type="spellEnd"/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883"/>
        </w:trPr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7.</w:t>
            </w:r>
          </w:p>
        </w:tc>
        <w:tc>
          <w:tcPr>
            <w:tcW w:w="68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Проектното предложение допринася за постигане на                             целите на СВОМР на МИРГ Несебър – </w:t>
            </w:r>
            <w:proofErr w:type="spellStart"/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Месемврия</w:t>
            </w:r>
            <w:proofErr w:type="spellEnd"/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 </w:t>
            </w:r>
          </w:p>
        </w:tc>
        <w:tc>
          <w:tcPr>
            <w:tcW w:w="9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1005"/>
        </w:trPr>
        <w:tc>
          <w:tcPr>
            <w:tcW w:w="1176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 проектното предложение са заложени приложимите индикатори за конкретната мярка.</w:t>
            </w:r>
          </w:p>
        </w:tc>
        <w:tc>
          <w:tcPr>
            <w:tcW w:w="315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1200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Срокът за изпълнението на проектното предложение е съобразен с максималния срок, указан в Условията за кандидатстване по настоящата процедура.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1200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Отстраняването на </w:t>
            </w:r>
            <w:proofErr w:type="spellStart"/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нередовностите</w:t>
            </w:r>
            <w:proofErr w:type="spellEnd"/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 проектното предложение не е довело до подобряване на качеството му.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  </w:t>
            </w:r>
            <w:proofErr w:type="spellStart"/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непр</w:t>
            </w:r>
            <w:proofErr w:type="spellEnd"/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840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Представени са доказателства за изискуемия административен, финансов и оперативен капацитет. 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1041"/>
        </w:trPr>
        <w:tc>
          <w:tcPr>
            <w:tcW w:w="1176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Предвидените  разходи в проектното предложение са допустими съгласно Условията за кандидатстване по настоящата процедура. 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1320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Общата стойност на безвъзмездната финансова помощ   не надвишава определения максимален размер съгласно Условията за кандидатстване по настоящата процедура.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 да              не      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615"/>
        </w:trPr>
        <w:tc>
          <w:tcPr>
            <w:tcW w:w="9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184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 несъответствие с някое от посочените изисквания проектното предложение се отхвърля.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930"/>
        </w:trPr>
        <w:tc>
          <w:tcPr>
            <w:tcW w:w="9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0184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2. Подбор по критериите за  съответствие със стратегията на МИРГ Несебър –</w:t>
            </w:r>
            <w:proofErr w:type="spellStart"/>
            <w:r w:rsidRPr="00D12E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Месемврия</w:t>
            </w:r>
            <w:proofErr w:type="spellEnd"/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603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Критерии по </w:t>
            </w:r>
            <w:r w:rsidRPr="00D12E6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Мярка 1.1 Инвестиции в преработка и маркетинг в сектора на рибарството и </w:t>
            </w:r>
            <w:proofErr w:type="spellStart"/>
            <w:r w:rsidRPr="00D12E6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аквакултурите</w:t>
            </w:r>
            <w:proofErr w:type="spellEnd"/>
          </w:p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</w:tcPr>
          <w:p w:rsidR="001C533E" w:rsidRPr="00D12E6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Брой точки</w:t>
            </w:r>
          </w:p>
          <w:p w:rsidR="001C533E" w:rsidRPr="00D12E6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C533E" w:rsidRPr="00D12E63" w:rsidDel="00522F1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745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 xml:space="preserve">Вид на предприятието –  </w:t>
            </w:r>
            <w:proofErr w:type="spellStart"/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микро</w:t>
            </w:r>
            <w:proofErr w:type="spellEnd"/>
            <w:r w:rsidRPr="00D12E63">
              <w:rPr>
                <w:rFonts w:ascii="Times New Roman" w:hAnsi="Times New Roman" w:cs="Times New Roman"/>
                <w:sz w:val="24"/>
                <w:szCs w:val="24"/>
              </w:rPr>
              <w:t xml:space="preserve"> или малко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10 точки</w:t>
            </w:r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885"/>
        </w:trPr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 xml:space="preserve">Създаване на нови работни места:  </w:t>
            </w:r>
          </w:p>
          <w:p w:rsidR="001C533E" w:rsidRPr="00D12E6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 xml:space="preserve">- едно работно място </w:t>
            </w:r>
          </w:p>
          <w:p w:rsidR="001C533E" w:rsidRPr="00D12E6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 xml:space="preserve">- от 2 до 5 работни места </w:t>
            </w:r>
          </w:p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- над 5 работни места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1 точка</w:t>
            </w:r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3 точки</w:t>
            </w:r>
          </w:p>
          <w:p w:rsidR="001C533E" w:rsidRPr="00D12E63" w:rsidDel="00522F13" w:rsidRDefault="00BB6F36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  <w:r w:rsidR="001C533E"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точки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813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 xml:space="preserve">Подобряване на енергийната и/или ресурсната ефективност  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</w:tcPr>
          <w:p w:rsidR="001C533E" w:rsidRPr="00D12E63" w:rsidDel="00522F1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 xml:space="preserve"> 10 точки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556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 xml:space="preserve">Основна дейност от </w:t>
            </w:r>
            <w:proofErr w:type="spellStart"/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аквакултура</w:t>
            </w:r>
            <w:proofErr w:type="spellEnd"/>
            <w:r w:rsidRPr="00D12E63">
              <w:rPr>
                <w:rFonts w:ascii="Times New Roman" w:hAnsi="Times New Roman" w:cs="Times New Roman"/>
                <w:sz w:val="24"/>
                <w:szCs w:val="24"/>
              </w:rPr>
              <w:t xml:space="preserve">  (за предходните три години поне 30% от приходите на кандидата са от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тази д</w:t>
            </w: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ейност)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10 точки</w:t>
            </w:r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557"/>
        </w:trPr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Подобряване на безопасността и условията на труд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vAlign w:val="bottom"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 точки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737"/>
        </w:trPr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Модернизация или инвестиция в производствения процес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12 точки  </w:t>
            </w:r>
          </w:p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840"/>
        </w:trPr>
        <w:tc>
          <w:tcPr>
            <w:tcW w:w="1176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Инвестиция за затваряне на кръга на производство</w:t>
            </w:r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10 точки  </w:t>
            </w:r>
          </w:p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Tr="00730E55">
        <w:trPr>
          <w:trHeight w:val="683"/>
        </w:trPr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Инвестиции в интегрирани проекти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5 точки</w:t>
            </w:r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Del="00522F13" w:rsidTr="00730E55">
        <w:trPr>
          <w:gridAfter w:val="1"/>
          <w:wAfter w:w="976" w:type="dxa"/>
          <w:trHeight w:val="840"/>
        </w:trPr>
        <w:tc>
          <w:tcPr>
            <w:tcW w:w="1176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Инвестиция в производство и преработка на собствен </w:t>
            </w:r>
            <w:proofErr w:type="spellStart"/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улов</w:t>
            </w:r>
            <w:proofErr w:type="spellEnd"/>
          </w:p>
        </w:tc>
        <w:tc>
          <w:tcPr>
            <w:tcW w:w="31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15 точки </w:t>
            </w:r>
          </w:p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Del="00522F13" w:rsidTr="00730E55">
        <w:trPr>
          <w:gridAfter w:val="1"/>
          <w:wAfter w:w="976" w:type="dxa"/>
          <w:trHeight w:val="840"/>
        </w:trPr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Del="00522F1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Проекти допринасящи за създаване на нови продукти или услуги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15 точки</w:t>
            </w:r>
          </w:p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C533E" w:rsidRPr="00D12E63" w:rsidDel="00522F1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C533E" w:rsidRPr="00D12E63" w:rsidDel="00522F13" w:rsidTr="00730E55">
        <w:trPr>
          <w:gridAfter w:val="1"/>
          <w:wAfter w:w="976" w:type="dxa"/>
          <w:trHeight w:val="840"/>
        </w:trPr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11.</w:t>
            </w:r>
          </w:p>
        </w:tc>
        <w:tc>
          <w:tcPr>
            <w:tcW w:w="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Въвеждане на иновации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C533E" w:rsidRPr="00D12E63" w:rsidRDefault="008B4BDA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bookmarkStart w:id="1" w:name="_GoBack"/>
            <w:bookmarkEnd w:id="1"/>
            <w:r w:rsidR="001C533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C533E" w:rsidRPr="00D12E63">
              <w:rPr>
                <w:rFonts w:ascii="Times New Roman" w:hAnsi="Times New Roman" w:cs="Times New Roman"/>
                <w:sz w:val="24"/>
                <w:szCs w:val="24"/>
              </w:rPr>
              <w:t>точки</w:t>
            </w:r>
          </w:p>
        </w:tc>
      </w:tr>
      <w:tr w:rsidR="001C533E" w:rsidRPr="00D12E63" w:rsidDel="00522F13" w:rsidTr="00730E55">
        <w:trPr>
          <w:gridAfter w:val="1"/>
          <w:wAfter w:w="976" w:type="dxa"/>
          <w:trHeight w:val="840"/>
        </w:trPr>
        <w:tc>
          <w:tcPr>
            <w:tcW w:w="11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C533E" w:rsidRPr="00D12E63" w:rsidRDefault="001C533E" w:rsidP="00730E5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12E63">
              <w:rPr>
                <w:rFonts w:ascii="Times New Roman" w:hAnsi="Times New Roman" w:cs="Times New Roman"/>
                <w:sz w:val="24"/>
                <w:szCs w:val="24"/>
              </w:rPr>
              <w:t>Общ брой точки – 100 точки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C533E" w:rsidRPr="00D12E63" w:rsidRDefault="001C533E" w:rsidP="00730E5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C533E" w:rsidRPr="00D12E63" w:rsidRDefault="001C533E" w:rsidP="001C533E">
      <w:pPr>
        <w:spacing w:before="120" w:after="12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C533E" w:rsidRPr="00D12E63" w:rsidRDefault="001C533E" w:rsidP="001C533E">
      <w:pPr>
        <w:spacing w:before="120" w:after="120"/>
        <w:jc w:val="both"/>
        <w:rPr>
          <w:rFonts w:ascii="Times New Roman" w:hAnsi="Times New Roman" w:cs="Times New Roman"/>
          <w:sz w:val="24"/>
          <w:szCs w:val="24"/>
        </w:rPr>
      </w:pPr>
      <w:r w:rsidRPr="00D12E63">
        <w:rPr>
          <w:rFonts w:ascii="Times New Roman" w:hAnsi="Times New Roman" w:cs="Times New Roman"/>
          <w:b/>
          <w:sz w:val="24"/>
          <w:szCs w:val="24"/>
        </w:rPr>
        <w:t>Проектните предложения, получили минимум 10 точки на етап „</w:t>
      </w:r>
      <w:r>
        <w:rPr>
          <w:rFonts w:ascii="Times New Roman" w:hAnsi="Times New Roman" w:cs="Times New Roman"/>
          <w:b/>
          <w:sz w:val="24"/>
          <w:szCs w:val="24"/>
        </w:rPr>
        <w:t>Оценка за съответствието със СВОМР</w:t>
      </w:r>
      <w:r w:rsidRPr="00D12E63">
        <w:rPr>
          <w:rFonts w:ascii="Times New Roman" w:hAnsi="Times New Roman" w:cs="Times New Roman"/>
          <w:b/>
          <w:sz w:val="24"/>
          <w:szCs w:val="24"/>
        </w:rPr>
        <w:t xml:space="preserve">”, </w:t>
      </w:r>
      <w:r w:rsidRPr="00D12E63">
        <w:rPr>
          <w:rFonts w:ascii="Times New Roman" w:hAnsi="Times New Roman" w:cs="Times New Roman"/>
          <w:sz w:val="24"/>
          <w:szCs w:val="24"/>
        </w:rPr>
        <w:t>се класират в низходящ ред съобразно получената оценка, като за финансиране се предлагат всички или част от проектите по реда на класирането до покриване на общия размер на общия бюджет по процедурата.</w:t>
      </w:r>
    </w:p>
    <w:p w:rsidR="001C533E" w:rsidRPr="00D12E63" w:rsidRDefault="001C533E" w:rsidP="001C533E">
      <w:pPr>
        <w:spacing w:before="120" w:after="120"/>
        <w:jc w:val="both"/>
        <w:rPr>
          <w:rFonts w:ascii="Times New Roman" w:hAnsi="Times New Roman" w:cs="Times New Roman"/>
          <w:sz w:val="24"/>
          <w:szCs w:val="24"/>
        </w:rPr>
      </w:pPr>
      <w:r w:rsidRPr="00D12E63">
        <w:rPr>
          <w:rFonts w:ascii="Times New Roman" w:hAnsi="Times New Roman" w:cs="Times New Roman"/>
          <w:sz w:val="24"/>
          <w:szCs w:val="24"/>
        </w:rPr>
        <w:t xml:space="preserve">В случай че проектното предложение </w:t>
      </w:r>
      <w:r w:rsidRPr="00D12E63">
        <w:rPr>
          <w:rFonts w:ascii="Times New Roman" w:hAnsi="Times New Roman" w:cs="Times New Roman"/>
          <w:bCs/>
          <w:sz w:val="24"/>
          <w:szCs w:val="24"/>
        </w:rPr>
        <w:t>получи по-малко от 1</w:t>
      </w:r>
      <w:r w:rsidRPr="00D12E63">
        <w:rPr>
          <w:rFonts w:ascii="Times New Roman" w:hAnsi="Times New Roman" w:cs="Times New Roman"/>
          <w:sz w:val="24"/>
          <w:szCs w:val="24"/>
        </w:rPr>
        <w:t>0 точки, проектното предложение се отхвърля.</w:t>
      </w:r>
    </w:p>
    <w:p w:rsidR="001C533E" w:rsidRDefault="001C533E" w:rsidP="001C53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12E63">
        <w:rPr>
          <w:rFonts w:ascii="Times New Roman" w:hAnsi="Times New Roman" w:cs="Times New Roman"/>
          <w:sz w:val="24"/>
          <w:szCs w:val="24"/>
        </w:rPr>
        <w:lastRenderedPageBreak/>
        <w:t>За проектни предложения, които са получили еднакъв брой точки на етап „</w:t>
      </w:r>
      <w:r>
        <w:rPr>
          <w:rFonts w:ascii="Times New Roman" w:hAnsi="Times New Roman" w:cs="Times New Roman"/>
          <w:sz w:val="24"/>
          <w:szCs w:val="24"/>
        </w:rPr>
        <w:t>Оценка за съответствие</w:t>
      </w:r>
      <w:r w:rsidRPr="00D12E63">
        <w:rPr>
          <w:rFonts w:ascii="Times New Roman" w:hAnsi="Times New Roman" w:cs="Times New Roman"/>
          <w:sz w:val="24"/>
          <w:szCs w:val="24"/>
        </w:rPr>
        <w:t>“, класирането ще се извърши по реда на подаване на проектните предложения в ИСУН.</w:t>
      </w:r>
    </w:p>
    <w:p w:rsidR="001C533E" w:rsidRDefault="001C533E" w:rsidP="001C53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C533E" w:rsidRPr="00D12E63" w:rsidRDefault="001C533E" w:rsidP="001C533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МИРГ прави само оценка за </w:t>
      </w:r>
      <w:proofErr w:type="spellStart"/>
      <w:r>
        <w:rPr>
          <w:rFonts w:ascii="Times New Roman" w:hAnsi="Times New Roman" w:cs="Times New Roman"/>
          <w:sz w:val="24"/>
          <w:szCs w:val="24"/>
        </w:rPr>
        <w:t>окомплектованост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оценка за съответствие с целите на стратегията. Окончателна оценка по същество на допустимостта, разходите и окончателно одобрение се прави от УО на ПМДР 2014-2020 г.</w:t>
      </w: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2102" w:rsidRDefault="00952102" w:rsidP="002D4DC8">
      <w:pPr>
        <w:spacing w:after="0" w:line="240" w:lineRule="auto"/>
      </w:pPr>
      <w:r>
        <w:separator/>
      </w:r>
    </w:p>
  </w:endnote>
  <w:endnote w:type="continuationSeparator" w:id="0">
    <w:p w:rsidR="00952102" w:rsidRDefault="00952102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2102" w:rsidRDefault="00952102" w:rsidP="002D4DC8">
      <w:pPr>
        <w:spacing w:after="0" w:line="240" w:lineRule="auto"/>
      </w:pPr>
      <w:r>
        <w:separator/>
      </w:r>
    </w:p>
  </w:footnote>
  <w:footnote w:type="continuationSeparator" w:id="0">
    <w:p w:rsidR="00952102" w:rsidRDefault="00952102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533E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0266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3E97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B4BDA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52102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B6F36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2FF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22C5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FC0F53-6399-4AD9-B022-F2AEFA13DF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645</Words>
  <Characters>3680</Characters>
  <Application>Microsoft Office Word</Application>
  <DocSecurity>0</DocSecurity>
  <Lines>30</Lines>
  <Paragraphs>8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zlatomira</cp:lastModifiedBy>
  <cp:revision>6</cp:revision>
  <cp:lastPrinted>2018-11-22T10:50:00Z</cp:lastPrinted>
  <dcterms:created xsi:type="dcterms:W3CDTF">2018-12-13T08:36:00Z</dcterms:created>
  <dcterms:modified xsi:type="dcterms:W3CDTF">2019-05-17T09:55:00Z</dcterms:modified>
</cp:coreProperties>
</file>