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14:paraId="6A452B78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F5FACF7" w14:textId="77777777" w:rsidR="00D219AF" w:rsidRDefault="00D219AF" w:rsidP="00D21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D219AF">
              <w:rPr>
                <w:noProof/>
              </w:rPr>
              <w:drawing>
                <wp:inline distT="0" distB="0" distL="0" distR="0" wp14:anchorId="0EB5A6E3" wp14:editId="0DBE722A">
                  <wp:extent cx="6216731" cy="9906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5018" cy="1023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253391" w14:textId="656FEE81" w:rsidR="00BA0A8F" w:rsidRPr="00AE6F80" w:rsidRDefault="00BA0A8F" w:rsidP="00D21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AE6F8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AE6F8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№</w:t>
            </w:r>
            <w:r w:rsidR="00A14159" w:rsidRPr="00AE6F8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bg-BG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3819D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4E25F7E" w14:textId="77777777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7AA181EB" w14:textId="4D09C326" w:rsidR="00BA0A8F" w:rsidRPr="00116291" w:rsidRDefault="00BA0A8F" w:rsidP="00B067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проектни предложения по Процедура за подбор на проекти 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067F1" w:rsidRPr="00B067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BG14MFOP001-4.0</w:t>
            </w:r>
            <w:bookmarkStart w:id="0" w:name="_Hlk532811312"/>
            <w:r w:rsidR="00440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36</w:t>
            </w:r>
            <w:bookmarkStart w:id="1" w:name="_GoBack"/>
            <w:bookmarkEnd w:id="1"/>
            <w:r w:rsidR="003F31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B067F1" w:rsidRPr="00B067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МИРГ Пазарджик</w:t>
            </w:r>
            <w:bookmarkEnd w:id="0"/>
            <w:r w:rsidR="003F31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-</w:t>
            </w:r>
            <w:r w:rsidR="00B067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B067F1" w:rsidRPr="00B067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Мярка:</w:t>
            </w:r>
            <w:r w:rsidR="003E45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A5ED3" w:rsidRPr="005A5ED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bg-BG"/>
              </w:rPr>
              <w:t>3.2. Подкрепа за развитието на дребно мащабна инфраструктура</w:t>
            </w:r>
            <w:r w:rsidR="0086527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0200B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747EF55" w14:textId="77777777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B765E0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01488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2FBC2A4" w14:textId="77777777" w:rsidTr="009C7318">
        <w:trPr>
          <w:trHeight w:val="2674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DB561A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E5335A1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14:paraId="093D661E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38338E2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ПМДР.</w:t>
            </w:r>
          </w:p>
          <w:p w14:paraId="2C2A017B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2879B2E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14:paraId="07592934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8E5C2D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2A72EB3D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14:paraId="15B7422E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32729FFA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26FF550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14:paraId="4C22E071" w14:textId="77777777" w:rsidR="003F31B7" w:rsidRPr="003F31B7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01C8EFB" w14:textId="18D06F93" w:rsidR="009C7318" w:rsidRPr="00116291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A5F02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4FE7589" w14:textId="77777777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F5785CE" w14:textId="77777777" w:rsidR="003F31B7" w:rsidRPr="005F24EF" w:rsidRDefault="00BA0A8F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F31B7" w:rsidRPr="005F24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14:paraId="0BB5125F" w14:textId="77777777" w:rsidR="003F31B7" w:rsidRPr="005F24EF" w:rsidRDefault="003F31B7" w:rsidP="003F31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F66F4AE" w14:textId="3C8E7498" w:rsidR="00BA0A8F" w:rsidRPr="00116291" w:rsidRDefault="003F31B7" w:rsidP="003F31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24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C58EA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6010980" w14:textId="77777777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0EFCC94" w14:textId="4E53B6F1" w:rsidR="00BA0A8F" w:rsidRPr="00116291" w:rsidRDefault="009C731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C7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</w:t>
            </w:r>
            <w:r w:rsidR="00BA0A8F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88325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27838AC" w14:textId="77777777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0D66D0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21BDB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026B6C7" w14:textId="77777777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09230FD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123F14B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EC8E9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40C596F" w14:textId="77777777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3EE99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09495B5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F4015A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8B536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AB07F5D" w14:textId="77777777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CFD33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7E5A670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14:paraId="502EF3E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44F96E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5CAEF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83A" w:rsidRPr="00116291" w14:paraId="6AAEF13C" w14:textId="77777777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E64B64" w14:textId="3D562361" w:rsidR="009E083A" w:rsidRDefault="006551C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C06525B" w14:textId="59924F4A" w:rsidR="00D023D0" w:rsidRPr="00D023D0" w:rsidRDefault="00D023D0" w:rsidP="00D023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23D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Pr="00D023D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ът</w:t>
            </w:r>
            <w:r w:rsidRPr="00D023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приход-разход</w:t>
            </w:r>
            <w:r w:rsidRPr="00D023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попълнен в лева и е използван  зададеният образец съгласно Условия за кандидатстване по настоящата процедура. </w:t>
            </w:r>
          </w:p>
          <w:p w14:paraId="60E704D5" w14:textId="35A6C784" w:rsidR="009E083A" w:rsidRDefault="009E083A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9B1407D" w14:textId="0A5B2286" w:rsidR="009E083A" w:rsidRPr="00116291" w:rsidRDefault="00D023D0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23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03BE79" w14:textId="77777777" w:rsidR="009E083A" w:rsidRPr="00116291" w:rsidRDefault="009E083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14:paraId="3D662D99" w14:textId="77777777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12D998" w14:textId="1C6540B0" w:rsidR="00B07DA8" w:rsidRPr="00116291" w:rsidRDefault="006551C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E3268A6" w14:textId="3756DEE9" w:rsidR="00B07DA8" w:rsidRPr="00116291" w:rsidRDefault="009E083A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083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и попълнени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E56645" w14:textId="77777777"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91473A" w14:textId="77777777"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B44CCF1" w14:textId="77777777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F022E6" w14:textId="1DF9A0A6" w:rsidR="00BA0A8F" w:rsidRPr="00116291" w:rsidRDefault="006551C3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E778819" w14:textId="77777777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AAD304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21DDB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6736B0E" w14:textId="77777777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770A66" w14:textId="2A04DADA" w:rsidR="00BA0A8F" w:rsidRPr="00116291" w:rsidRDefault="006551C3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D6C485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3DF78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4D243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CA2F3EF" w14:textId="77777777" w:rsidTr="006551C3">
        <w:trPr>
          <w:trHeight w:val="821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DEFBCF" w14:textId="73283C2F" w:rsidR="00BA0A8F" w:rsidRPr="00116291" w:rsidRDefault="006551C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1AA0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65D519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0F725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8B5C56C" w14:textId="77777777" w:rsidTr="006551C3">
        <w:trPr>
          <w:trHeight w:val="982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F909BA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7F70DD9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BDAF92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9607C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B4E26AF" w14:textId="77777777" w:rsidTr="006551C3">
        <w:trPr>
          <w:trHeight w:val="1099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638F6F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6826EEF" w14:textId="20FEE47A" w:rsidR="00BA0A8F" w:rsidRPr="00116291" w:rsidRDefault="00BA0A8F" w:rsidP="00C33B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</w:t>
            </w:r>
            <w:r w:rsidR="008C0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C47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C0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="008C0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Стратегията за ВОМР на МИРГ Пазарджик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4E6D05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D2994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A599CAF" w14:textId="77777777" w:rsidTr="006551C3">
        <w:trPr>
          <w:trHeight w:val="959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99D3AE" w14:textId="4AD0F3FA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55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15A9BD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C197AF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8E68D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C58B3E3" w14:textId="77777777" w:rsidTr="006551C3">
        <w:trPr>
          <w:trHeight w:val="7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6ADCBA77" w14:textId="407B7A52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55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30EA5FB7" w14:textId="77777777"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A66CC51" w14:textId="77777777"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B91B4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1F2040F" w14:textId="77777777" w:rsidTr="006551C3">
        <w:trPr>
          <w:trHeight w:val="789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41F9C250" w14:textId="7D4FA0BC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55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25A04F68" w14:textId="77777777"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213022E" w14:textId="77777777"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47576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75C6621" w14:textId="77777777" w:rsidTr="006551C3">
        <w:trPr>
          <w:trHeight w:val="13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45C5A8" w14:textId="23CB6A75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55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6BCC67A" w14:textId="77777777"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1712D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3B41E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C490963" w14:textId="77777777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0CAAB6" w14:textId="517A85C0"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655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FDF238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D42099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7998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84861A3" w14:textId="77777777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F9E9CB" w14:textId="24242D47" w:rsidR="00BA0A8F" w:rsidRPr="00116291" w:rsidRDefault="006551C3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68AC786" w14:textId="77777777"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150AB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47E5D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2092C6D" w14:textId="77777777" w:rsidTr="006551C3">
        <w:trPr>
          <w:trHeight w:val="533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D67477" w14:textId="235DC93B" w:rsidR="00BA0A8F" w:rsidRPr="00116291" w:rsidRDefault="006551C3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D3EF9A8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FC88C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175584" w14:textId="77777777"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C387707" w14:textId="77777777"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D3B2BB8" w14:textId="77777777"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3AD28022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FA31BC" w14:textId="6BBA24A5" w:rsidR="00B4767D" w:rsidRPr="00B4767D" w:rsidRDefault="006551C3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D52AE7F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7FD16A0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9E5D2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1BFF224D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8A5FD5" w14:textId="45199BED" w:rsidR="00B4767D" w:rsidRPr="00B4767D" w:rsidRDefault="006551C3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F8B5329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0F020B23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71FCE1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2057E21" w14:textId="77777777" w:rsidTr="006551C3">
        <w:trPr>
          <w:trHeight w:val="537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25D3A04B" w14:textId="77777777"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B91930" w14:textId="77777777"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2082C44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E9700C6" w14:textId="77777777"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14:paraId="7DC1CBC3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47C4756E" w14:textId="77777777"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D9D4B3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14:paraId="755CE2F8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11441" w:type="dxa"/>
              <w:tblLook w:val="00A0" w:firstRow="1" w:lastRow="0" w:firstColumn="1" w:lastColumn="0" w:noHBand="0" w:noVBand="0"/>
            </w:tblPr>
            <w:tblGrid>
              <w:gridCol w:w="1289"/>
              <w:gridCol w:w="6417"/>
              <w:gridCol w:w="3735"/>
            </w:tblGrid>
            <w:tr w:rsidR="00865274" w:rsidRPr="00865274" w14:paraId="36EF563F" w14:textId="77777777" w:rsidTr="00E04753">
              <w:trPr>
                <w:trHeight w:val="1144"/>
              </w:trPr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B8E98A" w14:textId="3EC5E354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  <w:t>1.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9E44E77" w14:textId="67FA5D6E" w:rsidR="00865274" w:rsidRPr="00865274" w:rsidRDefault="00865274" w:rsidP="0086527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Проекти, включващи инвестиции за подобряване средата на живот в рибарския район</w:t>
                  </w:r>
                </w:p>
              </w:tc>
              <w:tc>
                <w:tcPr>
                  <w:tcW w:w="3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6A30479" w14:textId="3036E768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865274" w:rsidRPr="00865274" w14:paraId="7171CD98" w14:textId="77777777" w:rsidTr="00E04753">
              <w:trPr>
                <w:trHeight w:val="1144"/>
              </w:trPr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EB2F7E5" w14:textId="626A8D27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  <w:t>2.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727F526" w14:textId="6A76AD79" w:rsidR="00865274" w:rsidRPr="00865274" w:rsidRDefault="00865274" w:rsidP="0086527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Проекти,  свързани с обновяване, възстановяване и развитие на места за риболов </w:t>
                  </w:r>
                </w:p>
              </w:tc>
              <w:tc>
                <w:tcPr>
                  <w:tcW w:w="3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85FE219" w14:textId="5AB45851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865274" w:rsidRPr="00865274" w14:paraId="615A1718" w14:textId="77777777" w:rsidTr="00E04753">
              <w:trPr>
                <w:trHeight w:val="1305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E92B5E" w14:textId="5EBFA6F3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  <w:lastRenderedPageBreak/>
                    <w:t xml:space="preserve">3. 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4D318565" w14:textId="3088BE00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Проекти за ремонт и преустройство на съществуваща инфраструктура</w:t>
                  </w:r>
                </w:p>
              </w:tc>
              <w:tc>
                <w:tcPr>
                  <w:tcW w:w="3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C0906E3" w14:textId="285DB088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865274" w:rsidRPr="00865274" w14:paraId="1FE92DE4" w14:textId="77777777" w:rsidTr="006551C3">
              <w:trPr>
                <w:trHeight w:val="1056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34CB62" w14:textId="2CF1AE32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  <w:t xml:space="preserve">4. 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C6B5C5E" w14:textId="0C427CEC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Проектът включва инвестиции в дребномащабна инфраструктура, свързана с подобряване на крайбрежните зони или зоните около вътрешните водоеми</w:t>
                  </w:r>
                </w:p>
              </w:tc>
              <w:tc>
                <w:tcPr>
                  <w:tcW w:w="3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D5423AA" w14:textId="59827EC2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25</w:t>
                  </w:r>
                </w:p>
              </w:tc>
            </w:tr>
            <w:tr w:rsidR="00865274" w:rsidRPr="00865274" w14:paraId="508DD9DB" w14:textId="77777777" w:rsidTr="00E04753">
              <w:trPr>
                <w:trHeight w:val="664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D06A237" w14:textId="2278916B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  <w:t>5.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28A1B8E" w14:textId="57432C24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Проектът включва предлагане на нови услуги в полза на рибарските общности и туристи в РР</w:t>
                  </w:r>
                </w:p>
              </w:tc>
              <w:tc>
                <w:tcPr>
                  <w:tcW w:w="3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74FEEEC" w14:textId="190F6F13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65274" w:rsidRPr="00865274" w14:paraId="43A558E6" w14:textId="77777777" w:rsidTr="00E04753">
              <w:trPr>
                <w:trHeight w:val="697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F92447E" w14:textId="7A3B11E5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  <w:t>6.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95A663F" w14:textId="24467F22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Проекти, изпълнени в публично-частно партньорство</w:t>
                  </w:r>
                </w:p>
              </w:tc>
              <w:tc>
                <w:tcPr>
                  <w:tcW w:w="3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FC6AB45" w14:textId="5F4EFF23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65274" w:rsidRPr="00865274" w14:paraId="3FA17D12" w14:textId="77777777" w:rsidTr="00E04753">
              <w:trPr>
                <w:trHeight w:val="844"/>
              </w:trPr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50396F" w14:textId="51337593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  <w:t>7.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5B834E9" w14:textId="0C599C8D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Проекти, които водят до надграждане на вече съществуващи атракции </w:t>
                  </w:r>
                </w:p>
              </w:tc>
              <w:tc>
                <w:tcPr>
                  <w:tcW w:w="3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5816236" w14:textId="3899B9E9" w:rsidR="00865274" w:rsidRPr="00865274" w:rsidRDefault="00865274" w:rsidP="008652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D2368C" w:rsidRPr="00865274" w14:paraId="43900755" w14:textId="77777777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14:paraId="1A2D1620" w14:textId="77777777" w:rsidR="00D2368C" w:rsidRPr="00865274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14:paraId="4EB67B27" w14:textId="77777777" w:rsidR="00D2368C" w:rsidRPr="00865274" w:rsidRDefault="00D3581F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Общ брой точки: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14:paraId="499F637B" w14:textId="1DE711CA" w:rsidR="00D2368C" w:rsidRPr="00865274" w:rsidRDefault="00D3581F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86527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</w:t>
                  </w:r>
                  <w:r w:rsidR="00D37994" w:rsidRPr="0086527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0</w:t>
                  </w:r>
                  <w:r w:rsidRPr="0086527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0 точки</w:t>
                  </w:r>
                </w:p>
                <w:p w14:paraId="02B83722" w14:textId="77777777" w:rsidR="00D2368C" w:rsidRPr="00865274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14:paraId="7027D7D5" w14:textId="77777777" w:rsidR="00D2368C" w:rsidRPr="00865274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</w:tbl>
          <w:p w14:paraId="07762984" w14:textId="77777777" w:rsidR="00FB2B2E" w:rsidRPr="00865274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235410" w14:textId="77777777"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77C3949" w14:textId="77777777" w:rsidR="00D3581F" w:rsidRPr="00F508F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1B1E34D" w14:textId="37E44BEF" w:rsidR="00BE722D" w:rsidRDefault="00BE722D" w:rsidP="004331DE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E722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Всяко проектно предложение получава точки съгласно критериите за подбор заложени за всяка мярка в СВОМР по която се кандидатства.  </w:t>
      </w:r>
    </w:p>
    <w:p w14:paraId="43AE5C4B" w14:textId="7D6E7600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13177A9F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>по-малко от 1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14:paraId="06C7E348" w14:textId="77777777"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E722D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</w:t>
      </w:r>
      <w:r w:rsidR="00CD17B0" w:rsidRPr="00BE722D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9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CE3CD" w14:textId="77777777" w:rsidR="00BD59C7" w:rsidRDefault="00BD59C7" w:rsidP="00116291">
      <w:pPr>
        <w:spacing w:after="0" w:line="240" w:lineRule="auto"/>
      </w:pPr>
      <w:r>
        <w:separator/>
      </w:r>
    </w:p>
  </w:endnote>
  <w:endnote w:type="continuationSeparator" w:id="0">
    <w:p w14:paraId="569ED694" w14:textId="77777777" w:rsidR="00BD59C7" w:rsidRDefault="00BD59C7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EC4DC" w14:textId="77777777" w:rsidR="00BD59C7" w:rsidRDefault="00BD59C7" w:rsidP="00116291">
      <w:pPr>
        <w:spacing w:after="0" w:line="240" w:lineRule="auto"/>
      </w:pPr>
      <w:r>
        <w:separator/>
      </w:r>
    </w:p>
  </w:footnote>
  <w:footnote w:type="continuationSeparator" w:id="0">
    <w:p w14:paraId="251E1073" w14:textId="77777777" w:rsidR="00BD59C7" w:rsidRDefault="00BD59C7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2110F" w14:textId="6D12EB66" w:rsidR="005E0FD6" w:rsidRDefault="005E0F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00539"/>
    <w:multiLevelType w:val="hybridMultilevel"/>
    <w:tmpl w:val="F70C0A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D6F4A"/>
    <w:multiLevelType w:val="hybridMultilevel"/>
    <w:tmpl w:val="DFA42C9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907"/>
    <w:rsid w:val="00015EB9"/>
    <w:rsid w:val="00032AC1"/>
    <w:rsid w:val="00033A56"/>
    <w:rsid w:val="0008464B"/>
    <w:rsid w:val="000F0CDB"/>
    <w:rsid w:val="0011356D"/>
    <w:rsid w:val="00116291"/>
    <w:rsid w:val="00121CA9"/>
    <w:rsid w:val="001252AF"/>
    <w:rsid w:val="00156171"/>
    <w:rsid w:val="00172C4D"/>
    <w:rsid w:val="00187AD1"/>
    <w:rsid w:val="00242EBC"/>
    <w:rsid w:val="00253B0A"/>
    <w:rsid w:val="002979E2"/>
    <w:rsid w:val="002D4079"/>
    <w:rsid w:val="002E797B"/>
    <w:rsid w:val="00316B02"/>
    <w:rsid w:val="00325DC2"/>
    <w:rsid w:val="00386AE3"/>
    <w:rsid w:val="003A6ECB"/>
    <w:rsid w:val="003D4881"/>
    <w:rsid w:val="003E454B"/>
    <w:rsid w:val="003F31B7"/>
    <w:rsid w:val="00416900"/>
    <w:rsid w:val="004331DE"/>
    <w:rsid w:val="00440794"/>
    <w:rsid w:val="004E58EF"/>
    <w:rsid w:val="004E5AC2"/>
    <w:rsid w:val="004E6C36"/>
    <w:rsid w:val="004E7B75"/>
    <w:rsid w:val="004F2257"/>
    <w:rsid w:val="005118C1"/>
    <w:rsid w:val="00566FC1"/>
    <w:rsid w:val="005A2184"/>
    <w:rsid w:val="005A5ED3"/>
    <w:rsid w:val="005C6BE6"/>
    <w:rsid w:val="005E0FD6"/>
    <w:rsid w:val="005F2907"/>
    <w:rsid w:val="00601211"/>
    <w:rsid w:val="006409BE"/>
    <w:rsid w:val="006515D5"/>
    <w:rsid w:val="006551C3"/>
    <w:rsid w:val="00660816"/>
    <w:rsid w:val="006963ED"/>
    <w:rsid w:val="00696837"/>
    <w:rsid w:val="006B47AE"/>
    <w:rsid w:val="006C17F8"/>
    <w:rsid w:val="006C47C0"/>
    <w:rsid w:val="006D6FAA"/>
    <w:rsid w:val="006D7475"/>
    <w:rsid w:val="006F7ED2"/>
    <w:rsid w:val="00711D79"/>
    <w:rsid w:val="007376A2"/>
    <w:rsid w:val="007545B6"/>
    <w:rsid w:val="007B6362"/>
    <w:rsid w:val="007C4A1D"/>
    <w:rsid w:val="007C4AB1"/>
    <w:rsid w:val="007D6B19"/>
    <w:rsid w:val="007F5DA8"/>
    <w:rsid w:val="00801B74"/>
    <w:rsid w:val="008063A9"/>
    <w:rsid w:val="00806B9D"/>
    <w:rsid w:val="00820C6D"/>
    <w:rsid w:val="00837EBB"/>
    <w:rsid w:val="00854794"/>
    <w:rsid w:val="00854EE3"/>
    <w:rsid w:val="00856C4E"/>
    <w:rsid w:val="0086258A"/>
    <w:rsid w:val="00865274"/>
    <w:rsid w:val="00870006"/>
    <w:rsid w:val="008713C6"/>
    <w:rsid w:val="00876E07"/>
    <w:rsid w:val="00880F60"/>
    <w:rsid w:val="008C06D4"/>
    <w:rsid w:val="008C691A"/>
    <w:rsid w:val="008F2A77"/>
    <w:rsid w:val="00924306"/>
    <w:rsid w:val="00931E43"/>
    <w:rsid w:val="00943555"/>
    <w:rsid w:val="00987415"/>
    <w:rsid w:val="009A5C81"/>
    <w:rsid w:val="009C7318"/>
    <w:rsid w:val="009D1703"/>
    <w:rsid w:val="009E083A"/>
    <w:rsid w:val="00A14159"/>
    <w:rsid w:val="00A4202E"/>
    <w:rsid w:val="00A57D46"/>
    <w:rsid w:val="00AC57B3"/>
    <w:rsid w:val="00AE6F80"/>
    <w:rsid w:val="00B067F1"/>
    <w:rsid w:val="00B06FB6"/>
    <w:rsid w:val="00B07DA8"/>
    <w:rsid w:val="00B21433"/>
    <w:rsid w:val="00B4309E"/>
    <w:rsid w:val="00B4442F"/>
    <w:rsid w:val="00B474E8"/>
    <w:rsid w:val="00B4767D"/>
    <w:rsid w:val="00B53C2C"/>
    <w:rsid w:val="00B92345"/>
    <w:rsid w:val="00B928B7"/>
    <w:rsid w:val="00BA0A8F"/>
    <w:rsid w:val="00BB2852"/>
    <w:rsid w:val="00BD59C7"/>
    <w:rsid w:val="00BE2DF7"/>
    <w:rsid w:val="00BE7065"/>
    <w:rsid w:val="00BE722D"/>
    <w:rsid w:val="00BE736E"/>
    <w:rsid w:val="00C135F1"/>
    <w:rsid w:val="00C14864"/>
    <w:rsid w:val="00C33B79"/>
    <w:rsid w:val="00C81B2C"/>
    <w:rsid w:val="00C90649"/>
    <w:rsid w:val="00CC6FD9"/>
    <w:rsid w:val="00CD16CC"/>
    <w:rsid w:val="00CD17B0"/>
    <w:rsid w:val="00CE03F0"/>
    <w:rsid w:val="00D023D0"/>
    <w:rsid w:val="00D13800"/>
    <w:rsid w:val="00D20381"/>
    <w:rsid w:val="00D219AF"/>
    <w:rsid w:val="00D22ADD"/>
    <w:rsid w:val="00D2368C"/>
    <w:rsid w:val="00D3581F"/>
    <w:rsid w:val="00D37994"/>
    <w:rsid w:val="00D72CFF"/>
    <w:rsid w:val="00D87B11"/>
    <w:rsid w:val="00DA3E79"/>
    <w:rsid w:val="00DC68E0"/>
    <w:rsid w:val="00DE5BE8"/>
    <w:rsid w:val="00E1691E"/>
    <w:rsid w:val="00E16BC2"/>
    <w:rsid w:val="00E17D83"/>
    <w:rsid w:val="00E60728"/>
    <w:rsid w:val="00E60776"/>
    <w:rsid w:val="00E96EE7"/>
    <w:rsid w:val="00F10098"/>
    <w:rsid w:val="00F10976"/>
    <w:rsid w:val="00F44FD3"/>
    <w:rsid w:val="00F4769F"/>
    <w:rsid w:val="00F508F9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412CD2"/>
  <w15:docId w15:val="{27901E87-A017-44D4-A115-6A22AD1B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B2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C8E12-EDE7-4098-8CE1-C69333A07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User</cp:lastModifiedBy>
  <cp:revision>60</cp:revision>
  <cp:lastPrinted>2018-12-14T13:08:00Z</cp:lastPrinted>
  <dcterms:created xsi:type="dcterms:W3CDTF">2016-06-03T13:02:00Z</dcterms:created>
  <dcterms:modified xsi:type="dcterms:W3CDTF">2019-09-26T12:35:00Z</dcterms:modified>
</cp:coreProperties>
</file>