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1F572B">
      <w:pPr>
        <w:spacing w:after="0"/>
        <w:ind w:left="6480" w:firstLine="1080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 xml:space="preserve">на </w:t>
      </w:r>
      <w:bookmarkStart w:id="0" w:name="_GoBack"/>
      <w:bookmarkEnd w:id="0"/>
      <w:r w:rsidR="00093A4F" w:rsidRPr="001F572B">
        <w:rPr>
          <w:rFonts w:ascii="Arial" w:hAnsi="Arial" w:cs="Arial"/>
          <w:b/>
          <w:lang w:val="bg-BG"/>
        </w:rPr>
        <w:t xml:space="preserve">проведена процедура „Избор с публична покана“ по чл.50,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7D" w:rsidRDefault="00170F7D" w:rsidP="000B5F17">
      <w:pPr>
        <w:spacing w:after="0" w:line="240" w:lineRule="auto"/>
      </w:pPr>
      <w:r>
        <w:separator/>
      </w:r>
    </w:p>
  </w:endnote>
  <w:endnote w:type="continuationSeparator" w:id="0">
    <w:p w:rsidR="00170F7D" w:rsidRDefault="00170F7D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7D" w:rsidRDefault="00170F7D" w:rsidP="000B5F17">
      <w:pPr>
        <w:spacing w:after="0" w:line="240" w:lineRule="auto"/>
      </w:pPr>
      <w:r>
        <w:separator/>
      </w:r>
    </w:p>
  </w:footnote>
  <w:footnote w:type="continuationSeparator" w:id="0">
    <w:p w:rsidR="00170F7D" w:rsidRDefault="00170F7D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13</cp:revision>
  <cp:lastPrinted>2017-11-23T11:47:00Z</cp:lastPrinted>
  <dcterms:created xsi:type="dcterms:W3CDTF">2018-01-23T14:00:00Z</dcterms:created>
  <dcterms:modified xsi:type="dcterms:W3CDTF">2019-10-30T10:31:00Z</dcterms:modified>
</cp:coreProperties>
</file>