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80" w:rsidRPr="00542277" w:rsidRDefault="00A72E80" w:rsidP="002A6554">
      <w:pPr>
        <w:pStyle w:val="ListParagraph"/>
        <w:spacing w:after="0"/>
        <w:jc w:val="both"/>
        <w:rPr>
          <w:rFonts w:ascii="Verdana" w:hAnsi="Verdana"/>
          <w:sz w:val="20"/>
          <w:lang w:val="en-US"/>
        </w:rPr>
      </w:pPr>
    </w:p>
    <w:p w:rsidR="00A72E80" w:rsidRPr="00542277" w:rsidRDefault="00A72E80" w:rsidP="002A6554">
      <w:pPr>
        <w:pStyle w:val="ListParagraph"/>
        <w:spacing w:after="0"/>
        <w:jc w:val="both"/>
        <w:rPr>
          <w:rFonts w:ascii="Verdana" w:hAnsi="Verdana"/>
          <w:sz w:val="20"/>
        </w:rPr>
      </w:pPr>
    </w:p>
    <w:p w:rsidR="00A72E80" w:rsidRPr="00542277" w:rsidRDefault="00A72E80" w:rsidP="002A6554">
      <w:pPr>
        <w:pStyle w:val="ListParagraph"/>
        <w:spacing w:after="0"/>
        <w:jc w:val="both"/>
        <w:rPr>
          <w:rFonts w:ascii="Verdana" w:hAnsi="Verdana"/>
          <w:sz w:val="20"/>
        </w:rPr>
      </w:pPr>
    </w:p>
    <w:p w:rsidR="00A72E80" w:rsidRPr="00542277" w:rsidRDefault="00AC66B9" w:rsidP="00AC66B9">
      <w:pPr>
        <w:pStyle w:val="ListParagraph"/>
        <w:spacing w:after="0"/>
        <w:ind w:left="0"/>
        <w:jc w:val="center"/>
        <w:rPr>
          <w:rFonts w:ascii="Verdana" w:hAnsi="Verdana"/>
          <w:sz w:val="20"/>
        </w:rPr>
      </w:pPr>
      <w:r w:rsidRPr="00542277">
        <w:rPr>
          <w:rFonts w:ascii="Verdana" w:eastAsia="Calibri" w:hAnsi="Verdana" w:cs="Calibri"/>
          <w:noProof/>
          <w:sz w:val="20"/>
          <w:lang w:val="en-US"/>
        </w:rPr>
        <w:drawing>
          <wp:inline distT="0" distB="0" distL="0" distR="0" wp14:anchorId="731F2FBA" wp14:editId="0E76E165">
            <wp:extent cx="6243955" cy="988743"/>
            <wp:effectExtent l="0" t="0" r="444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3955" cy="988743"/>
                    </a:xfrm>
                    <a:prstGeom prst="rect">
                      <a:avLst/>
                    </a:prstGeom>
                    <a:noFill/>
                  </pic:spPr>
                </pic:pic>
              </a:graphicData>
            </a:graphic>
          </wp:inline>
        </w:drawing>
      </w:r>
    </w:p>
    <w:p w:rsidR="00A72E80" w:rsidRPr="00542277" w:rsidRDefault="00A72E80" w:rsidP="002A6554">
      <w:pPr>
        <w:pStyle w:val="ListParagraph"/>
        <w:spacing w:after="0"/>
        <w:jc w:val="both"/>
        <w:rPr>
          <w:rFonts w:ascii="Verdana" w:hAnsi="Verdana"/>
          <w:sz w:val="20"/>
        </w:rPr>
      </w:pPr>
    </w:p>
    <w:p w:rsidR="00A72E80" w:rsidRPr="00542277" w:rsidRDefault="00A72E80" w:rsidP="00AC66B9">
      <w:pPr>
        <w:spacing w:after="0"/>
        <w:jc w:val="both"/>
        <w:rPr>
          <w:rFonts w:ascii="Verdana" w:hAnsi="Verdana"/>
          <w:sz w:val="20"/>
          <w:szCs w:val="20"/>
        </w:rPr>
      </w:pPr>
    </w:p>
    <w:p w:rsidR="00A72E80" w:rsidRPr="00542277" w:rsidRDefault="00A72E80" w:rsidP="00A72E80">
      <w:pPr>
        <w:pStyle w:val="ListParagraph"/>
        <w:spacing w:after="0" w:line="276" w:lineRule="auto"/>
        <w:jc w:val="both"/>
        <w:rPr>
          <w:rFonts w:ascii="Verdana" w:hAnsi="Verdana"/>
          <w:sz w:val="20"/>
        </w:rPr>
      </w:pPr>
    </w:p>
    <w:p w:rsidR="00AF084A" w:rsidRPr="00542277" w:rsidRDefault="00AF084A" w:rsidP="00A72E80">
      <w:pPr>
        <w:pStyle w:val="ListParagraph"/>
        <w:spacing w:after="0" w:line="276" w:lineRule="auto"/>
        <w:ind w:left="6480" w:firstLine="720"/>
        <w:jc w:val="both"/>
        <w:rPr>
          <w:rFonts w:ascii="Verdana" w:hAnsi="Verdana"/>
          <w:b/>
          <w:sz w:val="20"/>
        </w:rPr>
      </w:pPr>
      <w:proofErr w:type="spellStart"/>
      <w:r w:rsidRPr="00542277">
        <w:rPr>
          <w:rFonts w:ascii="Verdana" w:hAnsi="Verdana"/>
          <w:b/>
          <w:sz w:val="20"/>
        </w:rPr>
        <w:t>Приложение</w:t>
      </w:r>
      <w:proofErr w:type="spellEnd"/>
      <w:r w:rsidRPr="00542277">
        <w:rPr>
          <w:rFonts w:ascii="Verdana" w:hAnsi="Verdana"/>
          <w:b/>
          <w:sz w:val="20"/>
        </w:rPr>
        <w:t xml:space="preserve"> № X</w:t>
      </w:r>
      <w:r w:rsidRPr="00542277">
        <w:rPr>
          <w:rFonts w:ascii="Verdana" w:hAnsi="Verdana"/>
          <w:b/>
          <w:sz w:val="20"/>
          <w:lang w:val="en-US"/>
        </w:rPr>
        <w:t>I</w:t>
      </w:r>
    </w:p>
    <w:p w:rsidR="00A02941" w:rsidRPr="00542277" w:rsidRDefault="00A02941" w:rsidP="00A72E80">
      <w:pPr>
        <w:pStyle w:val="ListParagraph"/>
        <w:spacing w:after="0" w:line="276" w:lineRule="auto"/>
        <w:jc w:val="both"/>
        <w:rPr>
          <w:rFonts w:ascii="Verdana" w:hAnsi="Verdana"/>
          <w:sz w:val="20"/>
        </w:rPr>
      </w:pPr>
    </w:p>
    <w:p w:rsidR="005F5B50" w:rsidRPr="00542277" w:rsidRDefault="005F5B50" w:rsidP="00A72E80">
      <w:pPr>
        <w:pStyle w:val="ListParagraph"/>
        <w:spacing w:after="0" w:line="276" w:lineRule="auto"/>
        <w:jc w:val="both"/>
        <w:rPr>
          <w:rFonts w:ascii="Verdana" w:hAnsi="Verdana"/>
          <w:sz w:val="20"/>
        </w:rPr>
      </w:pPr>
    </w:p>
    <w:p w:rsidR="005F5B50" w:rsidRPr="00542277" w:rsidRDefault="005F5B50" w:rsidP="005F5B50">
      <w:pPr>
        <w:pStyle w:val="ListParagraph"/>
        <w:spacing w:after="0" w:line="276" w:lineRule="auto"/>
        <w:jc w:val="center"/>
        <w:rPr>
          <w:rFonts w:ascii="Verdana" w:hAnsi="Verdana"/>
          <w:b/>
          <w:sz w:val="20"/>
          <w:lang w:val="bg-BG"/>
        </w:rPr>
      </w:pPr>
      <w:r w:rsidRPr="00542277">
        <w:rPr>
          <w:rFonts w:ascii="Verdana" w:hAnsi="Verdana"/>
          <w:b/>
          <w:sz w:val="20"/>
          <w:lang w:val="bg-BG"/>
        </w:rPr>
        <w:t>ПРОГРАМА ЗА МОРСКО ДЕЛО И РИБАРСТВО 2014-2020 Г.</w:t>
      </w:r>
    </w:p>
    <w:p w:rsidR="005F5B50" w:rsidRPr="00542277" w:rsidRDefault="005F5B50" w:rsidP="005F5B50">
      <w:pPr>
        <w:pStyle w:val="ListParagraph"/>
        <w:spacing w:after="0" w:line="276" w:lineRule="auto"/>
        <w:jc w:val="center"/>
        <w:rPr>
          <w:rFonts w:ascii="Verdana" w:hAnsi="Verdana"/>
          <w:b/>
          <w:sz w:val="20"/>
          <w:lang w:val="bg-BG"/>
        </w:rPr>
      </w:pPr>
    </w:p>
    <w:p w:rsidR="00CF7C94" w:rsidRPr="00542277" w:rsidRDefault="00A02941" w:rsidP="00542277">
      <w:pPr>
        <w:pStyle w:val="doc-ti"/>
        <w:jc w:val="both"/>
        <w:rPr>
          <w:rFonts w:ascii="Verdana" w:hAnsi="Verdana"/>
          <w:sz w:val="20"/>
          <w:szCs w:val="20"/>
        </w:rPr>
      </w:pPr>
      <w:bookmarkStart w:id="0" w:name="_GoBack"/>
      <w:r w:rsidRPr="00542277">
        <w:rPr>
          <w:rFonts w:ascii="Verdana" w:hAnsi="Verdana"/>
          <w:b/>
          <w:sz w:val="20"/>
          <w:szCs w:val="20"/>
        </w:rPr>
        <w:t>ПОДРОБНО ОПИСАНИЕ НА МЕТОДИКАТА ЗА ИЗЧИСЛЕНИЕ НА КОМПЕНСАЦИИТЕ ПО ЧЛ. 33</w:t>
      </w:r>
      <w:r w:rsidR="008F1DF7" w:rsidRPr="00542277">
        <w:rPr>
          <w:rFonts w:ascii="Verdana" w:hAnsi="Verdana"/>
          <w:b/>
          <w:sz w:val="20"/>
          <w:szCs w:val="20"/>
        </w:rPr>
        <w:t>,</w:t>
      </w:r>
      <w:r w:rsidR="00AE25A3" w:rsidRPr="00542277">
        <w:rPr>
          <w:rFonts w:ascii="Verdana" w:hAnsi="Verdana"/>
          <w:b/>
          <w:sz w:val="20"/>
          <w:szCs w:val="20"/>
        </w:rPr>
        <w:t xml:space="preserve"> ПАРАГРАФ</w:t>
      </w:r>
      <w:r w:rsidRPr="00542277">
        <w:rPr>
          <w:rFonts w:ascii="Verdana" w:hAnsi="Verdana"/>
          <w:b/>
          <w:sz w:val="20"/>
          <w:szCs w:val="20"/>
        </w:rPr>
        <w:t xml:space="preserve"> 1</w:t>
      </w:r>
      <w:r w:rsidR="008F1DF7" w:rsidRPr="00542277">
        <w:rPr>
          <w:rFonts w:ascii="Verdana" w:hAnsi="Verdana"/>
          <w:b/>
          <w:sz w:val="20"/>
          <w:szCs w:val="20"/>
        </w:rPr>
        <w:t>,</w:t>
      </w:r>
      <w:r w:rsidR="00AE25A3" w:rsidRPr="00542277">
        <w:rPr>
          <w:rFonts w:ascii="Verdana" w:hAnsi="Verdana"/>
          <w:b/>
          <w:sz w:val="20"/>
          <w:szCs w:val="20"/>
        </w:rPr>
        <w:t xml:space="preserve"> БУКВА Г), </w:t>
      </w:r>
      <w:r w:rsidRPr="00542277">
        <w:rPr>
          <w:rFonts w:ascii="Verdana" w:hAnsi="Verdana"/>
          <w:b/>
          <w:sz w:val="20"/>
          <w:szCs w:val="20"/>
        </w:rPr>
        <w:t>ЧЛ. 55</w:t>
      </w:r>
      <w:r w:rsidR="008F1DF7" w:rsidRPr="00542277">
        <w:rPr>
          <w:rFonts w:ascii="Verdana" w:hAnsi="Verdana"/>
          <w:b/>
          <w:sz w:val="20"/>
          <w:szCs w:val="20"/>
        </w:rPr>
        <w:t>,</w:t>
      </w:r>
      <w:r w:rsidR="00AE25A3" w:rsidRPr="00542277">
        <w:rPr>
          <w:rFonts w:ascii="Verdana" w:hAnsi="Verdana"/>
          <w:b/>
          <w:sz w:val="20"/>
          <w:szCs w:val="20"/>
        </w:rPr>
        <w:t xml:space="preserve"> ПАРАГРАФ</w:t>
      </w:r>
      <w:r w:rsidRPr="00542277">
        <w:rPr>
          <w:rFonts w:ascii="Verdana" w:hAnsi="Verdana"/>
          <w:b/>
          <w:sz w:val="20"/>
          <w:szCs w:val="20"/>
        </w:rPr>
        <w:t xml:space="preserve"> 1</w:t>
      </w:r>
      <w:r w:rsidR="008F1DF7" w:rsidRPr="00542277">
        <w:rPr>
          <w:rFonts w:ascii="Verdana" w:hAnsi="Verdana"/>
          <w:b/>
          <w:sz w:val="20"/>
          <w:szCs w:val="20"/>
        </w:rPr>
        <w:t>,</w:t>
      </w:r>
      <w:r w:rsidR="00AE25A3" w:rsidRPr="00542277">
        <w:rPr>
          <w:rFonts w:ascii="Verdana" w:hAnsi="Verdana"/>
          <w:b/>
          <w:sz w:val="20"/>
          <w:szCs w:val="20"/>
        </w:rPr>
        <w:t xml:space="preserve"> БУКВА</w:t>
      </w:r>
      <w:r w:rsidRPr="00542277">
        <w:rPr>
          <w:rFonts w:ascii="Verdana" w:hAnsi="Verdana"/>
          <w:b/>
          <w:sz w:val="20"/>
          <w:szCs w:val="20"/>
        </w:rPr>
        <w:t xml:space="preserve"> Б) И ЧЛ. 69 </w:t>
      </w:r>
      <w:r w:rsidR="00AE25A3" w:rsidRPr="00542277">
        <w:rPr>
          <w:rFonts w:ascii="Verdana" w:hAnsi="Verdana"/>
          <w:b/>
          <w:sz w:val="20"/>
          <w:szCs w:val="20"/>
        </w:rPr>
        <w:t>ПАРАГРАФ</w:t>
      </w:r>
      <w:r w:rsidR="008F1DF7" w:rsidRPr="00542277">
        <w:rPr>
          <w:rFonts w:ascii="Verdana" w:hAnsi="Verdana"/>
          <w:b/>
          <w:sz w:val="20"/>
          <w:szCs w:val="20"/>
        </w:rPr>
        <w:t xml:space="preserve"> </w:t>
      </w:r>
      <w:r w:rsidRPr="00542277">
        <w:rPr>
          <w:rFonts w:ascii="Verdana" w:hAnsi="Verdana"/>
          <w:b/>
          <w:sz w:val="20"/>
          <w:szCs w:val="20"/>
        </w:rPr>
        <w:t>3</w:t>
      </w:r>
      <w:r w:rsidR="003C569A" w:rsidRPr="00542277">
        <w:rPr>
          <w:rFonts w:ascii="Verdana" w:hAnsi="Verdana"/>
          <w:b/>
          <w:sz w:val="20"/>
          <w:szCs w:val="20"/>
        </w:rPr>
        <w:t xml:space="preserve"> от</w:t>
      </w:r>
      <w:r w:rsidR="00581EAB" w:rsidRPr="00581EAB">
        <w:t xml:space="preserve"> </w:t>
      </w:r>
      <w:r w:rsidR="00581EAB" w:rsidRPr="00581EAB">
        <w:rPr>
          <w:rFonts w:ascii="Verdana" w:hAnsi="Verdana"/>
          <w:sz w:val="20"/>
          <w:szCs w:val="20"/>
        </w:rPr>
        <w:t>Регламент (ЕС) 508/2014</w:t>
      </w:r>
      <w:r w:rsidR="00581EAB">
        <w:rPr>
          <w:rFonts w:ascii="Verdana" w:hAnsi="Verdana"/>
          <w:sz w:val="20"/>
          <w:szCs w:val="20"/>
        </w:rPr>
        <w:t xml:space="preserve"> изменен с</w:t>
      </w:r>
      <w:r w:rsidR="00581EAB">
        <w:rPr>
          <w:rFonts w:ascii="Verdana" w:hAnsi="Verdana"/>
          <w:b/>
          <w:sz w:val="20"/>
          <w:szCs w:val="20"/>
        </w:rPr>
        <w:t xml:space="preserve"> </w:t>
      </w:r>
      <w:proofErr w:type="spellStart"/>
      <w:r w:rsidR="00CF7C94" w:rsidRPr="00542277">
        <w:rPr>
          <w:rFonts w:ascii="Verdana" w:hAnsi="Verdana"/>
          <w:sz w:val="20"/>
          <w:szCs w:val="20"/>
        </w:rPr>
        <w:t>Регламент</w:t>
      </w:r>
      <w:proofErr w:type="spellEnd"/>
      <w:r w:rsidR="00CF7C94" w:rsidRPr="00542277">
        <w:rPr>
          <w:rFonts w:ascii="Verdana" w:hAnsi="Verdana"/>
          <w:sz w:val="20"/>
          <w:szCs w:val="20"/>
        </w:rPr>
        <w:t xml:space="preserve"> (ЕС) 2020/560 </w:t>
      </w:r>
      <w:proofErr w:type="spellStart"/>
      <w:r w:rsidR="00CF7C94" w:rsidRPr="00542277">
        <w:rPr>
          <w:rFonts w:ascii="Verdana" w:hAnsi="Verdana"/>
          <w:sz w:val="20"/>
          <w:szCs w:val="20"/>
        </w:rPr>
        <w:t>на</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Европейския</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Парламент</w:t>
      </w:r>
      <w:proofErr w:type="spellEnd"/>
      <w:r w:rsidR="00CF7C94" w:rsidRPr="00542277">
        <w:rPr>
          <w:rFonts w:ascii="Verdana" w:hAnsi="Verdana"/>
          <w:sz w:val="20"/>
          <w:szCs w:val="20"/>
        </w:rPr>
        <w:t xml:space="preserve"> и </w:t>
      </w:r>
      <w:proofErr w:type="spellStart"/>
      <w:r w:rsidR="00CF7C94" w:rsidRPr="00542277">
        <w:rPr>
          <w:rFonts w:ascii="Verdana" w:hAnsi="Verdana"/>
          <w:sz w:val="20"/>
          <w:szCs w:val="20"/>
        </w:rPr>
        <w:t>на</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съвета</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от</w:t>
      </w:r>
      <w:proofErr w:type="spellEnd"/>
      <w:r w:rsidR="00CF7C94" w:rsidRPr="00542277">
        <w:rPr>
          <w:rFonts w:ascii="Verdana" w:hAnsi="Verdana"/>
          <w:sz w:val="20"/>
          <w:szCs w:val="20"/>
        </w:rPr>
        <w:t xml:space="preserve"> 23 </w:t>
      </w:r>
      <w:proofErr w:type="spellStart"/>
      <w:r w:rsidR="00CF7C94" w:rsidRPr="00542277">
        <w:rPr>
          <w:rFonts w:ascii="Verdana" w:hAnsi="Verdana"/>
          <w:sz w:val="20"/>
          <w:szCs w:val="20"/>
        </w:rPr>
        <w:t>април</w:t>
      </w:r>
      <w:proofErr w:type="spellEnd"/>
      <w:r w:rsidR="00CF7C94" w:rsidRPr="00542277">
        <w:rPr>
          <w:rFonts w:ascii="Verdana" w:hAnsi="Verdana"/>
          <w:sz w:val="20"/>
          <w:szCs w:val="20"/>
        </w:rPr>
        <w:t xml:space="preserve"> 2020 </w:t>
      </w:r>
      <w:proofErr w:type="spellStart"/>
      <w:r w:rsidR="00CF7C94" w:rsidRPr="00542277">
        <w:rPr>
          <w:rFonts w:ascii="Verdana" w:hAnsi="Verdana"/>
          <w:sz w:val="20"/>
          <w:szCs w:val="20"/>
        </w:rPr>
        <w:t>година</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за</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изменение</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на</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регламенти</w:t>
      </w:r>
      <w:proofErr w:type="spellEnd"/>
      <w:r w:rsidR="00CF7C94" w:rsidRPr="00542277">
        <w:rPr>
          <w:rFonts w:ascii="Verdana" w:hAnsi="Verdana"/>
          <w:sz w:val="20"/>
          <w:szCs w:val="20"/>
        </w:rPr>
        <w:t xml:space="preserve"> (</w:t>
      </w:r>
      <w:proofErr w:type="gramStart"/>
      <w:r w:rsidR="00CF7C94" w:rsidRPr="00542277">
        <w:rPr>
          <w:rFonts w:ascii="Verdana" w:hAnsi="Verdana"/>
          <w:sz w:val="20"/>
          <w:szCs w:val="20"/>
        </w:rPr>
        <w:t xml:space="preserve">ЕС) </w:t>
      </w:r>
      <w:r w:rsidR="00581EAB">
        <w:rPr>
          <w:rFonts w:ascii="Verdana" w:hAnsi="Verdana"/>
          <w:sz w:val="20"/>
          <w:szCs w:val="20"/>
        </w:rPr>
        <w:t xml:space="preserve">  </w:t>
      </w:r>
      <w:proofErr w:type="gramEnd"/>
      <w:r w:rsidR="00581EAB">
        <w:rPr>
          <w:rFonts w:ascii="Verdana" w:hAnsi="Verdana"/>
          <w:sz w:val="20"/>
          <w:szCs w:val="20"/>
        </w:rPr>
        <w:t xml:space="preserve">            </w:t>
      </w:r>
      <w:r w:rsidR="00CF7C94" w:rsidRPr="00542277">
        <w:rPr>
          <w:rFonts w:ascii="Verdana" w:hAnsi="Verdana"/>
          <w:sz w:val="20"/>
          <w:szCs w:val="20"/>
        </w:rPr>
        <w:t xml:space="preserve">№ 508/2014 и (ЕС) № 1379/2013 </w:t>
      </w:r>
      <w:proofErr w:type="spellStart"/>
      <w:r w:rsidR="00CF7C94" w:rsidRPr="00542277">
        <w:rPr>
          <w:rFonts w:ascii="Verdana" w:hAnsi="Verdana"/>
          <w:sz w:val="20"/>
          <w:szCs w:val="20"/>
        </w:rPr>
        <w:t>по</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отношение</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на</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специални</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мерки</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за</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смекчаване</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на</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въздействието</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на</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избухването</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на</w:t>
      </w:r>
      <w:proofErr w:type="spellEnd"/>
      <w:r w:rsidR="00CF7C94" w:rsidRPr="00542277">
        <w:rPr>
          <w:rFonts w:ascii="Verdana" w:hAnsi="Verdana"/>
          <w:sz w:val="20"/>
          <w:szCs w:val="20"/>
        </w:rPr>
        <w:t xml:space="preserve"> COVID-19 </w:t>
      </w:r>
      <w:proofErr w:type="spellStart"/>
      <w:r w:rsidR="00CF7C94" w:rsidRPr="00542277">
        <w:rPr>
          <w:rFonts w:ascii="Verdana" w:hAnsi="Verdana"/>
          <w:sz w:val="20"/>
          <w:szCs w:val="20"/>
        </w:rPr>
        <w:t>върху</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сектора</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на</w:t>
      </w:r>
      <w:proofErr w:type="spellEnd"/>
      <w:r w:rsidR="00CF7C94" w:rsidRPr="00542277">
        <w:rPr>
          <w:rFonts w:ascii="Verdana" w:hAnsi="Verdana"/>
          <w:sz w:val="20"/>
          <w:szCs w:val="20"/>
        </w:rPr>
        <w:t xml:space="preserve"> </w:t>
      </w:r>
      <w:proofErr w:type="spellStart"/>
      <w:r w:rsidR="00CF7C94" w:rsidRPr="00542277">
        <w:rPr>
          <w:rFonts w:ascii="Verdana" w:hAnsi="Verdana"/>
          <w:sz w:val="20"/>
          <w:szCs w:val="20"/>
        </w:rPr>
        <w:t>рибарството</w:t>
      </w:r>
      <w:proofErr w:type="spellEnd"/>
      <w:r w:rsidR="00CF7C94" w:rsidRPr="00542277">
        <w:rPr>
          <w:rFonts w:ascii="Verdana" w:hAnsi="Verdana"/>
          <w:sz w:val="20"/>
          <w:szCs w:val="20"/>
        </w:rPr>
        <w:t xml:space="preserve"> и </w:t>
      </w:r>
      <w:proofErr w:type="spellStart"/>
      <w:r w:rsidR="00CF7C94" w:rsidRPr="00542277">
        <w:rPr>
          <w:rFonts w:ascii="Verdana" w:hAnsi="Verdana"/>
          <w:sz w:val="20"/>
          <w:szCs w:val="20"/>
        </w:rPr>
        <w:t>аквакултурите</w:t>
      </w:r>
      <w:proofErr w:type="spellEnd"/>
    </w:p>
    <w:bookmarkEnd w:id="0"/>
    <w:p w:rsidR="006C39D9" w:rsidRPr="00542277" w:rsidRDefault="006C39D9" w:rsidP="00CF7C94">
      <w:pPr>
        <w:pStyle w:val="ListParagraph"/>
        <w:spacing w:after="0" w:line="276" w:lineRule="auto"/>
        <w:jc w:val="center"/>
        <w:rPr>
          <w:rFonts w:ascii="Verdana" w:hAnsi="Verdana"/>
          <w:sz w:val="20"/>
          <w:lang w:val="bg-BG"/>
        </w:rPr>
      </w:pPr>
    </w:p>
    <w:p w:rsidR="00A02941" w:rsidRPr="00542277" w:rsidRDefault="00A02941" w:rsidP="00A72E80">
      <w:pPr>
        <w:spacing w:after="0"/>
        <w:jc w:val="both"/>
        <w:rPr>
          <w:rFonts w:ascii="Verdana" w:hAnsi="Verdana"/>
          <w:sz w:val="20"/>
          <w:szCs w:val="20"/>
        </w:rPr>
      </w:pPr>
    </w:p>
    <w:p w:rsidR="002A6554" w:rsidRPr="00542277" w:rsidRDefault="002A6554" w:rsidP="00A72E80">
      <w:pPr>
        <w:pStyle w:val="Heading2"/>
        <w:numPr>
          <w:ilvl w:val="0"/>
          <w:numId w:val="3"/>
        </w:numPr>
        <w:spacing w:line="276" w:lineRule="auto"/>
        <w:jc w:val="both"/>
        <w:rPr>
          <w:rFonts w:ascii="Verdana" w:hAnsi="Verdana"/>
          <w:b/>
          <w:sz w:val="20"/>
          <w:szCs w:val="20"/>
        </w:rPr>
      </w:pPr>
      <w:r w:rsidRPr="00542277">
        <w:rPr>
          <w:rFonts w:ascii="Verdana" w:hAnsi="Verdana"/>
          <w:b/>
          <w:sz w:val="20"/>
          <w:szCs w:val="20"/>
        </w:rPr>
        <w:t>Компенсация за временно преустановяване на риболовните дейности - чл. 33</w:t>
      </w:r>
      <w:r w:rsidR="00AE25A3" w:rsidRPr="00542277">
        <w:rPr>
          <w:rFonts w:ascii="Verdana" w:hAnsi="Verdana"/>
          <w:b/>
          <w:sz w:val="20"/>
          <w:szCs w:val="20"/>
        </w:rPr>
        <w:t xml:space="preserve"> </w:t>
      </w:r>
      <w:r w:rsidR="003A5115" w:rsidRPr="00542277">
        <w:rPr>
          <w:rFonts w:ascii="Verdana" w:hAnsi="Verdana"/>
          <w:b/>
          <w:sz w:val="20"/>
          <w:szCs w:val="20"/>
        </w:rPr>
        <w:t xml:space="preserve">параграф 1, буква г) </w:t>
      </w:r>
    </w:p>
    <w:p w:rsidR="002A6554" w:rsidRPr="00542277" w:rsidRDefault="002A6554" w:rsidP="00A72E80">
      <w:pPr>
        <w:jc w:val="both"/>
        <w:rPr>
          <w:rFonts w:ascii="Verdana" w:hAnsi="Verdana"/>
          <w:sz w:val="20"/>
          <w:szCs w:val="20"/>
        </w:rPr>
      </w:pPr>
    </w:p>
    <w:p w:rsidR="002A6554" w:rsidRPr="00542277" w:rsidRDefault="002A6554" w:rsidP="00A72E80">
      <w:pPr>
        <w:pStyle w:val="Heading2"/>
        <w:numPr>
          <w:ilvl w:val="1"/>
          <w:numId w:val="1"/>
        </w:numPr>
        <w:spacing w:line="276" w:lineRule="auto"/>
        <w:jc w:val="both"/>
        <w:rPr>
          <w:rFonts w:ascii="Verdana" w:hAnsi="Verdana"/>
          <w:sz w:val="20"/>
          <w:szCs w:val="20"/>
        </w:rPr>
      </w:pPr>
      <w:r w:rsidRPr="00542277">
        <w:rPr>
          <w:rFonts w:ascii="Verdana" w:hAnsi="Verdana"/>
          <w:sz w:val="20"/>
          <w:szCs w:val="20"/>
        </w:rPr>
        <w:t>Компенсация за собственици на кораби</w:t>
      </w:r>
    </w:p>
    <w:p w:rsidR="002A6554" w:rsidRPr="00542277" w:rsidRDefault="002A6554" w:rsidP="00A72E80">
      <w:pPr>
        <w:spacing w:after="0"/>
        <w:jc w:val="both"/>
        <w:rPr>
          <w:rFonts w:ascii="Verdana" w:hAnsi="Verdana"/>
          <w:sz w:val="20"/>
          <w:szCs w:val="20"/>
        </w:rPr>
      </w:pPr>
    </w:p>
    <w:p w:rsidR="0002010D" w:rsidRPr="003D04BD" w:rsidRDefault="0002010D" w:rsidP="0002010D">
      <w:pPr>
        <w:jc w:val="both"/>
      </w:pPr>
      <w:r w:rsidRPr="003D04BD">
        <w:t>Методът, който е най-удачен за компенсация на собственици на кораби, е базиран на опита на УО с мярката за постоянно прекратяване на риболовните дейности както и на опита на други държави-членки. С оглед краткотрайния и извънреден характер на прилагането на тази мярка в България и сравнително ниския брой (под 6% от риболовния флот) очаквани потенциални бенефициенти, следва да се възприемат опростени компенсаторни схеми, а именно:</w:t>
      </w:r>
    </w:p>
    <w:p w:rsidR="0002010D" w:rsidRPr="003D04BD" w:rsidRDefault="0002010D" w:rsidP="0002010D">
      <w:pPr>
        <w:jc w:val="both"/>
      </w:pPr>
    </w:p>
    <w:p w:rsidR="0002010D" w:rsidRPr="003D04BD" w:rsidRDefault="0002010D" w:rsidP="0002010D">
      <w:pPr>
        <w:jc w:val="both"/>
      </w:pPr>
      <w:r w:rsidRPr="003D04BD">
        <w:t xml:space="preserve">Премията се изчислява със следната формула </w:t>
      </w:r>
    </w:p>
    <w:p w:rsidR="0002010D" w:rsidRPr="00855AF9" w:rsidRDefault="0002010D" w:rsidP="0002010D">
      <w:pPr>
        <w:pBdr>
          <w:top w:val="single" w:sz="4" w:space="1" w:color="auto"/>
          <w:left w:val="single" w:sz="4" w:space="6" w:color="auto"/>
          <w:bottom w:val="single" w:sz="4" w:space="1" w:color="auto"/>
          <w:right w:val="single" w:sz="4" w:space="4" w:color="auto"/>
        </w:pBdr>
        <w:spacing w:before="120" w:after="120"/>
        <w:ind w:left="142" w:right="104"/>
        <w:jc w:val="center"/>
        <w:rPr>
          <w:b/>
        </w:rPr>
      </w:pPr>
      <w:r w:rsidRPr="00036ADE">
        <w:rPr>
          <w:b/>
        </w:rPr>
        <w:t>K</w:t>
      </w:r>
      <w:r w:rsidRPr="00855AF9">
        <w:rPr>
          <w:b/>
        </w:rPr>
        <w:t xml:space="preserve"> = ((P</w:t>
      </w:r>
      <w:r w:rsidRPr="00036ADE">
        <w:rPr>
          <w:b/>
        </w:rPr>
        <w:t xml:space="preserve"> х </w:t>
      </w:r>
      <w:r w:rsidRPr="00855AF9">
        <w:rPr>
          <w:b/>
        </w:rPr>
        <w:t>GT</w:t>
      </w:r>
      <w:r w:rsidRPr="00036ADE">
        <w:rPr>
          <w:b/>
        </w:rPr>
        <w:t xml:space="preserve">) + R) х </w:t>
      </w:r>
      <w:r w:rsidRPr="00855AF9">
        <w:rPr>
          <w:b/>
        </w:rPr>
        <w:t>d</w:t>
      </w:r>
    </w:p>
    <w:p w:rsidR="0002010D" w:rsidRPr="00855AF9" w:rsidRDefault="0002010D" w:rsidP="0002010D">
      <w:pPr>
        <w:pBdr>
          <w:top w:val="single" w:sz="4" w:space="1" w:color="auto"/>
          <w:left w:val="single" w:sz="4" w:space="6" w:color="auto"/>
          <w:bottom w:val="single" w:sz="4" w:space="1" w:color="auto"/>
          <w:right w:val="single" w:sz="4" w:space="4" w:color="auto"/>
        </w:pBdr>
        <w:spacing w:before="120" w:after="120"/>
        <w:ind w:left="142" w:right="104"/>
        <w:jc w:val="both"/>
      </w:pPr>
      <w:r w:rsidRPr="00036ADE">
        <w:t>в</w:t>
      </w:r>
      <w:r w:rsidRPr="00855AF9">
        <w:t xml:space="preserve"> </w:t>
      </w:r>
      <w:proofErr w:type="spellStart"/>
      <w:r w:rsidRPr="00855AF9">
        <w:t>която</w:t>
      </w:r>
      <w:proofErr w:type="spellEnd"/>
      <w:r w:rsidRPr="00036ADE">
        <w:t>:</w:t>
      </w:r>
    </w:p>
    <w:p w:rsidR="0002010D" w:rsidRPr="00036ADE" w:rsidRDefault="0002010D" w:rsidP="0002010D">
      <w:pPr>
        <w:pBdr>
          <w:top w:val="single" w:sz="4" w:space="1" w:color="auto"/>
          <w:left w:val="single" w:sz="4" w:space="6" w:color="auto"/>
          <w:bottom w:val="single" w:sz="4" w:space="1" w:color="auto"/>
          <w:right w:val="single" w:sz="4" w:space="4" w:color="auto"/>
        </w:pBdr>
        <w:spacing w:before="120" w:after="120"/>
        <w:ind w:left="142" w:right="104"/>
        <w:jc w:val="both"/>
      </w:pPr>
      <w:r w:rsidRPr="00036ADE">
        <w:rPr>
          <w:b/>
        </w:rPr>
        <w:t>К</w:t>
      </w:r>
      <w:r w:rsidRPr="00036ADE">
        <w:t xml:space="preserve"> е </w:t>
      </w:r>
      <w:proofErr w:type="spellStart"/>
      <w:r w:rsidRPr="00036ADE">
        <w:t>общата</w:t>
      </w:r>
      <w:proofErr w:type="spellEnd"/>
      <w:r w:rsidRPr="00855AF9">
        <w:t xml:space="preserve"> </w:t>
      </w:r>
      <w:proofErr w:type="spellStart"/>
      <w:r w:rsidRPr="00855AF9">
        <w:t>компенсация</w:t>
      </w:r>
      <w:proofErr w:type="spellEnd"/>
      <w:r w:rsidRPr="00855AF9">
        <w:t xml:space="preserve"> </w:t>
      </w:r>
      <w:proofErr w:type="spellStart"/>
      <w:r w:rsidRPr="00855AF9">
        <w:t>за</w:t>
      </w:r>
      <w:proofErr w:type="spellEnd"/>
      <w:r w:rsidRPr="00855AF9">
        <w:t xml:space="preserve"> </w:t>
      </w:r>
      <w:proofErr w:type="spellStart"/>
      <w:r w:rsidRPr="00855AF9">
        <w:t>временно</w:t>
      </w:r>
      <w:proofErr w:type="spellEnd"/>
      <w:r w:rsidRPr="00855AF9">
        <w:t xml:space="preserve"> </w:t>
      </w:r>
      <w:proofErr w:type="spellStart"/>
      <w:r w:rsidRPr="00855AF9">
        <w:t>преустановяване</w:t>
      </w:r>
      <w:proofErr w:type="spellEnd"/>
      <w:r w:rsidRPr="00855AF9">
        <w:t xml:space="preserve"> </w:t>
      </w:r>
      <w:proofErr w:type="spellStart"/>
      <w:r w:rsidRPr="00036ADE">
        <w:t>на</w:t>
      </w:r>
      <w:proofErr w:type="spellEnd"/>
      <w:r w:rsidRPr="00036ADE">
        <w:t xml:space="preserve"> </w:t>
      </w:r>
      <w:proofErr w:type="spellStart"/>
      <w:r w:rsidRPr="00036ADE">
        <w:t>риболовните</w:t>
      </w:r>
      <w:proofErr w:type="spellEnd"/>
      <w:r w:rsidRPr="00036ADE">
        <w:t xml:space="preserve"> </w:t>
      </w:r>
      <w:proofErr w:type="spellStart"/>
      <w:r w:rsidRPr="00036ADE">
        <w:t>дейности</w:t>
      </w:r>
      <w:proofErr w:type="spellEnd"/>
      <w:r w:rsidRPr="00036ADE">
        <w:t xml:space="preserve"> </w:t>
      </w:r>
      <w:proofErr w:type="spellStart"/>
      <w:r w:rsidRPr="00036ADE">
        <w:t>на</w:t>
      </w:r>
      <w:proofErr w:type="spellEnd"/>
      <w:r w:rsidRPr="00036ADE">
        <w:t xml:space="preserve"> </w:t>
      </w:r>
      <w:proofErr w:type="spellStart"/>
      <w:r w:rsidRPr="00855AF9">
        <w:t>кораб</w:t>
      </w:r>
      <w:proofErr w:type="spellEnd"/>
      <w:r w:rsidRPr="00855AF9">
        <w:t>;</w:t>
      </w:r>
    </w:p>
    <w:p w:rsidR="0002010D" w:rsidRPr="00036ADE" w:rsidRDefault="0002010D" w:rsidP="0002010D">
      <w:pPr>
        <w:pBdr>
          <w:top w:val="single" w:sz="4" w:space="1" w:color="auto"/>
          <w:left w:val="single" w:sz="4" w:space="6" w:color="auto"/>
          <w:bottom w:val="single" w:sz="4" w:space="1" w:color="auto"/>
          <w:right w:val="single" w:sz="4" w:space="4" w:color="auto"/>
        </w:pBdr>
        <w:spacing w:before="120" w:after="120"/>
        <w:ind w:left="142" w:right="104"/>
        <w:jc w:val="both"/>
      </w:pPr>
      <w:r w:rsidRPr="00855AF9">
        <w:rPr>
          <w:b/>
        </w:rPr>
        <w:lastRenderedPageBreak/>
        <w:t>P</w:t>
      </w:r>
      <w:r w:rsidRPr="00855AF9">
        <w:t xml:space="preserve"> – </w:t>
      </w:r>
      <w:proofErr w:type="spellStart"/>
      <w:r w:rsidRPr="00036ADE">
        <w:t>дневна</w:t>
      </w:r>
      <w:proofErr w:type="spellEnd"/>
      <w:r w:rsidRPr="00855AF9">
        <w:t xml:space="preserve"> </w:t>
      </w:r>
      <w:proofErr w:type="spellStart"/>
      <w:r w:rsidRPr="00855AF9">
        <w:t>премия</w:t>
      </w:r>
      <w:proofErr w:type="spellEnd"/>
      <w:r w:rsidRPr="00855AF9">
        <w:t xml:space="preserve"> </w:t>
      </w:r>
      <w:proofErr w:type="spellStart"/>
      <w:r w:rsidRPr="00855AF9">
        <w:t>за</w:t>
      </w:r>
      <w:proofErr w:type="spellEnd"/>
      <w:r w:rsidRPr="00855AF9">
        <w:t xml:space="preserve"> </w:t>
      </w:r>
      <w:proofErr w:type="spellStart"/>
      <w:r w:rsidRPr="00036ADE">
        <w:t>преустановяване</w:t>
      </w:r>
      <w:proofErr w:type="spellEnd"/>
      <w:r w:rsidRPr="00036ADE">
        <w:t xml:space="preserve"> </w:t>
      </w:r>
      <w:proofErr w:type="spellStart"/>
      <w:r w:rsidRPr="00036ADE">
        <w:t>на</w:t>
      </w:r>
      <w:proofErr w:type="spellEnd"/>
      <w:r w:rsidRPr="00036ADE">
        <w:t xml:space="preserve"> </w:t>
      </w:r>
      <w:proofErr w:type="spellStart"/>
      <w:r w:rsidRPr="00036ADE">
        <w:t>риболовните</w:t>
      </w:r>
      <w:proofErr w:type="spellEnd"/>
      <w:r w:rsidRPr="00036ADE">
        <w:t xml:space="preserve"> </w:t>
      </w:r>
      <w:proofErr w:type="spellStart"/>
      <w:r w:rsidRPr="00036ADE">
        <w:t>дейности</w:t>
      </w:r>
      <w:proofErr w:type="spellEnd"/>
      <w:r w:rsidRPr="00855AF9">
        <w:t xml:space="preserve"> </w:t>
      </w:r>
      <w:proofErr w:type="spellStart"/>
      <w:r w:rsidRPr="00855AF9">
        <w:t>за</w:t>
      </w:r>
      <w:proofErr w:type="spellEnd"/>
      <w:r w:rsidRPr="00855AF9">
        <w:t xml:space="preserve"> 1 БТ (</w:t>
      </w:r>
      <w:proofErr w:type="spellStart"/>
      <w:r w:rsidRPr="00036ADE">
        <w:t>Бруто</w:t>
      </w:r>
      <w:proofErr w:type="spellEnd"/>
      <w:r w:rsidRPr="00036ADE">
        <w:t xml:space="preserve"> </w:t>
      </w:r>
      <w:proofErr w:type="spellStart"/>
      <w:r w:rsidRPr="00036ADE">
        <w:t>тон</w:t>
      </w:r>
      <w:proofErr w:type="spellEnd"/>
      <w:r w:rsidRPr="00036ADE">
        <w:t xml:space="preserve">) </w:t>
      </w:r>
      <w:proofErr w:type="spellStart"/>
      <w:r w:rsidRPr="00036ADE">
        <w:t>от</w:t>
      </w:r>
      <w:proofErr w:type="spellEnd"/>
      <w:r w:rsidRPr="00036ADE">
        <w:t xml:space="preserve"> </w:t>
      </w:r>
      <w:proofErr w:type="spellStart"/>
      <w:r w:rsidRPr="00036ADE">
        <w:t>риболовният</w:t>
      </w:r>
      <w:proofErr w:type="spellEnd"/>
      <w:r w:rsidRPr="00036ADE">
        <w:t xml:space="preserve"> </w:t>
      </w:r>
      <w:proofErr w:type="spellStart"/>
      <w:r w:rsidRPr="00036ADE">
        <w:t>кораб</w:t>
      </w:r>
      <w:proofErr w:type="spellEnd"/>
      <w:r w:rsidRPr="00036ADE">
        <w:t xml:space="preserve"> (</w:t>
      </w:r>
      <w:proofErr w:type="spellStart"/>
      <w:r w:rsidRPr="00036ADE">
        <w:t>представена</w:t>
      </w:r>
      <w:proofErr w:type="spellEnd"/>
      <w:r w:rsidRPr="00036ADE">
        <w:t xml:space="preserve"> е в </w:t>
      </w:r>
      <w:proofErr w:type="spellStart"/>
      <w:r w:rsidRPr="00036ADE">
        <w:t>таблица</w:t>
      </w:r>
      <w:proofErr w:type="spellEnd"/>
      <w:r w:rsidRPr="00855AF9">
        <w:t xml:space="preserve"> 1);</w:t>
      </w:r>
    </w:p>
    <w:p w:rsidR="0002010D" w:rsidRPr="00855AF9" w:rsidRDefault="0002010D" w:rsidP="0002010D">
      <w:pPr>
        <w:pBdr>
          <w:top w:val="single" w:sz="4" w:space="1" w:color="auto"/>
          <w:left w:val="single" w:sz="4" w:space="6" w:color="auto"/>
          <w:bottom w:val="single" w:sz="4" w:space="1" w:color="auto"/>
          <w:right w:val="single" w:sz="4" w:space="4" w:color="auto"/>
        </w:pBdr>
        <w:spacing w:before="120" w:after="120"/>
        <w:ind w:left="142" w:right="104"/>
        <w:jc w:val="both"/>
      </w:pPr>
      <w:r w:rsidRPr="00855AF9">
        <w:rPr>
          <w:b/>
        </w:rPr>
        <w:t>GT</w:t>
      </w:r>
      <w:r w:rsidRPr="00855AF9">
        <w:t xml:space="preserve"> – </w:t>
      </w:r>
      <w:proofErr w:type="spellStart"/>
      <w:r w:rsidRPr="00036ADE">
        <w:t>бруто</w:t>
      </w:r>
      <w:proofErr w:type="spellEnd"/>
      <w:r w:rsidRPr="00855AF9">
        <w:t xml:space="preserve"> </w:t>
      </w:r>
      <w:proofErr w:type="spellStart"/>
      <w:r w:rsidRPr="00855AF9">
        <w:t>тонаж</w:t>
      </w:r>
      <w:proofErr w:type="spellEnd"/>
      <w:r w:rsidRPr="00855AF9">
        <w:t xml:space="preserve"> </w:t>
      </w:r>
      <w:proofErr w:type="spellStart"/>
      <w:r w:rsidRPr="00855AF9">
        <w:t>на</w:t>
      </w:r>
      <w:proofErr w:type="spellEnd"/>
      <w:r w:rsidRPr="00855AF9">
        <w:t xml:space="preserve"> </w:t>
      </w:r>
      <w:proofErr w:type="spellStart"/>
      <w:r w:rsidRPr="00855AF9">
        <w:t>кораба</w:t>
      </w:r>
      <w:proofErr w:type="spellEnd"/>
      <w:r w:rsidRPr="00855AF9">
        <w:t>;</w:t>
      </w:r>
    </w:p>
    <w:p w:rsidR="0002010D" w:rsidRPr="00855AF9" w:rsidRDefault="0002010D" w:rsidP="0002010D">
      <w:pPr>
        <w:pBdr>
          <w:top w:val="single" w:sz="4" w:space="1" w:color="auto"/>
          <w:left w:val="single" w:sz="4" w:space="6" w:color="auto"/>
          <w:bottom w:val="single" w:sz="4" w:space="1" w:color="auto"/>
          <w:right w:val="single" w:sz="4" w:space="4" w:color="auto"/>
        </w:pBdr>
        <w:spacing w:before="120" w:after="120"/>
        <w:ind w:left="142" w:right="104"/>
        <w:jc w:val="both"/>
      </w:pPr>
      <w:r w:rsidRPr="00036ADE">
        <w:rPr>
          <w:b/>
        </w:rPr>
        <w:t xml:space="preserve">R </w:t>
      </w:r>
      <w:r w:rsidRPr="00036ADE">
        <w:t xml:space="preserve">– </w:t>
      </w:r>
      <w:proofErr w:type="spellStart"/>
      <w:r w:rsidRPr="00036ADE">
        <w:t>премия</w:t>
      </w:r>
      <w:proofErr w:type="spellEnd"/>
      <w:r w:rsidRPr="00036ADE">
        <w:t xml:space="preserve"> </w:t>
      </w:r>
      <w:proofErr w:type="spellStart"/>
      <w:r w:rsidRPr="00036ADE">
        <w:t>за</w:t>
      </w:r>
      <w:proofErr w:type="spellEnd"/>
      <w:r w:rsidRPr="00036ADE">
        <w:t xml:space="preserve"> </w:t>
      </w:r>
      <w:proofErr w:type="spellStart"/>
      <w:r w:rsidRPr="00036ADE">
        <w:t>допълнителни</w:t>
      </w:r>
      <w:proofErr w:type="spellEnd"/>
      <w:r w:rsidRPr="00036ADE">
        <w:t xml:space="preserve"> </w:t>
      </w:r>
      <w:proofErr w:type="spellStart"/>
      <w:r w:rsidRPr="00036ADE">
        <w:t>разходи</w:t>
      </w:r>
      <w:proofErr w:type="spellEnd"/>
      <w:r w:rsidRPr="00036ADE">
        <w:t xml:space="preserve"> –</w:t>
      </w:r>
      <w:r w:rsidRPr="00855AF9">
        <w:t xml:space="preserve"> 5</w:t>
      </w:r>
      <w:r w:rsidRPr="00036ADE">
        <w:t>,</w:t>
      </w:r>
      <w:r w:rsidRPr="00855AF9">
        <w:t xml:space="preserve">66 </w:t>
      </w:r>
      <w:proofErr w:type="spellStart"/>
      <w:r w:rsidRPr="00855AF9">
        <w:t>лв</w:t>
      </w:r>
      <w:proofErr w:type="spellEnd"/>
      <w:r w:rsidRPr="00036ADE">
        <w:t xml:space="preserve">. </w:t>
      </w:r>
      <w:proofErr w:type="spellStart"/>
      <w:r w:rsidRPr="00036ADE">
        <w:t>на</w:t>
      </w:r>
      <w:proofErr w:type="spellEnd"/>
      <w:r w:rsidRPr="00036ADE">
        <w:t xml:space="preserve"> </w:t>
      </w:r>
      <w:proofErr w:type="spellStart"/>
      <w:r w:rsidRPr="00036ADE">
        <w:t>ден</w:t>
      </w:r>
      <w:proofErr w:type="spellEnd"/>
      <w:r w:rsidRPr="00036ADE">
        <w:t>;</w:t>
      </w:r>
    </w:p>
    <w:p w:rsidR="0002010D" w:rsidRPr="00855AF9" w:rsidRDefault="0002010D" w:rsidP="0002010D">
      <w:pPr>
        <w:pBdr>
          <w:top w:val="single" w:sz="4" w:space="1" w:color="auto"/>
          <w:left w:val="single" w:sz="4" w:space="6" w:color="auto"/>
          <w:bottom w:val="single" w:sz="4" w:space="1" w:color="auto"/>
          <w:right w:val="single" w:sz="4" w:space="4" w:color="auto"/>
        </w:pBdr>
        <w:spacing w:before="120" w:after="120"/>
        <w:ind w:left="142" w:right="104"/>
        <w:jc w:val="both"/>
      </w:pPr>
      <w:r w:rsidRPr="00855AF9">
        <w:rPr>
          <w:b/>
        </w:rPr>
        <w:t xml:space="preserve">d </w:t>
      </w:r>
      <w:r w:rsidRPr="00855AF9">
        <w:t xml:space="preserve">– </w:t>
      </w:r>
      <w:proofErr w:type="spellStart"/>
      <w:r w:rsidRPr="00036ADE">
        <w:t>брой</w:t>
      </w:r>
      <w:proofErr w:type="spellEnd"/>
      <w:r w:rsidRPr="00036ADE">
        <w:t xml:space="preserve"> </w:t>
      </w:r>
      <w:proofErr w:type="spellStart"/>
      <w:r w:rsidRPr="00036ADE">
        <w:t>дни</w:t>
      </w:r>
      <w:proofErr w:type="spellEnd"/>
      <w:r w:rsidRPr="00036ADE">
        <w:t xml:space="preserve"> </w:t>
      </w:r>
      <w:proofErr w:type="spellStart"/>
      <w:r w:rsidRPr="00036ADE">
        <w:t>на</w:t>
      </w:r>
      <w:proofErr w:type="spellEnd"/>
      <w:r w:rsidRPr="00855AF9">
        <w:t xml:space="preserve"> </w:t>
      </w:r>
      <w:proofErr w:type="spellStart"/>
      <w:r w:rsidRPr="00855AF9">
        <w:t>преустановяване</w:t>
      </w:r>
      <w:proofErr w:type="spellEnd"/>
      <w:r w:rsidRPr="00036ADE">
        <w:t xml:space="preserve"> </w:t>
      </w:r>
      <w:proofErr w:type="spellStart"/>
      <w:r w:rsidRPr="00036ADE">
        <w:t>на</w:t>
      </w:r>
      <w:proofErr w:type="spellEnd"/>
      <w:r w:rsidRPr="00036ADE">
        <w:t xml:space="preserve"> </w:t>
      </w:r>
      <w:proofErr w:type="spellStart"/>
      <w:r w:rsidRPr="00036ADE">
        <w:t>риболовните</w:t>
      </w:r>
      <w:proofErr w:type="spellEnd"/>
      <w:r w:rsidRPr="00036ADE">
        <w:t xml:space="preserve"> </w:t>
      </w:r>
      <w:proofErr w:type="spellStart"/>
      <w:r w:rsidRPr="00036ADE">
        <w:t>дейности</w:t>
      </w:r>
      <w:proofErr w:type="spellEnd"/>
      <w:r w:rsidRPr="00855AF9">
        <w:t>.</w:t>
      </w:r>
    </w:p>
    <w:p w:rsidR="0002010D" w:rsidRPr="0002010D" w:rsidRDefault="0002010D" w:rsidP="0002010D">
      <w:pPr>
        <w:jc w:val="both"/>
      </w:pPr>
      <w:r w:rsidRPr="003D04BD">
        <w:t>Този модел взема предвид не само тонажа на кораба, но и неговата дължина. Той определя вариращи стойности за 1 БТ в зависимост от категорията за дължина, като стойността се променя спрямо съответния сегмент. Разделянето по сегменти се основава на Доклада за съответствие капацитета на риболовния флот с възможностите за риболов</w:t>
      </w:r>
      <w:r>
        <w:t>.</w:t>
      </w:r>
      <w:r w:rsidRPr="003D04BD">
        <w:t xml:space="preserve"> </w:t>
      </w:r>
      <w:r w:rsidRPr="003B3A97">
        <w:rPr>
          <w:rFonts w:ascii="Verdana" w:hAnsi="Verdana"/>
          <w:sz w:val="20"/>
          <w:szCs w:val="20"/>
        </w:rPr>
        <w:t xml:space="preserve"> </w:t>
      </w:r>
      <w:r w:rsidRPr="005B1C90">
        <w:t>За изчисляване на  дневната премия (Р), са е взети и съответно анализирани данни, предоставени от ИАРА във връзка със стойността на уловите, бруто тонажа и дължината на корабите за всеки сегмент.</w:t>
      </w:r>
      <w:r>
        <w:t xml:space="preserve"> </w:t>
      </w:r>
    </w:p>
    <w:p w:rsidR="0002010D" w:rsidRPr="003D04BD" w:rsidRDefault="0002010D" w:rsidP="0002010D">
      <w:pPr>
        <w:ind w:left="60"/>
        <w:jc w:val="both"/>
        <w:rPr>
          <w:b/>
        </w:rPr>
      </w:pPr>
      <w:r w:rsidRPr="003D04BD">
        <w:rPr>
          <w:b/>
        </w:rPr>
        <w:t>Таблица 1</w:t>
      </w:r>
    </w:p>
    <w:tbl>
      <w:tblPr>
        <w:tblStyle w:val="TableGrid"/>
        <w:tblW w:w="9781" w:type="dxa"/>
        <w:tblInd w:w="108" w:type="dxa"/>
        <w:tblLook w:val="04A0" w:firstRow="1" w:lastRow="0" w:firstColumn="1" w:lastColumn="0" w:noHBand="0" w:noVBand="1"/>
      </w:tblPr>
      <w:tblGrid>
        <w:gridCol w:w="4536"/>
        <w:gridCol w:w="5245"/>
      </w:tblGrid>
      <w:tr w:rsidR="0002010D" w:rsidRPr="003D04BD" w:rsidTr="00D36B0B">
        <w:tc>
          <w:tcPr>
            <w:tcW w:w="4536" w:type="dxa"/>
          </w:tcPr>
          <w:p w:rsidR="0002010D" w:rsidRPr="003D04BD" w:rsidRDefault="0002010D" w:rsidP="00D36B0B">
            <w:pPr>
              <w:ind w:right="-283"/>
              <w:jc w:val="both"/>
            </w:pPr>
            <w:r w:rsidRPr="003D04BD">
              <w:t>Категоризация по дължина на кораба (m)</w:t>
            </w:r>
          </w:p>
        </w:tc>
        <w:tc>
          <w:tcPr>
            <w:tcW w:w="5245" w:type="dxa"/>
          </w:tcPr>
          <w:p w:rsidR="0002010D" w:rsidRPr="003D04BD" w:rsidRDefault="0002010D" w:rsidP="00D36B0B">
            <w:pPr>
              <w:ind w:right="-283"/>
              <w:jc w:val="both"/>
            </w:pPr>
            <w:r w:rsidRPr="003D04BD">
              <w:t>Дневна премия за преустановяване за 1 БТ (лв.)</w:t>
            </w:r>
          </w:p>
        </w:tc>
      </w:tr>
      <w:tr w:rsidR="0002010D" w:rsidRPr="003D04BD" w:rsidTr="00D36B0B">
        <w:tc>
          <w:tcPr>
            <w:tcW w:w="4536" w:type="dxa"/>
            <w:vAlign w:val="bottom"/>
          </w:tcPr>
          <w:p w:rsidR="0002010D" w:rsidRPr="003D04BD" w:rsidRDefault="0002010D" w:rsidP="00D36B0B">
            <w:pPr>
              <w:ind w:right="-283"/>
              <w:jc w:val="both"/>
            </w:pPr>
            <w:r w:rsidRPr="001B7102">
              <w:t>&lt;6</w:t>
            </w:r>
          </w:p>
        </w:tc>
        <w:tc>
          <w:tcPr>
            <w:tcW w:w="5245" w:type="dxa"/>
          </w:tcPr>
          <w:p w:rsidR="0002010D" w:rsidRPr="005B1C90" w:rsidRDefault="0002010D" w:rsidP="00D36B0B">
            <w:pPr>
              <w:jc w:val="both"/>
            </w:pPr>
            <w:r>
              <w:t>12,92</w:t>
            </w:r>
          </w:p>
        </w:tc>
      </w:tr>
      <w:tr w:rsidR="0002010D" w:rsidRPr="003D04BD" w:rsidTr="00D36B0B">
        <w:tc>
          <w:tcPr>
            <w:tcW w:w="4536" w:type="dxa"/>
            <w:vAlign w:val="bottom"/>
          </w:tcPr>
          <w:p w:rsidR="0002010D" w:rsidRPr="001B7102" w:rsidRDefault="0002010D" w:rsidP="00D36B0B">
            <w:pPr>
              <w:ind w:right="-283"/>
              <w:jc w:val="both"/>
            </w:pPr>
            <w:r w:rsidRPr="001B7102">
              <w:t>≥6&lt;12</w:t>
            </w:r>
          </w:p>
        </w:tc>
        <w:tc>
          <w:tcPr>
            <w:tcW w:w="5245" w:type="dxa"/>
          </w:tcPr>
          <w:p w:rsidR="0002010D" w:rsidRPr="005B1C90" w:rsidRDefault="0002010D" w:rsidP="00D36B0B">
            <w:pPr>
              <w:jc w:val="both"/>
            </w:pPr>
            <w:r>
              <w:t>12,92</w:t>
            </w:r>
          </w:p>
        </w:tc>
      </w:tr>
      <w:tr w:rsidR="0002010D" w:rsidRPr="003D04BD" w:rsidTr="00D36B0B">
        <w:tc>
          <w:tcPr>
            <w:tcW w:w="4536" w:type="dxa"/>
            <w:vAlign w:val="bottom"/>
          </w:tcPr>
          <w:p w:rsidR="0002010D" w:rsidRPr="001B7102" w:rsidRDefault="0002010D" w:rsidP="00D36B0B">
            <w:pPr>
              <w:ind w:right="-283"/>
              <w:jc w:val="both"/>
            </w:pPr>
            <w:r w:rsidRPr="001B7102">
              <w:t>≥12&lt;18</w:t>
            </w:r>
          </w:p>
        </w:tc>
        <w:tc>
          <w:tcPr>
            <w:tcW w:w="5245" w:type="dxa"/>
          </w:tcPr>
          <w:p w:rsidR="0002010D" w:rsidRPr="005B1C90" w:rsidRDefault="0002010D" w:rsidP="00D36B0B">
            <w:pPr>
              <w:jc w:val="both"/>
            </w:pPr>
            <w:r>
              <w:t>12,92</w:t>
            </w:r>
          </w:p>
        </w:tc>
      </w:tr>
      <w:tr w:rsidR="0002010D" w:rsidRPr="003D04BD" w:rsidTr="00D36B0B">
        <w:tc>
          <w:tcPr>
            <w:tcW w:w="4536" w:type="dxa"/>
            <w:vAlign w:val="bottom"/>
          </w:tcPr>
          <w:p w:rsidR="0002010D" w:rsidRPr="003D04BD" w:rsidRDefault="0002010D" w:rsidP="00D36B0B">
            <w:pPr>
              <w:ind w:right="-283"/>
              <w:jc w:val="both"/>
            </w:pPr>
            <w:r w:rsidRPr="001B7102">
              <w:t>≥18&lt;24</w:t>
            </w:r>
          </w:p>
        </w:tc>
        <w:tc>
          <w:tcPr>
            <w:tcW w:w="5245" w:type="dxa"/>
          </w:tcPr>
          <w:p w:rsidR="0002010D" w:rsidRPr="003D04BD" w:rsidRDefault="0002010D" w:rsidP="00D36B0B">
            <w:pPr>
              <w:jc w:val="both"/>
            </w:pPr>
            <w:r w:rsidRPr="003D04BD">
              <w:t xml:space="preserve"> 7,</w:t>
            </w:r>
            <w:r>
              <w:t>75</w:t>
            </w:r>
            <w:r w:rsidRPr="003D04BD">
              <w:t xml:space="preserve">   </w:t>
            </w:r>
          </w:p>
        </w:tc>
      </w:tr>
      <w:tr w:rsidR="0002010D" w:rsidRPr="003D04BD" w:rsidTr="00D36B0B">
        <w:tc>
          <w:tcPr>
            <w:tcW w:w="4536" w:type="dxa"/>
            <w:vAlign w:val="bottom"/>
          </w:tcPr>
          <w:p w:rsidR="0002010D" w:rsidRPr="003D04BD" w:rsidRDefault="0002010D" w:rsidP="00D36B0B">
            <w:pPr>
              <w:ind w:right="-283"/>
              <w:jc w:val="both"/>
            </w:pPr>
            <w:r w:rsidRPr="001B7102">
              <w:t>≥24</w:t>
            </w:r>
          </w:p>
        </w:tc>
        <w:tc>
          <w:tcPr>
            <w:tcW w:w="5245" w:type="dxa"/>
          </w:tcPr>
          <w:p w:rsidR="0002010D" w:rsidRPr="003D04BD" w:rsidRDefault="0002010D" w:rsidP="00D36B0B">
            <w:pPr>
              <w:jc w:val="both"/>
            </w:pPr>
            <w:r w:rsidRPr="003D04BD">
              <w:t xml:space="preserve"> </w:t>
            </w:r>
            <w:r>
              <w:t>4</w:t>
            </w:r>
            <w:r w:rsidRPr="003D04BD">
              <w:t>,</w:t>
            </w:r>
            <w:r>
              <w:t>65</w:t>
            </w:r>
            <w:r w:rsidRPr="003D04BD">
              <w:t xml:space="preserve">    </w:t>
            </w:r>
          </w:p>
        </w:tc>
      </w:tr>
    </w:tbl>
    <w:p w:rsidR="0002010D" w:rsidRDefault="0002010D" w:rsidP="0002010D">
      <w:pPr>
        <w:jc w:val="both"/>
        <w:rPr>
          <w:highlight w:val="yellow"/>
        </w:rPr>
      </w:pPr>
    </w:p>
    <w:p w:rsidR="0002010D" w:rsidRPr="000E4958" w:rsidRDefault="0002010D" w:rsidP="0002010D">
      <w:pPr>
        <w:jc w:val="both"/>
      </w:pPr>
      <w:r>
        <w:t xml:space="preserve">Сумата от 12,92 лв. за 1БТ е </w:t>
      </w:r>
      <w:proofErr w:type="spellStart"/>
      <w:r>
        <w:t>среднодневната</w:t>
      </w:r>
      <w:proofErr w:type="spellEnd"/>
      <w:r>
        <w:t xml:space="preserve"> стойност на улова на допустимите кораби (от справката на ИАРА и допустимост само за </w:t>
      </w:r>
      <w:proofErr w:type="spellStart"/>
      <w:r>
        <w:t>продължитеност</w:t>
      </w:r>
      <w:proofErr w:type="spellEnd"/>
      <w:r>
        <w:t xml:space="preserve"> на риболовните дейности) спрямо 1БТ. Тъй като нито един кораб не е бил непрекъснато на море, </w:t>
      </w:r>
      <w:proofErr w:type="spellStart"/>
      <w:r>
        <w:t>среднодневната</w:t>
      </w:r>
      <w:proofErr w:type="spellEnd"/>
      <w:r>
        <w:t xml:space="preserve"> стойност е изчислена като се раздели средната годишна стойност на улова на 295, защото корабът с най-много дни на море за последните две години е бил на море 590 дни или 295 средно на година. Премиите от 7,75 и 4,65 са резултат от постепенно намаляване с 40%. При тази методология, макар да се използват два различни фактора (дължина и БТ), БТ е водещият фактор, понеже е множител във формулата. </w:t>
      </w:r>
      <w:r w:rsidRPr="00BD1689">
        <w:t>Се</w:t>
      </w:r>
      <w:r>
        <w:t xml:space="preserve">гментите </w:t>
      </w:r>
      <w:r w:rsidRPr="00BD1689">
        <w:t>&lt;6</w:t>
      </w:r>
      <w:r>
        <w:t xml:space="preserve">, ≥6&lt;12 и </w:t>
      </w:r>
      <w:r w:rsidRPr="00BD1689">
        <w:t>≥12&lt;18</w:t>
      </w:r>
      <w:r>
        <w:t xml:space="preserve"> са с еднаква стойност на премията, защото БТ на тези кораби (които са допустими с оглед дни на море) е в сравнително малък диапазон – от &lt;1БТ до 30БТ, като над 30 БТ има само 3 кораба (30.06 БТ, 31БТ и 39 БТ). По-раздробена сегментация би довела до </w:t>
      </w:r>
      <w:proofErr w:type="spellStart"/>
      <w:r>
        <w:t>свръхкомпенсация</w:t>
      </w:r>
      <w:proofErr w:type="spellEnd"/>
      <w:r>
        <w:t xml:space="preserve"> на най-малкия сегмент с оглед официалните данни от ИАРА. Сегментът </w:t>
      </w:r>
      <w:r w:rsidRPr="001B7102">
        <w:t>≥18&lt;24</w:t>
      </w:r>
      <w:r>
        <w:t xml:space="preserve"> варира от 31.76 БТ до 86.98 БТ, а </w:t>
      </w:r>
      <w:r w:rsidRPr="001B7102">
        <w:t>≥24</w:t>
      </w:r>
      <w:r>
        <w:t xml:space="preserve"> от 76.33 БТ до 117.36 БТ. Тази методология и сегментация позволява да се предостави обективно подпомагане и да се избегне </w:t>
      </w:r>
      <w:proofErr w:type="spellStart"/>
      <w:r>
        <w:t>свръхкомпенсация</w:t>
      </w:r>
      <w:proofErr w:type="spellEnd"/>
      <w:r>
        <w:t>. С оглед практиката на други Държави членки по тази мярка, премията за 1 БТ се намалява за по-големите риболовни кораби.</w:t>
      </w:r>
    </w:p>
    <w:p w:rsidR="0002010D" w:rsidRDefault="0002010D" w:rsidP="0002010D">
      <w:pPr>
        <w:jc w:val="both"/>
      </w:pPr>
    </w:p>
    <w:p w:rsidR="0002010D" w:rsidRPr="00B650B2" w:rsidRDefault="0002010D" w:rsidP="0002010D">
      <w:pPr>
        <w:jc w:val="both"/>
      </w:pPr>
      <w:r w:rsidRPr="003D04BD">
        <w:lastRenderedPageBreak/>
        <w:t xml:space="preserve">За определяне на стойността на </w:t>
      </w:r>
      <w:r w:rsidRPr="003D04BD">
        <w:rPr>
          <w:b/>
        </w:rPr>
        <w:t>А –</w:t>
      </w:r>
      <w:r w:rsidRPr="003D04BD">
        <w:t xml:space="preserve"> </w:t>
      </w:r>
      <w:proofErr w:type="spellStart"/>
      <w:r w:rsidRPr="003D04BD">
        <w:t>Допълнителна</w:t>
      </w:r>
      <w:proofErr w:type="spellEnd"/>
      <w:r w:rsidRPr="003D04BD">
        <w:t xml:space="preserve"> </w:t>
      </w:r>
      <w:proofErr w:type="spellStart"/>
      <w:r w:rsidRPr="003D04BD">
        <w:t>премия</w:t>
      </w:r>
      <w:proofErr w:type="spellEnd"/>
      <w:r w:rsidRPr="003D04BD">
        <w:t xml:space="preserve"> </w:t>
      </w:r>
      <w:proofErr w:type="spellStart"/>
      <w:r w:rsidRPr="003D04BD">
        <w:t>за</w:t>
      </w:r>
      <w:proofErr w:type="spellEnd"/>
      <w:r w:rsidRPr="003D04BD">
        <w:t xml:space="preserve"> </w:t>
      </w:r>
      <w:proofErr w:type="spellStart"/>
      <w:r w:rsidRPr="003D04BD">
        <w:t>административни</w:t>
      </w:r>
      <w:proofErr w:type="spellEnd"/>
      <w:r w:rsidRPr="003D04BD">
        <w:t xml:space="preserve"> </w:t>
      </w:r>
      <w:proofErr w:type="spellStart"/>
      <w:r w:rsidRPr="003D04BD">
        <w:t>разходи</w:t>
      </w:r>
      <w:proofErr w:type="spellEnd"/>
      <w:r w:rsidRPr="003D04BD">
        <w:t xml:space="preserve"> </w:t>
      </w:r>
      <w:proofErr w:type="spellStart"/>
      <w:r w:rsidRPr="003D04BD">
        <w:t>на</w:t>
      </w:r>
      <w:proofErr w:type="spellEnd"/>
      <w:r w:rsidRPr="003D04BD">
        <w:t xml:space="preserve"> </w:t>
      </w:r>
      <w:proofErr w:type="spellStart"/>
      <w:r w:rsidRPr="003D04BD">
        <w:t>собствениците</w:t>
      </w:r>
      <w:proofErr w:type="spellEnd"/>
      <w:r w:rsidRPr="003D04BD">
        <w:t xml:space="preserve"> на риболовни кораби са ползвани официални данни от </w:t>
      </w:r>
      <w:r w:rsidRPr="003D04BD">
        <w:rPr>
          <w:b/>
        </w:rPr>
        <w:t>„Рибни ресурси”</w:t>
      </w:r>
      <w:r>
        <w:rPr>
          <w:b/>
        </w:rPr>
        <w:t xml:space="preserve"> </w:t>
      </w:r>
      <w:r w:rsidRPr="003D04BD">
        <w:rPr>
          <w:b/>
        </w:rPr>
        <w:t>ЕООД</w:t>
      </w:r>
      <w:r>
        <w:t>.</w:t>
      </w:r>
      <w:r>
        <w:rPr>
          <w:rStyle w:val="FootnoteReference"/>
        </w:rPr>
        <w:footnoteReference w:id="1"/>
      </w:r>
    </w:p>
    <w:p w:rsidR="0002010D" w:rsidRDefault="0002010D" w:rsidP="0002010D">
      <w:pPr>
        <w:jc w:val="both"/>
      </w:pPr>
      <w:r w:rsidRPr="003D04BD">
        <w:t xml:space="preserve">За определяне на стойността на </w:t>
      </w:r>
      <w:r w:rsidRPr="003D04BD">
        <w:rPr>
          <w:b/>
        </w:rPr>
        <w:t>P</w:t>
      </w:r>
      <w:r w:rsidRPr="003D04BD">
        <w:t xml:space="preserve"> </w:t>
      </w:r>
      <w:r w:rsidRPr="003D04BD">
        <w:rPr>
          <w:b/>
        </w:rPr>
        <w:t xml:space="preserve">- </w:t>
      </w:r>
      <w:r w:rsidRPr="003D04BD">
        <w:t xml:space="preserve"> Дневна премия за </w:t>
      </w:r>
      <w:proofErr w:type="spellStart"/>
      <w:r w:rsidRPr="003D04BD">
        <w:t>преустанвяване</w:t>
      </w:r>
      <w:proofErr w:type="spellEnd"/>
      <w:r w:rsidRPr="003D04BD">
        <w:t xml:space="preserve"> за 1 БТ са ползвани официални данни от ИАРА</w:t>
      </w:r>
      <w:r>
        <w:t>.</w:t>
      </w:r>
    </w:p>
    <w:p w:rsidR="0002010D" w:rsidRPr="003D04BD" w:rsidRDefault="0002010D" w:rsidP="0002010D">
      <w:pPr>
        <w:jc w:val="both"/>
      </w:pPr>
      <w:r w:rsidRPr="008F5537">
        <w:t>За ден (</w:t>
      </w:r>
      <w:r w:rsidRPr="008F5537">
        <w:rPr>
          <w:b/>
        </w:rPr>
        <w:t>d</w:t>
      </w:r>
      <w:r w:rsidRPr="008F5537">
        <w:t>) се счита периодът от 0:00 часа до 24:00 часа</w:t>
      </w:r>
      <w:r>
        <w:t xml:space="preserve"> UTC+2</w:t>
      </w:r>
      <w:r w:rsidRPr="008F5537">
        <w:t xml:space="preserve"> на всеки календарен ден, независимо от броя на излизанията на риболовния кораб и броя на декларациите за произход по чл. 20 от </w:t>
      </w:r>
      <w:r w:rsidRPr="00B24F09">
        <w:t xml:space="preserve">Закона за рибарството и </w:t>
      </w:r>
      <w:proofErr w:type="spellStart"/>
      <w:r w:rsidRPr="00B24F09">
        <w:t>аквакултурите</w:t>
      </w:r>
      <w:proofErr w:type="spellEnd"/>
      <w:r>
        <w:t xml:space="preserve"> (ЗРА)</w:t>
      </w:r>
      <w:r w:rsidRPr="008F5537">
        <w:t xml:space="preserve"> за посочения период от 0:00 часа до 24:00 часа</w:t>
      </w:r>
      <w:r>
        <w:t xml:space="preserve"> UTC+2</w:t>
      </w:r>
      <w:r w:rsidRPr="008F5537">
        <w:t xml:space="preserve"> на този ден.</w:t>
      </w:r>
    </w:p>
    <w:p w:rsidR="00861856" w:rsidRPr="00542277" w:rsidRDefault="00861856" w:rsidP="00861856">
      <w:pPr>
        <w:pStyle w:val="ListParagraph"/>
        <w:spacing w:line="276" w:lineRule="auto"/>
        <w:ind w:left="0"/>
        <w:jc w:val="both"/>
        <w:rPr>
          <w:rFonts w:ascii="Verdana" w:eastAsiaTheme="minorHAnsi" w:hAnsi="Verdana" w:cstheme="minorBidi"/>
          <w:sz w:val="20"/>
          <w:lang w:val="bg-BG"/>
        </w:rPr>
      </w:pPr>
      <w:r w:rsidRPr="00542277">
        <w:rPr>
          <w:rFonts w:ascii="Verdana" w:eastAsiaTheme="minorHAnsi" w:hAnsi="Verdana" w:cstheme="minorBidi"/>
          <w:sz w:val="20"/>
          <w:lang w:val="bg-BG"/>
        </w:rPr>
        <w:t>Продължителността на изпълнение на всеки проект не следва да надвишава 3 (три) месеца.</w:t>
      </w:r>
    </w:p>
    <w:p w:rsidR="00EF66DA" w:rsidRPr="00542277" w:rsidRDefault="00AA56B3" w:rsidP="00E22061">
      <w:pPr>
        <w:pStyle w:val="ListParagraph"/>
        <w:spacing w:line="276" w:lineRule="auto"/>
        <w:ind w:left="0"/>
        <w:jc w:val="both"/>
        <w:rPr>
          <w:rFonts w:ascii="Verdana" w:eastAsiaTheme="minorHAnsi" w:hAnsi="Verdana" w:cstheme="minorBidi"/>
          <w:sz w:val="20"/>
          <w:lang w:val="bg-BG"/>
        </w:rPr>
      </w:pPr>
      <w:r w:rsidRPr="00542277">
        <w:rPr>
          <w:rFonts w:ascii="Verdana" w:hAnsi="Verdana"/>
          <w:sz w:val="20"/>
          <w:lang w:val="bg-BG"/>
        </w:rPr>
        <w:t xml:space="preserve">Периодът на допустимост на мярката, съответно дейностите и разходите по нея ще </w:t>
      </w:r>
      <w:r w:rsidR="00AC1B20" w:rsidRPr="00542277">
        <w:rPr>
          <w:rFonts w:ascii="Verdana" w:hAnsi="Verdana"/>
          <w:sz w:val="20"/>
          <w:lang w:val="bg-BG"/>
        </w:rPr>
        <w:t>с</w:t>
      </w:r>
      <w:r w:rsidRPr="00542277">
        <w:rPr>
          <w:rFonts w:ascii="Verdana" w:hAnsi="Verdana"/>
          <w:sz w:val="20"/>
          <w:lang w:val="bg-BG"/>
        </w:rPr>
        <w:t>е</w:t>
      </w:r>
      <w:r w:rsidR="00AC1B20" w:rsidRPr="00542277">
        <w:rPr>
          <w:rFonts w:ascii="Verdana" w:hAnsi="Verdana"/>
          <w:sz w:val="20"/>
          <w:lang w:val="bg-BG"/>
        </w:rPr>
        <w:t xml:space="preserve"> определя</w:t>
      </w:r>
      <w:r w:rsidRPr="00542277">
        <w:rPr>
          <w:rFonts w:ascii="Verdana" w:hAnsi="Verdana"/>
          <w:sz w:val="20"/>
          <w:lang w:val="bg-BG"/>
        </w:rPr>
        <w:t xml:space="preserve"> съгласно приложимото законодателство</w:t>
      </w:r>
      <w:r w:rsidRPr="00542277">
        <w:rPr>
          <w:rStyle w:val="FootnoteReference"/>
          <w:rFonts w:ascii="Verdana" w:hAnsi="Verdana"/>
          <w:sz w:val="20"/>
          <w:lang w:val="bg-BG"/>
        </w:rPr>
        <w:footnoteReference w:id="2"/>
      </w:r>
      <w:r w:rsidRPr="00542277">
        <w:rPr>
          <w:rFonts w:ascii="Verdana" w:hAnsi="Verdana"/>
          <w:sz w:val="20"/>
          <w:lang w:val="bg-BG"/>
        </w:rPr>
        <w:t>.</w:t>
      </w:r>
    </w:p>
    <w:p w:rsidR="00EF66DA" w:rsidRPr="00542277" w:rsidRDefault="00EF66DA" w:rsidP="003C569A">
      <w:pPr>
        <w:spacing w:after="0"/>
        <w:jc w:val="both"/>
        <w:rPr>
          <w:rFonts w:ascii="Verdana" w:hAnsi="Verdana"/>
          <w:sz w:val="20"/>
          <w:szCs w:val="20"/>
        </w:rPr>
      </w:pPr>
      <w:r w:rsidRPr="00542277">
        <w:rPr>
          <w:rFonts w:ascii="Verdana" w:hAnsi="Verdana"/>
          <w:sz w:val="20"/>
          <w:szCs w:val="20"/>
        </w:rPr>
        <w:t>Допустими са собственици на риболовни кораби и рибари в рамките на чл</w:t>
      </w:r>
      <w:r w:rsidR="00DD0EC3" w:rsidRPr="00542277">
        <w:rPr>
          <w:rFonts w:ascii="Verdana" w:hAnsi="Verdana"/>
          <w:sz w:val="20"/>
          <w:szCs w:val="20"/>
        </w:rPr>
        <w:t>.</w:t>
      </w:r>
      <w:r w:rsidRPr="00542277">
        <w:rPr>
          <w:rFonts w:ascii="Verdana" w:hAnsi="Verdana"/>
          <w:sz w:val="20"/>
          <w:szCs w:val="20"/>
        </w:rPr>
        <w:t xml:space="preserve"> 33</w:t>
      </w:r>
      <w:r w:rsidR="00AE25A3" w:rsidRPr="00542277">
        <w:rPr>
          <w:rFonts w:ascii="Verdana" w:hAnsi="Verdana"/>
          <w:sz w:val="20"/>
          <w:szCs w:val="20"/>
        </w:rPr>
        <w:t xml:space="preserve"> </w:t>
      </w:r>
      <w:r w:rsidR="003A5115" w:rsidRPr="00542277">
        <w:rPr>
          <w:rFonts w:ascii="Verdana" w:hAnsi="Verdana"/>
          <w:sz w:val="20"/>
          <w:szCs w:val="20"/>
        </w:rPr>
        <w:t>параграф 3</w:t>
      </w:r>
      <w:r w:rsidR="00AE25A3" w:rsidRPr="00542277">
        <w:rPr>
          <w:rFonts w:ascii="Verdana" w:hAnsi="Verdana"/>
          <w:sz w:val="20"/>
          <w:szCs w:val="20"/>
        </w:rPr>
        <w:t xml:space="preserve"> </w:t>
      </w:r>
      <w:r w:rsidRPr="00542277">
        <w:rPr>
          <w:rFonts w:ascii="Verdana" w:hAnsi="Verdana"/>
          <w:sz w:val="20"/>
          <w:szCs w:val="20"/>
        </w:rPr>
        <w:t xml:space="preserve">от </w:t>
      </w:r>
      <w:r w:rsidR="003A5115" w:rsidRPr="00542277">
        <w:rPr>
          <w:rFonts w:ascii="Verdana" w:hAnsi="Verdana"/>
          <w:sz w:val="20"/>
          <w:szCs w:val="20"/>
        </w:rPr>
        <w:t>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w:t>
      </w:r>
      <w:r w:rsidR="00AE25A3" w:rsidRPr="00542277">
        <w:rPr>
          <w:rFonts w:ascii="Verdana" w:hAnsi="Verdana"/>
          <w:sz w:val="20"/>
          <w:szCs w:val="20"/>
        </w:rPr>
        <w:t xml:space="preserve"> </w:t>
      </w:r>
      <w:r w:rsidR="00D078A7" w:rsidRPr="00542277">
        <w:rPr>
          <w:rFonts w:ascii="Verdana" w:hAnsi="Verdana"/>
          <w:sz w:val="20"/>
          <w:szCs w:val="20"/>
        </w:rPr>
        <w:t>(</w:t>
      </w:r>
      <w:r w:rsidRPr="00542277">
        <w:rPr>
          <w:rFonts w:ascii="Verdana" w:hAnsi="Verdana"/>
          <w:sz w:val="20"/>
          <w:szCs w:val="20"/>
        </w:rPr>
        <w:t xml:space="preserve">Регламент </w:t>
      </w:r>
      <w:r w:rsidR="003C569A" w:rsidRPr="00542277">
        <w:rPr>
          <w:rFonts w:ascii="Verdana" w:hAnsi="Verdana"/>
          <w:sz w:val="20"/>
          <w:szCs w:val="20"/>
        </w:rPr>
        <w:t xml:space="preserve">№ </w:t>
      </w:r>
      <w:r w:rsidRPr="00542277">
        <w:rPr>
          <w:rFonts w:ascii="Verdana" w:hAnsi="Verdana"/>
          <w:sz w:val="20"/>
          <w:szCs w:val="20"/>
        </w:rPr>
        <w:t>508/2014</w:t>
      </w:r>
      <w:r w:rsidR="00D078A7" w:rsidRPr="00542277">
        <w:rPr>
          <w:rFonts w:ascii="Verdana" w:hAnsi="Verdana"/>
          <w:sz w:val="20"/>
          <w:szCs w:val="20"/>
        </w:rPr>
        <w:t>)</w:t>
      </w:r>
      <w:r w:rsidRPr="00542277">
        <w:rPr>
          <w:rFonts w:ascii="Verdana" w:hAnsi="Verdana"/>
          <w:sz w:val="20"/>
          <w:szCs w:val="20"/>
        </w:rPr>
        <w:t xml:space="preserve"> и </w:t>
      </w:r>
      <w:proofErr w:type="spellStart"/>
      <w:r w:rsidRPr="00542277">
        <w:rPr>
          <w:rFonts w:ascii="Verdana" w:hAnsi="Verdana"/>
          <w:sz w:val="20"/>
          <w:szCs w:val="20"/>
        </w:rPr>
        <w:t>дерогациите</w:t>
      </w:r>
      <w:proofErr w:type="spellEnd"/>
      <w:r w:rsidR="00A2599D" w:rsidRPr="00542277">
        <w:rPr>
          <w:rFonts w:ascii="Verdana" w:hAnsi="Verdana"/>
          <w:sz w:val="20"/>
          <w:szCs w:val="20"/>
        </w:rPr>
        <w:t xml:space="preserve">, въведени </w:t>
      </w:r>
      <w:r w:rsidRPr="00542277">
        <w:rPr>
          <w:rFonts w:ascii="Verdana" w:hAnsi="Verdana"/>
          <w:sz w:val="20"/>
          <w:szCs w:val="20"/>
        </w:rPr>
        <w:t>с чл</w:t>
      </w:r>
      <w:r w:rsidR="003C569A" w:rsidRPr="00542277">
        <w:rPr>
          <w:rFonts w:ascii="Verdana" w:hAnsi="Verdana"/>
          <w:sz w:val="20"/>
          <w:szCs w:val="20"/>
        </w:rPr>
        <w:t>.</w:t>
      </w:r>
      <w:r w:rsidRPr="00542277">
        <w:rPr>
          <w:rFonts w:ascii="Verdana" w:hAnsi="Verdana"/>
          <w:sz w:val="20"/>
          <w:szCs w:val="20"/>
        </w:rPr>
        <w:t xml:space="preserve"> 1</w:t>
      </w:r>
      <w:r w:rsidR="00A2599D" w:rsidRPr="00542277">
        <w:rPr>
          <w:rFonts w:ascii="Verdana" w:hAnsi="Verdana"/>
          <w:sz w:val="20"/>
          <w:szCs w:val="20"/>
        </w:rPr>
        <w:t xml:space="preserve"> </w:t>
      </w:r>
      <w:r w:rsidRPr="00542277">
        <w:rPr>
          <w:rFonts w:ascii="Verdana" w:hAnsi="Verdana"/>
          <w:sz w:val="20"/>
          <w:szCs w:val="20"/>
        </w:rPr>
        <w:t>от Регламент (ЕС) 2020/560</w:t>
      </w:r>
      <w:r w:rsidR="003C569A" w:rsidRPr="00542277">
        <w:rPr>
          <w:rFonts w:ascii="Verdana" w:hAnsi="Verdana"/>
          <w:sz w:val="20"/>
          <w:szCs w:val="20"/>
        </w:rPr>
        <w:t xml:space="preserve"> на Европейския парламент и на Съвета от 23 април 2020 година за изменение на регламенти (ЕС) № 508/2014 и (ЕС) № 1379/2013 по отношение на специални мерки за смекчаване на въздействието на избухването на COVID-19 върху сектора на рибарството и </w:t>
      </w:r>
      <w:proofErr w:type="spellStart"/>
      <w:r w:rsidR="003C569A" w:rsidRPr="00542277">
        <w:rPr>
          <w:rFonts w:ascii="Verdana" w:hAnsi="Verdana"/>
          <w:sz w:val="20"/>
          <w:szCs w:val="20"/>
        </w:rPr>
        <w:t>аквакултурите</w:t>
      </w:r>
      <w:proofErr w:type="spellEnd"/>
      <w:r w:rsidRPr="00542277">
        <w:rPr>
          <w:rFonts w:ascii="Verdana" w:hAnsi="Verdana"/>
          <w:sz w:val="20"/>
          <w:szCs w:val="20"/>
        </w:rPr>
        <w:t>,</w:t>
      </w:r>
      <w:r w:rsidR="00A2599D" w:rsidRPr="00542277">
        <w:rPr>
          <w:rFonts w:ascii="Verdana" w:hAnsi="Verdana"/>
          <w:sz w:val="20"/>
          <w:szCs w:val="20"/>
        </w:rPr>
        <w:t xml:space="preserve"> </w:t>
      </w:r>
      <w:r w:rsidR="003A5115" w:rsidRPr="00542277">
        <w:rPr>
          <w:rFonts w:ascii="Verdana" w:hAnsi="Verdana"/>
          <w:sz w:val="20"/>
          <w:szCs w:val="20"/>
        </w:rPr>
        <w:t xml:space="preserve">с който в Регламент № 508/2014 в чл. 33 е създаден параграф 3а относно </w:t>
      </w:r>
      <w:proofErr w:type="spellStart"/>
      <w:r w:rsidR="003A5115" w:rsidRPr="00542277">
        <w:rPr>
          <w:rFonts w:ascii="Verdana" w:hAnsi="Verdana"/>
          <w:sz w:val="20"/>
          <w:szCs w:val="20"/>
        </w:rPr>
        <w:t>дерогациите</w:t>
      </w:r>
      <w:proofErr w:type="spellEnd"/>
      <w:r w:rsidR="00AD0839" w:rsidRPr="00542277">
        <w:rPr>
          <w:rFonts w:ascii="Verdana" w:hAnsi="Verdana"/>
          <w:sz w:val="20"/>
          <w:szCs w:val="20"/>
        </w:rPr>
        <w:t>,</w:t>
      </w:r>
      <w:r w:rsidRPr="00542277">
        <w:rPr>
          <w:rFonts w:ascii="Verdana" w:hAnsi="Verdana"/>
          <w:sz w:val="20"/>
          <w:szCs w:val="20"/>
        </w:rPr>
        <w:t xml:space="preserve"> а именно:</w:t>
      </w:r>
    </w:p>
    <w:p w:rsidR="00EF66DA" w:rsidRPr="00542277" w:rsidRDefault="00EF66DA" w:rsidP="00EF66DA">
      <w:pPr>
        <w:spacing w:after="0"/>
        <w:jc w:val="both"/>
        <w:rPr>
          <w:rFonts w:ascii="Verdana" w:hAnsi="Verdana"/>
          <w:sz w:val="20"/>
          <w:szCs w:val="20"/>
        </w:rPr>
      </w:pPr>
    </w:p>
    <w:p w:rsidR="00EF66DA" w:rsidRPr="00542277" w:rsidRDefault="00EF66DA" w:rsidP="00EF66DA">
      <w:pPr>
        <w:spacing w:after="0"/>
        <w:jc w:val="both"/>
        <w:rPr>
          <w:rFonts w:ascii="Verdana" w:hAnsi="Verdana"/>
          <w:sz w:val="20"/>
          <w:szCs w:val="20"/>
        </w:rPr>
      </w:pPr>
      <w:r w:rsidRPr="00542277">
        <w:rPr>
          <w:rFonts w:ascii="Verdana" w:hAnsi="Verdana"/>
          <w:sz w:val="20"/>
          <w:szCs w:val="20"/>
        </w:rPr>
        <w:t>•</w:t>
      </w:r>
      <w:r w:rsidRPr="00542277">
        <w:rPr>
          <w:rFonts w:ascii="Verdana" w:hAnsi="Verdana"/>
          <w:sz w:val="20"/>
          <w:szCs w:val="20"/>
        </w:rPr>
        <w:tab/>
        <w:t xml:space="preserve">„собственици на риболовни кораби на Съюза, регистрирани като действащи, които са извършвали риболовна дейност в продължение на най-малко 120 дни в морето през последните две календарни години, предхождащи датата на подаване на заявлението за подпомагане“, а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държавите членки могат да изчислят минималния брой дни за риболовни дейности, изисквани за този кораб, като съотношение от 120 дни през последните две календарни години“; </w:t>
      </w:r>
    </w:p>
    <w:p w:rsidR="00EF66DA" w:rsidRPr="00542277" w:rsidRDefault="00EF66DA" w:rsidP="00EF66DA">
      <w:pPr>
        <w:spacing w:after="0"/>
        <w:jc w:val="both"/>
        <w:rPr>
          <w:rFonts w:ascii="Verdana" w:hAnsi="Verdana"/>
          <w:sz w:val="20"/>
          <w:szCs w:val="20"/>
        </w:rPr>
      </w:pPr>
      <w:r w:rsidRPr="00542277">
        <w:rPr>
          <w:rFonts w:ascii="Verdana" w:hAnsi="Verdana"/>
          <w:sz w:val="20"/>
          <w:szCs w:val="20"/>
        </w:rPr>
        <w:t>•</w:t>
      </w:r>
      <w:r w:rsidRPr="00542277">
        <w:rPr>
          <w:rFonts w:ascii="Verdana" w:hAnsi="Verdana"/>
          <w:sz w:val="20"/>
          <w:szCs w:val="20"/>
        </w:rPr>
        <w:tab/>
        <w:t xml:space="preserve">„рибари, които са работили в морето в продължение на най-малко 120 дни през последните две календарни години, предхождащи датата на подаване на заявлението за подпомагане, на борда на риболовен кораб на Съюза, засегнат от временното </w:t>
      </w:r>
      <w:r w:rsidRPr="00542277">
        <w:rPr>
          <w:rFonts w:ascii="Verdana" w:hAnsi="Verdana"/>
          <w:sz w:val="20"/>
          <w:szCs w:val="20"/>
        </w:rPr>
        <w:lastRenderedPageBreak/>
        <w:t>преустановяване“, а „когато рибар е започнал работа на борда на риболовен кораб на Съюза по-малко от две години преди датата на подаване на заявлението за подпомагане, държавите членки могат да изчислят минималния брой дни работа, изисквани за този рибар, като съотношение от 120 дни през последните две календарни години“.</w:t>
      </w:r>
    </w:p>
    <w:p w:rsidR="00EF66DA" w:rsidRPr="00542277" w:rsidRDefault="00EF66DA" w:rsidP="00EF66DA">
      <w:pPr>
        <w:spacing w:after="0"/>
        <w:jc w:val="both"/>
        <w:rPr>
          <w:rFonts w:ascii="Verdana" w:hAnsi="Verdana"/>
          <w:sz w:val="20"/>
          <w:szCs w:val="20"/>
        </w:rPr>
      </w:pPr>
    </w:p>
    <w:p w:rsidR="00EF66DA" w:rsidRPr="00542277" w:rsidRDefault="003A5115" w:rsidP="00EF66DA">
      <w:pPr>
        <w:spacing w:after="0"/>
        <w:jc w:val="both"/>
        <w:rPr>
          <w:rFonts w:ascii="Verdana" w:hAnsi="Verdana"/>
          <w:sz w:val="20"/>
          <w:szCs w:val="20"/>
        </w:rPr>
      </w:pPr>
      <w:r w:rsidRPr="00542277">
        <w:rPr>
          <w:rFonts w:ascii="Verdana" w:hAnsi="Verdana"/>
          <w:sz w:val="20"/>
          <w:szCs w:val="20"/>
        </w:rPr>
        <w:t>Управляващият орган</w:t>
      </w:r>
      <w:r w:rsidR="00AD0839" w:rsidRPr="00542277">
        <w:rPr>
          <w:rFonts w:ascii="Verdana" w:hAnsi="Verdana"/>
          <w:sz w:val="20"/>
          <w:szCs w:val="20"/>
        </w:rPr>
        <w:t xml:space="preserve"> </w:t>
      </w:r>
      <w:r w:rsidR="003C569A" w:rsidRPr="00542277">
        <w:rPr>
          <w:rFonts w:ascii="Verdana" w:hAnsi="Verdana"/>
          <w:sz w:val="20"/>
          <w:szCs w:val="20"/>
        </w:rPr>
        <w:t>на ПМДР</w:t>
      </w:r>
      <w:r w:rsidR="00EF66DA" w:rsidRPr="00542277">
        <w:rPr>
          <w:rFonts w:ascii="Verdana" w:hAnsi="Verdana"/>
          <w:sz w:val="20"/>
          <w:szCs w:val="20"/>
        </w:rPr>
        <w:t xml:space="preserve"> се възползва от предоставената възможност </w:t>
      </w:r>
      <w:r w:rsidR="005E3C34" w:rsidRPr="00542277">
        <w:rPr>
          <w:rFonts w:ascii="Verdana" w:hAnsi="Verdana"/>
          <w:sz w:val="20"/>
          <w:szCs w:val="20"/>
        </w:rPr>
        <w:t>в чл. 1</w:t>
      </w:r>
      <w:r w:rsidR="00AD0839" w:rsidRPr="00542277">
        <w:rPr>
          <w:rFonts w:ascii="Verdana" w:hAnsi="Verdana"/>
          <w:sz w:val="20"/>
          <w:szCs w:val="20"/>
        </w:rPr>
        <w:t xml:space="preserve"> </w:t>
      </w:r>
      <w:r w:rsidR="005E3C34" w:rsidRPr="00542277">
        <w:rPr>
          <w:rFonts w:ascii="Verdana" w:hAnsi="Verdana"/>
          <w:sz w:val="20"/>
          <w:szCs w:val="20"/>
        </w:rPr>
        <w:t>от Регламент (ЕС) 2020/560</w:t>
      </w:r>
      <w:r w:rsidR="00AD0839" w:rsidRPr="00542277">
        <w:rPr>
          <w:rFonts w:ascii="Verdana" w:hAnsi="Verdana"/>
          <w:sz w:val="20"/>
          <w:szCs w:val="20"/>
        </w:rPr>
        <w:t xml:space="preserve">, </w:t>
      </w:r>
      <w:r w:rsidRPr="00542277">
        <w:rPr>
          <w:rFonts w:ascii="Verdana" w:hAnsi="Verdana"/>
          <w:sz w:val="20"/>
          <w:szCs w:val="20"/>
        </w:rPr>
        <w:t>с който е изменен чл. 33 от Регламент № 508/2014</w:t>
      </w:r>
      <w:r w:rsidR="005E3C34" w:rsidRPr="00542277">
        <w:rPr>
          <w:rFonts w:ascii="Verdana" w:hAnsi="Verdana"/>
          <w:sz w:val="20"/>
          <w:szCs w:val="20"/>
        </w:rPr>
        <w:t xml:space="preserve"> </w:t>
      </w:r>
      <w:r w:rsidR="00EF66DA" w:rsidRPr="00542277">
        <w:rPr>
          <w:rFonts w:ascii="Verdana" w:hAnsi="Verdana"/>
          <w:sz w:val="20"/>
          <w:szCs w:val="20"/>
        </w:rPr>
        <w:t xml:space="preserve">за </w:t>
      </w:r>
      <w:proofErr w:type="spellStart"/>
      <w:r w:rsidR="00EF66DA" w:rsidRPr="00542277">
        <w:rPr>
          <w:rFonts w:ascii="Verdana" w:hAnsi="Verdana"/>
          <w:sz w:val="20"/>
          <w:szCs w:val="20"/>
        </w:rPr>
        <w:t>дерогация</w:t>
      </w:r>
      <w:proofErr w:type="spellEnd"/>
      <w:r w:rsidR="00EF66DA" w:rsidRPr="00542277">
        <w:rPr>
          <w:rFonts w:ascii="Verdana" w:hAnsi="Verdana"/>
          <w:sz w:val="20"/>
          <w:szCs w:val="20"/>
        </w:rPr>
        <w:t xml:space="preserve"> от изискването на 120 календарни дни за две години при по-скорошно регистриране на риболовния кораб или започване на работа на рибар</w:t>
      </w:r>
      <w:r w:rsidR="005E3C34" w:rsidRPr="00542277">
        <w:rPr>
          <w:rFonts w:ascii="Verdana" w:hAnsi="Verdana"/>
          <w:sz w:val="20"/>
          <w:szCs w:val="20"/>
        </w:rPr>
        <w:t>.</w:t>
      </w:r>
      <w:r w:rsidR="00EF66DA" w:rsidRPr="00542277">
        <w:rPr>
          <w:rFonts w:ascii="Verdana" w:hAnsi="Verdana"/>
          <w:sz w:val="20"/>
          <w:szCs w:val="20"/>
        </w:rPr>
        <w:t xml:space="preserve"> Така УО ще приема за допустими проекти, при които риболовните дейности и работа в морето са в съотношение от 120 дни през последните две календарни години, като минималният времеви праг ще е една година, а именно УО ще изисква:</w:t>
      </w:r>
    </w:p>
    <w:p w:rsidR="00EF66DA" w:rsidRPr="00542277" w:rsidRDefault="00EF66DA" w:rsidP="00EF66DA">
      <w:pPr>
        <w:spacing w:after="0"/>
        <w:jc w:val="both"/>
        <w:rPr>
          <w:rFonts w:ascii="Verdana" w:hAnsi="Verdana"/>
          <w:sz w:val="20"/>
          <w:szCs w:val="20"/>
        </w:rPr>
      </w:pPr>
      <w:r w:rsidRPr="00542277">
        <w:rPr>
          <w:rFonts w:ascii="Verdana" w:hAnsi="Verdana"/>
          <w:sz w:val="20"/>
          <w:szCs w:val="20"/>
        </w:rPr>
        <w:t>•</w:t>
      </w:r>
      <w:r w:rsidRPr="00542277">
        <w:rPr>
          <w:rFonts w:ascii="Verdana" w:hAnsi="Verdana"/>
          <w:sz w:val="20"/>
          <w:szCs w:val="20"/>
        </w:rPr>
        <w:tab/>
        <w:t>за кораби да са били регистрирани от поне една година преди датата на подаване на заявлението за подпомагане през която да са извършвали рибол</w:t>
      </w:r>
      <w:r w:rsidR="00DD0EC3" w:rsidRPr="00542277">
        <w:rPr>
          <w:rFonts w:ascii="Verdana" w:hAnsi="Verdana"/>
          <w:sz w:val="20"/>
          <w:szCs w:val="20"/>
        </w:rPr>
        <w:t>о</w:t>
      </w:r>
      <w:r w:rsidRPr="00542277">
        <w:rPr>
          <w:rFonts w:ascii="Verdana" w:hAnsi="Verdana"/>
          <w:sz w:val="20"/>
          <w:szCs w:val="20"/>
        </w:rPr>
        <w:t xml:space="preserve">вна дейност в продължение на най-малко 60 дни, </w:t>
      </w:r>
    </w:p>
    <w:p w:rsidR="00EF66DA" w:rsidRPr="00542277" w:rsidRDefault="00EF66DA" w:rsidP="00EF66DA">
      <w:pPr>
        <w:spacing w:after="0"/>
        <w:jc w:val="both"/>
        <w:rPr>
          <w:rFonts w:ascii="Verdana" w:hAnsi="Verdana"/>
          <w:sz w:val="20"/>
          <w:szCs w:val="20"/>
        </w:rPr>
      </w:pPr>
      <w:r w:rsidRPr="00542277">
        <w:rPr>
          <w:rFonts w:ascii="Verdana" w:hAnsi="Verdana"/>
          <w:sz w:val="20"/>
          <w:szCs w:val="20"/>
        </w:rPr>
        <w:t>•</w:t>
      </w:r>
      <w:r w:rsidRPr="00542277">
        <w:rPr>
          <w:rFonts w:ascii="Verdana" w:hAnsi="Verdana"/>
          <w:sz w:val="20"/>
          <w:szCs w:val="20"/>
        </w:rPr>
        <w:tab/>
        <w:t xml:space="preserve">а за рибари да са работили в морето от поне една календарна година преди датата на подаване на заявлението за подпомагане в продължение </w:t>
      </w:r>
      <w:r w:rsidR="005E3C34" w:rsidRPr="00542277">
        <w:rPr>
          <w:rFonts w:ascii="Verdana" w:hAnsi="Verdana"/>
          <w:sz w:val="20"/>
          <w:szCs w:val="20"/>
        </w:rPr>
        <w:t xml:space="preserve">на </w:t>
      </w:r>
      <w:r w:rsidRPr="00542277">
        <w:rPr>
          <w:rFonts w:ascii="Verdana" w:hAnsi="Verdana"/>
          <w:sz w:val="20"/>
          <w:szCs w:val="20"/>
        </w:rPr>
        <w:t xml:space="preserve"> най-малко 60 дни</w:t>
      </w:r>
      <w:r w:rsidR="005E3C34" w:rsidRPr="00542277">
        <w:rPr>
          <w:rFonts w:ascii="Verdana" w:hAnsi="Verdana"/>
          <w:sz w:val="20"/>
          <w:szCs w:val="20"/>
        </w:rPr>
        <w:t>.</w:t>
      </w:r>
      <w:r w:rsidRPr="00542277">
        <w:rPr>
          <w:rFonts w:ascii="Verdana" w:hAnsi="Verdana"/>
          <w:sz w:val="20"/>
          <w:szCs w:val="20"/>
        </w:rPr>
        <w:t xml:space="preserve"> </w:t>
      </w:r>
    </w:p>
    <w:p w:rsidR="00EF66DA" w:rsidRPr="00542277" w:rsidRDefault="00EF66DA" w:rsidP="00EF66DA">
      <w:pPr>
        <w:spacing w:after="0"/>
        <w:jc w:val="both"/>
        <w:rPr>
          <w:rFonts w:ascii="Verdana" w:hAnsi="Verdana"/>
          <w:sz w:val="20"/>
          <w:szCs w:val="20"/>
        </w:rPr>
      </w:pPr>
      <w:r w:rsidRPr="00542277">
        <w:rPr>
          <w:rFonts w:ascii="Verdana" w:hAnsi="Verdana"/>
          <w:sz w:val="20"/>
          <w:szCs w:val="20"/>
        </w:rPr>
        <w:t>Причината за това е нуждата от референтен период за предишна риболовна дейност за да може да се покаже, че временното преустановяване е поради избухването на COVID-19.</w:t>
      </w:r>
    </w:p>
    <w:p w:rsidR="00EF66DA" w:rsidRPr="00542277" w:rsidRDefault="00EF66DA" w:rsidP="00EF66DA">
      <w:pPr>
        <w:spacing w:after="0"/>
        <w:jc w:val="both"/>
        <w:rPr>
          <w:rFonts w:ascii="Verdana" w:hAnsi="Verdana"/>
          <w:sz w:val="20"/>
          <w:szCs w:val="20"/>
        </w:rPr>
      </w:pPr>
    </w:p>
    <w:p w:rsidR="00E22061" w:rsidRPr="00542277" w:rsidRDefault="00E22061" w:rsidP="00EF66DA">
      <w:pPr>
        <w:spacing w:after="0"/>
        <w:jc w:val="both"/>
        <w:rPr>
          <w:rFonts w:ascii="Verdana" w:hAnsi="Verdana"/>
          <w:sz w:val="20"/>
          <w:szCs w:val="20"/>
        </w:rPr>
      </w:pPr>
    </w:p>
    <w:p w:rsidR="00E22061" w:rsidRPr="00542277" w:rsidRDefault="00E22061" w:rsidP="00EF66DA">
      <w:pPr>
        <w:spacing w:after="0"/>
        <w:jc w:val="both"/>
        <w:rPr>
          <w:rFonts w:ascii="Verdana" w:hAnsi="Verdana"/>
          <w:sz w:val="20"/>
          <w:szCs w:val="20"/>
        </w:rPr>
      </w:pPr>
    </w:p>
    <w:p w:rsidR="00E22061" w:rsidRPr="00542277" w:rsidRDefault="00E22061" w:rsidP="00EF66DA">
      <w:pPr>
        <w:spacing w:after="0"/>
        <w:jc w:val="both"/>
        <w:rPr>
          <w:rFonts w:ascii="Verdana" w:hAnsi="Verdana"/>
          <w:sz w:val="20"/>
          <w:szCs w:val="20"/>
        </w:rPr>
      </w:pPr>
    </w:p>
    <w:p w:rsidR="00EF66DA" w:rsidRPr="00542277" w:rsidRDefault="00EF66DA" w:rsidP="00EF66DA">
      <w:pPr>
        <w:spacing w:after="0"/>
        <w:jc w:val="both"/>
        <w:rPr>
          <w:rFonts w:ascii="Verdana" w:hAnsi="Verdana"/>
          <w:b/>
          <w:sz w:val="20"/>
          <w:szCs w:val="20"/>
        </w:rPr>
      </w:pPr>
      <w:r w:rsidRPr="00542277">
        <w:rPr>
          <w:rFonts w:ascii="Verdana" w:hAnsi="Verdana"/>
          <w:b/>
          <w:sz w:val="20"/>
          <w:szCs w:val="20"/>
        </w:rPr>
        <w:t>Пример:</w:t>
      </w:r>
    </w:p>
    <w:p w:rsidR="00EF66DA" w:rsidRPr="00542277" w:rsidRDefault="00EF66DA" w:rsidP="00EF66DA">
      <w:pPr>
        <w:spacing w:after="0"/>
        <w:jc w:val="both"/>
        <w:rPr>
          <w:rFonts w:ascii="Verdana" w:hAnsi="Verdana"/>
          <w:sz w:val="20"/>
          <w:szCs w:val="20"/>
        </w:rPr>
      </w:pPr>
      <w:r w:rsidRPr="00542277">
        <w:rPr>
          <w:rFonts w:ascii="Verdana" w:hAnsi="Verdana"/>
          <w:sz w:val="20"/>
          <w:szCs w:val="20"/>
        </w:rPr>
        <w:t xml:space="preserve">Ако един риболовен кораб е бил регистриран година и половина (548 дни) преди датата на подаване на заявлението за </w:t>
      </w:r>
      <w:proofErr w:type="spellStart"/>
      <w:r w:rsidRPr="00542277">
        <w:rPr>
          <w:rFonts w:ascii="Verdana" w:hAnsi="Verdana"/>
          <w:sz w:val="20"/>
          <w:szCs w:val="20"/>
        </w:rPr>
        <w:t>подмомагане</w:t>
      </w:r>
      <w:proofErr w:type="spellEnd"/>
      <w:r w:rsidRPr="00542277">
        <w:rPr>
          <w:rFonts w:ascii="Verdana" w:hAnsi="Verdana"/>
          <w:sz w:val="20"/>
          <w:szCs w:val="20"/>
        </w:rPr>
        <w:t>, то той трябва да е извършвал риболовна дейност в продължение на поне 90 дни.</w:t>
      </w:r>
    </w:p>
    <w:p w:rsidR="00EF66DA" w:rsidRPr="00542277" w:rsidRDefault="00EF66DA" w:rsidP="00EF66DA">
      <w:pPr>
        <w:spacing w:after="0"/>
        <w:jc w:val="both"/>
        <w:rPr>
          <w:rFonts w:ascii="Verdana" w:hAnsi="Verdana"/>
          <w:sz w:val="20"/>
          <w:szCs w:val="20"/>
        </w:rPr>
      </w:pPr>
    </w:p>
    <w:p w:rsidR="00EF66DA" w:rsidRPr="00542277" w:rsidRDefault="00EF66DA" w:rsidP="00EF66DA">
      <w:pPr>
        <w:spacing w:after="0"/>
        <w:jc w:val="both"/>
        <w:rPr>
          <w:rFonts w:ascii="Verdana" w:hAnsi="Verdana"/>
          <w:sz w:val="20"/>
          <w:szCs w:val="20"/>
        </w:rPr>
      </w:pPr>
      <w:r w:rsidRPr="00542277">
        <w:rPr>
          <w:rFonts w:ascii="Verdana" w:hAnsi="Verdana"/>
          <w:sz w:val="20"/>
          <w:szCs w:val="20"/>
        </w:rPr>
        <w:t>Ако един рибар е започнал работа на борда на риболовен кораб на Съюза година и половина (548) преди датата на подаване на заявлението за подпомагане, този рибар трябва да е работил в морето в продължение на най-малко 90 дни.</w:t>
      </w:r>
    </w:p>
    <w:p w:rsidR="00AF26D6" w:rsidRPr="00542277" w:rsidRDefault="00AF26D6" w:rsidP="00A72E80">
      <w:pPr>
        <w:spacing w:after="0"/>
        <w:jc w:val="both"/>
        <w:rPr>
          <w:rFonts w:ascii="Verdana" w:hAnsi="Verdana"/>
          <w:sz w:val="20"/>
          <w:szCs w:val="20"/>
        </w:rPr>
      </w:pPr>
    </w:p>
    <w:p w:rsidR="00564AC7" w:rsidRPr="00542277" w:rsidRDefault="00AF26D6" w:rsidP="00926F35">
      <w:pPr>
        <w:spacing w:after="0"/>
        <w:jc w:val="both"/>
        <w:rPr>
          <w:rFonts w:ascii="Verdana" w:hAnsi="Verdana"/>
          <w:sz w:val="20"/>
          <w:szCs w:val="20"/>
        </w:rPr>
      </w:pPr>
      <w:r w:rsidRPr="00542277">
        <w:rPr>
          <w:rFonts w:ascii="Verdana" w:hAnsi="Verdana"/>
          <w:b/>
          <w:sz w:val="20"/>
          <w:szCs w:val="20"/>
        </w:rPr>
        <w:t>Важно:</w:t>
      </w:r>
      <w:r w:rsidRPr="00542277">
        <w:rPr>
          <w:rFonts w:ascii="Verdana" w:hAnsi="Verdana"/>
          <w:sz w:val="20"/>
          <w:szCs w:val="20"/>
        </w:rPr>
        <w:t xml:space="preserve"> Не се предоставя премия за кораби които са </w:t>
      </w:r>
      <w:r w:rsidR="00C50D1C" w:rsidRPr="00542277">
        <w:rPr>
          <w:rFonts w:ascii="Verdana" w:hAnsi="Verdana"/>
          <w:sz w:val="20"/>
          <w:szCs w:val="20"/>
        </w:rPr>
        <w:t>преустановили риболовна дейност</w:t>
      </w:r>
      <w:r w:rsidR="00926F35" w:rsidRPr="00542277">
        <w:rPr>
          <w:rFonts w:ascii="Verdana" w:hAnsi="Verdana"/>
          <w:sz w:val="20"/>
          <w:szCs w:val="20"/>
        </w:rPr>
        <w:t xml:space="preserve"> поради други причини, различни от COVID-19</w:t>
      </w:r>
      <w:r w:rsidR="00EF66DA" w:rsidRPr="00542277">
        <w:rPr>
          <w:rFonts w:ascii="Verdana" w:hAnsi="Verdana"/>
          <w:sz w:val="20"/>
          <w:szCs w:val="20"/>
        </w:rPr>
        <w:t>. За корабите, попадащи под забрана</w:t>
      </w:r>
      <w:r w:rsidRPr="00542277">
        <w:rPr>
          <w:rFonts w:ascii="Verdana" w:hAnsi="Verdana"/>
          <w:sz w:val="20"/>
          <w:szCs w:val="20"/>
        </w:rPr>
        <w:t xml:space="preserve"> </w:t>
      </w:r>
      <w:r w:rsidR="006105A3" w:rsidRPr="00542277">
        <w:rPr>
          <w:rFonts w:ascii="Verdana" w:hAnsi="Verdana"/>
          <w:sz w:val="20"/>
          <w:szCs w:val="20"/>
        </w:rPr>
        <w:t>за риболов по време на размножителния период</w:t>
      </w:r>
      <w:r w:rsidR="00E94E2A" w:rsidRPr="00542277">
        <w:rPr>
          <w:rFonts w:ascii="Verdana" w:hAnsi="Verdana"/>
          <w:sz w:val="20"/>
          <w:szCs w:val="20"/>
        </w:rPr>
        <w:t xml:space="preserve"> или поради</w:t>
      </w:r>
      <w:r w:rsidR="006105A3" w:rsidRPr="00542277">
        <w:rPr>
          <w:rFonts w:ascii="Verdana" w:hAnsi="Verdana"/>
          <w:sz w:val="20"/>
          <w:szCs w:val="20"/>
        </w:rPr>
        <w:t xml:space="preserve"> нетипични климатични промени, отразяващи се негативно на водните популации в рибностопанските обекти по чл. 3, ал 1, т. 1 от ЗРА</w:t>
      </w:r>
      <w:r w:rsidR="00245473" w:rsidRPr="00542277">
        <w:rPr>
          <w:rStyle w:val="FootnoteReference"/>
          <w:rFonts w:ascii="Verdana" w:hAnsi="Verdana"/>
          <w:sz w:val="20"/>
          <w:szCs w:val="20"/>
        </w:rPr>
        <w:footnoteReference w:id="3"/>
      </w:r>
      <w:r w:rsidR="00564AC7" w:rsidRPr="00542277">
        <w:rPr>
          <w:rFonts w:ascii="Verdana" w:hAnsi="Verdana"/>
          <w:sz w:val="20"/>
          <w:szCs w:val="20"/>
        </w:rPr>
        <w:t xml:space="preserve"> следва да представят доказателства, че за периода на допустимост на кораба, същия е извършвал стопански риболов и за други видове, които не са обект на забрана в същия период от годината, за който важи забраната.</w:t>
      </w:r>
    </w:p>
    <w:p w:rsidR="00564AC7" w:rsidRPr="00542277" w:rsidRDefault="00564AC7" w:rsidP="00926F35">
      <w:pPr>
        <w:spacing w:after="0"/>
        <w:jc w:val="both"/>
        <w:rPr>
          <w:rFonts w:ascii="Verdana" w:hAnsi="Verdana"/>
          <w:sz w:val="20"/>
          <w:szCs w:val="20"/>
        </w:rPr>
      </w:pPr>
    </w:p>
    <w:p w:rsidR="007D022E" w:rsidRPr="00542277" w:rsidRDefault="00564AC7" w:rsidP="00926F35">
      <w:pPr>
        <w:spacing w:after="0"/>
        <w:jc w:val="both"/>
        <w:rPr>
          <w:rFonts w:ascii="Verdana" w:hAnsi="Verdana"/>
          <w:sz w:val="20"/>
          <w:szCs w:val="20"/>
        </w:rPr>
      </w:pPr>
      <w:r w:rsidRPr="00542277">
        <w:rPr>
          <w:rFonts w:ascii="Verdana" w:hAnsi="Verdana"/>
          <w:b/>
          <w:sz w:val="20"/>
          <w:szCs w:val="20"/>
        </w:rPr>
        <w:t xml:space="preserve">Пример: </w:t>
      </w:r>
      <w:r w:rsidRPr="00542277">
        <w:rPr>
          <w:rFonts w:ascii="Verdana" w:hAnsi="Verdana"/>
          <w:sz w:val="20"/>
          <w:szCs w:val="20"/>
        </w:rPr>
        <w:t>Риболовен кораб</w:t>
      </w:r>
      <w:r w:rsidR="002C1132" w:rsidRPr="00542277">
        <w:rPr>
          <w:rFonts w:ascii="Verdana" w:hAnsi="Verdana"/>
          <w:sz w:val="20"/>
          <w:szCs w:val="20"/>
        </w:rPr>
        <w:t xml:space="preserve"> регистриран в регистъра на риболовния флот на съюза през 2010 година който има минимум 120 дни на море през последните 2 години и</w:t>
      </w:r>
      <w:r w:rsidRPr="00542277">
        <w:rPr>
          <w:rFonts w:ascii="Verdana" w:hAnsi="Verdana"/>
          <w:sz w:val="20"/>
          <w:szCs w:val="20"/>
        </w:rPr>
        <w:t xml:space="preserve"> има разрешително за улов на калкан, кандидатства за подпомагане по настоящата мярка за месец юни 2020. До 15.06</w:t>
      </w:r>
      <w:r w:rsidR="002C1132" w:rsidRPr="00542277">
        <w:rPr>
          <w:rFonts w:ascii="Verdana" w:hAnsi="Verdana"/>
          <w:sz w:val="20"/>
          <w:szCs w:val="20"/>
        </w:rPr>
        <w:t>.2020</w:t>
      </w:r>
      <w:r w:rsidRPr="00542277">
        <w:rPr>
          <w:rFonts w:ascii="Verdana" w:hAnsi="Verdana"/>
          <w:sz w:val="20"/>
          <w:szCs w:val="20"/>
        </w:rPr>
        <w:t xml:space="preserve"> важи </w:t>
      </w:r>
      <w:r w:rsidR="002C1132" w:rsidRPr="00542277">
        <w:rPr>
          <w:rFonts w:ascii="Verdana" w:hAnsi="Verdana"/>
          <w:sz w:val="20"/>
          <w:szCs w:val="20"/>
        </w:rPr>
        <w:t>забрана за улов на калкан. С</w:t>
      </w:r>
      <w:r w:rsidRPr="00542277">
        <w:rPr>
          <w:rFonts w:ascii="Verdana" w:hAnsi="Verdana"/>
          <w:sz w:val="20"/>
          <w:szCs w:val="20"/>
        </w:rPr>
        <w:t>обственикът на кораба</w:t>
      </w:r>
      <w:r w:rsidR="002C1132" w:rsidRPr="00542277">
        <w:rPr>
          <w:rFonts w:ascii="Verdana" w:hAnsi="Verdana"/>
          <w:sz w:val="20"/>
          <w:szCs w:val="20"/>
        </w:rPr>
        <w:t xml:space="preserve"> </w:t>
      </w:r>
      <w:r w:rsidR="002C1132" w:rsidRPr="00542277">
        <w:rPr>
          <w:rFonts w:ascii="Verdana" w:hAnsi="Verdana"/>
          <w:sz w:val="20"/>
          <w:szCs w:val="20"/>
        </w:rPr>
        <w:lastRenderedPageBreak/>
        <w:t xml:space="preserve">при </w:t>
      </w:r>
      <w:proofErr w:type="spellStart"/>
      <w:r w:rsidR="002C1132" w:rsidRPr="00542277">
        <w:rPr>
          <w:rFonts w:ascii="Verdana" w:hAnsi="Verdana"/>
          <w:sz w:val="20"/>
          <w:szCs w:val="20"/>
        </w:rPr>
        <w:t>подване</w:t>
      </w:r>
      <w:proofErr w:type="spellEnd"/>
      <w:r w:rsidR="002C1132" w:rsidRPr="00542277">
        <w:rPr>
          <w:rFonts w:ascii="Verdana" w:hAnsi="Verdana"/>
          <w:sz w:val="20"/>
          <w:szCs w:val="20"/>
        </w:rPr>
        <w:t xml:space="preserve"> на проектното си предложение,</w:t>
      </w:r>
      <w:r w:rsidRPr="00542277">
        <w:rPr>
          <w:rFonts w:ascii="Verdana" w:hAnsi="Verdana"/>
          <w:sz w:val="20"/>
          <w:szCs w:val="20"/>
        </w:rPr>
        <w:t xml:space="preserve"> следва да представи доказателства, че през период</w:t>
      </w:r>
      <w:r w:rsidR="002C1132" w:rsidRPr="00542277">
        <w:rPr>
          <w:rFonts w:ascii="Verdana" w:hAnsi="Verdana"/>
          <w:sz w:val="20"/>
          <w:szCs w:val="20"/>
        </w:rPr>
        <w:t>а</w:t>
      </w:r>
      <w:r w:rsidRPr="00542277">
        <w:rPr>
          <w:rFonts w:ascii="Verdana" w:hAnsi="Verdana"/>
          <w:sz w:val="20"/>
          <w:szCs w:val="20"/>
        </w:rPr>
        <w:t xml:space="preserve"> </w:t>
      </w:r>
      <w:r w:rsidR="002C1132" w:rsidRPr="00542277">
        <w:rPr>
          <w:rFonts w:ascii="Verdana" w:hAnsi="Verdana"/>
          <w:sz w:val="20"/>
          <w:szCs w:val="20"/>
        </w:rPr>
        <w:t>01-15.06.2020</w:t>
      </w:r>
      <w:r w:rsidRPr="00542277">
        <w:rPr>
          <w:rFonts w:ascii="Verdana" w:hAnsi="Verdana"/>
          <w:sz w:val="20"/>
          <w:szCs w:val="20"/>
        </w:rPr>
        <w:t xml:space="preserve"> през изминалите години (</w:t>
      </w:r>
      <w:r w:rsidR="002C1132" w:rsidRPr="00542277">
        <w:rPr>
          <w:rFonts w:ascii="Verdana" w:hAnsi="Verdana"/>
          <w:sz w:val="20"/>
          <w:szCs w:val="20"/>
        </w:rPr>
        <w:t>в случая</w:t>
      </w:r>
      <w:r w:rsidRPr="00542277">
        <w:rPr>
          <w:rFonts w:ascii="Verdana" w:hAnsi="Verdana"/>
          <w:sz w:val="20"/>
          <w:szCs w:val="20"/>
        </w:rPr>
        <w:t xml:space="preserve"> 2 години, съгласно периода за допустима активност на кораба.) със същия риболовен кораб са ловени други видове.</w:t>
      </w:r>
    </w:p>
    <w:p w:rsidR="00211E51" w:rsidRPr="00542277" w:rsidRDefault="00211E51" w:rsidP="00926F35">
      <w:pPr>
        <w:spacing w:after="0"/>
        <w:jc w:val="both"/>
        <w:rPr>
          <w:rFonts w:ascii="Verdana" w:hAnsi="Verdana"/>
          <w:sz w:val="20"/>
          <w:szCs w:val="20"/>
        </w:rPr>
      </w:pPr>
    </w:p>
    <w:p w:rsidR="00926F35" w:rsidRPr="00542277" w:rsidRDefault="00926F35" w:rsidP="00926F35">
      <w:pPr>
        <w:spacing w:after="0"/>
        <w:jc w:val="both"/>
        <w:rPr>
          <w:rFonts w:ascii="Verdana" w:hAnsi="Verdana"/>
          <w:sz w:val="20"/>
          <w:szCs w:val="20"/>
        </w:rPr>
      </w:pPr>
      <w:r w:rsidRPr="00542277">
        <w:rPr>
          <w:rFonts w:ascii="Verdana" w:hAnsi="Verdana"/>
          <w:sz w:val="20"/>
          <w:szCs w:val="20"/>
        </w:rPr>
        <w:t xml:space="preserve">Допустими по настоящата процедура за подбор на проекти са </w:t>
      </w:r>
      <w:r w:rsidR="002C1132" w:rsidRPr="00542277">
        <w:rPr>
          <w:rFonts w:ascii="Verdana" w:hAnsi="Verdana"/>
          <w:sz w:val="20"/>
          <w:szCs w:val="20"/>
        </w:rPr>
        <w:t xml:space="preserve">бенефициенти, които отговарят на изискванията на чл. 10 </w:t>
      </w:r>
      <w:r w:rsidR="00AD0839" w:rsidRPr="00542277">
        <w:rPr>
          <w:rFonts w:ascii="Verdana" w:hAnsi="Verdana"/>
          <w:sz w:val="20"/>
          <w:szCs w:val="20"/>
        </w:rPr>
        <w:t>от</w:t>
      </w:r>
      <w:r w:rsidR="002C1132" w:rsidRPr="00542277">
        <w:rPr>
          <w:rFonts w:ascii="Verdana" w:hAnsi="Verdana"/>
          <w:sz w:val="20"/>
          <w:szCs w:val="20"/>
        </w:rPr>
        <w:t xml:space="preserve"> Регламент (ЕС) 508/2014, както и на изискванията на националното законодателство.</w:t>
      </w:r>
    </w:p>
    <w:p w:rsidR="00AF26D6" w:rsidRPr="00542277" w:rsidRDefault="00AF26D6" w:rsidP="00A72E80">
      <w:pPr>
        <w:spacing w:after="0"/>
        <w:jc w:val="both"/>
        <w:rPr>
          <w:rFonts w:ascii="Verdana" w:hAnsi="Verdana"/>
          <w:sz w:val="20"/>
          <w:szCs w:val="20"/>
        </w:rPr>
      </w:pPr>
    </w:p>
    <w:p w:rsidR="00926F35" w:rsidRPr="00542277" w:rsidRDefault="00B40EB4" w:rsidP="00926F35">
      <w:pPr>
        <w:spacing w:after="0"/>
        <w:jc w:val="both"/>
        <w:rPr>
          <w:rFonts w:ascii="Verdana" w:hAnsi="Verdana"/>
          <w:sz w:val="20"/>
          <w:szCs w:val="20"/>
        </w:rPr>
      </w:pPr>
      <w:r w:rsidRPr="00542277">
        <w:rPr>
          <w:rFonts w:ascii="Verdana" w:hAnsi="Verdana"/>
          <w:sz w:val="20"/>
          <w:szCs w:val="20"/>
        </w:rPr>
        <w:t>Във връзка с изпълнението на одобрения проект, б</w:t>
      </w:r>
      <w:r w:rsidR="00926F35" w:rsidRPr="00542277">
        <w:rPr>
          <w:rFonts w:ascii="Verdana" w:hAnsi="Verdana"/>
          <w:sz w:val="20"/>
          <w:szCs w:val="20"/>
        </w:rPr>
        <w:t xml:space="preserve">енефициентите трябва да представят доказателства за </w:t>
      </w:r>
      <w:r w:rsidR="00FA3B29" w:rsidRPr="00542277">
        <w:rPr>
          <w:rFonts w:ascii="Verdana" w:hAnsi="Verdana"/>
          <w:sz w:val="20"/>
          <w:szCs w:val="20"/>
        </w:rPr>
        <w:t xml:space="preserve">преустановена риболовна дейност </w:t>
      </w:r>
      <w:r w:rsidR="00926F35" w:rsidRPr="00542277">
        <w:rPr>
          <w:rFonts w:ascii="Verdana" w:hAnsi="Verdana"/>
          <w:sz w:val="20"/>
          <w:szCs w:val="20"/>
        </w:rPr>
        <w:t>-</w:t>
      </w:r>
      <w:r w:rsidR="00FA3B29" w:rsidRPr="00542277">
        <w:rPr>
          <w:rFonts w:ascii="Verdana" w:hAnsi="Verdana"/>
          <w:sz w:val="20"/>
          <w:szCs w:val="20"/>
        </w:rPr>
        <w:t xml:space="preserve"> </w:t>
      </w:r>
      <w:r w:rsidR="00926F35" w:rsidRPr="00542277">
        <w:rPr>
          <w:rFonts w:ascii="Verdana" w:hAnsi="Verdana"/>
          <w:sz w:val="20"/>
          <w:szCs w:val="20"/>
        </w:rPr>
        <w:t>риболовен дневник на кораба</w:t>
      </w:r>
      <w:r w:rsidR="002C1132" w:rsidRPr="00542277">
        <w:rPr>
          <w:rFonts w:ascii="Verdana" w:hAnsi="Verdana"/>
          <w:sz w:val="20"/>
          <w:szCs w:val="20"/>
        </w:rPr>
        <w:t xml:space="preserve"> за тези, които са под 12 метра дължина</w:t>
      </w:r>
      <w:r w:rsidRPr="00542277">
        <w:rPr>
          <w:rFonts w:ascii="Verdana" w:hAnsi="Verdana"/>
          <w:sz w:val="20"/>
          <w:szCs w:val="20"/>
        </w:rPr>
        <w:t xml:space="preserve"> и </w:t>
      </w:r>
      <w:proofErr w:type="spellStart"/>
      <w:r w:rsidRPr="00542277">
        <w:rPr>
          <w:rFonts w:ascii="Verdana" w:hAnsi="Verdana"/>
          <w:sz w:val="20"/>
          <w:szCs w:val="20"/>
        </w:rPr>
        <w:t>др</w:t>
      </w:r>
      <w:proofErr w:type="spellEnd"/>
      <w:r w:rsidRPr="00542277">
        <w:rPr>
          <w:rFonts w:ascii="Verdana" w:hAnsi="Verdana"/>
          <w:sz w:val="20"/>
          <w:szCs w:val="20"/>
        </w:rPr>
        <w:t>;</w:t>
      </w:r>
      <w:r w:rsidR="00926F35" w:rsidRPr="00542277">
        <w:rPr>
          <w:rFonts w:ascii="Verdana" w:hAnsi="Verdana"/>
          <w:sz w:val="20"/>
          <w:szCs w:val="20"/>
        </w:rPr>
        <w:t xml:space="preserve"> </w:t>
      </w:r>
      <w:proofErr w:type="spellStart"/>
      <w:r w:rsidR="00926F35" w:rsidRPr="00542277">
        <w:rPr>
          <w:rFonts w:ascii="Verdana" w:hAnsi="Verdana"/>
          <w:sz w:val="20"/>
          <w:szCs w:val="20"/>
        </w:rPr>
        <w:t>документи</w:t>
      </w:r>
      <w:proofErr w:type="spellEnd"/>
      <w:r w:rsidR="00926F35" w:rsidRPr="00542277">
        <w:rPr>
          <w:rFonts w:ascii="Verdana" w:hAnsi="Verdana"/>
          <w:sz w:val="20"/>
          <w:szCs w:val="20"/>
        </w:rPr>
        <w:t xml:space="preserve">, </w:t>
      </w:r>
      <w:proofErr w:type="spellStart"/>
      <w:r w:rsidR="00926F35" w:rsidRPr="00542277">
        <w:rPr>
          <w:rFonts w:ascii="Verdana" w:hAnsi="Verdana"/>
          <w:sz w:val="20"/>
          <w:szCs w:val="20"/>
        </w:rPr>
        <w:t>доказващи</w:t>
      </w:r>
      <w:proofErr w:type="spellEnd"/>
      <w:r w:rsidR="00926F35" w:rsidRPr="00542277">
        <w:rPr>
          <w:rFonts w:ascii="Verdana" w:hAnsi="Verdana"/>
          <w:sz w:val="20"/>
          <w:szCs w:val="20"/>
        </w:rPr>
        <w:t xml:space="preserve"> </w:t>
      </w:r>
      <w:proofErr w:type="spellStart"/>
      <w:r w:rsidR="00926F35" w:rsidRPr="00542277">
        <w:rPr>
          <w:rFonts w:ascii="Verdana" w:hAnsi="Verdana"/>
          <w:sz w:val="20"/>
          <w:szCs w:val="20"/>
        </w:rPr>
        <w:t>заетост</w:t>
      </w:r>
      <w:proofErr w:type="spellEnd"/>
      <w:r w:rsidRPr="00542277">
        <w:rPr>
          <w:rFonts w:ascii="Verdana" w:hAnsi="Verdana"/>
          <w:sz w:val="20"/>
          <w:szCs w:val="20"/>
        </w:rPr>
        <w:t xml:space="preserve"> на екипажа</w:t>
      </w:r>
      <w:r w:rsidR="00926F35" w:rsidRPr="00542277">
        <w:rPr>
          <w:rFonts w:ascii="Verdana" w:hAnsi="Verdana"/>
          <w:sz w:val="20"/>
          <w:szCs w:val="20"/>
        </w:rPr>
        <w:t xml:space="preserve"> </w:t>
      </w:r>
      <w:proofErr w:type="spellStart"/>
      <w:r w:rsidR="00926F35" w:rsidRPr="00542277">
        <w:rPr>
          <w:rFonts w:ascii="Verdana" w:hAnsi="Verdana"/>
          <w:sz w:val="20"/>
          <w:szCs w:val="20"/>
        </w:rPr>
        <w:t>съгласно</w:t>
      </w:r>
      <w:proofErr w:type="spellEnd"/>
      <w:r w:rsidR="00926F35" w:rsidRPr="00542277">
        <w:rPr>
          <w:rFonts w:ascii="Verdana" w:hAnsi="Verdana"/>
          <w:sz w:val="20"/>
          <w:szCs w:val="20"/>
        </w:rPr>
        <w:t xml:space="preserve"> </w:t>
      </w:r>
      <w:proofErr w:type="spellStart"/>
      <w:r w:rsidR="00926F35" w:rsidRPr="00542277">
        <w:rPr>
          <w:rFonts w:ascii="Verdana" w:hAnsi="Verdana"/>
          <w:sz w:val="20"/>
          <w:szCs w:val="20"/>
        </w:rPr>
        <w:t>приложимото</w:t>
      </w:r>
      <w:proofErr w:type="spellEnd"/>
      <w:r w:rsidR="00926F35" w:rsidRPr="00542277">
        <w:rPr>
          <w:rFonts w:ascii="Verdana" w:hAnsi="Verdana"/>
          <w:sz w:val="20"/>
          <w:szCs w:val="20"/>
        </w:rPr>
        <w:t xml:space="preserve"> </w:t>
      </w:r>
      <w:proofErr w:type="spellStart"/>
      <w:r w:rsidR="00926F35" w:rsidRPr="00542277">
        <w:rPr>
          <w:rFonts w:ascii="Verdana" w:hAnsi="Verdana"/>
          <w:sz w:val="20"/>
          <w:szCs w:val="20"/>
        </w:rPr>
        <w:t>законодателство</w:t>
      </w:r>
      <w:proofErr w:type="spellEnd"/>
      <w:r w:rsidR="00926F35" w:rsidRPr="00542277">
        <w:rPr>
          <w:rFonts w:ascii="Verdana" w:hAnsi="Verdana"/>
          <w:sz w:val="20"/>
          <w:szCs w:val="20"/>
        </w:rPr>
        <w:t xml:space="preserve"> </w:t>
      </w:r>
      <w:proofErr w:type="spellStart"/>
      <w:r w:rsidR="00926F35" w:rsidRPr="00542277">
        <w:rPr>
          <w:rFonts w:ascii="Verdana" w:hAnsi="Verdana"/>
          <w:sz w:val="20"/>
          <w:szCs w:val="20"/>
        </w:rPr>
        <w:t>за</w:t>
      </w:r>
      <w:proofErr w:type="spellEnd"/>
      <w:r w:rsidR="00926F35" w:rsidRPr="00542277">
        <w:rPr>
          <w:rFonts w:ascii="Verdana" w:hAnsi="Verdana"/>
          <w:sz w:val="20"/>
          <w:szCs w:val="20"/>
        </w:rPr>
        <w:t xml:space="preserve"> </w:t>
      </w:r>
      <w:proofErr w:type="spellStart"/>
      <w:r w:rsidR="00926F35" w:rsidRPr="00542277">
        <w:rPr>
          <w:rFonts w:ascii="Verdana" w:hAnsi="Verdana"/>
          <w:sz w:val="20"/>
          <w:szCs w:val="20"/>
        </w:rPr>
        <w:t>периода</w:t>
      </w:r>
      <w:proofErr w:type="spellEnd"/>
      <w:r w:rsidR="00926F35" w:rsidRPr="00542277">
        <w:rPr>
          <w:rFonts w:ascii="Verdana" w:hAnsi="Verdana"/>
          <w:sz w:val="20"/>
          <w:szCs w:val="20"/>
        </w:rPr>
        <w:t xml:space="preserve"> </w:t>
      </w:r>
      <w:proofErr w:type="spellStart"/>
      <w:r w:rsidR="00926F35" w:rsidRPr="00542277">
        <w:rPr>
          <w:rFonts w:ascii="Verdana" w:hAnsi="Verdana"/>
          <w:sz w:val="20"/>
          <w:szCs w:val="20"/>
        </w:rPr>
        <w:t>на</w:t>
      </w:r>
      <w:proofErr w:type="spellEnd"/>
      <w:r w:rsidR="00926F35" w:rsidRPr="00542277">
        <w:rPr>
          <w:rFonts w:ascii="Verdana" w:hAnsi="Verdana"/>
          <w:sz w:val="20"/>
          <w:szCs w:val="20"/>
        </w:rPr>
        <w:t xml:space="preserve"> </w:t>
      </w:r>
      <w:proofErr w:type="spellStart"/>
      <w:r w:rsidR="00926F35" w:rsidRPr="00542277">
        <w:rPr>
          <w:rFonts w:ascii="Verdana" w:hAnsi="Verdana"/>
          <w:sz w:val="20"/>
          <w:szCs w:val="20"/>
        </w:rPr>
        <w:t>допустимост</w:t>
      </w:r>
      <w:proofErr w:type="spellEnd"/>
      <w:r w:rsidR="00926F35" w:rsidRPr="00542277">
        <w:rPr>
          <w:rFonts w:ascii="Verdana" w:hAnsi="Verdana"/>
          <w:sz w:val="20"/>
          <w:szCs w:val="20"/>
        </w:rPr>
        <w:t xml:space="preserve"> (ведомости за заплати, сметка за изплатени суми и др.), както и доказателства за тяхното изплащане.</w:t>
      </w:r>
    </w:p>
    <w:p w:rsidR="00926F35" w:rsidRPr="00542277" w:rsidRDefault="00926F35" w:rsidP="00A72E80">
      <w:pPr>
        <w:spacing w:after="0"/>
        <w:jc w:val="both"/>
        <w:rPr>
          <w:rFonts w:ascii="Verdana" w:hAnsi="Verdana"/>
          <w:sz w:val="20"/>
          <w:szCs w:val="20"/>
        </w:rPr>
      </w:pPr>
    </w:p>
    <w:p w:rsidR="004A783A" w:rsidRPr="00542277" w:rsidRDefault="004A783A" w:rsidP="004A783A">
      <w:pPr>
        <w:spacing w:after="0"/>
        <w:jc w:val="both"/>
        <w:rPr>
          <w:rFonts w:ascii="Verdana" w:hAnsi="Verdana"/>
          <w:sz w:val="20"/>
          <w:szCs w:val="20"/>
        </w:rPr>
      </w:pPr>
      <w:r w:rsidRPr="00542277">
        <w:rPr>
          <w:rFonts w:ascii="Verdana" w:hAnsi="Verdana"/>
          <w:b/>
          <w:sz w:val="20"/>
          <w:szCs w:val="20"/>
        </w:rPr>
        <w:t>Пример 1</w:t>
      </w:r>
      <w:r w:rsidRPr="00542277">
        <w:rPr>
          <w:rFonts w:ascii="Verdana" w:hAnsi="Verdana"/>
          <w:sz w:val="20"/>
          <w:szCs w:val="20"/>
        </w:rPr>
        <w:t>: Кораб 13 метра, с БТ – 15, с преустановена дейност за 35 дни.</w:t>
      </w:r>
    </w:p>
    <w:p w:rsidR="004A783A" w:rsidRPr="00542277" w:rsidRDefault="004A783A" w:rsidP="004A783A">
      <w:pPr>
        <w:spacing w:after="0"/>
        <w:jc w:val="both"/>
        <w:rPr>
          <w:rFonts w:ascii="Verdana" w:hAnsi="Verdana"/>
          <w:sz w:val="20"/>
          <w:szCs w:val="20"/>
        </w:rPr>
      </w:pPr>
    </w:p>
    <w:p w:rsidR="004A783A" w:rsidRPr="00542277" w:rsidRDefault="00AF26D6" w:rsidP="004A783A">
      <w:pPr>
        <w:spacing w:after="0"/>
        <w:jc w:val="both"/>
        <w:rPr>
          <w:rFonts w:ascii="Verdana" w:hAnsi="Verdana"/>
          <w:sz w:val="20"/>
          <w:szCs w:val="20"/>
        </w:rPr>
      </w:pPr>
      <w:r w:rsidRPr="00542277">
        <w:rPr>
          <w:rFonts w:ascii="Verdana" w:hAnsi="Verdana"/>
          <w:sz w:val="20"/>
          <w:szCs w:val="20"/>
        </w:rPr>
        <w:t>Общата компенсация е равна на</w:t>
      </w:r>
      <w:r w:rsidR="004A783A" w:rsidRPr="00542277">
        <w:rPr>
          <w:rFonts w:ascii="Verdana" w:hAnsi="Verdana"/>
          <w:sz w:val="20"/>
          <w:szCs w:val="20"/>
        </w:rPr>
        <w:t xml:space="preserve">:   </w:t>
      </w:r>
      <w:r w:rsidR="009B641E" w:rsidRPr="00542277">
        <w:rPr>
          <w:rFonts w:ascii="Verdana" w:hAnsi="Verdana"/>
          <w:sz w:val="20"/>
          <w:szCs w:val="20"/>
        </w:rPr>
        <w:t>6.981,1 =( (12,92 х15)+5,66)*35</w:t>
      </w:r>
    </w:p>
    <w:p w:rsidR="004A783A" w:rsidRPr="00542277" w:rsidRDefault="004A783A" w:rsidP="004A783A">
      <w:pPr>
        <w:spacing w:after="0"/>
        <w:jc w:val="both"/>
        <w:rPr>
          <w:rFonts w:ascii="Verdana" w:hAnsi="Verdana"/>
          <w:sz w:val="20"/>
          <w:szCs w:val="20"/>
        </w:rPr>
      </w:pPr>
    </w:p>
    <w:p w:rsidR="004A783A" w:rsidRPr="00542277" w:rsidRDefault="004A783A" w:rsidP="004A783A">
      <w:pPr>
        <w:spacing w:after="0"/>
        <w:jc w:val="both"/>
        <w:rPr>
          <w:rFonts w:ascii="Verdana" w:hAnsi="Verdana"/>
          <w:sz w:val="20"/>
          <w:szCs w:val="20"/>
        </w:rPr>
      </w:pPr>
      <w:r w:rsidRPr="00542277">
        <w:rPr>
          <w:rFonts w:ascii="Verdana" w:hAnsi="Verdana"/>
          <w:b/>
          <w:sz w:val="20"/>
          <w:szCs w:val="20"/>
        </w:rPr>
        <w:t>Пример 2</w:t>
      </w:r>
      <w:r w:rsidRPr="00542277">
        <w:rPr>
          <w:rFonts w:ascii="Verdana" w:hAnsi="Verdana"/>
          <w:sz w:val="20"/>
          <w:szCs w:val="20"/>
        </w:rPr>
        <w:t>: Кораб 24 метра, с БТ – 117, с преустановена дейност за 35 дни.</w:t>
      </w:r>
    </w:p>
    <w:p w:rsidR="004A783A" w:rsidRPr="00542277" w:rsidRDefault="004A783A" w:rsidP="004A783A">
      <w:pPr>
        <w:spacing w:after="0"/>
        <w:jc w:val="both"/>
        <w:rPr>
          <w:rFonts w:ascii="Verdana" w:hAnsi="Verdana"/>
          <w:sz w:val="20"/>
          <w:szCs w:val="20"/>
        </w:rPr>
      </w:pPr>
    </w:p>
    <w:p w:rsidR="002A6554" w:rsidRPr="00542277" w:rsidRDefault="009B641E" w:rsidP="004A783A">
      <w:pPr>
        <w:spacing w:after="0"/>
        <w:jc w:val="both"/>
        <w:rPr>
          <w:rFonts w:ascii="Verdana" w:hAnsi="Verdana"/>
          <w:sz w:val="20"/>
          <w:szCs w:val="20"/>
        </w:rPr>
      </w:pPr>
      <w:r w:rsidRPr="00542277">
        <w:rPr>
          <w:rFonts w:ascii="Verdana" w:hAnsi="Verdana"/>
          <w:sz w:val="20"/>
          <w:szCs w:val="20"/>
        </w:rPr>
        <w:t>Общата компенсация е равна на</w:t>
      </w:r>
      <w:r w:rsidR="004A783A" w:rsidRPr="00542277">
        <w:rPr>
          <w:rFonts w:ascii="Verdana" w:hAnsi="Verdana"/>
          <w:sz w:val="20"/>
          <w:szCs w:val="20"/>
        </w:rPr>
        <w:t xml:space="preserve">:  </w:t>
      </w:r>
      <w:r w:rsidRPr="00542277">
        <w:rPr>
          <w:rFonts w:ascii="Verdana" w:hAnsi="Verdana"/>
          <w:sz w:val="20"/>
          <w:szCs w:val="20"/>
        </w:rPr>
        <w:t>19.239,85 =( (4,65 х117)+5,66)*35</w:t>
      </w:r>
    </w:p>
    <w:p w:rsidR="004A783A" w:rsidRPr="00542277" w:rsidRDefault="004A783A" w:rsidP="004A783A">
      <w:pPr>
        <w:spacing w:after="0"/>
        <w:jc w:val="both"/>
        <w:rPr>
          <w:rFonts w:ascii="Verdana" w:hAnsi="Verdana"/>
          <w:sz w:val="20"/>
          <w:szCs w:val="20"/>
        </w:rPr>
      </w:pPr>
    </w:p>
    <w:p w:rsidR="002A6554" w:rsidRPr="00542277" w:rsidRDefault="002A6554" w:rsidP="00A72E80">
      <w:pPr>
        <w:pStyle w:val="Heading2"/>
        <w:numPr>
          <w:ilvl w:val="0"/>
          <w:numId w:val="3"/>
        </w:numPr>
        <w:spacing w:line="276" w:lineRule="auto"/>
        <w:jc w:val="both"/>
        <w:rPr>
          <w:rFonts w:ascii="Verdana" w:hAnsi="Verdana"/>
          <w:b/>
          <w:sz w:val="20"/>
          <w:szCs w:val="20"/>
        </w:rPr>
      </w:pPr>
      <w:r w:rsidRPr="00542277">
        <w:rPr>
          <w:rFonts w:ascii="Verdana" w:hAnsi="Verdana"/>
          <w:b/>
          <w:sz w:val="20"/>
          <w:szCs w:val="20"/>
        </w:rPr>
        <w:t xml:space="preserve">Компенсация за временно спиране или намаляване на производството и продажбите на производителите на аквакултури - чл. 55 </w:t>
      </w:r>
      <w:r w:rsidR="003A5115" w:rsidRPr="00542277">
        <w:rPr>
          <w:rFonts w:ascii="Verdana" w:hAnsi="Verdana"/>
          <w:b/>
          <w:sz w:val="20"/>
          <w:szCs w:val="20"/>
        </w:rPr>
        <w:t xml:space="preserve">параграф 1 буква б) </w:t>
      </w:r>
    </w:p>
    <w:p w:rsidR="001C6E8B" w:rsidRPr="00542277" w:rsidRDefault="001C6E8B">
      <w:pPr>
        <w:rPr>
          <w:rFonts w:ascii="Verdana" w:hAnsi="Verdana"/>
          <w:sz w:val="20"/>
          <w:szCs w:val="20"/>
        </w:rPr>
      </w:pPr>
    </w:p>
    <w:p w:rsidR="00335283" w:rsidRPr="00542277" w:rsidRDefault="00337F17" w:rsidP="00A72E80">
      <w:pPr>
        <w:spacing w:after="0"/>
        <w:jc w:val="both"/>
        <w:rPr>
          <w:rFonts w:ascii="Verdana" w:hAnsi="Verdana"/>
          <w:sz w:val="20"/>
          <w:szCs w:val="20"/>
        </w:rPr>
      </w:pPr>
      <w:r w:rsidRPr="00542277">
        <w:rPr>
          <w:rFonts w:ascii="Verdana" w:hAnsi="Verdana"/>
          <w:sz w:val="20"/>
          <w:szCs w:val="20"/>
        </w:rPr>
        <w:t>Допустими ще са кандидати, които са регистрирали спад в приходния оборот поне 20 %  на месец (определен в Условията за кандидатстване по мярката)  спрямо средноаритметичния месечен оборот за 2019 г. или средноаритметичния оборот за месец от 2019, 2018 и 2017 г.</w:t>
      </w:r>
    </w:p>
    <w:p w:rsidR="00337F17" w:rsidRPr="00542277" w:rsidRDefault="00337F17" w:rsidP="00A72E80">
      <w:pPr>
        <w:spacing w:after="0"/>
        <w:jc w:val="both"/>
        <w:rPr>
          <w:rFonts w:ascii="Verdana" w:hAnsi="Verdana"/>
          <w:sz w:val="20"/>
          <w:szCs w:val="20"/>
        </w:rPr>
      </w:pPr>
    </w:p>
    <w:p w:rsidR="00C9444C" w:rsidRPr="00542277" w:rsidRDefault="00C9444C" w:rsidP="00A72E80">
      <w:pPr>
        <w:spacing w:after="0"/>
        <w:jc w:val="both"/>
        <w:rPr>
          <w:rFonts w:ascii="Verdana" w:hAnsi="Verdana"/>
          <w:sz w:val="20"/>
          <w:szCs w:val="20"/>
        </w:rPr>
      </w:pPr>
      <w:r w:rsidRPr="00542277">
        <w:rPr>
          <w:rFonts w:ascii="Verdana" w:hAnsi="Verdana"/>
          <w:sz w:val="20"/>
          <w:szCs w:val="20"/>
        </w:rPr>
        <w:t>Допустими ще са разходи, необходими за преодоляване на недостига на средства, настъпили в резултат от епидемичния взрив от COVID-19 (разходи за съхранение, разходи за заплати, разходи за суровини, разходи за логистични услуги и подобни свързани с оборотния капитал). Заявената безвъзмездна финансова помощ не може да надвишава 20% от нетните приходи за продажби за 2019 г.</w:t>
      </w:r>
    </w:p>
    <w:p w:rsidR="00BB6864" w:rsidRPr="00542277" w:rsidRDefault="00BB6864" w:rsidP="00A72E80">
      <w:pPr>
        <w:spacing w:after="0"/>
        <w:jc w:val="both"/>
        <w:rPr>
          <w:rFonts w:ascii="Verdana" w:hAnsi="Verdana"/>
          <w:sz w:val="20"/>
          <w:szCs w:val="20"/>
        </w:rPr>
      </w:pPr>
    </w:p>
    <w:p w:rsidR="00C9444C" w:rsidRPr="00542277" w:rsidRDefault="00AA56B3" w:rsidP="00A72E80">
      <w:pPr>
        <w:spacing w:after="0"/>
        <w:jc w:val="both"/>
        <w:rPr>
          <w:rFonts w:ascii="Verdana" w:hAnsi="Verdana"/>
          <w:sz w:val="20"/>
          <w:szCs w:val="20"/>
        </w:rPr>
      </w:pPr>
      <w:r w:rsidRPr="00542277">
        <w:rPr>
          <w:rFonts w:ascii="Verdana" w:hAnsi="Verdana"/>
          <w:sz w:val="20"/>
          <w:szCs w:val="20"/>
        </w:rPr>
        <w:t xml:space="preserve">Периодът на допустимост на мярката, съответно дейностите и разходите по нея ще </w:t>
      </w:r>
      <w:r w:rsidR="00AC1B20" w:rsidRPr="00542277">
        <w:rPr>
          <w:rFonts w:ascii="Verdana" w:hAnsi="Verdana"/>
          <w:sz w:val="20"/>
          <w:szCs w:val="20"/>
        </w:rPr>
        <w:t>се определя</w:t>
      </w:r>
      <w:r w:rsidRPr="00542277">
        <w:rPr>
          <w:rFonts w:ascii="Verdana" w:hAnsi="Verdana"/>
          <w:sz w:val="20"/>
          <w:szCs w:val="20"/>
        </w:rPr>
        <w:t xml:space="preserve"> съгласно приложимото законодателство</w:t>
      </w:r>
      <w:r w:rsidRPr="00542277">
        <w:rPr>
          <w:rStyle w:val="FootnoteReference"/>
          <w:rFonts w:ascii="Verdana" w:hAnsi="Verdana"/>
          <w:sz w:val="20"/>
          <w:szCs w:val="20"/>
        </w:rPr>
        <w:footnoteReference w:id="4"/>
      </w:r>
      <w:r w:rsidRPr="00542277">
        <w:rPr>
          <w:rFonts w:ascii="Verdana" w:hAnsi="Verdana"/>
          <w:sz w:val="20"/>
          <w:szCs w:val="20"/>
        </w:rPr>
        <w:t>.</w:t>
      </w:r>
    </w:p>
    <w:p w:rsidR="00E22061" w:rsidRPr="00542277" w:rsidRDefault="00E22061" w:rsidP="00A72E80">
      <w:pPr>
        <w:spacing w:after="0"/>
        <w:jc w:val="both"/>
        <w:rPr>
          <w:rFonts w:ascii="Verdana" w:hAnsi="Verdana"/>
          <w:sz w:val="20"/>
          <w:szCs w:val="20"/>
        </w:rPr>
      </w:pPr>
    </w:p>
    <w:p w:rsidR="00C9444C" w:rsidRPr="00542277" w:rsidRDefault="00C9444C" w:rsidP="00A72E80">
      <w:pPr>
        <w:spacing w:after="0"/>
        <w:jc w:val="both"/>
        <w:rPr>
          <w:rFonts w:ascii="Verdana" w:hAnsi="Verdana"/>
          <w:sz w:val="20"/>
          <w:szCs w:val="20"/>
        </w:rPr>
      </w:pPr>
      <w:r w:rsidRPr="00542277">
        <w:rPr>
          <w:rFonts w:ascii="Verdana" w:hAnsi="Verdana"/>
          <w:sz w:val="20"/>
          <w:szCs w:val="20"/>
        </w:rPr>
        <w:t>Продължителността на изпълнение на всеки проект не следва да надвишава 4 (четири) месеца.</w:t>
      </w:r>
    </w:p>
    <w:p w:rsidR="00E22061" w:rsidRPr="00542277" w:rsidRDefault="00E22061" w:rsidP="00A72E80">
      <w:pPr>
        <w:spacing w:after="0"/>
        <w:jc w:val="both"/>
        <w:rPr>
          <w:rFonts w:ascii="Verdana" w:hAnsi="Verdana"/>
          <w:sz w:val="20"/>
          <w:szCs w:val="20"/>
        </w:rPr>
      </w:pPr>
    </w:p>
    <w:p w:rsidR="00C9444C" w:rsidRPr="00542277" w:rsidRDefault="00C9444C" w:rsidP="00A72E80">
      <w:pPr>
        <w:spacing w:after="0"/>
        <w:jc w:val="both"/>
        <w:rPr>
          <w:rFonts w:ascii="Verdana" w:hAnsi="Verdana"/>
          <w:sz w:val="20"/>
          <w:szCs w:val="20"/>
        </w:rPr>
      </w:pPr>
      <w:r w:rsidRPr="00542277">
        <w:rPr>
          <w:rFonts w:ascii="Verdana" w:hAnsi="Verdana"/>
          <w:sz w:val="20"/>
          <w:szCs w:val="20"/>
        </w:rPr>
        <w:t>По процедурите няма да има критерии за подбор – „Техническа и финансова оценка”, помощта е предназначена за всички допустими оператори и до изчерпване на бюджета ще се прилага принципът „Първи по ред, първи по право”.</w:t>
      </w:r>
    </w:p>
    <w:p w:rsidR="00034BBB" w:rsidRPr="00542277" w:rsidRDefault="00034BBB" w:rsidP="00A72E80">
      <w:pPr>
        <w:spacing w:after="0"/>
        <w:jc w:val="both"/>
        <w:rPr>
          <w:rFonts w:ascii="Verdana" w:hAnsi="Verdana"/>
          <w:sz w:val="20"/>
          <w:szCs w:val="20"/>
        </w:rPr>
      </w:pPr>
    </w:p>
    <w:p w:rsidR="00034BBB" w:rsidRPr="00542277" w:rsidRDefault="009F520B" w:rsidP="00A72E80">
      <w:pPr>
        <w:spacing w:after="0"/>
        <w:jc w:val="both"/>
        <w:rPr>
          <w:rFonts w:ascii="Verdana" w:hAnsi="Verdana"/>
          <w:sz w:val="20"/>
          <w:szCs w:val="20"/>
        </w:rPr>
      </w:pPr>
      <w:r w:rsidRPr="00542277">
        <w:rPr>
          <w:rFonts w:ascii="Verdana" w:hAnsi="Verdana"/>
          <w:sz w:val="20"/>
          <w:szCs w:val="20"/>
        </w:rPr>
        <w:t>Във връзка с изпълнението на одобрения проект,</w:t>
      </w:r>
      <w:r w:rsidR="00034BBB" w:rsidRPr="00542277">
        <w:rPr>
          <w:rFonts w:ascii="Verdana" w:hAnsi="Verdana"/>
          <w:sz w:val="20"/>
          <w:szCs w:val="20"/>
        </w:rPr>
        <w:t xml:space="preserve"> бенефициентите </w:t>
      </w:r>
      <w:r w:rsidR="00904758" w:rsidRPr="00542277">
        <w:rPr>
          <w:rFonts w:ascii="Verdana" w:hAnsi="Verdana"/>
          <w:sz w:val="20"/>
          <w:szCs w:val="20"/>
        </w:rPr>
        <w:t xml:space="preserve">ще </w:t>
      </w:r>
      <w:r w:rsidR="00034BBB" w:rsidRPr="00542277">
        <w:rPr>
          <w:rFonts w:ascii="Verdana" w:hAnsi="Verdana"/>
          <w:sz w:val="20"/>
          <w:szCs w:val="20"/>
        </w:rPr>
        <w:t xml:space="preserve">трябва да представят </w:t>
      </w:r>
      <w:proofErr w:type="spellStart"/>
      <w:r w:rsidR="00034BBB" w:rsidRPr="00542277">
        <w:rPr>
          <w:rFonts w:ascii="Verdana" w:hAnsi="Verdana"/>
          <w:sz w:val="20"/>
          <w:szCs w:val="20"/>
        </w:rPr>
        <w:t>разходооправдателни</w:t>
      </w:r>
      <w:proofErr w:type="spellEnd"/>
      <w:r w:rsidR="00034BBB" w:rsidRPr="00542277">
        <w:rPr>
          <w:rFonts w:ascii="Verdana" w:hAnsi="Verdana"/>
          <w:sz w:val="20"/>
          <w:szCs w:val="20"/>
        </w:rPr>
        <w:t xml:space="preserve"> документи за </w:t>
      </w:r>
      <w:r w:rsidR="00904758" w:rsidRPr="00542277">
        <w:rPr>
          <w:rFonts w:ascii="Verdana" w:hAnsi="Verdana"/>
          <w:sz w:val="20"/>
          <w:szCs w:val="20"/>
        </w:rPr>
        <w:t xml:space="preserve">допустимите извършени </w:t>
      </w:r>
      <w:r w:rsidR="00034BBB" w:rsidRPr="00542277">
        <w:rPr>
          <w:rFonts w:ascii="Verdana" w:hAnsi="Verdana"/>
          <w:sz w:val="20"/>
          <w:szCs w:val="20"/>
        </w:rPr>
        <w:t>разходи– фактури, ведомости за заплати и др., както и доказателства за тяхното изплащане.</w:t>
      </w:r>
    </w:p>
    <w:p w:rsidR="00C9444C" w:rsidRPr="00542277" w:rsidRDefault="00C9444C" w:rsidP="00A72E80">
      <w:pPr>
        <w:spacing w:after="0"/>
        <w:jc w:val="both"/>
        <w:rPr>
          <w:rFonts w:ascii="Verdana" w:hAnsi="Verdana"/>
          <w:sz w:val="20"/>
          <w:szCs w:val="20"/>
        </w:rPr>
      </w:pPr>
    </w:p>
    <w:p w:rsidR="00C9444C" w:rsidRPr="00542277" w:rsidRDefault="00C9444C" w:rsidP="00A72E80">
      <w:pPr>
        <w:spacing w:after="0"/>
        <w:jc w:val="both"/>
        <w:rPr>
          <w:rFonts w:ascii="Verdana" w:hAnsi="Verdana"/>
          <w:sz w:val="20"/>
          <w:szCs w:val="20"/>
        </w:rPr>
      </w:pPr>
      <w:r w:rsidRPr="00542277">
        <w:rPr>
          <w:rFonts w:ascii="Verdana" w:hAnsi="Verdana"/>
          <w:b/>
          <w:sz w:val="20"/>
          <w:szCs w:val="20"/>
        </w:rPr>
        <w:t>Пример:</w:t>
      </w:r>
      <w:r w:rsidRPr="00542277">
        <w:rPr>
          <w:rFonts w:ascii="Verdana" w:hAnsi="Verdana"/>
          <w:sz w:val="20"/>
          <w:szCs w:val="20"/>
        </w:rPr>
        <w:t xml:space="preserve">  Нетните приходи за продажби на ред „Продукция“ (код 15110) от приходната част н</w:t>
      </w:r>
      <w:r w:rsidR="00E22061" w:rsidRPr="00542277">
        <w:rPr>
          <w:rFonts w:ascii="Verdana" w:hAnsi="Verdana"/>
          <w:sz w:val="20"/>
          <w:szCs w:val="20"/>
        </w:rPr>
        <w:t>а ОПР за 2019 г.) – 120 000 лв.</w:t>
      </w:r>
    </w:p>
    <w:p w:rsidR="00E22061" w:rsidRPr="00542277" w:rsidRDefault="00E22061" w:rsidP="00A72E80">
      <w:pPr>
        <w:spacing w:after="0"/>
        <w:jc w:val="both"/>
        <w:rPr>
          <w:rFonts w:ascii="Verdana" w:hAnsi="Verdana"/>
          <w:sz w:val="20"/>
          <w:szCs w:val="20"/>
        </w:rPr>
      </w:pPr>
    </w:p>
    <w:p w:rsidR="00C9444C" w:rsidRPr="00542277" w:rsidRDefault="00C9444C" w:rsidP="00A72E80">
      <w:pPr>
        <w:spacing w:after="0"/>
        <w:jc w:val="both"/>
        <w:rPr>
          <w:rFonts w:ascii="Verdana" w:hAnsi="Verdana"/>
          <w:sz w:val="20"/>
          <w:szCs w:val="20"/>
        </w:rPr>
      </w:pPr>
      <w:r w:rsidRPr="00542277">
        <w:rPr>
          <w:rFonts w:ascii="Verdana" w:hAnsi="Verdana"/>
          <w:sz w:val="20"/>
          <w:szCs w:val="20"/>
        </w:rPr>
        <w:t>24 000 лв. са -20 % от Нетните приходи за продажби на ред „Продукция“ (код 15110) от приходната част на ОПР за 2019 г.) и това е БФП, която ще получи.</w:t>
      </w:r>
    </w:p>
    <w:p w:rsidR="00C9444C" w:rsidRPr="00542277" w:rsidRDefault="00C9444C" w:rsidP="00A72E80">
      <w:pPr>
        <w:spacing w:after="0"/>
        <w:jc w:val="both"/>
        <w:rPr>
          <w:rFonts w:ascii="Verdana" w:hAnsi="Verdana"/>
          <w:sz w:val="20"/>
          <w:szCs w:val="20"/>
        </w:rPr>
      </w:pPr>
    </w:p>
    <w:p w:rsidR="00C9444C" w:rsidRPr="00542277" w:rsidRDefault="00C9444C" w:rsidP="00A72E80">
      <w:pPr>
        <w:spacing w:after="0"/>
        <w:jc w:val="both"/>
        <w:rPr>
          <w:rFonts w:ascii="Verdana" w:hAnsi="Verdana"/>
          <w:sz w:val="20"/>
          <w:szCs w:val="20"/>
        </w:rPr>
      </w:pPr>
      <w:r w:rsidRPr="00542277">
        <w:rPr>
          <w:rFonts w:ascii="Verdana" w:hAnsi="Verdana"/>
          <w:sz w:val="20"/>
          <w:szCs w:val="20"/>
        </w:rPr>
        <w:t>Нетните приходи за продажби на ред „Продукция“ (код 15110) от приходната част на ОПР за 2019 г.) – 1 200 000 лв.</w:t>
      </w:r>
    </w:p>
    <w:p w:rsidR="00E22061" w:rsidRPr="00542277" w:rsidRDefault="00E22061" w:rsidP="00A72E80">
      <w:pPr>
        <w:spacing w:after="0"/>
        <w:jc w:val="both"/>
        <w:rPr>
          <w:rFonts w:ascii="Verdana" w:hAnsi="Verdana"/>
          <w:sz w:val="20"/>
          <w:szCs w:val="20"/>
        </w:rPr>
      </w:pPr>
    </w:p>
    <w:p w:rsidR="00AF084A" w:rsidRPr="00542277" w:rsidRDefault="00C9444C" w:rsidP="00A72E80">
      <w:pPr>
        <w:spacing w:after="0"/>
        <w:jc w:val="both"/>
        <w:rPr>
          <w:rFonts w:ascii="Verdana" w:hAnsi="Verdana"/>
          <w:sz w:val="20"/>
          <w:szCs w:val="20"/>
        </w:rPr>
      </w:pPr>
      <w:r w:rsidRPr="00542277">
        <w:rPr>
          <w:rFonts w:ascii="Verdana" w:hAnsi="Verdana"/>
          <w:sz w:val="20"/>
          <w:szCs w:val="20"/>
        </w:rPr>
        <w:t>240 000 лв. са -20 % от Нетните приходи за продажби на ред „Продукция“ (код 15110) от приходната част на ОПР за 2019 г.) и в този случай БФП, която ще получи кандидатът е 80 000 лв.</w:t>
      </w:r>
    </w:p>
    <w:p w:rsidR="00C9444C" w:rsidRPr="00542277" w:rsidRDefault="00C9444C" w:rsidP="00A72E80">
      <w:pPr>
        <w:spacing w:after="0"/>
        <w:jc w:val="both"/>
        <w:rPr>
          <w:rFonts w:ascii="Verdana" w:hAnsi="Verdana"/>
          <w:sz w:val="20"/>
          <w:szCs w:val="20"/>
        </w:rPr>
      </w:pPr>
    </w:p>
    <w:p w:rsidR="00C9444C" w:rsidRPr="00542277" w:rsidRDefault="00C9444C" w:rsidP="00A72E80">
      <w:pPr>
        <w:pStyle w:val="Heading2"/>
        <w:numPr>
          <w:ilvl w:val="0"/>
          <w:numId w:val="3"/>
        </w:numPr>
        <w:spacing w:line="276" w:lineRule="auto"/>
        <w:jc w:val="both"/>
        <w:rPr>
          <w:rFonts w:ascii="Verdana" w:hAnsi="Verdana"/>
          <w:b/>
          <w:sz w:val="20"/>
          <w:szCs w:val="20"/>
        </w:rPr>
      </w:pPr>
      <w:r w:rsidRPr="00542277">
        <w:rPr>
          <w:rFonts w:ascii="Verdana" w:hAnsi="Verdana"/>
          <w:b/>
          <w:sz w:val="20"/>
          <w:szCs w:val="20"/>
        </w:rPr>
        <w:t>Компенсация за временно спиране или намаляване на производството и продажбите на преработвателните предприятия чл. 69</w:t>
      </w:r>
      <w:r w:rsidR="002A24A0" w:rsidRPr="00542277">
        <w:rPr>
          <w:rFonts w:ascii="Verdana" w:hAnsi="Verdana"/>
          <w:b/>
          <w:sz w:val="20"/>
          <w:szCs w:val="20"/>
        </w:rPr>
        <w:t xml:space="preserve"> </w:t>
      </w:r>
      <w:r w:rsidR="003A5115" w:rsidRPr="00542277">
        <w:rPr>
          <w:rFonts w:ascii="Verdana" w:hAnsi="Verdana"/>
          <w:b/>
          <w:sz w:val="20"/>
          <w:szCs w:val="20"/>
        </w:rPr>
        <w:t>параграф 3</w:t>
      </w:r>
    </w:p>
    <w:p w:rsidR="001C6E8B" w:rsidRPr="00542277" w:rsidRDefault="001C6E8B">
      <w:pPr>
        <w:rPr>
          <w:rFonts w:ascii="Verdana" w:hAnsi="Verdana"/>
          <w:sz w:val="20"/>
          <w:szCs w:val="20"/>
        </w:rPr>
      </w:pPr>
    </w:p>
    <w:p w:rsidR="00C9444C" w:rsidRPr="00542277" w:rsidRDefault="00C9444C" w:rsidP="00E22061">
      <w:pPr>
        <w:spacing w:after="0"/>
        <w:jc w:val="both"/>
        <w:rPr>
          <w:rFonts w:ascii="Verdana" w:hAnsi="Verdana"/>
          <w:sz w:val="20"/>
          <w:szCs w:val="20"/>
        </w:rPr>
      </w:pPr>
      <w:r w:rsidRPr="00542277">
        <w:rPr>
          <w:rFonts w:ascii="Verdana" w:hAnsi="Verdana"/>
          <w:sz w:val="20"/>
          <w:szCs w:val="20"/>
        </w:rPr>
        <w:t xml:space="preserve">Допустими ще са кандидати, които са регистрирали спад в приходния оборот поне 20 %  на месец </w:t>
      </w:r>
      <w:r w:rsidR="006C2BFB" w:rsidRPr="00542277">
        <w:rPr>
          <w:rFonts w:ascii="Verdana" w:hAnsi="Verdana"/>
          <w:sz w:val="20"/>
          <w:szCs w:val="20"/>
        </w:rPr>
        <w:t xml:space="preserve">(определен в </w:t>
      </w:r>
      <w:r w:rsidR="00AA56B3" w:rsidRPr="00542277">
        <w:rPr>
          <w:rFonts w:ascii="Verdana" w:hAnsi="Verdana"/>
          <w:sz w:val="20"/>
          <w:szCs w:val="20"/>
        </w:rPr>
        <w:t>Условията за кандидатстване по мярката</w:t>
      </w:r>
      <w:r w:rsidR="006C2BFB" w:rsidRPr="00542277">
        <w:rPr>
          <w:rFonts w:ascii="Verdana" w:hAnsi="Verdana"/>
          <w:sz w:val="20"/>
          <w:szCs w:val="20"/>
        </w:rPr>
        <w:t xml:space="preserve">) </w:t>
      </w:r>
      <w:r w:rsidRPr="00542277">
        <w:rPr>
          <w:rFonts w:ascii="Verdana" w:hAnsi="Verdana"/>
          <w:sz w:val="20"/>
          <w:szCs w:val="20"/>
        </w:rPr>
        <w:t xml:space="preserve"> спрямо средноаритметичния </w:t>
      </w:r>
      <w:r w:rsidR="00337F17" w:rsidRPr="00542277">
        <w:rPr>
          <w:rFonts w:ascii="Verdana" w:hAnsi="Verdana"/>
          <w:sz w:val="20"/>
          <w:szCs w:val="20"/>
        </w:rPr>
        <w:t xml:space="preserve">месечен </w:t>
      </w:r>
      <w:r w:rsidRPr="00542277">
        <w:rPr>
          <w:rFonts w:ascii="Verdana" w:hAnsi="Verdana"/>
          <w:sz w:val="20"/>
          <w:szCs w:val="20"/>
        </w:rPr>
        <w:t>оборот</w:t>
      </w:r>
      <w:r w:rsidR="00AA56B3" w:rsidRPr="00542277">
        <w:rPr>
          <w:rFonts w:ascii="Verdana" w:hAnsi="Verdana"/>
          <w:sz w:val="20"/>
          <w:szCs w:val="20"/>
        </w:rPr>
        <w:t xml:space="preserve"> за </w:t>
      </w:r>
      <w:r w:rsidRPr="00542277">
        <w:rPr>
          <w:rFonts w:ascii="Verdana" w:hAnsi="Verdana"/>
          <w:sz w:val="20"/>
          <w:szCs w:val="20"/>
        </w:rPr>
        <w:t xml:space="preserve">2019 г. </w:t>
      </w:r>
      <w:r w:rsidR="00DE57D6" w:rsidRPr="00542277">
        <w:rPr>
          <w:rFonts w:ascii="Verdana" w:hAnsi="Verdana"/>
          <w:sz w:val="20"/>
          <w:szCs w:val="20"/>
        </w:rPr>
        <w:t>или средноаритметичния</w:t>
      </w:r>
      <w:r w:rsidR="00C4577E" w:rsidRPr="00542277">
        <w:rPr>
          <w:rFonts w:ascii="Verdana" w:hAnsi="Verdana"/>
          <w:sz w:val="20"/>
          <w:szCs w:val="20"/>
        </w:rPr>
        <w:t xml:space="preserve"> оборот</w:t>
      </w:r>
      <w:r w:rsidR="00AA56B3" w:rsidRPr="00542277">
        <w:rPr>
          <w:rFonts w:ascii="Verdana" w:hAnsi="Verdana"/>
          <w:sz w:val="20"/>
          <w:szCs w:val="20"/>
        </w:rPr>
        <w:t xml:space="preserve"> за месец</w:t>
      </w:r>
      <w:r w:rsidR="00C4577E" w:rsidRPr="00542277">
        <w:rPr>
          <w:rFonts w:ascii="Verdana" w:hAnsi="Verdana"/>
          <w:sz w:val="20"/>
          <w:szCs w:val="20"/>
        </w:rPr>
        <w:t xml:space="preserve"> от 2019, 2018 и 2017 г.</w:t>
      </w:r>
      <w:r w:rsidR="00DE57D6" w:rsidRPr="00542277">
        <w:rPr>
          <w:rFonts w:ascii="Verdana" w:hAnsi="Verdana"/>
          <w:sz w:val="20"/>
          <w:szCs w:val="20"/>
        </w:rPr>
        <w:t xml:space="preserve"> </w:t>
      </w:r>
    </w:p>
    <w:p w:rsidR="00E22061" w:rsidRPr="00542277" w:rsidRDefault="00E22061" w:rsidP="00E22061">
      <w:pPr>
        <w:spacing w:after="0"/>
        <w:jc w:val="both"/>
        <w:rPr>
          <w:rFonts w:ascii="Verdana" w:hAnsi="Verdana"/>
          <w:sz w:val="20"/>
          <w:szCs w:val="20"/>
        </w:rPr>
      </w:pPr>
    </w:p>
    <w:p w:rsidR="00C9444C" w:rsidRPr="00542277" w:rsidRDefault="00C9444C" w:rsidP="00A72E80">
      <w:pPr>
        <w:pStyle w:val="ListParagraph"/>
        <w:spacing w:line="276" w:lineRule="auto"/>
        <w:ind w:left="0"/>
        <w:jc w:val="both"/>
        <w:rPr>
          <w:rFonts w:ascii="Verdana" w:eastAsiaTheme="minorHAnsi" w:hAnsi="Verdana" w:cstheme="minorBidi"/>
          <w:sz w:val="20"/>
          <w:lang w:val="bg-BG"/>
        </w:rPr>
      </w:pPr>
      <w:r w:rsidRPr="00542277">
        <w:rPr>
          <w:rFonts w:ascii="Verdana" w:eastAsiaTheme="minorHAnsi" w:hAnsi="Verdana" w:cstheme="minorBidi"/>
          <w:sz w:val="20"/>
          <w:lang w:val="bg-BG"/>
        </w:rPr>
        <w:t>Допустими ще са разходи, необходими за преодоляване на недостига на средства, настъпили в резултат от епидемичния взрив от COVID-19 (разходи за съхранение, разходи за заплати, разходи за суровини, разходи за логистични услуги и подобни свързани с оборотния капитал). Заявената безвъзмездна финансова помощ не може да надвишава 20% от нетните приходи за продажби за 2019 г.</w:t>
      </w:r>
    </w:p>
    <w:p w:rsidR="005C6958" w:rsidRPr="00542277" w:rsidRDefault="00AC1B20" w:rsidP="00A72E80">
      <w:pPr>
        <w:pStyle w:val="ListParagraph"/>
        <w:spacing w:line="276" w:lineRule="auto"/>
        <w:ind w:left="0"/>
        <w:jc w:val="both"/>
        <w:rPr>
          <w:rFonts w:ascii="Verdana" w:eastAsiaTheme="minorHAnsi" w:hAnsi="Verdana" w:cstheme="minorBidi"/>
          <w:sz w:val="20"/>
          <w:lang w:val="bg-BG"/>
        </w:rPr>
      </w:pPr>
      <w:r w:rsidRPr="00542277">
        <w:rPr>
          <w:rFonts w:ascii="Verdana" w:hAnsi="Verdana"/>
          <w:sz w:val="20"/>
          <w:lang w:val="bg-BG"/>
        </w:rPr>
        <w:t>Периодът на допустимост на мярката, съответно дейностите и разходите по нея ще се определя съгласно приложимото законодателство</w:t>
      </w:r>
      <w:r w:rsidRPr="00542277">
        <w:rPr>
          <w:rStyle w:val="FootnoteReference"/>
          <w:rFonts w:ascii="Verdana" w:hAnsi="Verdana"/>
          <w:sz w:val="20"/>
          <w:lang w:val="bg-BG"/>
        </w:rPr>
        <w:footnoteReference w:id="5"/>
      </w:r>
      <w:r w:rsidRPr="00542277">
        <w:rPr>
          <w:rFonts w:ascii="Verdana" w:hAnsi="Verdana"/>
          <w:sz w:val="20"/>
          <w:lang w:val="bg-BG"/>
        </w:rPr>
        <w:t>.</w:t>
      </w:r>
    </w:p>
    <w:p w:rsidR="00C9444C" w:rsidRPr="00542277" w:rsidRDefault="00C9444C" w:rsidP="00A72E80">
      <w:pPr>
        <w:pStyle w:val="ListParagraph"/>
        <w:spacing w:line="276" w:lineRule="auto"/>
        <w:ind w:left="0"/>
        <w:jc w:val="both"/>
        <w:rPr>
          <w:rFonts w:ascii="Verdana" w:eastAsiaTheme="minorHAnsi" w:hAnsi="Verdana" w:cstheme="minorBidi"/>
          <w:sz w:val="20"/>
          <w:lang w:val="bg-BG"/>
        </w:rPr>
      </w:pPr>
      <w:r w:rsidRPr="00542277">
        <w:rPr>
          <w:rFonts w:ascii="Verdana" w:eastAsiaTheme="minorHAnsi" w:hAnsi="Verdana" w:cstheme="minorBidi"/>
          <w:sz w:val="20"/>
          <w:lang w:val="bg-BG"/>
        </w:rPr>
        <w:t>Продължителността на изпълнение на всеки проект не следва да надвишава 4 (четири) месеца.</w:t>
      </w:r>
    </w:p>
    <w:p w:rsidR="00C9444C" w:rsidRPr="00542277" w:rsidRDefault="00C9444C" w:rsidP="00A72E80">
      <w:pPr>
        <w:jc w:val="both"/>
        <w:rPr>
          <w:rFonts w:ascii="Verdana" w:hAnsi="Verdana"/>
          <w:sz w:val="20"/>
          <w:szCs w:val="20"/>
        </w:rPr>
      </w:pPr>
      <w:r w:rsidRPr="00542277">
        <w:rPr>
          <w:rFonts w:ascii="Verdana" w:hAnsi="Verdana"/>
          <w:sz w:val="20"/>
          <w:szCs w:val="20"/>
        </w:rPr>
        <w:lastRenderedPageBreak/>
        <w:t>По процедурите няма да има критерии за подбор – „Техническа и финансова оценка”, помощта е предназначена за всички допустими оператори и до изчерпване на бюджета ще се прилага принципът „Първи по ред, първи по право”.</w:t>
      </w:r>
    </w:p>
    <w:p w:rsidR="00B66CE2" w:rsidRPr="00542277" w:rsidRDefault="009F520B" w:rsidP="00A72E80">
      <w:pPr>
        <w:spacing w:after="0"/>
        <w:jc w:val="both"/>
        <w:rPr>
          <w:rFonts w:ascii="Verdana" w:hAnsi="Verdana"/>
          <w:sz w:val="20"/>
          <w:szCs w:val="20"/>
        </w:rPr>
      </w:pPr>
      <w:r w:rsidRPr="00542277">
        <w:rPr>
          <w:rFonts w:ascii="Verdana" w:hAnsi="Verdana"/>
          <w:sz w:val="20"/>
          <w:szCs w:val="20"/>
        </w:rPr>
        <w:t>Във връзка с изпълнението на одобрения проект,</w:t>
      </w:r>
      <w:r w:rsidR="00C4577E" w:rsidRPr="00542277">
        <w:rPr>
          <w:rFonts w:ascii="Verdana" w:hAnsi="Verdana"/>
          <w:sz w:val="20"/>
          <w:szCs w:val="20"/>
        </w:rPr>
        <w:t xml:space="preserve"> бенефициентите </w:t>
      </w:r>
      <w:r w:rsidR="00904758" w:rsidRPr="00542277">
        <w:rPr>
          <w:rFonts w:ascii="Verdana" w:hAnsi="Verdana"/>
          <w:sz w:val="20"/>
          <w:szCs w:val="20"/>
        </w:rPr>
        <w:t xml:space="preserve">ще </w:t>
      </w:r>
      <w:r w:rsidR="00C4577E" w:rsidRPr="00542277">
        <w:rPr>
          <w:rFonts w:ascii="Verdana" w:hAnsi="Verdana"/>
          <w:sz w:val="20"/>
          <w:szCs w:val="20"/>
        </w:rPr>
        <w:t xml:space="preserve">трябва да представят </w:t>
      </w:r>
      <w:proofErr w:type="spellStart"/>
      <w:r w:rsidR="00C4577E" w:rsidRPr="00542277">
        <w:rPr>
          <w:rFonts w:ascii="Verdana" w:hAnsi="Verdana"/>
          <w:sz w:val="20"/>
          <w:szCs w:val="20"/>
        </w:rPr>
        <w:t>разходооправдателни</w:t>
      </w:r>
      <w:proofErr w:type="spellEnd"/>
      <w:r w:rsidR="00C4577E" w:rsidRPr="00542277">
        <w:rPr>
          <w:rFonts w:ascii="Verdana" w:hAnsi="Verdana"/>
          <w:sz w:val="20"/>
          <w:szCs w:val="20"/>
        </w:rPr>
        <w:t xml:space="preserve"> документи за </w:t>
      </w:r>
      <w:r w:rsidR="00904758" w:rsidRPr="00542277">
        <w:rPr>
          <w:rFonts w:ascii="Verdana" w:hAnsi="Verdana"/>
          <w:sz w:val="20"/>
          <w:szCs w:val="20"/>
        </w:rPr>
        <w:t xml:space="preserve"> допустимите извършени</w:t>
      </w:r>
      <w:r w:rsidR="00C4577E" w:rsidRPr="00542277">
        <w:rPr>
          <w:rFonts w:ascii="Verdana" w:hAnsi="Verdana"/>
          <w:sz w:val="20"/>
          <w:szCs w:val="20"/>
        </w:rPr>
        <w:t xml:space="preserve"> разходи– фактури, ведомости за заплати и др., както и доказателства за тяхното изплащане.</w:t>
      </w:r>
    </w:p>
    <w:p w:rsidR="00B66CE2" w:rsidRPr="00542277" w:rsidRDefault="00B66CE2" w:rsidP="00A72E80">
      <w:pPr>
        <w:spacing w:after="0"/>
        <w:jc w:val="both"/>
        <w:rPr>
          <w:rFonts w:ascii="Verdana" w:hAnsi="Verdana"/>
          <w:b/>
          <w:sz w:val="20"/>
          <w:szCs w:val="20"/>
        </w:rPr>
      </w:pPr>
    </w:p>
    <w:p w:rsidR="00C9444C" w:rsidRPr="00542277" w:rsidRDefault="00C9444C" w:rsidP="00A72E80">
      <w:pPr>
        <w:spacing w:after="0"/>
        <w:jc w:val="both"/>
        <w:rPr>
          <w:rFonts w:ascii="Verdana" w:hAnsi="Verdana"/>
          <w:sz w:val="20"/>
          <w:szCs w:val="20"/>
        </w:rPr>
      </w:pPr>
      <w:r w:rsidRPr="00542277">
        <w:rPr>
          <w:rFonts w:ascii="Verdana" w:hAnsi="Verdana"/>
          <w:b/>
          <w:sz w:val="20"/>
          <w:szCs w:val="20"/>
        </w:rPr>
        <w:t>Пример:</w:t>
      </w:r>
      <w:r w:rsidRPr="00542277">
        <w:rPr>
          <w:rFonts w:ascii="Verdana" w:hAnsi="Verdana"/>
          <w:sz w:val="20"/>
          <w:szCs w:val="20"/>
        </w:rPr>
        <w:t xml:space="preserve">  </w:t>
      </w:r>
      <w:r w:rsidR="009F520B" w:rsidRPr="00542277">
        <w:rPr>
          <w:rFonts w:ascii="Verdana" w:hAnsi="Verdana"/>
          <w:sz w:val="20"/>
          <w:szCs w:val="20"/>
        </w:rPr>
        <w:t>Сумата на н</w:t>
      </w:r>
      <w:r w:rsidRPr="00542277">
        <w:rPr>
          <w:rFonts w:ascii="Verdana" w:hAnsi="Verdana"/>
          <w:sz w:val="20"/>
          <w:szCs w:val="20"/>
        </w:rPr>
        <w:t xml:space="preserve">етните приходи за продажби на </w:t>
      </w:r>
      <w:r w:rsidR="009F520B" w:rsidRPr="00542277">
        <w:rPr>
          <w:rFonts w:ascii="Verdana" w:hAnsi="Verdana"/>
          <w:sz w:val="20"/>
          <w:szCs w:val="20"/>
        </w:rPr>
        <w:t>ред „Продукция“ (код 15110) и ред „Стоки” (код 15120)</w:t>
      </w:r>
      <w:r w:rsidRPr="00542277">
        <w:rPr>
          <w:rFonts w:ascii="Verdana" w:hAnsi="Verdana"/>
          <w:sz w:val="20"/>
          <w:szCs w:val="20"/>
        </w:rPr>
        <w:t>от приходната част на ОПР за 2019 г.) – 120 000 лв.,</w:t>
      </w:r>
    </w:p>
    <w:p w:rsidR="00A72E80" w:rsidRPr="00542277" w:rsidRDefault="00A72E80" w:rsidP="00A72E80">
      <w:pPr>
        <w:spacing w:after="0"/>
        <w:jc w:val="both"/>
        <w:rPr>
          <w:rFonts w:ascii="Verdana" w:hAnsi="Verdana"/>
          <w:sz w:val="20"/>
          <w:szCs w:val="20"/>
        </w:rPr>
      </w:pPr>
    </w:p>
    <w:p w:rsidR="00C9444C" w:rsidRPr="00542277" w:rsidRDefault="00C9444C" w:rsidP="00A72E80">
      <w:pPr>
        <w:spacing w:after="0"/>
        <w:jc w:val="both"/>
        <w:rPr>
          <w:rFonts w:ascii="Verdana" w:hAnsi="Verdana"/>
          <w:sz w:val="20"/>
          <w:szCs w:val="20"/>
        </w:rPr>
      </w:pPr>
      <w:r w:rsidRPr="00542277">
        <w:rPr>
          <w:rFonts w:ascii="Verdana" w:hAnsi="Verdana"/>
          <w:sz w:val="20"/>
          <w:szCs w:val="20"/>
        </w:rPr>
        <w:t xml:space="preserve">24 000 лв. са -20 % от </w:t>
      </w:r>
      <w:r w:rsidR="009F520B" w:rsidRPr="00542277">
        <w:rPr>
          <w:rFonts w:ascii="Verdana" w:hAnsi="Verdana"/>
          <w:sz w:val="20"/>
          <w:szCs w:val="20"/>
        </w:rPr>
        <w:t xml:space="preserve">сумата на </w:t>
      </w:r>
      <w:r w:rsidR="00BF056F" w:rsidRPr="00542277">
        <w:rPr>
          <w:rFonts w:ascii="Verdana" w:hAnsi="Verdana"/>
          <w:sz w:val="20"/>
          <w:szCs w:val="20"/>
        </w:rPr>
        <w:t>н</w:t>
      </w:r>
      <w:r w:rsidRPr="00542277">
        <w:rPr>
          <w:rFonts w:ascii="Verdana" w:hAnsi="Verdana"/>
          <w:sz w:val="20"/>
          <w:szCs w:val="20"/>
        </w:rPr>
        <w:t xml:space="preserve">етните приходи за продажби на </w:t>
      </w:r>
      <w:proofErr w:type="spellStart"/>
      <w:r w:rsidR="009F520B" w:rsidRPr="00542277">
        <w:rPr>
          <w:rFonts w:ascii="Verdana" w:hAnsi="Verdana"/>
          <w:bCs/>
          <w:iCs/>
          <w:sz w:val="20"/>
          <w:szCs w:val="20"/>
        </w:rPr>
        <w:t>ред</w:t>
      </w:r>
      <w:proofErr w:type="spellEnd"/>
      <w:r w:rsidR="009F520B" w:rsidRPr="00542277">
        <w:rPr>
          <w:rFonts w:ascii="Verdana" w:hAnsi="Verdana"/>
          <w:bCs/>
          <w:iCs/>
          <w:sz w:val="20"/>
          <w:szCs w:val="20"/>
        </w:rPr>
        <w:t xml:space="preserve"> „</w:t>
      </w:r>
      <w:proofErr w:type="spellStart"/>
      <w:r w:rsidR="009F520B" w:rsidRPr="00542277">
        <w:rPr>
          <w:rFonts w:ascii="Verdana" w:hAnsi="Verdana"/>
          <w:bCs/>
          <w:iCs/>
          <w:sz w:val="20"/>
          <w:szCs w:val="20"/>
        </w:rPr>
        <w:t>Продукция</w:t>
      </w:r>
      <w:proofErr w:type="spellEnd"/>
      <w:r w:rsidR="009F520B" w:rsidRPr="00542277">
        <w:rPr>
          <w:rFonts w:ascii="Verdana" w:hAnsi="Verdana"/>
          <w:bCs/>
          <w:iCs/>
          <w:sz w:val="20"/>
          <w:szCs w:val="20"/>
        </w:rPr>
        <w:t>“ (</w:t>
      </w:r>
      <w:proofErr w:type="spellStart"/>
      <w:r w:rsidR="009F520B" w:rsidRPr="00542277">
        <w:rPr>
          <w:rFonts w:ascii="Verdana" w:hAnsi="Verdana"/>
          <w:bCs/>
          <w:iCs/>
          <w:sz w:val="20"/>
          <w:szCs w:val="20"/>
        </w:rPr>
        <w:t>код</w:t>
      </w:r>
      <w:proofErr w:type="spellEnd"/>
      <w:r w:rsidR="009F520B" w:rsidRPr="00542277">
        <w:rPr>
          <w:rFonts w:ascii="Verdana" w:hAnsi="Verdana"/>
          <w:bCs/>
          <w:iCs/>
          <w:sz w:val="20"/>
          <w:szCs w:val="20"/>
        </w:rPr>
        <w:t xml:space="preserve"> 15110) и </w:t>
      </w:r>
      <w:proofErr w:type="spellStart"/>
      <w:r w:rsidR="009F520B" w:rsidRPr="00542277">
        <w:rPr>
          <w:rFonts w:ascii="Verdana" w:hAnsi="Verdana"/>
          <w:bCs/>
          <w:iCs/>
          <w:sz w:val="20"/>
          <w:szCs w:val="20"/>
        </w:rPr>
        <w:t>ред</w:t>
      </w:r>
      <w:proofErr w:type="spellEnd"/>
      <w:r w:rsidR="009F520B" w:rsidRPr="00542277">
        <w:rPr>
          <w:rFonts w:ascii="Verdana" w:hAnsi="Verdana"/>
          <w:bCs/>
          <w:iCs/>
          <w:sz w:val="20"/>
          <w:szCs w:val="20"/>
        </w:rPr>
        <w:t xml:space="preserve"> „</w:t>
      </w:r>
      <w:proofErr w:type="spellStart"/>
      <w:r w:rsidR="009F520B" w:rsidRPr="00542277">
        <w:rPr>
          <w:rFonts w:ascii="Verdana" w:hAnsi="Verdana"/>
          <w:bCs/>
          <w:iCs/>
          <w:sz w:val="20"/>
          <w:szCs w:val="20"/>
        </w:rPr>
        <w:t>Стоки</w:t>
      </w:r>
      <w:proofErr w:type="spellEnd"/>
      <w:r w:rsidR="009F520B" w:rsidRPr="00542277">
        <w:rPr>
          <w:rFonts w:ascii="Verdana" w:hAnsi="Verdana"/>
          <w:bCs/>
          <w:iCs/>
          <w:sz w:val="20"/>
          <w:szCs w:val="20"/>
        </w:rPr>
        <w:t>” (</w:t>
      </w:r>
      <w:proofErr w:type="spellStart"/>
      <w:r w:rsidR="009F520B" w:rsidRPr="00542277">
        <w:rPr>
          <w:rFonts w:ascii="Verdana" w:hAnsi="Verdana"/>
          <w:bCs/>
          <w:iCs/>
          <w:sz w:val="20"/>
          <w:szCs w:val="20"/>
        </w:rPr>
        <w:t>код</w:t>
      </w:r>
      <w:proofErr w:type="spellEnd"/>
      <w:r w:rsidR="009F520B" w:rsidRPr="00542277">
        <w:rPr>
          <w:rFonts w:ascii="Verdana" w:hAnsi="Verdana"/>
          <w:bCs/>
          <w:iCs/>
          <w:sz w:val="20"/>
          <w:szCs w:val="20"/>
        </w:rPr>
        <w:t xml:space="preserve"> 15120)</w:t>
      </w:r>
      <w:r w:rsidRPr="00542277">
        <w:rPr>
          <w:rFonts w:ascii="Verdana" w:hAnsi="Verdana"/>
          <w:sz w:val="20"/>
          <w:szCs w:val="20"/>
        </w:rPr>
        <w:t xml:space="preserve"> от приходната част на ОПР за 2019 г.) и това е БФП, която ще получи.</w:t>
      </w:r>
    </w:p>
    <w:p w:rsidR="00C9444C" w:rsidRPr="00542277" w:rsidRDefault="00C9444C" w:rsidP="00A72E80">
      <w:pPr>
        <w:spacing w:after="0"/>
        <w:jc w:val="both"/>
        <w:rPr>
          <w:rFonts w:ascii="Verdana" w:hAnsi="Verdana"/>
          <w:sz w:val="20"/>
          <w:szCs w:val="20"/>
        </w:rPr>
      </w:pPr>
    </w:p>
    <w:p w:rsidR="00C9444C" w:rsidRPr="00542277" w:rsidRDefault="009F520B" w:rsidP="00A72E80">
      <w:pPr>
        <w:spacing w:after="0"/>
        <w:jc w:val="both"/>
        <w:rPr>
          <w:rFonts w:ascii="Verdana" w:hAnsi="Verdana"/>
          <w:sz w:val="20"/>
          <w:szCs w:val="20"/>
        </w:rPr>
      </w:pPr>
      <w:r w:rsidRPr="00542277">
        <w:rPr>
          <w:rFonts w:ascii="Verdana" w:hAnsi="Verdana"/>
          <w:sz w:val="20"/>
          <w:szCs w:val="20"/>
        </w:rPr>
        <w:t>Сумата на нетните</w:t>
      </w:r>
      <w:r w:rsidR="00C9444C" w:rsidRPr="00542277">
        <w:rPr>
          <w:rFonts w:ascii="Verdana" w:hAnsi="Verdana"/>
          <w:sz w:val="20"/>
          <w:szCs w:val="20"/>
        </w:rPr>
        <w:t xml:space="preserve"> приходи за продажби на ред „Продукция“ (код 15110) от приходната част на ОПР за 2019 г.) – 1 200 000 лв.</w:t>
      </w:r>
    </w:p>
    <w:p w:rsidR="00E22061" w:rsidRPr="00542277" w:rsidRDefault="00E22061" w:rsidP="00A72E80">
      <w:pPr>
        <w:spacing w:after="0"/>
        <w:jc w:val="both"/>
        <w:rPr>
          <w:rFonts w:ascii="Verdana" w:hAnsi="Verdana"/>
          <w:sz w:val="20"/>
          <w:szCs w:val="20"/>
        </w:rPr>
      </w:pPr>
    </w:p>
    <w:p w:rsidR="00C9444C" w:rsidRPr="00542277" w:rsidRDefault="00C9444C" w:rsidP="00E22061">
      <w:pPr>
        <w:spacing w:after="0"/>
        <w:jc w:val="both"/>
        <w:rPr>
          <w:rFonts w:ascii="Verdana" w:hAnsi="Verdana"/>
          <w:sz w:val="20"/>
          <w:szCs w:val="20"/>
        </w:rPr>
      </w:pPr>
      <w:r w:rsidRPr="00542277">
        <w:rPr>
          <w:rFonts w:ascii="Verdana" w:hAnsi="Verdana"/>
          <w:sz w:val="20"/>
          <w:szCs w:val="20"/>
        </w:rPr>
        <w:t xml:space="preserve">240 000 лв. са -20 % от </w:t>
      </w:r>
      <w:r w:rsidR="009F520B" w:rsidRPr="00542277">
        <w:rPr>
          <w:rFonts w:ascii="Verdana" w:hAnsi="Verdana"/>
          <w:sz w:val="20"/>
          <w:szCs w:val="20"/>
        </w:rPr>
        <w:t>Сумата на нетните</w:t>
      </w:r>
      <w:r w:rsidRPr="00542277">
        <w:rPr>
          <w:rFonts w:ascii="Verdana" w:hAnsi="Verdana"/>
          <w:sz w:val="20"/>
          <w:szCs w:val="20"/>
        </w:rPr>
        <w:t xml:space="preserve"> приходи за продажби на </w:t>
      </w:r>
      <w:proofErr w:type="spellStart"/>
      <w:r w:rsidR="009F520B" w:rsidRPr="00542277">
        <w:rPr>
          <w:rFonts w:ascii="Verdana" w:hAnsi="Verdana"/>
          <w:bCs/>
          <w:iCs/>
          <w:sz w:val="20"/>
          <w:szCs w:val="20"/>
        </w:rPr>
        <w:t>ред</w:t>
      </w:r>
      <w:proofErr w:type="spellEnd"/>
      <w:r w:rsidR="009F520B" w:rsidRPr="00542277">
        <w:rPr>
          <w:rFonts w:ascii="Verdana" w:hAnsi="Verdana"/>
          <w:bCs/>
          <w:iCs/>
          <w:sz w:val="20"/>
          <w:szCs w:val="20"/>
        </w:rPr>
        <w:t xml:space="preserve"> „</w:t>
      </w:r>
      <w:proofErr w:type="spellStart"/>
      <w:r w:rsidR="009F520B" w:rsidRPr="00542277">
        <w:rPr>
          <w:rFonts w:ascii="Verdana" w:hAnsi="Verdana"/>
          <w:bCs/>
          <w:iCs/>
          <w:sz w:val="20"/>
          <w:szCs w:val="20"/>
        </w:rPr>
        <w:t>Продукция</w:t>
      </w:r>
      <w:proofErr w:type="spellEnd"/>
      <w:r w:rsidR="009F520B" w:rsidRPr="00542277">
        <w:rPr>
          <w:rFonts w:ascii="Verdana" w:hAnsi="Verdana"/>
          <w:bCs/>
          <w:iCs/>
          <w:sz w:val="20"/>
          <w:szCs w:val="20"/>
        </w:rPr>
        <w:t>“ (</w:t>
      </w:r>
      <w:proofErr w:type="spellStart"/>
      <w:r w:rsidR="009F520B" w:rsidRPr="00542277">
        <w:rPr>
          <w:rFonts w:ascii="Verdana" w:hAnsi="Verdana"/>
          <w:bCs/>
          <w:iCs/>
          <w:sz w:val="20"/>
          <w:szCs w:val="20"/>
        </w:rPr>
        <w:t>код</w:t>
      </w:r>
      <w:proofErr w:type="spellEnd"/>
      <w:r w:rsidR="009F520B" w:rsidRPr="00542277">
        <w:rPr>
          <w:rFonts w:ascii="Verdana" w:hAnsi="Verdana"/>
          <w:bCs/>
          <w:iCs/>
          <w:sz w:val="20"/>
          <w:szCs w:val="20"/>
        </w:rPr>
        <w:t xml:space="preserve"> 15110) и </w:t>
      </w:r>
      <w:proofErr w:type="spellStart"/>
      <w:r w:rsidR="009F520B" w:rsidRPr="00542277">
        <w:rPr>
          <w:rFonts w:ascii="Verdana" w:hAnsi="Verdana"/>
          <w:bCs/>
          <w:iCs/>
          <w:sz w:val="20"/>
          <w:szCs w:val="20"/>
        </w:rPr>
        <w:t>ред</w:t>
      </w:r>
      <w:proofErr w:type="spellEnd"/>
      <w:r w:rsidR="009F520B" w:rsidRPr="00542277">
        <w:rPr>
          <w:rFonts w:ascii="Verdana" w:hAnsi="Verdana"/>
          <w:bCs/>
          <w:iCs/>
          <w:sz w:val="20"/>
          <w:szCs w:val="20"/>
        </w:rPr>
        <w:t xml:space="preserve"> „</w:t>
      </w:r>
      <w:proofErr w:type="spellStart"/>
      <w:r w:rsidR="009F520B" w:rsidRPr="00542277">
        <w:rPr>
          <w:rFonts w:ascii="Verdana" w:hAnsi="Verdana"/>
          <w:bCs/>
          <w:iCs/>
          <w:sz w:val="20"/>
          <w:szCs w:val="20"/>
        </w:rPr>
        <w:t>Стоки</w:t>
      </w:r>
      <w:proofErr w:type="spellEnd"/>
      <w:r w:rsidR="009F520B" w:rsidRPr="00542277">
        <w:rPr>
          <w:rFonts w:ascii="Verdana" w:hAnsi="Verdana"/>
          <w:bCs/>
          <w:iCs/>
          <w:sz w:val="20"/>
          <w:szCs w:val="20"/>
        </w:rPr>
        <w:t>” (</w:t>
      </w:r>
      <w:proofErr w:type="spellStart"/>
      <w:r w:rsidR="009F520B" w:rsidRPr="00542277">
        <w:rPr>
          <w:rFonts w:ascii="Verdana" w:hAnsi="Verdana"/>
          <w:bCs/>
          <w:iCs/>
          <w:sz w:val="20"/>
          <w:szCs w:val="20"/>
        </w:rPr>
        <w:t>код</w:t>
      </w:r>
      <w:proofErr w:type="spellEnd"/>
      <w:r w:rsidR="009F520B" w:rsidRPr="00542277">
        <w:rPr>
          <w:rFonts w:ascii="Verdana" w:hAnsi="Verdana"/>
          <w:bCs/>
          <w:iCs/>
          <w:sz w:val="20"/>
          <w:szCs w:val="20"/>
        </w:rPr>
        <w:t xml:space="preserve"> 15120)</w:t>
      </w:r>
      <w:r w:rsidRPr="00542277">
        <w:rPr>
          <w:rFonts w:ascii="Verdana" w:hAnsi="Verdana"/>
          <w:sz w:val="20"/>
          <w:szCs w:val="20"/>
        </w:rPr>
        <w:t xml:space="preserve"> от приходната част на ОПР за 2019 г.) и в този случай БФП, която ще получи кандидатът е 80 000 лв.</w:t>
      </w:r>
    </w:p>
    <w:sectPr w:rsidR="00C9444C" w:rsidRPr="00542277" w:rsidSect="00A72E80">
      <w:pgSz w:w="12240" w:h="15840"/>
      <w:pgMar w:top="1417" w:right="99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3A" w:rsidRDefault="008C743A" w:rsidP="00AF26D6">
      <w:pPr>
        <w:spacing w:after="0" w:line="240" w:lineRule="auto"/>
      </w:pPr>
      <w:r>
        <w:separator/>
      </w:r>
    </w:p>
  </w:endnote>
  <w:endnote w:type="continuationSeparator" w:id="0">
    <w:p w:rsidR="008C743A" w:rsidRDefault="008C743A" w:rsidP="00AF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3A" w:rsidRDefault="008C743A" w:rsidP="00AF26D6">
      <w:pPr>
        <w:spacing w:after="0" w:line="240" w:lineRule="auto"/>
      </w:pPr>
      <w:r>
        <w:separator/>
      </w:r>
    </w:p>
  </w:footnote>
  <w:footnote w:type="continuationSeparator" w:id="0">
    <w:p w:rsidR="008C743A" w:rsidRDefault="008C743A" w:rsidP="00AF26D6">
      <w:pPr>
        <w:spacing w:after="0" w:line="240" w:lineRule="auto"/>
      </w:pPr>
      <w:r>
        <w:continuationSeparator/>
      </w:r>
    </w:p>
  </w:footnote>
  <w:footnote w:id="1">
    <w:p w:rsidR="0002010D" w:rsidRPr="00082EA1" w:rsidRDefault="0002010D" w:rsidP="0002010D">
      <w:pPr>
        <w:pStyle w:val="FootnoteText"/>
      </w:pPr>
      <w:r>
        <w:rPr>
          <w:rStyle w:val="FootnoteReference"/>
        </w:rPr>
        <w:footnoteRef/>
      </w:r>
      <w:r>
        <w:t xml:space="preserve"> </w:t>
      </w:r>
      <w:proofErr w:type="spellStart"/>
      <w:r>
        <w:t>Е</w:t>
      </w:r>
      <w:r w:rsidRPr="00F47AF4">
        <w:t>днолично</w:t>
      </w:r>
      <w:proofErr w:type="spellEnd"/>
      <w:r w:rsidRPr="00F47AF4">
        <w:t xml:space="preserve"> </w:t>
      </w:r>
      <w:proofErr w:type="spellStart"/>
      <w:r w:rsidRPr="00F47AF4">
        <w:t>дружество</w:t>
      </w:r>
      <w:proofErr w:type="spellEnd"/>
      <w:r w:rsidRPr="00F47AF4">
        <w:t xml:space="preserve"> с </w:t>
      </w:r>
      <w:proofErr w:type="spellStart"/>
      <w:r w:rsidRPr="00F47AF4">
        <w:t>ограничена</w:t>
      </w:r>
      <w:proofErr w:type="spellEnd"/>
      <w:r w:rsidRPr="00F47AF4">
        <w:t xml:space="preserve"> </w:t>
      </w:r>
      <w:proofErr w:type="spellStart"/>
      <w:r w:rsidRPr="00F47AF4">
        <w:t>отговорност</w:t>
      </w:r>
      <w:proofErr w:type="spellEnd"/>
      <w:r w:rsidRPr="00F47AF4">
        <w:t xml:space="preserve"> </w:t>
      </w:r>
      <w:proofErr w:type="spellStart"/>
      <w:r w:rsidRPr="00F47AF4">
        <w:t>със</w:t>
      </w:r>
      <w:proofErr w:type="spellEnd"/>
      <w:r w:rsidRPr="00F47AF4">
        <w:t xml:space="preserve"> 100% </w:t>
      </w:r>
      <w:proofErr w:type="spellStart"/>
      <w:r w:rsidRPr="00F47AF4">
        <w:t>държавно</w:t>
      </w:r>
      <w:proofErr w:type="spellEnd"/>
      <w:r w:rsidRPr="00F47AF4">
        <w:t xml:space="preserve"> </w:t>
      </w:r>
      <w:proofErr w:type="spellStart"/>
      <w:r w:rsidRPr="00F47AF4">
        <w:t>участие</w:t>
      </w:r>
      <w:proofErr w:type="spellEnd"/>
      <w:r w:rsidRPr="00F47AF4">
        <w:t xml:space="preserve"> </w:t>
      </w:r>
      <w:proofErr w:type="spellStart"/>
      <w:r w:rsidRPr="00F47AF4">
        <w:t>към</w:t>
      </w:r>
      <w:proofErr w:type="spellEnd"/>
      <w:r w:rsidRPr="00F47AF4">
        <w:t xml:space="preserve"> </w:t>
      </w:r>
      <w:proofErr w:type="spellStart"/>
      <w:r>
        <w:t>М</w:t>
      </w:r>
      <w:r w:rsidRPr="00F47AF4">
        <w:t>инистъра</w:t>
      </w:r>
      <w:proofErr w:type="spellEnd"/>
      <w:r w:rsidRPr="00F47AF4">
        <w:t xml:space="preserve"> </w:t>
      </w:r>
      <w:proofErr w:type="spellStart"/>
      <w:r w:rsidRPr="00F47AF4">
        <w:t>на</w:t>
      </w:r>
      <w:proofErr w:type="spellEnd"/>
      <w:r w:rsidRPr="00F47AF4">
        <w:t xml:space="preserve"> </w:t>
      </w:r>
      <w:proofErr w:type="spellStart"/>
      <w:r w:rsidRPr="00F47AF4">
        <w:t>земеделието</w:t>
      </w:r>
      <w:proofErr w:type="spellEnd"/>
      <w:r>
        <w:t>,</w:t>
      </w:r>
      <w:r w:rsidRPr="00F47AF4">
        <w:t xml:space="preserve"> </w:t>
      </w:r>
      <w:proofErr w:type="spellStart"/>
      <w:r w:rsidRPr="00F47AF4">
        <w:t>храните</w:t>
      </w:r>
      <w:proofErr w:type="spellEnd"/>
      <w:r>
        <w:t xml:space="preserve"> и </w:t>
      </w:r>
      <w:proofErr w:type="spellStart"/>
      <w:r>
        <w:t>горите</w:t>
      </w:r>
      <w:proofErr w:type="spellEnd"/>
      <w:r w:rsidRPr="00F47AF4">
        <w:t>. "</w:t>
      </w:r>
      <w:proofErr w:type="spellStart"/>
      <w:r w:rsidRPr="00F47AF4">
        <w:t>Рибни</w:t>
      </w:r>
      <w:proofErr w:type="spellEnd"/>
      <w:r w:rsidRPr="00F47AF4">
        <w:t xml:space="preserve"> </w:t>
      </w:r>
      <w:proofErr w:type="spellStart"/>
      <w:r w:rsidRPr="00F47AF4">
        <w:t>ресурси</w:t>
      </w:r>
      <w:proofErr w:type="spellEnd"/>
      <w:r w:rsidRPr="00F47AF4">
        <w:t xml:space="preserve">" ЕООД е </w:t>
      </w:r>
      <w:proofErr w:type="spellStart"/>
      <w:r w:rsidRPr="00F47AF4">
        <w:t>образувано</w:t>
      </w:r>
      <w:proofErr w:type="spellEnd"/>
      <w:r w:rsidRPr="00F47AF4">
        <w:t xml:space="preserve"> с </w:t>
      </w:r>
      <w:proofErr w:type="spellStart"/>
      <w:r w:rsidRPr="00F47AF4">
        <w:t>Решение</w:t>
      </w:r>
      <w:proofErr w:type="spellEnd"/>
      <w:r w:rsidRPr="00F47AF4">
        <w:t xml:space="preserve"> № 648 </w:t>
      </w:r>
      <w:proofErr w:type="spellStart"/>
      <w:r w:rsidRPr="00F47AF4">
        <w:t>от</w:t>
      </w:r>
      <w:proofErr w:type="spellEnd"/>
      <w:r w:rsidRPr="00F47AF4">
        <w:t xml:space="preserve"> 21 </w:t>
      </w:r>
      <w:proofErr w:type="spellStart"/>
      <w:r w:rsidRPr="00F47AF4">
        <w:t>юли</w:t>
      </w:r>
      <w:proofErr w:type="spellEnd"/>
      <w:r w:rsidRPr="00F47AF4">
        <w:t xml:space="preserve"> 2009 г. </w:t>
      </w:r>
      <w:proofErr w:type="spellStart"/>
      <w:r w:rsidRPr="00F47AF4">
        <w:t>на</w:t>
      </w:r>
      <w:proofErr w:type="spellEnd"/>
      <w:r w:rsidRPr="00F47AF4">
        <w:t xml:space="preserve"> </w:t>
      </w:r>
      <w:proofErr w:type="spellStart"/>
      <w:r w:rsidRPr="00F47AF4">
        <w:t>Министерския</w:t>
      </w:r>
      <w:proofErr w:type="spellEnd"/>
      <w:r w:rsidRPr="00F47AF4">
        <w:t xml:space="preserve"> </w:t>
      </w:r>
      <w:proofErr w:type="spellStart"/>
      <w:r w:rsidRPr="00F47AF4">
        <w:t>съвет</w:t>
      </w:r>
      <w:proofErr w:type="spellEnd"/>
      <w:r w:rsidRPr="00F47AF4">
        <w:t xml:space="preserve"> </w:t>
      </w:r>
      <w:proofErr w:type="spellStart"/>
      <w:r w:rsidRPr="00F47AF4">
        <w:t>на</w:t>
      </w:r>
      <w:proofErr w:type="spellEnd"/>
      <w:r w:rsidRPr="00F47AF4">
        <w:t xml:space="preserve"> </w:t>
      </w:r>
      <w:proofErr w:type="spellStart"/>
      <w:r w:rsidRPr="00F47AF4">
        <w:t>Република</w:t>
      </w:r>
      <w:proofErr w:type="spellEnd"/>
      <w:r w:rsidRPr="00F47AF4">
        <w:t xml:space="preserve"> </w:t>
      </w:r>
      <w:proofErr w:type="spellStart"/>
      <w:r w:rsidRPr="00F47AF4">
        <w:t>България</w:t>
      </w:r>
      <w:proofErr w:type="spellEnd"/>
      <w:r w:rsidRPr="00F47AF4">
        <w:t xml:space="preserve">, </w:t>
      </w:r>
      <w:proofErr w:type="spellStart"/>
      <w:r w:rsidRPr="00F47AF4">
        <w:t>като</w:t>
      </w:r>
      <w:proofErr w:type="spellEnd"/>
      <w:r w:rsidRPr="00F47AF4">
        <w:t xml:space="preserve"> </w:t>
      </w:r>
      <w:proofErr w:type="spellStart"/>
      <w:r w:rsidRPr="00F47AF4">
        <w:t>правата</w:t>
      </w:r>
      <w:proofErr w:type="spellEnd"/>
      <w:r w:rsidRPr="00F47AF4">
        <w:t xml:space="preserve"> </w:t>
      </w:r>
      <w:proofErr w:type="spellStart"/>
      <w:r w:rsidRPr="00F47AF4">
        <w:t>на</w:t>
      </w:r>
      <w:proofErr w:type="spellEnd"/>
      <w:r w:rsidRPr="00F47AF4">
        <w:t xml:space="preserve"> </w:t>
      </w:r>
      <w:proofErr w:type="spellStart"/>
      <w:r w:rsidRPr="00F47AF4">
        <w:t>държавата</w:t>
      </w:r>
      <w:proofErr w:type="spellEnd"/>
      <w:r w:rsidRPr="00F47AF4">
        <w:t xml:space="preserve"> </w:t>
      </w:r>
      <w:proofErr w:type="spellStart"/>
      <w:r w:rsidRPr="00F47AF4">
        <w:t>се</w:t>
      </w:r>
      <w:proofErr w:type="spellEnd"/>
      <w:r w:rsidRPr="00F47AF4">
        <w:t xml:space="preserve"> </w:t>
      </w:r>
      <w:proofErr w:type="spellStart"/>
      <w:r w:rsidRPr="00F47AF4">
        <w:t>упражняват</w:t>
      </w:r>
      <w:proofErr w:type="spellEnd"/>
      <w:r w:rsidRPr="00F47AF4">
        <w:t xml:space="preserve"> </w:t>
      </w:r>
      <w:proofErr w:type="spellStart"/>
      <w:r w:rsidRPr="00F47AF4">
        <w:t>от</w:t>
      </w:r>
      <w:proofErr w:type="spellEnd"/>
      <w:r w:rsidRPr="00F47AF4">
        <w:t xml:space="preserve"> </w:t>
      </w:r>
      <w:proofErr w:type="spellStart"/>
      <w:r w:rsidRPr="00F47AF4">
        <w:t>министъра</w:t>
      </w:r>
      <w:proofErr w:type="spellEnd"/>
      <w:r w:rsidRPr="00F47AF4">
        <w:t xml:space="preserve"> </w:t>
      </w:r>
      <w:proofErr w:type="spellStart"/>
      <w:r w:rsidRPr="00F47AF4">
        <w:t>на</w:t>
      </w:r>
      <w:proofErr w:type="spellEnd"/>
      <w:r w:rsidRPr="00F47AF4">
        <w:t xml:space="preserve"> </w:t>
      </w:r>
      <w:proofErr w:type="spellStart"/>
      <w:r w:rsidRPr="00F47AF4">
        <w:t>земеделието</w:t>
      </w:r>
      <w:proofErr w:type="spellEnd"/>
      <w:r w:rsidRPr="00F47AF4">
        <w:t xml:space="preserve"> и </w:t>
      </w:r>
      <w:proofErr w:type="spellStart"/>
      <w:r w:rsidRPr="00F47AF4">
        <w:t>храните</w:t>
      </w:r>
      <w:proofErr w:type="spellEnd"/>
      <w:r w:rsidRPr="00F47AF4">
        <w:t xml:space="preserve">. В </w:t>
      </w:r>
      <w:proofErr w:type="spellStart"/>
      <w:r w:rsidRPr="00F47AF4">
        <w:t>капитала</w:t>
      </w:r>
      <w:proofErr w:type="spellEnd"/>
      <w:r w:rsidRPr="00F47AF4">
        <w:t xml:space="preserve"> </w:t>
      </w:r>
      <w:proofErr w:type="spellStart"/>
      <w:r w:rsidRPr="00F47AF4">
        <w:t>на</w:t>
      </w:r>
      <w:proofErr w:type="spellEnd"/>
      <w:r w:rsidRPr="00F47AF4">
        <w:t xml:space="preserve"> "</w:t>
      </w:r>
      <w:proofErr w:type="spellStart"/>
      <w:r w:rsidRPr="00F47AF4">
        <w:t>Рибни</w:t>
      </w:r>
      <w:proofErr w:type="spellEnd"/>
      <w:r w:rsidRPr="00F47AF4">
        <w:t xml:space="preserve"> </w:t>
      </w:r>
      <w:proofErr w:type="spellStart"/>
      <w:r w:rsidRPr="00F47AF4">
        <w:t>ресурси</w:t>
      </w:r>
      <w:proofErr w:type="spellEnd"/>
      <w:r w:rsidRPr="00F47AF4">
        <w:t xml:space="preserve">" ЕООД </w:t>
      </w:r>
      <w:proofErr w:type="spellStart"/>
      <w:r>
        <w:t>са</w:t>
      </w:r>
      <w:proofErr w:type="spellEnd"/>
      <w:r w:rsidRPr="00F47AF4">
        <w:t xml:space="preserve"> </w:t>
      </w:r>
      <w:proofErr w:type="spellStart"/>
      <w:r w:rsidRPr="00F47AF4">
        <w:t>внесен</w:t>
      </w:r>
      <w:r>
        <w:t>и</w:t>
      </w:r>
      <w:proofErr w:type="spellEnd"/>
      <w:r w:rsidRPr="00F47AF4">
        <w:t xml:space="preserve"> </w:t>
      </w:r>
      <w:proofErr w:type="spellStart"/>
      <w:r w:rsidRPr="00F47AF4">
        <w:t>като</w:t>
      </w:r>
      <w:proofErr w:type="spellEnd"/>
      <w:r w:rsidRPr="00F47AF4">
        <w:t xml:space="preserve"> </w:t>
      </w:r>
      <w:proofErr w:type="spellStart"/>
      <w:r w:rsidRPr="00F47AF4">
        <w:t>непаричн</w:t>
      </w:r>
      <w:r>
        <w:t>и</w:t>
      </w:r>
      <w:proofErr w:type="spellEnd"/>
      <w:r>
        <w:t xml:space="preserve"> </w:t>
      </w:r>
      <w:proofErr w:type="spellStart"/>
      <w:r>
        <w:t>вноски</w:t>
      </w:r>
      <w:proofErr w:type="spellEnd"/>
      <w:r>
        <w:t xml:space="preserve"> </w:t>
      </w:r>
      <w:proofErr w:type="spellStart"/>
      <w:r>
        <w:t>няколко</w:t>
      </w:r>
      <w:proofErr w:type="spellEnd"/>
      <w:r>
        <w:t xml:space="preserve"> </w:t>
      </w:r>
      <w:proofErr w:type="spellStart"/>
      <w:r>
        <w:t>недвижими</w:t>
      </w:r>
      <w:proofErr w:type="spellEnd"/>
      <w:r>
        <w:t xml:space="preserve"> </w:t>
      </w:r>
      <w:proofErr w:type="spellStart"/>
      <w:r>
        <w:t>имота</w:t>
      </w:r>
      <w:proofErr w:type="spellEnd"/>
      <w:r>
        <w:t xml:space="preserve">, </w:t>
      </w:r>
      <w:proofErr w:type="spellStart"/>
      <w:r>
        <w:t>които</w:t>
      </w:r>
      <w:proofErr w:type="spellEnd"/>
      <w:r>
        <w:t xml:space="preserve"> </w:t>
      </w:r>
      <w:proofErr w:type="spellStart"/>
      <w:r>
        <w:t>представляват</w:t>
      </w:r>
      <w:proofErr w:type="spellEnd"/>
      <w:r>
        <w:t xml:space="preserve"> </w:t>
      </w:r>
      <w:proofErr w:type="spellStart"/>
      <w:r>
        <w:t>рибарски</w:t>
      </w:r>
      <w:proofErr w:type="spellEnd"/>
      <w:r>
        <w:t xml:space="preserve"> </w:t>
      </w:r>
      <w:proofErr w:type="spellStart"/>
      <w:r>
        <w:t>пристанища</w:t>
      </w:r>
      <w:proofErr w:type="spellEnd"/>
      <w:r>
        <w:t xml:space="preserve"> в </w:t>
      </w:r>
      <w:proofErr w:type="spellStart"/>
      <w:r>
        <w:t>Балчик</w:t>
      </w:r>
      <w:proofErr w:type="spellEnd"/>
      <w:r>
        <w:t xml:space="preserve">, </w:t>
      </w:r>
      <w:proofErr w:type="spellStart"/>
      <w:r>
        <w:t>Варна</w:t>
      </w:r>
      <w:proofErr w:type="spellEnd"/>
      <w:r>
        <w:t xml:space="preserve"> и </w:t>
      </w:r>
      <w:proofErr w:type="spellStart"/>
      <w:r>
        <w:t>Созопол</w:t>
      </w:r>
      <w:proofErr w:type="spellEnd"/>
      <w:r>
        <w:t xml:space="preserve">. </w:t>
      </w:r>
      <w:hyperlink r:id="rId1" w:history="1">
        <w:r w:rsidRPr="00CE3D4B">
          <w:rPr>
            <w:rStyle w:val="Hyperlink"/>
          </w:rPr>
          <w:t>http://ribniresursi.com/</w:t>
        </w:r>
      </w:hyperlink>
      <w:r>
        <w:t xml:space="preserve"> .</w:t>
      </w:r>
    </w:p>
  </w:footnote>
  <w:footnote w:id="2">
    <w:p w:rsidR="00AA56B3" w:rsidRPr="002A24A0" w:rsidRDefault="00AA56B3" w:rsidP="00AA56B3">
      <w:pPr>
        <w:pStyle w:val="FootnoteText"/>
      </w:pPr>
      <w:r>
        <w:rPr>
          <w:rStyle w:val="FootnoteReference"/>
        </w:rPr>
        <w:footnoteRef/>
      </w:r>
      <w:r>
        <w:t xml:space="preserve"> </w:t>
      </w:r>
      <w:proofErr w:type="spellStart"/>
      <w:r>
        <w:t>Закон</w:t>
      </w:r>
      <w:proofErr w:type="spellEnd"/>
      <w:r w:rsidRPr="00270818">
        <w:t xml:space="preserve"> </w:t>
      </w:r>
      <w:proofErr w:type="spellStart"/>
      <w:r w:rsidRPr="00270818">
        <w:t>за</w:t>
      </w:r>
      <w:proofErr w:type="spellEnd"/>
      <w:r w:rsidRPr="00270818">
        <w:t xml:space="preserve"> </w:t>
      </w:r>
      <w:proofErr w:type="spellStart"/>
      <w:r w:rsidRPr="00270818">
        <w:t>мерките</w:t>
      </w:r>
      <w:proofErr w:type="spellEnd"/>
      <w:r w:rsidRPr="00270818">
        <w:t xml:space="preserve"> и </w:t>
      </w:r>
      <w:proofErr w:type="spellStart"/>
      <w:r w:rsidRPr="00270818">
        <w:t>действията</w:t>
      </w:r>
      <w:proofErr w:type="spellEnd"/>
      <w:r w:rsidRPr="00270818">
        <w:t xml:space="preserve"> </w:t>
      </w:r>
      <w:proofErr w:type="spellStart"/>
      <w:r w:rsidRPr="00270818">
        <w:t>по</w:t>
      </w:r>
      <w:proofErr w:type="spellEnd"/>
      <w:r w:rsidRPr="00270818">
        <w:t xml:space="preserve"> </w:t>
      </w:r>
      <w:proofErr w:type="spellStart"/>
      <w:r w:rsidRPr="00270818">
        <w:t>време</w:t>
      </w:r>
      <w:proofErr w:type="spellEnd"/>
      <w:r w:rsidRPr="00270818">
        <w:t xml:space="preserve"> </w:t>
      </w:r>
      <w:proofErr w:type="spellStart"/>
      <w:r w:rsidRPr="00270818">
        <w:t>на</w:t>
      </w:r>
      <w:proofErr w:type="spellEnd"/>
      <w:r w:rsidRPr="00270818">
        <w:t xml:space="preserve"> </w:t>
      </w:r>
      <w:proofErr w:type="spellStart"/>
      <w:r w:rsidRPr="00270818">
        <w:t>извънредното</w:t>
      </w:r>
      <w:proofErr w:type="spellEnd"/>
      <w:r w:rsidRPr="00270818">
        <w:t xml:space="preserve"> </w:t>
      </w:r>
      <w:proofErr w:type="spellStart"/>
      <w:r w:rsidRPr="00270818">
        <w:t>положение</w:t>
      </w:r>
      <w:proofErr w:type="spellEnd"/>
      <w:r w:rsidRPr="00270818">
        <w:t xml:space="preserve">, </w:t>
      </w:r>
      <w:proofErr w:type="spellStart"/>
      <w:r w:rsidRPr="00270818">
        <w:t>обявено</w:t>
      </w:r>
      <w:proofErr w:type="spellEnd"/>
      <w:r w:rsidRPr="00270818">
        <w:t xml:space="preserve"> с </w:t>
      </w:r>
      <w:proofErr w:type="spellStart"/>
      <w:r w:rsidRPr="00270818">
        <w:t>решение</w:t>
      </w:r>
      <w:proofErr w:type="spellEnd"/>
      <w:r w:rsidRPr="00270818">
        <w:t xml:space="preserve"> </w:t>
      </w:r>
      <w:proofErr w:type="spellStart"/>
      <w:r w:rsidRPr="00270818">
        <w:t>на</w:t>
      </w:r>
      <w:proofErr w:type="spellEnd"/>
      <w:r w:rsidRPr="00270818">
        <w:t xml:space="preserve"> </w:t>
      </w:r>
      <w:proofErr w:type="spellStart"/>
      <w:r w:rsidRPr="00270818">
        <w:t>Народното</w:t>
      </w:r>
      <w:proofErr w:type="spellEnd"/>
      <w:r w:rsidRPr="00270818">
        <w:t xml:space="preserve"> </w:t>
      </w:r>
      <w:proofErr w:type="spellStart"/>
      <w:r w:rsidRPr="00270818">
        <w:t>събрание</w:t>
      </w:r>
      <w:proofErr w:type="spellEnd"/>
      <w:r w:rsidRPr="00270818">
        <w:t xml:space="preserve"> </w:t>
      </w:r>
      <w:proofErr w:type="spellStart"/>
      <w:r w:rsidRPr="00270818">
        <w:t>от</w:t>
      </w:r>
      <w:proofErr w:type="spellEnd"/>
      <w:r w:rsidRPr="00270818">
        <w:t xml:space="preserve"> 13 </w:t>
      </w:r>
      <w:proofErr w:type="spellStart"/>
      <w:r w:rsidRPr="00270818">
        <w:t>март</w:t>
      </w:r>
      <w:proofErr w:type="spellEnd"/>
      <w:r w:rsidRPr="00270818">
        <w:t xml:space="preserve"> 2020 г.</w:t>
      </w:r>
      <w:r>
        <w:t xml:space="preserve"> </w:t>
      </w:r>
      <w:r w:rsidRPr="002A24A0">
        <w:t xml:space="preserve">и РЕГЛАМЕНТ (ЕС) 2020/560 НА ЕВРОПЕЙСКИЯ ПАРЛАМЕНТ И НА СЪВЕТА от 23 април 2020 година за изменение на регламенти (ЕС) № 508/2014 и (ЕС) № 1379/2013 по отношение на специални мерки за смекчаване на въздействието на избухването на COVID-19 върху сектора на рибарството и </w:t>
      </w:r>
      <w:proofErr w:type="spellStart"/>
      <w:r w:rsidRPr="002A24A0">
        <w:t>аквакултурите</w:t>
      </w:r>
      <w:proofErr w:type="spellEnd"/>
      <w:r w:rsidRPr="002A24A0">
        <w:t>,</w:t>
      </w:r>
      <w:r w:rsidR="002A24A0" w:rsidRPr="000034AD">
        <w:rPr>
          <w:strike/>
        </w:rPr>
        <w:t xml:space="preserve"> </w:t>
      </w:r>
      <w:r w:rsidR="002A24A0" w:rsidRPr="000034AD">
        <w:t xml:space="preserve"> </w:t>
      </w:r>
      <w:r w:rsidR="003A5115" w:rsidRPr="000034AD">
        <w:t>публикуван</w:t>
      </w:r>
      <w:r w:rsidR="003A5115" w:rsidRPr="003A5115">
        <w:t xml:space="preserve"> </w:t>
      </w:r>
      <w:r w:rsidRPr="002A24A0">
        <w:t xml:space="preserve"> на 24.04.2020 г. в </w:t>
      </w:r>
      <w:r w:rsidR="002A24A0">
        <w:t>О</w:t>
      </w:r>
      <w:r w:rsidRPr="002A24A0">
        <w:t>фициалния вестник на Европейския съюз</w:t>
      </w:r>
    </w:p>
  </w:footnote>
  <w:footnote w:id="3">
    <w:p w:rsidR="00245473" w:rsidRPr="00AD0839" w:rsidRDefault="00245473">
      <w:pPr>
        <w:pStyle w:val="FootnoteText"/>
        <w:rPr>
          <w:strike/>
        </w:rPr>
      </w:pPr>
      <w:r>
        <w:rPr>
          <w:rStyle w:val="FootnoteReference"/>
        </w:rPr>
        <w:footnoteRef/>
      </w:r>
      <w:r>
        <w:t xml:space="preserve"> </w:t>
      </w:r>
      <w:proofErr w:type="spellStart"/>
      <w:r>
        <w:t>Закон</w:t>
      </w:r>
      <w:proofErr w:type="spellEnd"/>
      <w:r>
        <w:t xml:space="preserve"> </w:t>
      </w:r>
      <w:proofErr w:type="spellStart"/>
      <w:r>
        <w:t>за</w:t>
      </w:r>
      <w:proofErr w:type="spellEnd"/>
      <w:r>
        <w:t xml:space="preserve"> </w:t>
      </w:r>
      <w:proofErr w:type="spellStart"/>
      <w:r>
        <w:t>рибарството</w:t>
      </w:r>
      <w:proofErr w:type="spellEnd"/>
      <w:r>
        <w:t xml:space="preserve"> и </w:t>
      </w:r>
      <w:proofErr w:type="spellStart"/>
      <w:r>
        <w:t>аквакултурите</w:t>
      </w:r>
      <w:proofErr w:type="spellEnd"/>
      <w:r>
        <w:t xml:space="preserve">, </w:t>
      </w:r>
    </w:p>
  </w:footnote>
  <w:footnote w:id="4">
    <w:p w:rsidR="00AA56B3" w:rsidRPr="002A24A0" w:rsidRDefault="00AA56B3">
      <w:pPr>
        <w:pStyle w:val="FootnoteText"/>
      </w:pPr>
      <w:r>
        <w:rPr>
          <w:rStyle w:val="FootnoteReference"/>
        </w:rPr>
        <w:footnoteRef/>
      </w:r>
      <w:r>
        <w:t xml:space="preserve"> </w:t>
      </w:r>
      <w:proofErr w:type="spellStart"/>
      <w:r>
        <w:t>Закон</w:t>
      </w:r>
      <w:proofErr w:type="spellEnd"/>
      <w:r w:rsidRPr="00270818">
        <w:t xml:space="preserve"> </w:t>
      </w:r>
      <w:proofErr w:type="spellStart"/>
      <w:r w:rsidRPr="00270818">
        <w:t>за</w:t>
      </w:r>
      <w:proofErr w:type="spellEnd"/>
      <w:r w:rsidRPr="00270818">
        <w:t xml:space="preserve"> </w:t>
      </w:r>
      <w:proofErr w:type="spellStart"/>
      <w:r w:rsidRPr="00270818">
        <w:t>мерките</w:t>
      </w:r>
      <w:proofErr w:type="spellEnd"/>
      <w:r w:rsidRPr="00270818">
        <w:t xml:space="preserve"> и </w:t>
      </w:r>
      <w:proofErr w:type="spellStart"/>
      <w:r w:rsidRPr="00270818">
        <w:t>действията</w:t>
      </w:r>
      <w:proofErr w:type="spellEnd"/>
      <w:r w:rsidRPr="00270818">
        <w:t xml:space="preserve"> </w:t>
      </w:r>
      <w:proofErr w:type="spellStart"/>
      <w:r w:rsidRPr="00270818">
        <w:t>по</w:t>
      </w:r>
      <w:proofErr w:type="spellEnd"/>
      <w:r w:rsidRPr="00270818">
        <w:t xml:space="preserve"> </w:t>
      </w:r>
      <w:proofErr w:type="spellStart"/>
      <w:r w:rsidRPr="00270818">
        <w:t>време</w:t>
      </w:r>
      <w:proofErr w:type="spellEnd"/>
      <w:r w:rsidRPr="00270818">
        <w:t xml:space="preserve"> </w:t>
      </w:r>
      <w:proofErr w:type="spellStart"/>
      <w:r w:rsidRPr="00270818">
        <w:t>на</w:t>
      </w:r>
      <w:proofErr w:type="spellEnd"/>
      <w:r w:rsidRPr="00270818">
        <w:t xml:space="preserve"> </w:t>
      </w:r>
      <w:proofErr w:type="spellStart"/>
      <w:r w:rsidRPr="00270818">
        <w:t>извънредното</w:t>
      </w:r>
      <w:proofErr w:type="spellEnd"/>
      <w:r w:rsidRPr="00270818">
        <w:t xml:space="preserve"> </w:t>
      </w:r>
      <w:proofErr w:type="spellStart"/>
      <w:r w:rsidRPr="00270818">
        <w:t>положение</w:t>
      </w:r>
      <w:proofErr w:type="spellEnd"/>
      <w:r w:rsidRPr="00270818">
        <w:t xml:space="preserve">, </w:t>
      </w:r>
      <w:proofErr w:type="spellStart"/>
      <w:r w:rsidRPr="00270818">
        <w:t>обявено</w:t>
      </w:r>
      <w:proofErr w:type="spellEnd"/>
      <w:r w:rsidRPr="00270818">
        <w:t xml:space="preserve"> с </w:t>
      </w:r>
      <w:proofErr w:type="spellStart"/>
      <w:r w:rsidRPr="00270818">
        <w:t>решение</w:t>
      </w:r>
      <w:proofErr w:type="spellEnd"/>
      <w:r w:rsidRPr="00270818">
        <w:t xml:space="preserve"> </w:t>
      </w:r>
      <w:proofErr w:type="spellStart"/>
      <w:r w:rsidRPr="00270818">
        <w:t>на</w:t>
      </w:r>
      <w:proofErr w:type="spellEnd"/>
      <w:r w:rsidRPr="00270818">
        <w:t xml:space="preserve"> </w:t>
      </w:r>
      <w:proofErr w:type="spellStart"/>
      <w:r w:rsidRPr="00270818">
        <w:t>Народното</w:t>
      </w:r>
      <w:proofErr w:type="spellEnd"/>
      <w:r w:rsidRPr="00270818">
        <w:t xml:space="preserve"> </w:t>
      </w:r>
      <w:proofErr w:type="spellStart"/>
      <w:r w:rsidRPr="00270818">
        <w:t>събрание</w:t>
      </w:r>
      <w:proofErr w:type="spellEnd"/>
      <w:r w:rsidRPr="00270818">
        <w:t xml:space="preserve"> </w:t>
      </w:r>
      <w:proofErr w:type="spellStart"/>
      <w:r w:rsidRPr="00270818">
        <w:t>от</w:t>
      </w:r>
      <w:proofErr w:type="spellEnd"/>
      <w:r w:rsidRPr="00270818">
        <w:t xml:space="preserve"> 13 </w:t>
      </w:r>
      <w:proofErr w:type="spellStart"/>
      <w:r w:rsidRPr="00270818">
        <w:t>март</w:t>
      </w:r>
      <w:proofErr w:type="spellEnd"/>
      <w:r w:rsidRPr="00270818">
        <w:t xml:space="preserve"> 2020 г.</w:t>
      </w:r>
      <w:r>
        <w:t xml:space="preserve"> </w:t>
      </w:r>
      <w:r w:rsidRPr="002A24A0">
        <w:t xml:space="preserve">и РЕГЛАМЕНТ (ЕС) 2020/560 НА ЕВРОПЕЙСКИЯ ПАРЛАМЕНТ И НА СЪВЕТА от 23 април 2020 година за изменение на регламенти (ЕС) № 508/2014 и (ЕС) № 1379/2013 по отношение на специални мерки за смекчаване на въздействието на избухването на COVID-19 върху сектора на рибарството и </w:t>
      </w:r>
      <w:proofErr w:type="spellStart"/>
      <w:r w:rsidRPr="002A24A0">
        <w:t>аквакултурите</w:t>
      </w:r>
      <w:proofErr w:type="spellEnd"/>
      <w:r w:rsidRPr="002A24A0">
        <w:t xml:space="preserve">, </w:t>
      </w:r>
      <w:r w:rsidR="003A5115" w:rsidRPr="000034AD">
        <w:t>публикуван</w:t>
      </w:r>
      <w:r w:rsidRPr="002A24A0">
        <w:t xml:space="preserve"> на 24.04.2020 г. в </w:t>
      </w:r>
      <w:r w:rsidR="002A24A0">
        <w:t>О</w:t>
      </w:r>
      <w:r w:rsidRPr="002A24A0">
        <w:t>фициалния вестник на Европейския съюз</w:t>
      </w:r>
    </w:p>
  </w:footnote>
  <w:footnote w:id="5">
    <w:p w:rsidR="00AC1B20" w:rsidRPr="00C7721C" w:rsidRDefault="00AC1B20" w:rsidP="00AC1B20">
      <w:pPr>
        <w:pStyle w:val="FootnoteText"/>
      </w:pPr>
      <w:r>
        <w:rPr>
          <w:rStyle w:val="FootnoteReference"/>
        </w:rPr>
        <w:footnoteRef/>
      </w:r>
      <w:r>
        <w:t xml:space="preserve"> </w:t>
      </w:r>
      <w:proofErr w:type="spellStart"/>
      <w:r>
        <w:t>Закон</w:t>
      </w:r>
      <w:proofErr w:type="spellEnd"/>
      <w:r w:rsidRPr="00270818">
        <w:t xml:space="preserve"> </w:t>
      </w:r>
      <w:proofErr w:type="spellStart"/>
      <w:r w:rsidRPr="00270818">
        <w:t>за</w:t>
      </w:r>
      <w:proofErr w:type="spellEnd"/>
      <w:r w:rsidRPr="00270818">
        <w:t xml:space="preserve"> </w:t>
      </w:r>
      <w:proofErr w:type="spellStart"/>
      <w:r w:rsidRPr="00270818">
        <w:t>мерките</w:t>
      </w:r>
      <w:proofErr w:type="spellEnd"/>
      <w:r w:rsidRPr="00270818">
        <w:t xml:space="preserve"> и </w:t>
      </w:r>
      <w:proofErr w:type="spellStart"/>
      <w:r w:rsidRPr="00270818">
        <w:t>действията</w:t>
      </w:r>
      <w:proofErr w:type="spellEnd"/>
      <w:r w:rsidRPr="00270818">
        <w:t xml:space="preserve"> </w:t>
      </w:r>
      <w:proofErr w:type="spellStart"/>
      <w:r w:rsidRPr="00270818">
        <w:t>по</w:t>
      </w:r>
      <w:proofErr w:type="spellEnd"/>
      <w:r w:rsidRPr="00270818">
        <w:t xml:space="preserve"> </w:t>
      </w:r>
      <w:proofErr w:type="spellStart"/>
      <w:r w:rsidRPr="00270818">
        <w:t>време</w:t>
      </w:r>
      <w:proofErr w:type="spellEnd"/>
      <w:r w:rsidRPr="00270818">
        <w:t xml:space="preserve"> </w:t>
      </w:r>
      <w:proofErr w:type="spellStart"/>
      <w:r w:rsidRPr="00270818">
        <w:t>на</w:t>
      </w:r>
      <w:proofErr w:type="spellEnd"/>
      <w:r w:rsidRPr="00270818">
        <w:t xml:space="preserve"> </w:t>
      </w:r>
      <w:proofErr w:type="spellStart"/>
      <w:r w:rsidRPr="00270818">
        <w:t>извънредното</w:t>
      </w:r>
      <w:proofErr w:type="spellEnd"/>
      <w:r w:rsidRPr="00270818">
        <w:t xml:space="preserve"> </w:t>
      </w:r>
      <w:proofErr w:type="spellStart"/>
      <w:r w:rsidRPr="00270818">
        <w:t>положение</w:t>
      </w:r>
      <w:proofErr w:type="spellEnd"/>
      <w:r w:rsidRPr="00270818">
        <w:t xml:space="preserve">, </w:t>
      </w:r>
      <w:proofErr w:type="spellStart"/>
      <w:r w:rsidRPr="00270818">
        <w:t>обявено</w:t>
      </w:r>
      <w:proofErr w:type="spellEnd"/>
      <w:r w:rsidRPr="00270818">
        <w:t xml:space="preserve"> с </w:t>
      </w:r>
      <w:proofErr w:type="spellStart"/>
      <w:r w:rsidRPr="00270818">
        <w:t>решение</w:t>
      </w:r>
      <w:proofErr w:type="spellEnd"/>
      <w:r w:rsidRPr="00270818">
        <w:t xml:space="preserve"> </w:t>
      </w:r>
      <w:proofErr w:type="spellStart"/>
      <w:r w:rsidRPr="00270818">
        <w:t>на</w:t>
      </w:r>
      <w:proofErr w:type="spellEnd"/>
      <w:r w:rsidRPr="00270818">
        <w:t xml:space="preserve"> </w:t>
      </w:r>
      <w:proofErr w:type="spellStart"/>
      <w:r w:rsidRPr="00270818">
        <w:t>Народното</w:t>
      </w:r>
      <w:proofErr w:type="spellEnd"/>
      <w:r w:rsidRPr="00270818">
        <w:t xml:space="preserve"> </w:t>
      </w:r>
      <w:proofErr w:type="spellStart"/>
      <w:r w:rsidRPr="00270818">
        <w:t>събрание</w:t>
      </w:r>
      <w:proofErr w:type="spellEnd"/>
      <w:r w:rsidRPr="00270818">
        <w:t xml:space="preserve"> </w:t>
      </w:r>
      <w:proofErr w:type="spellStart"/>
      <w:r w:rsidRPr="00270818">
        <w:t>от</w:t>
      </w:r>
      <w:proofErr w:type="spellEnd"/>
      <w:r w:rsidRPr="00270818">
        <w:t xml:space="preserve"> 13 </w:t>
      </w:r>
      <w:proofErr w:type="spellStart"/>
      <w:r w:rsidRPr="00270818">
        <w:t>март</w:t>
      </w:r>
      <w:proofErr w:type="spellEnd"/>
      <w:r w:rsidRPr="00270818">
        <w:t xml:space="preserve"> 2020 г.</w:t>
      </w:r>
      <w:r>
        <w:t xml:space="preserve"> и </w:t>
      </w:r>
      <w:r w:rsidRPr="00AA56B3">
        <w:t xml:space="preserve">РЕГЛАМЕНТ (ЕС) 2020/560 НА ЕВРОПЕЙСКИЯ ПАРЛАМЕНТ И НА СЪВЕТА от 23 април 2020 година за изменение на регламенти (ЕС) № 508/2014 и (ЕС) № 1379/2013 по отношение на специални мерки за смекчаване на въздействието на избухването на COVID-19 върху сектора на рибарството и </w:t>
      </w:r>
      <w:proofErr w:type="spellStart"/>
      <w:r w:rsidRPr="00AA56B3">
        <w:t>аквакултурите</w:t>
      </w:r>
      <w:proofErr w:type="spellEnd"/>
      <w:r w:rsidRPr="00AA56B3">
        <w:t xml:space="preserve">, </w:t>
      </w:r>
      <w:r w:rsidR="003A5115" w:rsidRPr="000034AD">
        <w:t xml:space="preserve">публикуван </w:t>
      </w:r>
      <w:r w:rsidRPr="000034AD">
        <w:t>на 24</w:t>
      </w:r>
      <w:r w:rsidRPr="00AA56B3">
        <w:t xml:space="preserve">.04.2020 г. в </w:t>
      </w:r>
      <w:r w:rsidR="002A24A0">
        <w:t>О</w:t>
      </w:r>
      <w:r w:rsidRPr="00AA56B3">
        <w:t>фициалния вестник на Европейския съюз</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0172"/>
    <w:multiLevelType w:val="hybridMultilevel"/>
    <w:tmpl w:val="96BC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659A8"/>
    <w:multiLevelType w:val="hybridMultilevel"/>
    <w:tmpl w:val="67348F7E"/>
    <w:lvl w:ilvl="0" w:tplc="2A30C3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F3B0E"/>
    <w:multiLevelType w:val="hybridMultilevel"/>
    <w:tmpl w:val="96663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A57F8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7BA41D7C"/>
    <w:multiLevelType w:val="hybridMultilevel"/>
    <w:tmpl w:val="AAD658FA"/>
    <w:lvl w:ilvl="0" w:tplc="A4AE18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4A"/>
    <w:rsid w:val="000034AD"/>
    <w:rsid w:val="0002010D"/>
    <w:rsid w:val="00026F38"/>
    <w:rsid w:val="00027EA5"/>
    <w:rsid w:val="00034BBB"/>
    <w:rsid w:val="000948FF"/>
    <w:rsid w:val="0009561C"/>
    <w:rsid w:val="00152928"/>
    <w:rsid w:val="00186A22"/>
    <w:rsid w:val="001C6E8B"/>
    <w:rsid w:val="001D2CD6"/>
    <w:rsid w:val="001F4006"/>
    <w:rsid w:val="00211E51"/>
    <w:rsid w:val="00222E00"/>
    <w:rsid w:val="00240F27"/>
    <w:rsid w:val="00245473"/>
    <w:rsid w:val="002A24A0"/>
    <w:rsid w:val="002A6554"/>
    <w:rsid w:val="002C1132"/>
    <w:rsid w:val="003009F5"/>
    <w:rsid w:val="00335283"/>
    <w:rsid w:val="00337F17"/>
    <w:rsid w:val="003A0A68"/>
    <w:rsid w:val="003A5115"/>
    <w:rsid w:val="003C569A"/>
    <w:rsid w:val="004427E1"/>
    <w:rsid w:val="00454391"/>
    <w:rsid w:val="004A531B"/>
    <w:rsid w:val="004A783A"/>
    <w:rsid w:val="005160EE"/>
    <w:rsid w:val="00542277"/>
    <w:rsid w:val="00544E97"/>
    <w:rsid w:val="00554E43"/>
    <w:rsid w:val="00564AC7"/>
    <w:rsid w:val="00581EAB"/>
    <w:rsid w:val="00593A67"/>
    <w:rsid w:val="005C6958"/>
    <w:rsid w:val="005E3C34"/>
    <w:rsid w:val="005F5B50"/>
    <w:rsid w:val="00600093"/>
    <w:rsid w:val="00605F54"/>
    <w:rsid w:val="006105A3"/>
    <w:rsid w:val="0063096B"/>
    <w:rsid w:val="00672B49"/>
    <w:rsid w:val="00693702"/>
    <w:rsid w:val="006C2BFB"/>
    <w:rsid w:val="006C39D9"/>
    <w:rsid w:val="006D1B3C"/>
    <w:rsid w:val="006E68E5"/>
    <w:rsid w:val="007032B6"/>
    <w:rsid w:val="007576F5"/>
    <w:rsid w:val="007954AA"/>
    <w:rsid w:val="007C72A9"/>
    <w:rsid w:val="007D022E"/>
    <w:rsid w:val="007E0858"/>
    <w:rsid w:val="008241F6"/>
    <w:rsid w:val="00861856"/>
    <w:rsid w:val="00866049"/>
    <w:rsid w:val="008729B2"/>
    <w:rsid w:val="008C743A"/>
    <w:rsid w:val="008F1DF7"/>
    <w:rsid w:val="00904758"/>
    <w:rsid w:val="00926F35"/>
    <w:rsid w:val="009B641E"/>
    <w:rsid w:val="009F520B"/>
    <w:rsid w:val="00A02941"/>
    <w:rsid w:val="00A03D72"/>
    <w:rsid w:val="00A2599D"/>
    <w:rsid w:val="00A70C3E"/>
    <w:rsid w:val="00A72E80"/>
    <w:rsid w:val="00A76E02"/>
    <w:rsid w:val="00AA0652"/>
    <w:rsid w:val="00AA22F7"/>
    <w:rsid w:val="00AA56B3"/>
    <w:rsid w:val="00AC1B20"/>
    <w:rsid w:val="00AC66B9"/>
    <w:rsid w:val="00AD0839"/>
    <w:rsid w:val="00AE25A3"/>
    <w:rsid w:val="00AF084A"/>
    <w:rsid w:val="00AF26D6"/>
    <w:rsid w:val="00B40EB4"/>
    <w:rsid w:val="00B66CE2"/>
    <w:rsid w:val="00BB6864"/>
    <w:rsid w:val="00BB7C21"/>
    <w:rsid w:val="00BF056F"/>
    <w:rsid w:val="00C43181"/>
    <w:rsid w:val="00C4577E"/>
    <w:rsid w:val="00C50D1C"/>
    <w:rsid w:val="00C9444C"/>
    <w:rsid w:val="00CE1E11"/>
    <w:rsid w:val="00CF7C94"/>
    <w:rsid w:val="00D078A7"/>
    <w:rsid w:val="00D2604D"/>
    <w:rsid w:val="00D855CF"/>
    <w:rsid w:val="00D93144"/>
    <w:rsid w:val="00DB7790"/>
    <w:rsid w:val="00DD0EC3"/>
    <w:rsid w:val="00DD6D18"/>
    <w:rsid w:val="00DE57D6"/>
    <w:rsid w:val="00DF1BF7"/>
    <w:rsid w:val="00DF2ABA"/>
    <w:rsid w:val="00E22061"/>
    <w:rsid w:val="00E94E2A"/>
    <w:rsid w:val="00EA672E"/>
    <w:rsid w:val="00EC39CD"/>
    <w:rsid w:val="00ED2285"/>
    <w:rsid w:val="00EE27B3"/>
    <w:rsid w:val="00EF66DA"/>
    <w:rsid w:val="00F12DC4"/>
    <w:rsid w:val="00F30398"/>
    <w:rsid w:val="00F74415"/>
    <w:rsid w:val="00FA3B29"/>
    <w:rsid w:val="00FD186B"/>
    <w:rsid w:val="00FE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54289-9DE5-4FCB-88FA-7C914AF4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6554"/>
    <w:pPr>
      <w:spacing w:after="0" w:line="240" w:lineRule="auto"/>
      <w:outlineLvl w:val="0"/>
    </w:pPr>
    <w:rPr>
      <w:rFonts w:ascii="Times New Roman" w:eastAsia="Times New Roman" w:hAnsi="Times New Roman" w:cs="Times New Roman"/>
      <w:b/>
      <w:noProof/>
      <w:sz w:val="28"/>
      <w:szCs w:val="24"/>
    </w:rPr>
  </w:style>
  <w:style w:type="paragraph" w:styleId="Heading2">
    <w:name w:val="heading 2"/>
    <w:basedOn w:val="Normal"/>
    <w:next w:val="Normal"/>
    <w:link w:val="Heading2Char"/>
    <w:uiPriority w:val="9"/>
    <w:unhideWhenUsed/>
    <w:qFormat/>
    <w:rsid w:val="002A6554"/>
    <w:pPr>
      <w:spacing w:after="0" w:line="240" w:lineRule="auto"/>
      <w:ind w:right="-283"/>
      <w:contextualSpacing/>
      <w:outlineLvl w:val="1"/>
    </w:pPr>
    <w:rPr>
      <w:rFonts w:ascii="Times New Roman" w:eastAsiaTheme="majorEastAsia" w:hAnsi="Times New Roman" w:cs="Times New Roman"/>
      <w:i/>
      <w:sz w:val="24"/>
      <w:szCs w:val="24"/>
    </w:rPr>
  </w:style>
  <w:style w:type="paragraph" w:styleId="Heading3">
    <w:name w:val="heading 3"/>
    <w:basedOn w:val="Normal"/>
    <w:next w:val="Normal"/>
    <w:link w:val="Heading3Char"/>
    <w:uiPriority w:val="9"/>
    <w:unhideWhenUsed/>
    <w:qFormat/>
    <w:rsid w:val="002A6554"/>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A6554"/>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next w:val="Normal"/>
    <w:link w:val="Heading5Char"/>
    <w:uiPriority w:val="9"/>
    <w:semiHidden/>
    <w:unhideWhenUsed/>
    <w:qFormat/>
    <w:rsid w:val="002A6554"/>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semiHidden/>
    <w:unhideWhenUsed/>
    <w:qFormat/>
    <w:rsid w:val="002A6554"/>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2A6554"/>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2A655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655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4A"/>
    <w:pPr>
      <w:spacing w:after="240" w:line="240" w:lineRule="auto"/>
      <w:ind w:left="720"/>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uiPriority w:val="9"/>
    <w:rsid w:val="002A6554"/>
    <w:rPr>
      <w:rFonts w:ascii="Times New Roman" w:eastAsia="Times New Roman" w:hAnsi="Times New Roman" w:cs="Times New Roman"/>
      <w:b/>
      <w:noProof/>
      <w:sz w:val="28"/>
      <w:szCs w:val="24"/>
      <w:lang w:val="bg-BG"/>
    </w:rPr>
  </w:style>
  <w:style w:type="character" w:customStyle="1" w:styleId="Heading2Char">
    <w:name w:val="Heading 2 Char"/>
    <w:basedOn w:val="DefaultParagraphFont"/>
    <w:link w:val="Heading2"/>
    <w:uiPriority w:val="9"/>
    <w:rsid w:val="002A6554"/>
    <w:rPr>
      <w:rFonts w:ascii="Times New Roman" w:eastAsiaTheme="majorEastAsia" w:hAnsi="Times New Roman" w:cs="Times New Roman"/>
      <w:i/>
      <w:sz w:val="24"/>
      <w:szCs w:val="24"/>
      <w:lang w:val="bg-BG"/>
    </w:rPr>
  </w:style>
  <w:style w:type="character" w:customStyle="1" w:styleId="Heading3Char">
    <w:name w:val="Heading 3 Char"/>
    <w:basedOn w:val="DefaultParagraphFont"/>
    <w:link w:val="Heading3"/>
    <w:uiPriority w:val="9"/>
    <w:rsid w:val="002A65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A6554"/>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2A6554"/>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2A655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2A655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2A65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6554"/>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2A6554"/>
    <w:rPr>
      <w:sz w:val="16"/>
      <w:szCs w:val="16"/>
    </w:rPr>
  </w:style>
  <w:style w:type="paragraph" w:styleId="CommentText">
    <w:name w:val="annotation text"/>
    <w:basedOn w:val="Normal"/>
    <w:link w:val="CommentTextChar"/>
    <w:uiPriority w:val="99"/>
    <w:semiHidden/>
    <w:unhideWhenUsed/>
    <w:rsid w:val="002A655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A6554"/>
    <w:rPr>
      <w:rFonts w:ascii="Times New Roman" w:eastAsia="Times New Roman" w:hAnsi="Times New Roman" w:cs="Times New Roman"/>
      <w:sz w:val="20"/>
      <w:szCs w:val="20"/>
    </w:rPr>
  </w:style>
  <w:style w:type="table" w:styleId="TableGrid">
    <w:name w:val="Table Grid"/>
    <w:basedOn w:val="TableNormal"/>
    <w:uiPriority w:val="59"/>
    <w:rsid w:val="002A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554"/>
    <w:rPr>
      <w:rFonts w:ascii="Tahoma" w:hAnsi="Tahoma" w:cs="Tahoma"/>
      <w:sz w:val="16"/>
      <w:szCs w:val="16"/>
    </w:rPr>
  </w:style>
  <w:style w:type="paragraph" w:styleId="Header">
    <w:name w:val="header"/>
    <w:basedOn w:val="Normal"/>
    <w:link w:val="HeaderChar"/>
    <w:uiPriority w:val="99"/>
    <w:semiHidden/>
    <w:unhideWhenUsed/>
    <w:rsid w:val="00A72E8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72E80"/>
  </w:style>
  <w:style w:type="paragraph" w:styleId="NormalWeb">
    <w:name w:val="Normal (Web)"/>
    <w:basedOn w:val="Normal"/>
    <w:uiPriority w:val="99"/>
    <w:semiHidden/>
    <w:unhideWhenUsed/>
    <w:rsid w:val="00A72E80"/>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AF26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6D6"/>
    <w:rPr>
      <w:sz w:val="20"/>
      <w:szCs w:val="20"/>
    </w:rPr>
  </w:style>
  <w:style w:type="character" w:styleId="FootnoteReference">
    <w:name w:val="footnote reference"/>
    <w:basedOn w:val="DefaultParagraphFont"/>
    <w:uiPriority w:val="99"/>
    <w:semiHidden/>
    <w:unhideWhenUsed/>
    <w:rsid w:val="00AF26D6"/>
    <w:rPr>
      <w:vertAlign w:val="superscript"/>
    </w:rPr>
  </w:style>
  <w:style w:type="character" w:styleId="Hyperlink">
    <w:name w:val="Hyperlink"/>
    <w:basedOn w:val="DefaultParagraphFont"/>
    <w:uiPriority w:val="99"/>
    <w:unhideWhenUsed/>
    <w:rsid w:val="008729B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44E9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44E97"/>
    <w:rPr>
      <w:rFonts w:ascii="Times New Roman" w:eastAsia="Times New Roman" w:hAnsi="Times New Roman" w:cs="Times New Roman"/>
      <w:b/>
      <w:bCs/>
      <w:sz w:val="20"/>
      <w:szCs w:val="20"/>
    </w:rPr>
  </w:style>
  <w:style w:type="paragraph" w:styleId="Revision">
    <w:name w:val="Revision"/>
    <w:hidden/>
    <w:uiPriority w:val="99"/>
    <w:semiHidden/>
    <w:rsid w:val="00554E43"/>
    <w:pPr>
      <w:spacing w:after="0" w:line="240" w:lineRule="auto"/>
    </w:pPr>
  </w:style>
  <w:style w:type="paragraph" w:customStyle="1" w:styleId="doc-ti">
    <w:name w:val="doc-ti"/>
    <w:basedOn w:val="Normal"/>
    <w:rsid w:val="00CF7C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758">
      <w:bodyDiv w:val="1"/>
      <w:marLeft w:val="0"/>
      <w:marRight w:val="0"/>
      <w:marTop w:val="0"/>
      <w:marBottom w:val="0"/>
      <w:divBdr>
        <w:top w:val="none" w:sz="0" w:space="0" w:color="auto"/>
        <w:left w:val="none" w:sz="0" w:space="0" w:color="auto"/>
        <w:bottom w:val="none" w:sz="0" w:space="0" w:color="auto"/>
        <w:right w:val="none" w:sz="0" w:space="0" w:color="auto"/>
      </w:divBdr>
    </w:div>
    <w:div w:id="318390916">
      <w:bodyDiv w:val="1"/>
      <w:marLeft w:val="0"/>
      <w:marRight w:val="0"/>
      <w:marTop w:val="0"/>
      <w:marBottom w:val="0"/>
      <w:divBdr>
        <w:top w:val="none" w:sz="0" w:space="0" w:color="auto"/>
        <w:left w:val="none" w:sz="0" w:space="0" w:color="auto"/>
        <w:bottom w:val="none" w:sz="0" w:space="0" w:color="auto"/>
        <w:right w:val="none" w:sz="0" w:space="0" w:color="auto"/>
      </w:divBdr>
    </w:div>
    <w:div w:id="392657444">
      <w:bodyDiv w:val="1"/>
      <w:marLeft w:val="0"/>
      <w:marRight w:val="0"/>
      <w:marTop w:val="0"/>
      <w:marBottom w:val="0"/>
      <w:divBdr>
        <w:top w:val="none" w:sz="0" w:space="0" w:color="auto"/>
        <w:left w:val="none" w:sz="0" w:space="0" w:color="auto"/>
        <w:bottom w:val="none" w:sz="0" w:space="0" w:color="auto"/>
        <w:right w:val="none" w:sz="0" w:space="0" w:color="auto"/>
      </w:divBdr>
    </w:div>
    <w:div w:id="1261178990">
      <w:bodyDiv w:val="1"/>
      <w:marLeft w:val="0"/>
      <w:marRight w:val="0"/>
      <w:marTop w:val="0"/>
      <w:marBottom w:val="0"/>
      <w:divBdr>
        <w:top w:val="none" w:sz="0" w:space="0" w:color="auto"/>
        <w:left w:val="none" w:sz="0" w:space="0" w:color="auto"/>
        <w:bottom w:val="none" w:sz="0" w:space="0" w:color="auto"/>
        <w:right w:val="none" w:sz="0" w:space="0" w:color="auto"/>
      </w:divBdr>
    </w:div>
    <w:div w:id="1378354547">
      <w:bodyDiv w:val="1"/>
      <w:marLeft w:val="0"/>
      <w:marRight w:val="0"/>
      <w:marTop w:val="0"/>
      <w:marBottom w:val="0"/>
      <w:divBdr>
        <w:top w:val="none" w:sz="0" w:space="0" w:color="auto"/>
        <w:left w:val="none" w:sz="0" w:space="0" w:color="auto"/>
        <w:bottom w:val="none" w:sz="0" w:space="0" w:color="auto"/>
        <w:right w:val="none" w:sz="0" w:space="0" w:color="auto"/>
      </w:divBdr>
      <w:divsChild>
        <w:div w:id="400644678">
          <w:marLeft w:val="0"/>
          <w:marRight w:val="0"/>
          <w:marTop w:val="0"/>
          <w:marBottom w:val="0"/>
          <w:divBdr>
            <w:top w:val="none" w:sz="0" w:space="0" w:color="auto"/>
            <w:left w:val="none" w:sz="0" w:space="0" w:color="auto"/>
            <w:bottom w:val="none" w:sz="0" w:space="0" w:color="auto"/>
            <w:right w:val="none" w:sz="0" w:space="0" w:color="auto"/>
          </w:divBdr>
        </w:div>
      </w:divsChild>
    </w:div>
    <w:div w:id="1468860985">
      <w:bodyDiv w:val="1"/>
      <w:marLeft w:val="0"/>
      <w:marRight w:val="0"/>
      <w:marTop w:val="0"/>
      <w:marBottom w:val="0"/>
      <w:divBdr>
        <w:top w:val="none" w:sz="0" w:space="0" w:color="auto"/>
        <w:left w:val="none" w:sz="0" w:space="0" w:color="auto"/>
        <w:bottom w:val="none" w:sz="0" w:space="0" w:color="auto"/>
        <w:right w:val="none" w:sz="0" w:space="0" w:color="auto"/>
      </w:divBdr>
    </w:div>
    <w:div w:id="1558198319">
      <w:bodyDiv w:val="1"/>
      <w:marLeft w:val="0"/>
      <w:marRight w:val="0"/>
      <w:marTop w:val="0"/>
      <w:marBottom w:val="0"/>
      <w:divBdr>
        <w:top w:val="none" w:sz="0" w:space="0" w:color="auto"/>
        <w:left w:val="none" w:sz="0" w:space="0" w:color="auto"/>
        <w:bottom w:val="none" w:sz="0" w:space="0" w:color="auto"/>
        <w:right w:val="none" w:sz="0" w:space="0" w:color="auto"/>
      </w:divBdr>
    </w:div>
    <w:div w:id="20217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ibniresur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0C0DC-3D78-4C8B-B44B-8C4D65D6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11939</Characters>
  <Application>Microsoft Office Word</Application>
  <DocSecurity>0</DocSecurity>
  <Lines>99</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Boryana Vodenicharska</dc:creator>
  <cp:lastModifiedBy>Zaharincho</cp:lastModifiedBy>
  <cp:revision>2</cp:revision>
  <dcterms:created xsi:type="dcterms:W3CDTF">2020-06-24T11:33:00Z</dcterms:created>
  <dcterms:modified xsi:type="dcterms:W3CDTF">2020-06-24T11:33:00Z</dcterms:modified>
</cp:coreProperties>
</file>