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A796F" w14:textId="77777777" w:rsidR="00216FCE" w:rsidRDefault="00216FCE" w:rsidP="00216FCE">
      <w:pPr>
        <w:jc w:val="center"/>
        <w:rPr>
          <w:rFonts w:ascii="Times New Roman" w:hAnsi="Times New Roman" w:cs="Times New Roman"/>
          <w:b/>
          <w:sz w:val="24"/>
          <w:szCs w:val="24"/>
        </w:rPr>
      </w:pPr>
      <w:r>
        <w:rPr>
          <w:rFonts w:ascii="Times New Roman" w:hAnsi="Times New Roman" w:cs="Times New Roman"/>
          <w:b/>
          <w:sz w:val="24"/>
          <w:szCs w:val="24"/>
        </w:rPr>
        <w:t>МИРГ БУРГАС – КАМЕНО</w:t>
      </w:r>
      <w:r>
        <w:rPr>
          <w:rFonts w:ascii="Times New Roman" w:hAnsi="Times New Roman" w:cs="Times New Roman"/>
          <w:b/>
          <w:sz w:val="24"/>
          <w:szCs w:val="24"/>
        </w:rPr>
        <w:tab/>
      </w:r>
    </w:p>
    <w:p w14:paraId="5021A05E" w14:textId="77777777" w:rsidR="00216FCE" w:rsidRDefault="00216FCE" w:rsidP="00216FCE">
      <w:pPr>
        <w:jc w:val="center"/>
        <w:rPr>
          <w:rFonts w:ascii="Times New Roman" w:hAnsi="Times New Roman" w:cs="Times New Roman"/>
          <w:b/>
          <w:sz w:val="24"/>
          <w:szCs w:val="24"/>
        </w:rPr>
      </w:pPr>
    </w:p>
    <w:p w14:paraId="35121888" w14:textId="77777777" w:rsidR="00216FCE" w:rsidRDefault="00216FCE" w:rsidP="00216FCE">
      <w:pPr>
        <w:jc w:val="center"/>
        <w:rPr>
          <w:rFonts w:ascii="Times New Roman" w:hAnsi="Times New Roman" w:cs="Times New Roman"/>
          <w:b/>
          <w:sz w:val="24"/>
          <w:szCs w:val="24"/>
        </w:rPr>
      </w:pPr>
      <w:r>
        <w:rPr>
          <w:rFonts w:ascii="Times New Roman" w:hAnsi="Times New Roman" w:cs="Times New Roman"/>
          <w:b/>
          <w:sz w:val="24"/>
          <w:szCs w:val="24"/>
        </w:rPr>
        <w:t>ВЪПРОСИ И ОТГОВОРИ ПО ПРОЦЕДУРА</w:t>
      </w:r>
    </w:p>
    <w:p w14:paraId="1243DFD8" w14:textId="77777777" w:rsidR="00216FCE" w:rsidRDefault="00216FCE" w:rsidP="00216FCE">
      <w:pPr>
        <w:jc w:val="center"/>
        <w:rPr>
          <w:rFonts w:ascii="Times New Roman" w:hAnsi="Times New Roman" w:cs="Times New Roman"/>
          <w:b/>
          <w:sz w:val="24"/>
          <w:szCs w:val="24"/>
        </w:rPr>
      </w:pPr>
      <w:r>
        <w:rPr>
          <w:rFonts w:ascii="Times New Roman" w:hAnsi="Times New Roman" w:cs="Times New Roman"/>
          <w:b/>
          <w:sz w:val="24"/>
          <w:szCs w:val="24"/>
        </w:rPr>
        <w:t>за подбор на проекти</w:t>
      </w:r>
    </w:p>
    <w:p w14:paraId="557640DC" w14:textId="77777777" w:rsidR="00216FCE" w:rsidRDefault="00216FCE" w:rsidP="00216FCE">
      <w:pPr>
        <w:snapToGrid w:val="0"/>
        <w:ind w:firstLine="708"/>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BG14MFOP001-4.065 „Преработване на продуктите от риболов и </w:t>
      </w:r>
      <w:proofErr w:type="spellStart"/>
      <w:r>
        <w:rPr>
          <w:rFonts w:ascii="Times New Roman" w:eastAsia="Times New Roman" w:hAnsi="Times New Roman" w:cs="Times New Roman"/>
          <w:b/>
          <w:sz w:val="24"/>
          <w:szCs w:val="24"/>
        </w:rPr>
        <w:t>аквакултури</w:t>
      </w:r>
      <w:proofErr w:type="spellEnd"/>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по </w:t>
      </w:r>
      <w:proofErr w:type="spellStart"/>
      <w:r>
        <w:rPr>
          <w:rFonts w:ascii="Times New Roman" w:hAnsi="Times New Roman" w:cs="Times New Roman"/>
          <w:b/>
          <w:sz w:val="24"/>
          <w:szCs w:val="24"/>
        </w:rPr>
        <w:t>Mярка</w:t>
      </w:r>
      <w:proofErr w:type="spellEnd"/>
      <w:r>
        <w:rPr>
          <w:rFonts w:ascii="Times New Roman" w:hAnsi="Times New Roman" w:cs="Times New Roman"/>
          <w:b/>
          <w:sz w:val="24"/>
          <w:szCs w:val="24"/>
        </w:rPr>
        <w:t xml:space="preserve"> 5.4 Преработване на продуктите от риболов и </w:t>
      </w:r>
      <w:proofErr w:type="spellStart"/>
      <w:r>
        <w:rPr>
          <w:rFonts w:ascii="Times New Roman" w:hAnsi="Times New Roman" w:cs="Times New Roman"/>
          <w:b/>
          <w:sz w:val="24"/>
          <w:szCs w:val="24"/>
        </w:rPr>
        <w:t>аквакултури</w:t>
      </w:r>
      <w:proofErr w:type="spellEnd"/>
      <w:r>
        <w:rPr>
          <w:rFonts w:ascii="Times New Roman" w:hAnsi="Times New Roman" w:cs="Times New Roman"/>
          <w:b/>
          <w:sz w:val="24"/>
          <w:szCs w:val="24"/>
        </w:rPr>
        <w:t xml:space="preserve"> </w:t>
      </w:r>
      <w:r>
        <w:rPr>
          <w:rFonts w:ascii="Times New Roman" w:eastAsia="Times New Roman" w:hAnsi="Times New Roman" w:cs="Times New Roman"/>
          <w:b/>
          <w:sz w:val="24"/>
          <w:szCs w:val="24"/>
        </w:rPr>
        <w:t>от Стратегия за ВОМР на МИРГ „Бургас – Камено“</w:t>
      </w:r>
    </w:p>
    <w:p w14:paraId="7D87EAA7" w14:textId="54A7FE58" w:rsidR="00216FCE" w:rsidRDefault="00216FCE" w:rsidP="00216FCE">
      <w:pPr>
        <w:jc w:val="both"/>
        <w:rPr>
          <w:rFonts w:ascii="Times New Roman" w:hAnsi="Times New Roman" w:cs="Times New Roman"/>
          <w:b/>
          <w:sz w:val="24"/>
          <w:szCs w:val="24"/>
        </w:rPr>
      </w:pPr>
      <w:r>
        <w:rPr>
          <w:rFonts w:ascii="Times New Roman" w:hAnsi="Times New Roman" w:cs="Times New Roman"/>
          <w:b/>
          <w:sz w:val="24"/>
          <w:szCs w:val="24"/>
        </w:rPr>
        <w:t>одобрени с Докладна записка №</w:t>
      </w:r>
      <w:r w:rsidR="00451FE4">
        <w:rPr>
          <w:rFonts w:ascii="Times New Roman" w:hAnsi="Times New Roman" w:cs="Times New Roman"/>
          <w:b/>
          <w:sz w:val="24"/>
          <w:szCs w:val="24"/>
        </w:rPr>
        <w:t xml:space="preserve"> </w:t>
      </w:r>
      <w:r w:rsidR="00451FE4">
        <w:rPr>
          <w:rFonts w:ascii="Times New Roman" w:hAnsi="Times New Roman" w:cs="Times New Roman"/>
          <w:b/>
          <w:sz w:val="24"/>
          <w:szCs w:val="24"/>
          <w:lang w:val="en-US"/>
        </w:rPr>
        <w:t xml:space="preserve">93-5624/28.10.2020 </w:t>
      </w:r>
      <w:r w:rsidR="00451FE4">
        <w:rPr>
          <w:rFonts w:ascii="Times New Roman" w:hAnsi="Times New Roman" w:cs="Times New Roman"/>
          <w:b/>
          <w:sz w:val="24"/>
          <w:szCs w:val="24"/>
        </w:rPr>
        <w:t xml:space="preserve">г. </w:t>
      </w:r>
      <w:bookmarkStart w:id="0" w:name="_GoBack"/>
      <w:bookmarkEnd w:id="0"/>
      <w:r>
        <w:rPr>
          <w:rFonts w:ascii="Times New Roman" w:hAnsi="Times New Roman" w:cs="Times New Roman"/>
          <w:b/>
          <w:sz w:val="24"/>
          <w:szCs w:val="24"/>
        </w:rPr>
        <w:t>от Ръководителя на УО на ПМДР</w:t>
      </w:r>
    </w:p>
    <w:p w14:paraId="62420F50" w14:textId="69CB54BF" w:rsidR="00216FCE" w:rsidRDefault="00216FCE" w:rsidP="00216FCE">
      <w:pPr>
        <w:jc w:val="both"/>
        <w:rPr>
          <w:rFonts w:ascii="Times New Roman" w:hAnsi="Times New Roman" w:cs="Times New Roman"/>
          <w:b/>
          <w:sz w:val="24"/>
          <w:szCs w:val="24"/>
        </w:rPr>
      </w:pPr>
    </w:p>
    <w:p w14:paraId="387F1A4C" w14:textId="77777777" w:rsidR="00F57A88" w:rsidRDefault="00F57A88" w:rsidP="00216FCE">
      <w:pPr>
        <w:jc w:val="both"/>
        <w:rPr>
          <w:rFonts w:ascii="Times New Roman" w:hAnsi="Times New Roman" w:cs="Times New Roman"/>
          <w:b/>
          <w:sz w:val="24"/>
          <w:szCs w:val="24"/>
        </w:rPr>
      </w:pPr>
    </w:p>
    <w:p w14:paraId="1B5259A4" w14:textId="3F698931" w:rsidR="00216FCE" w:rsidRPr="00216FCE" w:rsidRDefault="00216FCE" w:rsidP="00216FCE">
      <w:pPr>
        <w:jc w:val="both"/>
        <w:rPr>
          <w:rFonts w:ascii="Times New Roman" w:hAnsi="Times New Roman" w:cstheme="minorBidi"/>
          <w:b/>
          <w:bCs/>
          <w:sz w:val="24"/>
          <w:szCs w:val="24"/>
        </w:rPr>
      </w:pPr>
      <w:r>
        <w:rPr>
          <w:rFonts w:ascii="Times New Roman" w:hAnsi="Times New Roman"/>
          <w:b/>
          <w:bCs/>
          <w:sz w:val="24"/>
          <w:szCs w:val="24"/>
        </w:rPr>
        <w:t>ВЪПРОС</w:t>
      </w:r>
      <w:r>
        <w:rPr>
          <w:rFonts w:ascii="Times New Roman" w:hAnsi="Times New Roman" w:cs="Times New Roman"/>
          <w:b/>
          <w:sz w:val="24"/>
          <w:szCs w:val="24"/>
        </w:rPr>
        <w:t>:</w:t>
      </w:r>
      <w:r>
        <w:rPr>
          <w:rFonts w:ascii="Times New Roman" w:hAnsi="Times New Roman" w:cs="Times New Roman"/>
          <w:sz w:val="24"/>
          <w:szCs w:val="24"/>
        </w:rPr>
        <w:t xml:space="preserve"> </w:t>
      </w:r>
    </w:p>
    <w:p w14:paraId="0E5D5260" w14:textId="77777777" w:rsidR="00216FCE" w:rsidRDefault="00216FCE" w:rsidP="00216FCE">
      <w:pPr>
        <w:spacing w:after="160" w:line="254" w:lineRule="auto"/>
      </w:pPr>
      <w:r>
        <w:t>Уважаеми госпожи и господа,</w:t>
      </w:r>
    </w:p>
    <w:p w14:paraId="2D2DE765" w14:textId="77777777" w:rsidR="00216FCE" w:rsidRDefault="00216FCE" w:rsidP="00216FCE">
      <w:pPr>
        <w:spacing w:after="160" w:line="254" w:lineRule="auto"/>
      </w:pPr>
      <w:r>
        <w:t xml:space="preserve">Във връзка с публикуваните Условия за кандидатстване (УК) с проектни предложения за предоставяне на безвъзмездна финансова помощ по Стратегията за водено от общностите местно развитие на „Местна инициативна рибарска група Бургас – Камено“, финансирана от Европейския фонд за морско дело и рибарство чрез Програма за морско дело и рибарство 2014 - 2020, по процедура BG14MFOP001-4.065 "Преработване на продуктите от риболов и </w:t>
      </w:r>
      <w:proofErr w:type="spellStart"/>
      <w:r>
        <w:t>аквакултури</w:t>
      </w:r>
      <w:proofErr w:type="spellEnd"/>
      <w:r>
        <w:t xml:space="preserve">" на МИРГ Бургас – Камено Мярка 5.4 Преработване на продуктите от риболов и </w:t>
      </w:r>
      <w:proofErr w:type="spellStart"/>
      <w:r>
        <w:t>аквакултури</w:t>
      </w:r>
      <w:proofErr w:type="spellEnd"/>
      <w:r>
        <w:t xml:space="preserve"> в МИРГ Бургас – Камено, моля да отговорите на възникналите въпроси по-долу.</w:t>
      </w:r>
    </w:p>
    <w:p w14:paraId="5512E236" w14:textId="77777777" w:rsidR="00216FCE" w:rsidRDefault="00216FCE" w:rsidP="00216FCE">
      <w:pPr>
        <w:spacing w:after="160" w:line="254" w:lineRule="auto"/>
      </w:pPr>
      <w:r>
        <w:rPr>
          <w:b/>
          <w:bCs/>
        </w:rPr>
        <w:t>       1.</w:t>
      </w:r>
      <w:r>
        <w:rPr>
          <w:rFonts w:ascii="Times New Roman" w:hAnsi="Times New Roman" w:cs="Times New Roman"/>
          <w:sz w:val="14"/>
          <w:szCs w:val="14"/>
        </w:rPr>
        <w:t>  </w:t>
      </w:r>
      <w:r>
        <w:t>Допустим кандидат ли е дружество, отговарящо на критериите по т. 11 в Условията за кандидатстване, регистрирано и осъществяващо дейност в населено място от урбанизираната територия на гр. Бургас от </w:t>
      </w:r>
      <w:r>
        <w:rPr>
          <w:rFonts w:ascii="Arial" w:hAnsi="Arial" w:cs="Arial"/>
          <w:sz w:val="24"/>
          <w:szCs w:val="24"/>
        </w:rPr>
        <w:t>списък на населените места, обхванати от МИРГ в т. 7 и т. 8 от Стратегия за ВОМР Приложение 1 с ЕКАТТЕ 7079?</w:t>
      </w:r>
      <w:r>
        <w:t>  </w:t>
      </w:r>
    </w:p>
    <w:p w14:paraId="507D0742" w14:textId="77777777" w:rsidR="00216FCE" w:rsidRDefault="00216FCE" w:rsidP="00216FCE">
      <w:pPr>
        <w:pStyle w:val="NormalWeb"/>
        <w:spacing w:before="0" w:beforeAutospacing="0" w:after="0" w:afterAutospacing="0" w:line="254" w:lineRule="auto"/>
        <w:ind w:left="360"/>
      </w:pPr>
      <w:r>
        <w:rPr>
          <w:b/>
          <w:bCs/>
        </w:rPr>
        <w:t>2.</w:t>
      </w:r>
      <w:r>
        <w:rPr>
          <w:rFonts w:ascii="Times New Roman" w:hAnsi="Times New Roman" w:cs="Times New Roman"/>
          <w:sz w:val="14"/>
          <w:szCs w:val="14"/>
        </w:rPr>
        <w:t>  </w:t>
      </w:r>
      <w:r>
        <w:t xml:space="preserve">Допустим кандидат ли е </w:t>
      </w:r>
      <w:proofErr w:type="spellStart"/>
      <w:r>
        <w:t>новорегистрирано</w:t>
      </w:r>
      <w:proofErr w:type="spellEnd"/>
      <w:r>
        <w:t xml:space="preserve"> дружество, отговарящо на критериите по т. 11 в Условията за кандидатстване, без приключена финансова година и осъществяващо дейност в сектора на рибарството и </w:t>
      </w:r>
      <w:proofErr w:type="spellStart"/>
      <w:r>
        <w:t>аквакултурите</w:t>
      </w:r>
      <w:proofErr w:type="spellEnd"/>
      <w:r>
        <w:t xml:space="preserve"> през 2020 г. преди обявяването на съответната процедура?</w:t>
      </w:r>
    </w:p>
    <w:p w14:paraId="678C606A" w14:textId="77777777" w:rsidR="00216FCE" w:rsidRDefault="00216FCE" w:rsidP="00216FCE">
      <w:pPr>
        <w:pStyle w:val="NormalWeb"/>
        <w:spacing w:before="0" w:beforeAutospacing="0" w:after="0" w:afterAutospacing="0" w:line="254" w:lineRule="auto"/>
        <w:ind w:left="360"/>
      </w:pPr>
    </w:p>
    <w:p w14:paraId="0F5BC2DD" w14:textId="77777777" w:rsidR="00216FCE" w:rsidRDefault="00216FCE" w:rsidP="00216FCE">
      <w:pPr>
        <w:pStyle w:val="NormalWeb"/>
        <w:spacing w:before="0" w:beforeAutospacing="0" w:after="0" w:afterAutospacing="0" w:line="254" w:lineRule="auto"/>
        <w:ind w:left="360"/>
      </w:pPr>
      <w:r>
        <w:rPr>
          <w:b/>
          <w:bCs/>
        </w:rPr>
        <w:t>3.</w:t>
      </w:r>
      <w:r>
        <w:rPr>
          <w:rFonts w:ascii="Times New Roman" w:hAnsi="Times New Roman" w:cs="Times New Roman"/>
          <w:sz w:val="14"/>
          <w:szCs w:val="14"/>
        </w:rPr>
        <w:t>  </w:t>
      </w:r>
      <w:r>
        <w:t>Във връзка с т. 24 от Условията за кандидатстване „Критерии и методика за оценка на проектните предложения“, моля да разясните въпросите по-долу в следния контекст:</w:t>
      </w:r>
    </w:p>
    <w:p w14:paraId="4E4F5188" w14:textId="77777777" w:rsidR="00216FCE" w:rsidRDefault="00216FCE" w:rsidP="00216FCE">
      <w:pPr>
        <w:pStyle w:val="NormalWeb"/>
        <w:spacing w:before="0" w:beforeAutospacing="0" w:after="0" w:afterAutospacing="0" w:line="254" w:lineRule="auto"/>
        <w:ind w:left="360"/>
      </w:pPr>
    </w:p>
    <w:p w14:paraId="53F79F8D" w14:textId="77777777" w:rsidR="00216FCE" w:rsidRDefault="00216FCE" w:rsidP="00216FCE">
      <w:pPr>
        <w:pStyle w:val="NormalWeb"/>
        <w:spacing w:before="0" w:beforeAutospacing="0" w:after="0" w:afterAutospacing="0" w:line="254" w:lineRule="auto"/>
        <w:ind w:left="792"/>
      </w:pPr>
      <w:r>
        <w:rPr>
          <w:b/>
          <w:bCs/>
        </w:rPr>
        <w:t>3.1.</w:t>
      </w:r>
      <w:r>
        <w:rPr>
          <w:rFonts w:ascii="Times New Roman" w:hAnsi="Times New Roman" w:cs="Times New Roman"/>
          <w:sz w:val="14"/>
          <w:szCs w:val="14"/>
        </w:rPr>
        <w:t xml:space="preserve">   </w:t>
      </w:r>
      <w:r>
        <w:t xml:space="preserve">В ред 1 от таблицата е посочен критерият „Създадени нови работни места“ - </w:t>
      </w:r>
      <w:r>
        <w:rPr>
          <w:b/>
          <w:bCs/>
        </w:rPr>
        <w:t>Към кой момент на изпълнението на проекта и за какъв период от време трябва да бъде изпълнен съответният критерий, ако е заложен от кандидата</w:t>
      </w:r>
      <w:r>
        <w:t>? </w:t>
      </w:r>
    </w:p>
    <w:p w14:paraId="5DB0D98F" w14:textId="77777777" w:rsidR="00216FCE" w:rsidRDefault="00216FCE" w:rsidP="00216FCE">
      <w:pPr>
        <w:pStyle w:val="NormalWeb"/>
        <w:spacing w:before="0" w:beforeAutospacing="0" w:after="0" w:afterAutospacing="0" w:line="254" w:lineRule="auto"/>
        <w:ind w:left="792"/>
      </w:pPr>
    </w:p>
    <w:p w14:paraId="64972E05" w14:textId="77777777" w:rsidR="00216FCE" w:rsidRDefault="00216FCE" w:rsidP="00216FCE">
      <w:pPr>
        <w:pStyle w:val="NormalWeb"/>
        <w:spacing w:before="0" w:beforeAutospacing="0" w:after="0" w:afterAutospacing="0" w:line="254" w:lineRule="auto"/>
        <w:ind w:left="792"/>
      </w:pPr>
      <w:r>
        <w:rPr>
          <w:b/>
          <w:bCs/>
        </w:rPr>
        <w:t>3.2.</w:t>
      </w:r>
      <w:r>
        <w:rPr>
          <w:rFonts w:ascii="Times New Roman" w:hAnsi="Times New Roman" w:cs="Times New Roman"/>
          <w:sz w:val="14"/>
          <w:szCs w:val="14"/>
        </w:rPr>
        <w:t xml:space="preserve">   </w:t>
      </w:r>
      <w:r>
        <w:t xml:space="preserve">В ред 5 от таблицата е посочен критерият „Подобряване на безопасността, хигиената, здравето и условията на труд“. По-долу на стр. 26 критерият е разгърнат с 6 подточки. В тази връзка, моля да уточните следното – </w:t>
      </w:r>
      <w:r>
        <w:rPr>
          <w:b/>
          <w:bCs/>
        </w:rPr>
        <w:t>за да получи точки по съответния критерий, кандидатът трябва ли да включи и шестте подточки в проектното си предложение?</w:t>
      </w:r>
    </w:p>
    <w:p w14:paraId="16CD6550" w14:textId="77777777" w:rsidR="00216FCE" w:rsidRDefault="00216FCE" w:rsidP="00216FCE">
      <w:pPr>
        <w:pStyle w:val="NormalWeb"/>
        <w:spacing w:before="0" w:beforeAutospacing="0" w:after="0" w:afterAutospacing="0" w:line="254" w:lineRule="auto"/>
        <w:ind w:left="792"/>
      </w:pPr>
    </w:p>
    <w:p w14:paraId="60B46C54" w14:textId="77777777" w:rsidR="00216FCE" w:rsidRDefault="00216FCE" w:rsidP="00216FCE">
      <w:pPr>
        <w:pStyle w:val="NormalWeb"/>
        <w:spacing w:before="0" w:beforeAutospacing="0" w:after="160" w:afterAutospacing="0" w:line="254" w:lineRule="auto"/>
        <w:ind w:left="792"/>
      </w:pPr>
      <w:r>
        <w:rPr>
          <w:b/>
          <w:bCs/>
        </w:rPr>
        <w:t>3.3.</w:t>
      </w:r>
      <w:r>
        <w:rPr>
          <w:rFonts w:ascii="Times New Roman" w:hAnsi="Times New Roman" w:cs="Times New Roman"/>
          <w:sz w:val="14"/>
          <w:szCs w:val="14"/>
        </w:rPr>
        <w:t xml:space="preserve">   </w:t>
      </w:r>
      <w:r>
        <w:t xml:space="preserve">В ред 7 от таблицата „Преработване на видове“ са налични подточка 7.1. „с много добър пазарен потенциал и/или черна мида“ и подточка 7.2. „с добър пазарен потенциал“. </w:t>
      </w:r>
    </w:p>
    <w:p w14:paraId="04ACAA30" w14:textId="77777777" w:rsidR="00216FCE" w:rsidRDefault="00216FCE" w:rsidP="00216FCE">
      <w:pPr>
        <w:spacing w:after="160" w:line="254" w:lineRule="auto"/>
        <w:ind w:left="708"/>
      </w:pPr>
      <w:r>
        <w:t xml:space="preserve">На стр. 27 от УК е посочено че „Проверката на критерия е свързана с проверка на видовете с много добър пазарен потенциал и/или черна мида или на видове с добър пазарен потенциал от </w:t>
      </w:r>
      <w:r>
        <w:rPr>
          <w:b/>
          <w:bCs/>
        </w:rPr>
        <w:t>Доклад систематизиране на данни за сектор „Рибарство”</w:t>
      </w:r>
      <w:r>
        <w:t>.</w:t>
      </w:r>
    </w:p>
    <w:p w14:paraId="6F09947A" w14:textId="77777777" w:rsidR="00216FCE" w:rsidRDefault="00216FCE" w:rsidP="00216FCE">
      <w:pPr>
        <w:spacing w:after="160" w:line="254" w:lineRule="auto"/>
        <w:ind w:left="708"/>
      </w:pPr>
      <w:r>
        <w:t xml:space="preserve">По-долу в т. 30 от УК „Приложения към условията за кандидатстване“ е посочено </w:t>
      </w:r>
      <w:r>
        <w:rPr>
          <w:b/>
          <w:bCs/>
        </w:rPr>
        <w:t xml:space="preserve">Приложение № 7 Доклад систематизиране на данни за сектор „Рибарство”. </w:t>
      </w:r>
      <w:r>
        <w:t xml:space="preserve">Видно от заглавната страница на доклада, той е публикуван в края на 2015 г. и „Данните са актуални към момента на провеждане на изследването - декември 2015 г.“ </w:t>
      </w:r>
    </w:p>
    <w:p w14:paraId="5D92107E" w14:textId="77777777" w:rsidR="00216FCE" w:rsidRDefault="00216FCE" w:rsidP="00216FCE">
      <w:pPr>
        <w:spacing w:after="160" w:line="254" w:lineRule="auto"/>
        <w:ind w:left="708"/>
      </w:pPr>
      <w:r>
        <w:t>В същата т. 30 от УК е посочено и</w:t>
      </w:r>
      <w:r>
        <w:rPr>
          <w:b/>
          <w:bCs/>
        </w:rPr>
        <w:t xml:space="preserve"> Приложение № 13 Маркетингов доклад за видовете риба и рибни продукти с добър и много добър пазарен потенциал</w:t>
      </w:r>
      <w:r>
        <w:t>, публикуван през август 2018 г. В маркетинговия доклад е публикуван СПИСЪК НА ОСНОВНИТЕ ВИДОВЕ РИБА И ВОДНИ ОРГАНИЗМИ – ОБЕКТ НА ПРОУЧВАНИЯТА, в който „с черен цвят са отбелязани видовете, определени в Техническата спецификация“.</w:t>
      </w:r>
    </w:p>
    <w:p w14:paraId="478F9B7F" w14:textId="77777777" w:rsidR="00216FCE" w:rsidRDefault="00216FCE" w:rsidP="00216FCE">
      <w:pPr>
        <w:spacing w:after="160" w:line="254" w:lineRule="auto"/>
        <w:ind w:left="708"/>
      </w:pPr>
      <w:r>
        <w:t xml:space="preserve">В </w:t>
      </w:r>
      <w:r>
        <w:rPr>
          <w:b/>
          <w:bCs/>
        </w:rPr>
        <w:t>Приложение № 4 Методика за подбор на проектни предложения по стратегия за ВОМР на МИРГ Бургас – Камено</w:t>
      </w:r>
      <w:r>
        <w:t xml:space="preserve">, т. </w:t>
      </w:r>
      <w:r>
        <w:rPr>
          <w:lang w:val="en-US"/>
        </w:rPr>
        <w:t xml:space="preserve">III. </w:t>
      </w:r>
      <w:r>
        <w:t xml:space="preserve">Група критерии за оценка (...), подточка „Мярка 5.4 Преработване на продуктите от риболов и </w:t>
      </w:r>
      <w:proofErr w:type="spellStart"/>
      <w:proofErr w:type="gramStart"/>
      <w:r>
        <w:t>аквакултури</w:t>
      </w:r>
      <w:proofErr w:type="spellEnd"/>
      <w:r>
        <w:t>“</w:t>
      </w:r>
      <w:proofErr w:type="gramEnd"/>
      <w:r>
        <w:t xml:space="preserve">, критерий № 7 от таблицата „Преработване на видове с много добър пазарен потенциал и/или черна мида и добър пазарен потенциал“ – на стр. 20 е уточнено за съответния критерий, че пазарният потенциал се определя </w:t>
      </w:r>
      <w:r>
        <w:rPr>
          <w:b/>
          <w:bCs/>
        </w:rPr>
        <w:t>„с независим маркетингов доклад“.</w:t>
      </w:r>
    </w:p>
    <w:p w14:paraId="6B4D3C4A" w14:textId="77777777" w:rsidR="00216FCE" w:rsidRDefault="00216FCE" w:rsidP="00216FCE">
      <w:pPr>
        <w:spacing w:after="160" w:line="254" w:lineRule="auto"/>
        <w:ind w:firstLine="708"/>
      </w:pPr>
      <w:r>
        <w:t>Във връзка с гореизложените факти, моля, уточнете:</w:t>
      </w:r>
    </w:p>
    <w:p w14:paraId="0D0EC4F8" w14:textId="77777777" w:rsidR="00216FCE" w:rsidRDefault="00216FCE" w:rsidP="00216FCE">
      <w:pPr>
        <w:pStyle w:val="NormalWeb"/>
        <w:spacing w:before="0" w:beforeAutospacing="0" w:after="0" w:afterAutospacing="0" w:line="254" w:lineRule="auto"/>
        <w:ind w:left="1276"/>
      </w:pPr>
      <w:r>
        <w:rPr>
          <w:b/>
          <w:bCs/>
        </w:rPr>
        <w:t>3.3.1.</w:t>
      </w:r>
      <w:r>
        <w:rPr>
          <w:rFonts w:ascii="Times New Roman" w:hAnsi="Times New Roman" w:cs="Times New Roman"/>
          <w:sz w:val="14"/>
          <w:szCs w:val="14"/>
        </w:rPr>
        <w:t xml:space="preserve">  </w:t>
      </w:r>
      <w:r>
        <w:rPr>
          <w:b/>
          <w:bCs/>
        </w:rPr>
        <w:t>Приложение № 7 Доклад систематизиране на данни за сектор „Рибарство”</w:t>
      </w:r>
      <w:r>
        <w:t xml:space="preserve"> ли е единственият документ, в който се извършва проверката на критерия за много добър пазарен потенциал и/или черна мида или на видове с добър пазарен потенциал?</w:t>
      </w:r>
    </w:p>
    <w:p w14:paraId="0AA708BB" w14:textId="77777777" w:rsidR="00216FCE" w:rsidRDefault="00216FCE" w:rsidP="00216FCE">
      <w:pPr>
        <w:pStyle w:val="NormalWeb"/>
        <w:spacing w:before="0" w:beforeAutospacing="0" w:after="0" w:afterAutospacing="0" w:line="254" w:lineRule="auto"/>
        <w:ind w:left="1276"/>
      </w:pPr>
    </w:p>
    <w:p w14:paraId="4506AEF9" w14:textId="77777777" w:rsidR="00216FCE" w:rsidRDefault="00216FCE" w:rsidP="00216FCE">
      <w:pPr>
        <w:pStyle w:val="NormalWeb"/>
        <w:spacing w:before="0" w:beforeAutospacing="0" w:after="0" w:afterAutospacing="0" w:line="254" w:lineRule="auto"/>
        <w:ind w:left="1276"/>
      </w:pPr>
      <w:r>
        <w:rPr>
          <w:b/>
          <w:bCs/>
        </w:rPr>
        <w:t>3.3.2.</w:t>
      </w:r>
      <w:r>
        <w:rPr>
          <w:rFonts w:ascii="Times New Roman" w:hAnsi="Times New Roman" w:cs="Times New Roman"/>
          <w:sz w:val="14"/>
          <w:szCs w:val="14"/>
        </w:rPr>
        <w:t xml:space="preserve">  </w:t>
      </w:r>
      <w:r>
        <w:rPr>
          <w:b/>
          <w:bCs/>
        </w:rPr>
        <w:t>Приложение № 13 Маркетингов доклад за видовете риба и рибни продукти с добър и много добър пазарен потенциал</w:t>
      </w:r>
      <w:r>
        <w:t xml:space="preserve"> представлява ли </w:t>
      </w:r>
      <w:r>
        <w:rPr>
          <w:b/>
          <w:bCs/>
        </w:rPr>
        <w:t>„независим маркетингов доклад“,</w:t>
      </w:r>
      <w:r>
        <w:t xml:space="preserve"> който определя пазарния потенциал по критерий 7 в УК от процедурата?</w:t>
      </w:r>
    </w:p>
    <w:p w14:paraId="2C735369" w14:textId="77777777" w:rsidR="00216FCE" w:rsidRDefault="00216FCE" w:rsidP="00216FCE">
      <w:pPr>
        <w:pStyle w:val="NormalWeb"/>
        <w:spacing w:before="0" w:beforeAutospacing="0" w:after="0" w:afterAutospacing="0" w:line="254" w:lineRule="auto"/>
        <w:ind w:left="1276"/>
      </w:pPr>
    </w:p>
    <w:p w14:paraId="5F53AB86" w14:textId="77777777" w:rsidR="00216FCE" w:rsidRDefault="00216FCE" w:rsidP="00216FCE">
      <w:pPr>
        <w:pStyle w:val="NormalWeb"/>
        <w:spacing w:before="0" w:beforeAutospacing="0" w:after="0" w:afterAutospacing="0" w:line="254" w:lineRule="auto"/>
        <w:ind w:left="1276"/>
      </w:pPr>
      <w:r>
        <w:rPr>
          <w:b/>
          <w:bCs/>
        </w:rPr>
        <w:t>3.3.3.</w:t>
      </w:r>
      <w:r>
        <w:rPr>
          <w:rFonts w:ascii="Times New Roman" w:hAnsi="Times New Roman" w:cs="Times New Roman"/>
          <w:sz w:val="14"/>
          <w:szCs w:val="14"/>
        </w:rPr>
        <w:t xml:space="preserve">  </w:t>
      </w:r>
      <w:r>
        <w:t>Кой от двата документа – приложение 7 или 13 – служи за проверка на критерия?</w:t>
      </w:r>
    </w:p>
    <w:p w14:paraId="27E81F5A" w14:textId="77777777" w:rsidR="00216FCE" w:rsidRDefault="00216FCE" w:rsidP="00216FCE">
      <w:pPr>
        <w:pStyle w:val="NormalWeb"/>
        <w:spacing w:before="0" w:beforeAutospacing="0" w:after="0" w:afterAutospacing="0" w:line="254" w:lineRule="auto"/>
        <w:ind w:left="1276"/>
      </w:pPr>
    </w:p>
    <w:p w14:paraId="0F079A36" w14:textId="77777777" w:rsidR="00216FCE" w:rsidRDefault="00216FCE" w:rsidP="00216FCE">
      <w:pPr>
        <w:pStyle w:val="NormalWeb"/>
        <w:spacing w:before="0" w:beforeAutospacing="0" w:after="0" w:afterAutospacing="0" w:line="254" w:lineRule="auto"/>
        <w:ind w:left="1276"/>
      </w:pPr>
      <w:r>
        <w:rPr>
          <w:b/>
          <w:bCs/>
        </w:rPr>
        <w:t>3.3.4.</w:t>
      </w:r>
      <w:r>
        <w:rPr>
          <w:rFonts w:ascii="Times New Roman" w:hAnsi="Times New Roman" w:cs="Times New Roman"/>
          <w:sz w:val="14"/>
          <w:szCs w:val="14"/>
        </w:rPr>
        <w:t xml:space="preserve">  </w:t>
      </w:r>
      <w:r>
        <w:t xml:space="preserve">В </w:t>
      </w:r>
      <w:r>
        <w:rPr>
          <w:b/>
          <w:bCs/>
        </w:rPr>
        <w:t xml:space="preserve">Приложение № 7 Доклад систематизиране на данни за сектор „Рибарство” </w:t>
      </w:r>
      <w:r>
        <w:t xml:space="preserve">от декември 2015 г. са посочени в РАЗВИТИЕ НА СЕКТОР „АКВАКУЛТУРА“  производство на 8 вида риба и 3 други видове (раци, миди) – от </w:t>
      </w:r>
      <w:r>
        <w:lastRenderedPageBreak/>
        <w:t xml:space="preserve">стр. 17 до стр. 45; със съответните определения за пазарен потенциал за 2015 г. В същия доклад в темата за РАЗВИТИЕ НА СЕКТОР „РИБАРСТВО“ В БЪЛГАРИЯ, „Улов на риба и други водни организми“ са посочени и други водни животни (извън посочените от стр. 17 до стр. 45 видове), чийто улов в Черно море – видимо от доклада – бележи ръст. Успоредно с това, в доклада са посочени конкретни видове, извън посочените от стр. 17 до стр. 45 видове, които са сред най-често ловените видове в Черно море. Последното е подкрепено и с аргументи, видни от таблицата на стр. 11 от доклада, чиито данни са взети от Информационно-статистическата система на Изпълнителна агенция по рибарство и </w:t>
      </w:r>
      <w:proofErr w:type="spellStart"/>
      <w:r>
        <w:t>аквакултури</w:t>
      </w:r>
      <w:proofErr w:type="spellEnd"/>
      <w:r>
        <w:t xml:space="preserve">. В темата на доклада ПРЕРАБОТКА НА РИБА И РИБНИ ПРОДУКТИ на стр. 54 са посочени и видове, извън посочените от стр. 17 до стр. 45, като е дадено уточнение в съответната тема, че една от силните страни в сектор „Рибопреработвателна промишленост“ е конкурентното предимство на България като основен износител на съответния вид продукт, повторено и в заключението на темата – „Секторът има добър експортен потенциал и количеството на експортираната продукция нараства всяка година.“  В тази връзка, моля да уточните, </w:t>
      </w:r>
      <w:r>
        <w:rPr>
          <w:b/>
          <w:bCs/>
        </w:rPr>
        <w:t>на каква конкретна база се извършва проверката на критерия</w:t>
      </w:r>
      <w:r>
        <w:t>, „свързана с проверка на видовете с много добър пазарен потенциал и/или черна мида или на видове с добър пазарен потенциал от Доклад систематизиране на данни за сектор „Рибарство”.</w:t>
      </w:r>
    </w:p>
    <w:p w14:paraId="31B3CD47" w14:textId="77777777" w:rsidR="00216FCE" w:rsidRDefault="00216FCE" w:rsidP="00216FCE">
      <w:pPr>
        <w:pStyle w:val="NormalWeb"/>
        <w:spacing w:before="0" w:beforeAutospacing="0" w:after="0" w:afterAutospacing="0" w:line="254" w:lineRule="auto"/>
        <w:ind w:left="1276"/>
      </w:pPr>
    </w:p>
    <w:p w14:paraId="59D6F774" w14:textId="77777777" w:rsidR="00216FCE" w:rsidRDefault="00216FCE" w:rsidP="00216FCE">
      <w:pPr>
        <w:pStyle w:val="NormalWeb"/>
        <w:spacing w:before="0" w:beforeAutospacing="0" w:after="0" w:afterAutospacing="0" w:line="254" w:lineRule="auto"/>
        <w:ind w:left="360"/>
      </w:pPr>
      <w:r>
        <w:rPr>
          <w:b/>
          <w:bCs/>
        </w:rPr>
        <w:t>4.</w:t>
      </w:r>
      <w:r>
        <w:rPr>
          <w:rFonts w:ascii="Times New Roman" w:hAnsi="Times New Roman" w:cs="Times New Roman"/>
          <w:sz w:val="14"/>
          <w:szCs w:val="14"/>
        </w:rPr>
        <w:t>  </w:t>
      </w:r>
      <w:r>
        <w:t xml:space="preserve">При попълването на Приложение 4 „Бизнес </w:t>
      </w:r>
      <w:proofErr w:type="spellStart"/>
      <w:r>
        <w:t>план“,т</w:t>
      </w:r>
      <w:proofErr w:type="spellEnd"/>
      <w:r>
        <w:t xml:space="preserve">.  3.2. Прогнозни разходи за работна заплата, Таблица 5, </w:t>
      </w:r>
      <w:r>
        <w:rPr>
          <w:b/>
          <w:bCs/>
        </w:rPr>
        <w:t>на какъв принцип трябва да бъде изчислено средногодишното възнаграждение</w:t>
      </w:r>
      <w:r>
        <w:t>, което „следва да бъде съобразено с минимален осигурителен доход по основни икономически дейности и квалификационни групи професии“ за период от 5 до 10 години, при положение че към момента на изпращането на настоящите въпроси официално е публикувана Средносрочна бюджетна прогноза за периода 2020–2022 г., валидна до края на 2019 г.?</w:t>
      </w:r>
    </w:p>
    <w:p w14:paraId="26E0151A" w14:textId="77777777" w:rsidR="00216FCE" w:rsidRDefault="00216FCE" w:rsidP="00216FCE">
      <w:pPr>
        <w:pStyle w:val="NormalWeb"/>
        <w:spacing w:before="0" w:beforeAutospacing="0" w:after="0" w:afterAutospacing="0" w:line="254" w:lineRule="auto"/>
        <w:ind w:left="360"/>
      </w:pPr>
    </w:p>
    <w:p w14:paraId="7D9658DD" w14:textId="77777777" w:rsidR="00216FCE" w:rsidRDefault="00216FCE" w:rsidP="00216FCE">
      <w:pPr>
        <w:pStyle w:val="NormalWeb"/>
        <w:spacing w:before="0" w:beforeAutospacing="0" w:after="160" w:afterAutospacing="0" w:line="254" w:lineRule="auto"/>
        <w:ind w:left="1276"/>
      </w:pPr>
      <w:r>
        <w:rPr>
          <w:b/>
          <w:bCs/>
        </w:rPr>
        <w:t>4.1.</w:t>
      </w:r>
      <w:r>
        <w:rPr>
          <w:rFonts w:ascii="Times New Roman" w:hAnsi="Times New Roman" w:cs="Times New Roman"/>
          <w:sz w:val="14"/>
          <w:szCs w:val="14"/>
        </w:rPr>
        <w:t xml:space="preserve">   </w:t>
      </w:r>
      <w:r>
        <w:t xml:space="preserve">Във връзка с трудовите възнаграждения, чиято </w:t>
      </w:r>
      <w:proofErr w:type="spellStart"/>
      <w:r>
        <w:t>съобразеност</w:t>
      </w:r>
      <w:proofErr w:type="spellEnd"/>
      <w:r>
        <w:t xml:space="preserve"> с минималния осигурителен доход, поради обективни причини, за период от 5 до 10 години поставя кандидата в изначална неточност и допускания на хипотези за правителствени решения за до десетгодишен период от време</w:t>
      </w:r>
      <w:r>
        <w:rPr>
          <w:b/>
          <w:bCs/>
        </w:rPr>
        <w:t>, доколко допустими са отклонения от заложените стойности в съответната точка и/или актуализации по време на изпълнение на проекта?</w:t>
      </w:r>
      <w:r>
        <w:t xml:space="preserve">   </w:t>
      </w:r>
    </w:p>
    <w:p w14:paraId="0BDC0F00" w14:textId="77777777" w:rsidR="00216FCE" w:rsidRDefault="00216FCE" w:rsidP="00216FCE">
      <w:pPr>
        <w:pStyle w:val="NormalWeb"/>
        <w:spacing w:before="0" w:beforeAutospacing="0" w:after="160" w:afterAutospacing="0" w:line="254" w:lineRule="auto"/>
        <w:ind w:left="1276"/>
      </w:pPr>
    </w:p>
    <w:p w14:paraId="4145996E" w14:textId="6B0E596F" w:rsidR="00216FCE" w:rsidRDefault="00216FCE" w:rsidP="00216FCE">
      <w:pPr>
        <w:rPr>
          <w:rStyle w:val="Hyperlink"/>
        </w:rPr>
      </w:pPr>
      <w:r>
        <w:t>С уважение,</w:t>
      </w:r>
      <w:r>
        <w:br/>
        <w:t xml:space="preserve">Office </w:t>
      </w:r>
      <w:proofErr w:type="spellStart"/>
      <w:r>
        <w:t>Burgas</w:t>
      </w:r>
      <w:proofErr w:type="spellEnd"/>
      <w:r>
        <w:br/>
      </w:r>
      <w:hyperlink r:id="rId7" w:tgtFrame="_blank" w:history="1">
        <w:r>
          <w:rPr>
            <w:rStyle w:val="Hyperlink"/>
          </w:rPr>
          <w:t>coolofficebugras@gmail.com</w:t>
        </w:r>
      </w:hyperlink>
    </w:p>
    <w:p w14:paraId="2089F129" w14:textId="73760885" w:rsidR="00C915BC" w:rsidRDefault="00C915B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68F8DF7" w14:textId="631FD307" w:rsidR="00216FCE" w:rsidRDefault="00216FCE" w:rsidP="00216FCE">
      <w:pPr>
        <w:jc w:val="both"/>
        <w:rPr>
          <w:rFonts w:ascii="Times New Roman" w:hAnsi="Times New Roman"/>
          <w:b/>
          <w:bCs/>
          <w:sz w:val="24"/>
          <w:szCs w:val="24"/>
        </w:rPr>
      </w:pPr>
      <w:r>
        <w:rPr>
          <w:rFonts w:ascii="Times New Roman" w:hAnsi="Times New Roman"/>
          <w:b/>
          <w:bCs/>
          <w:sz w:val="24"/>
          <w:szCs w:val="24"/>
        </w:rPr>
        <w:lastRenderedPageBreak/>
        <w:t>ОТГОВОР  НА ВЪПРОС №1</w:t>
      </w:r>
    </w:p>
    <w:p w14:paraId="56EF988C" w14:textId="77777777" w:rsidR="00216FCE" w:rsidRDefault="00216FCE" w:rsidP="00216FCE">
      <w:pPr>
        <w:jc w:val="both"/>
        <w:rPr>
          <w:rFonts w:ascii="Times New Roman" w:hAnsi="Times New Roman"/>
          <w:b/>
          <w:bCs/>
          <w:sz w:val="24"/>
          <w:szCs w:val="24"/>
        </w:rPr>
      </w:pPr>
    </w:p>
    <w:p w14:paraId="072E279B" w14:textId="20109622" w:rsidR="00216FCE" w:rsidRPr="00216FCE" w:rsidRDefault="00216FCE" w:rsidP="00216FCE">
      <w:pPr>
        <w:jc w:val="both"/>
        <w:rPr>
          <w:rFonts w:ascii="Times New Roman" w:hAnsi="Times New Roman" w:cstheme="minorBidi"/>
          <w:sz w:val="24"/>
          <w:szCs w:val="24"/>
        </w:rPr>
      </w:pPr>
      <w:r w:rsidRPr="00216FCE">
        <w:rPr>
          <w:rFonts w:ascii="Times New Roman" w:hAnsi="Times New Roman" w:cstheme="minorBidi"/>
          <w:sz w:val="24"/>
          <w:szCs w:val="24"/>
        </w:rPr>
        <w:t>Проектите по настоящата процедура се изпълняват на територията на Местна инициативна рибарска група Бургас – Камено.  Целевата територия обхваща:</w:t>
      </w:r>
    </w:p>
    <w:p w14:paraId="1D2574E8" w14:textId="77777777" w:rsidR="00216FCE" w:rsidRPr="00216FCE" w:rsidRDefault="00216FCE" w:rsidP="00216FCE">
      <w:pPr>
        <w:pStyle w:val="ListParagraph"/>
        <w:numPr>
          <w:ilvl w:val="0"/>
          <w:numId w:val="4"/>
        </w:numPr>
        <w:jc w:val="both"/>
        <w:rPr>
          <w:rFonts w:ascii="Times New Roman" w:hAnsi="Times New Roman" w:cstheme="minorBidi"/>
          <w:sz w:val="24"/>
          <w:szCs w:val="24"/>
        </w:rPr>
      </w:pPr>
      <w:r w:rsidRPr="00216FCE">
        <w:rPr>
          <w:rFonts w:ascii="Times New Roman" w:hAnsi="Times New Roman" w:cstheme="minorBidi"/>
          <w:sz w:val="24"/>
          <w:szCs w:val="24"/>
        </w:rPr>
        <w:t xml:space="preserve">Част от град Бургас, включваща настоящите квартали от землищата на бившите села </w:t>
      </w:r>
      <w:proofErr w:type="spellStart"/>
      <w:r w:rsidRPr="00216FCE">
        <w:rPr>
          <w:rFonts w:ascii="Times New Roman" w:hAnsi="Times New Roman" w:cstheme="minorBidi"/>
          <w:sz w:val="24"/>
          <w:szCs w:val="24"/>
        </w:rPr>
        <w:t>Крайморие</w:t>
      </w:r>
      <w:proofErr w:type="spellEnd"/>
      <w:r w:rsidRPr="00216FCE">
        <w:rPr>
          <w:rFonts w:ascii="Times New Roman" w:hAnsi="Times New Roman" w:cstheme="minorBidi"/>
          <w:sz w:val="24"/>
          <w:szCs w:val="24"/>
        </w:rPr>
        <w:t xml:space="preserve"> и Меден рудник, кв. Победа, кв. Акации и Рибарското селище (</w:t>
      </w:r>
      <w:proofErr w:type="spellStart"/>
      <w:r w:rsidRPr="00216FCE">
        <w:rPr>
          <w:rFonts w:ascii="Times New Roman" w:hAnsi="Times New Roman" w:cstheme="minorBidi"/>
          <w:sz w:val="24"/>
          <w:szCs w:val="24"/>
        </w:rPr>
        <w:t>Ченгене</w:t>
      </w:r>
      <w:proofErr w:type="spellEnd"/>
      <w:r w:rsidRPr="00216FCE">
        <w:rPr>
          <w:rFonts w:ascii="Times New Roman" w:hAnsi="Times New Roman" w:cstheme="minorBidi"/>
          <w:sz w:val="24"/>
          <w:szCs w:val="24"/>
        </w:rPr>
        <w:t xml:space="preserve"> скеле) и настоящите квартали от землищата на бившите села Долно Езерово, кв. Горно Езерово, Северна промишлена зона, акваторията на езерото „Вая“;</w:t>
      </w:r>
    </w:p>
    <w:p w14:paraId="4102B0F6" w14:textId="77777777" w:rsidR="00216FCE" w:rsidRPr="00216FCE" w:rsidRDefault="00216FCE" w:rsidP="00216FCE">
      <w:pPr>
        <w:pStyle w:val="ListParagraph"/>
        <w:numPr>
          <w:ilvl w:val="0"/>
          <w:numId w:val="4"/>
        </w:numPr>
        <w:jc w:val="both"/>
        <w:rPr>
          <w:rFonts w:ascii="Times New Roman" w:hAnsi="Times New Roman" w:cstheme="minorBidi"/>
          <w:sz w:val="24"/>
          <w:szCs w:val="24"/>
        </w:rPr>
      </w:pPr>
      <w:r w:rsidRPr="00216FCE">
        <w:rPr>
          <w:rFonts w:ascii="Times New Roman" w:hAnsi="Times New Roman" w:cstheme="minorBidi"/>
          <w:sz w:val="24"/>
          <w:szCs w:val="24"/>
        </w:rPr>
        <w:t>Община Бургас:  с. Маринка, с. Извор, с. Твърдица, с. Димчево, с. Братово и с. Равнец;</w:t>
      </w:r>
    </w:p>
    <w:p w14:paraId="1F4BAE8D" w14:textId="77777777" w:rsidR="00216FCE" w:rsidRPr="00216FCE" w:rsidRDefault="00216FCE" w:rsidP="00216FCE">
      <w:pPr>
        <w:pStyle w:val="ListParagraph"/>
        <w:numPr>
          <w:ilvl w:val="0"/>
          <w:numId w:val="4"/>
        </w:numPr>
        <w:jc w:val="both"/>
        <w:rPr>
          <w:rFonts w:ascii="Times New Roman" w:hAnsi="Times New Roman" w:cstheme="minorBidi"/>
          <w:sz w:val="24"/>
          <w:szCs w:val="24"/>
        </w:rPr>
      </w:pPr>
      <w:r w:rsidRPr="00216FCE">
        <w:rPr>
          <w:rFonts w:ascii="Times New Roman" w:hAnsi="Times New Roman" w:cstheme="minorBidi"/>
          <w:sz w:val="24"/>
          <w:szCs w:val="24"/>
        </w:rPr>
        <w:t>Община Камено:  гр. Камено и селата: Кръстина, Винарско, Вратица, Трояново, Желязово, Русокастро, Ливада, Тръстиково, Константиново, Полски извор, Черни връх, Свобода</w:t>
      </w:r>
    </w:p>
    <w:p w14:paraId="01FC3F5D" w14:textId="14618F03" w:rsidR="00F57A88" w:rsidRDefault="00216FCE" w:rsidP="00216FCE">
      <w:pPr>
        <w:jc w:val="both"/>
        <w:rPr>
          <w:rFonts w:ascii="Times New Roman" w:hAnsi="Times New Roman" w:cstheme="minorBidi"/>
          <w:sz w:val="24"/>
          <w:szCs w:val="24"/>
        </w:rPr>
      </w:pPr>
      <w:r w:rsidRPr="00216FCE">
        <w:rPr>
          <w:rFonts w:ascii="Times New Roman" w:hAnsi="Times New Roman" w:cstheme="minorBidi"/>
          <w:sz w:val="24"/>
          <w:szCs w:val="24"/>
        </w:rPr>
        <w:t>Кандидатът/получателят на финансова помощ следва да осъществява дейностите по проекта на територията на МИРГ Бургас-Камено, описана в т.5 Териториален обхват от УК.</w:t>
      </w:r>
    </w:p>
    <w:p w14:paraId="7DB82A92" w14:textId="77777777" w:rsidR="00C915BC" w:rsidRDefault="00C915BC" w:rsidP="00216FCE">
      <w:pPr>
        <w:jc w:val="both"/>
        <w:rPr>
          <w:rFonts w:ascii="Times New Roman" w:hAnsi="Times New Roman" w:cstheme="minorBidi"/>
          <w:sz w:val="24"/>
          <w:szCs w:val="24"/>
        </w:rPr>
      </w:pPr>
    </w:p>
    <w:p w14:paraId="66A04703" w14:textId="114EBAD1" w:rsidR="00216FCE" w:rsidRDefault="00216FCE" w:rsidP="00C915BC">
      <w:pPr>
        <w:spacing w:after="160" w:line="259" w:lineRule="auto"/>
        <w:rPr>
          <w:rFonts w:ascii="Times New Roman" w:hAnsi="Times New Roman"/>
          <w:b/>
          <w:bCs/>
          <w:sz w:val="24"/>
          <w:szCs w:val="24"/>
        </w:rPr>
      </w:pPr>
      <w:r>
        <w:rPr>
          <w:rFonts w:ascii="Times New Roman" w:hAnsi="Times New Roman"/>
          <w:b/>
          <w:bCs/>
          <w:sz w:val="24"/>
          <w:szCs w:val="24"/>
        </w:rPr>
        <w:t>ОТГОВОР  НА ВЪПРОС №2</w:t>
      </w:r>
    </w:p>
    <w:p w14:paraId="08658A88" w14:textId="77777777" w:rsidR="00216FCE" w:rsidRDefault="00216FCE" w:rsidP="00216FCE">
      <w:pPr>
        <w:jc w:val="both"/>
        <w:rPr>
          <w:rFonts w:ascii="Times New Roman" w:hAnsi="Times New Roman"/>
          <w:b/>
          <w:bCs/>
          <w:sz w:val="24"/>
          <w:szCs w:val="24"/>
        </w:rPr>
      </w:pPr>
    </w:p>
    <w:p w14:paraId="2E5ADDF2" w14:textId="7591E5B1" w:rsidR="00216FCE" w:rsidRDefault="00216FCE" w:rsidP="00216FCE">
      <w:pPr>
        <w:jc w:val="both"/>
        <w:rPr>
          <w:rFonts w:ascii="Times New Roman" w:hAnsi="Times New Roman" w:cstheme="minorBidi"/>
          <w:sz w:val="24"/>
          <w:szCs w:val="24"/>
        </w:rPr>
      </w:pPr>
      <w:r w:rsidRPr="00216FCE">
        <w:rPr>
          <w:rFonts w:ascii="Times New Roman" w:hAnsi="Times New Roman" w:cstheme="minorBidi"/>
          <w:sz w:val="24"/>
          <w:szCs w:val="24"/>
        </w:rPr>
        <w:t xml:space="preserve">В т.11 Допустими кандидати от УК по процедура BG14MFOP001-4.065 “Преработване на продуктите от риболов и </w:t>
      </w:r>
      <w:proofErr w:type="spellStart"/>
      <w:r w:rsidRPr="00216FCE">
        <w:rPr>
          <w:rFonts w:ascii="Times New Roman" w:hAnsi="Times New Roman" w:cstheme="minorBidi"/>
          <w:sz w:val="24"/>
          <w:szCs w:val="24"/>
        </w:rPr>
        <w:t>аквакултури</w:t>
      </w:r>
      <w:proofErr w:type="spellEnd"/>
      <w:r w:rsidRPr="00216FCE">
        <w:rPr>
          <w:rFonts w:ascii="Times New Roman" w:hAnsi="Times New Roman" w:cstheme="minorBidi"/>
          <w:sz w:val="24"/>
          <w:szCs w:val="24"/>
        </w:rPr>
        <w:t xml:space="preserve">“ на МИРГ Бургас – Камено няма условия, ограничаващи </w:t>
      </w:r>
      <w:proofErr w:type="spellStart"/>
      <w:r w:rsidRPr="00216FCE">
        <w:rPr>
          <w:rFonts w:ascii="Times New Roman" w:hAnsi="Times New Roman" w:cstheme="minorBidi"/>
          <w:sz w:val="24"/>
          <w:szCs w:val="24"/>
        </w:rPr>
        <w:t>новорегистрирани</w:t>
      </w:r>
      <w:proofErr w:type="spellEnd"/>
      <w:r w:rsidRPr="00216FCE">
        <w:rPr>
          <w:rFonts w:ascii="Times New Roman" w:hAnsi="Times New Roman" w:cstheme="minorBidi"/>
          <w:sz w:val="24"/>
          <w:szCs w:val="24"/>
        </w:rPr>
        <w:t xml:space="preserve"> дружества.</w:t>
      </w:r>
    </w:p>
    <w:p w14:paraId="7925A5AB" w14:textId="34518064" w:rsidR="00216FCE" w:rsidRDefault="00216FCE" w:rsidP="00216FCE">
      <w:pPr>
        <w:jc w:val="both"/>
        <w:rPr>
          <w:rFonts w:ascii="Times New Roman" w:hAnsi="Times New Roman" w:cstheme="minorBidi"/>
          <w:sz w:val="24"/>
          <w:szCs w:val="24"/>
        </w:rPr>
      </w:pPr>
    </w:p>
    <w:p w14:paraId="53F0529F" w14:textId="3A803CBA" w:rsidR="00216FCE" w:rsidRDefault="00216FCE" w:rsidP="00216FCE">
      <w:pPr>
        <w:jc w:val="both"/>
        <w:rPr>
          <w:rFonts w:ascii="Times New Roman" w:hAnsi="Times New Roman"/>
          <w:b/>
          <w:bCs/>
          <w:sz w:val="24"/>
          <w:szCs w:val="24"/>
        </w:rPr>
      </w:pPr>
      <w:r>
        <w:rPr>
          <w:rFonts w:ascii="Times New Roman" w:hAnsi="Times New Roman"/>
          <w:b/>
          <w:bCs/>
          <w:sz w:val="24"/>
          <w:szCs w:val="24"/>
        </w:rPr>
        <w:t>ОТГОВОР  НА ВЪПРОС №3</w:t>
      </w:r>
    </w:p>
    <w:p w14:paraId="64A683AF" w14:textId="77777777" w:rsidR="00216FCE" w:rsidRDefault="00216FCE" w:rsidP="00216FCE">
      <w:pPr>
        <w:jc w:val="both"/>
        <w:rPr>
          <w:rFonts w:ascii="Times New Roman" w:hAnsi="Times New Roman"/>
          <w:b/>
          <w:bCs/>
          <w:sz w:val="24"/>
          <w:szCs w:val="24"/>
        </w:rPr>
      </w:pPr>
    </w:p>
    <w:p w14:paraId="75AA26A7" w14:textId="77777777"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 xml:space="preserve">Според Методика за подбор на проектни предложения по Стратегия за ВОМР на Местна инициативна рибарска група (МИРГ) Бургас-Камено Мярка 5.4 Преработване на продуктите от риболов и </w:t>
      </w:r>
      <w:proofErr w:type="spellStart"/>
      <w:r w:rsidRPr="00216FCE">
        <w:rPr>
          <w:rFonts w:ascii="Times New Roman" w:hAnsi="Times New Roman"/>
          <w:sz w:val="24"/>
          <w:szCs w:val="24"/>
        </w:rPr>
        <w:t>аквакултури</w:t>
      </w:r>
      <w:proofErr w:type="spellEnd"/>
      <w:r w:rsidRPr="00216FCE">
        <w:rPr>
          <w:rFonts w:ascii="Times New Roman" w:hAnsi="Times New Roman"/>
          <w:sz w:val="24"/>
          <w:szCs w:val="24"/>
        </w:rPr>
        <w:t xml:space="preserve"> по критерий  1 „Създаване на нови работни места”- Работните места трябва да бъдат създадени във връзка с инвестицията, изразени в еквивалент на пълен работен ден. Кандидатът заявява намеренията си в описанието на проектното предложение във Формуляра за кандидатстване. Изпълнението на този критерий се проверява от МИРГ/УО на ПМДР в срока за мониторинг чрез справка средно-списъчен брой заети в предприятието.</w:t>
      </w:r>
    </w:p>
    <w:p w14:paraId="1B99D2B3" w14:textId="77777777" w:rsidR="00216FCE" w:rsidRPr="00216FCE" w:rsidRDefault="00216FCE" w:rsidP="00216FCE">
      <w:pPr>
        <w:jc w:val="both"/>
        <w:rPr>
          <w:rFonts w:ascii="Times New Roman" w:hAnsi="Times New Roman"/>
          <w:sz w:val="24"/>
          <w:szCs w:val="24"/>
        </w:rPr>
      </w:pPr>
    </w:p>
    <w:p w14:paraId="7734E495" w14:textId="517E051E"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 xml:space="preserve">В Методика за подбор на проектни предложения по Стратегия за ВОМР на Местна инициативна рибарска група (МИРГ) Бургас-Камено Мярка 5.4 Преработване на продуктите от риболов и </w:t>
      </w:r>
      <w:proofErr w:type="spellStart"/>
      <w:r w:rsidRPr="00216FCE">
        <w:rPr>
          <w:rFonts w:ascii="Times New Roman" w:hAnsi="Times New Roman"/>
          <w:sz w:val="24"/>
          <w:szCs w:val="24"/>
        </w:rPr>
        <w:t>аквакултури</w:t>
      </w:r>
      <w:proofErr w:type="spellEnd"/>
      <w:r w:rsidRPr="00216FCE">
        <w:rPr>
          <w:rFonts w:ascii="Times New Roman" w:hAnsi="Times New Roman"/>
          <w:sz w:val="24"/>
          <w:szCs w:val="24"/>
        </w:rPr>
        <w:t xml:space="preserve"> по критерий 5 „Подобряване на безопасността, хигиената, здравето и условията на труд” са изброени видовете дейност, за които кандидатите получават точки.</w:t>
      </w:r>
    </w:p>
    <w:p w14:paraId="433213E0" w14:textId="57745573"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Кандидатите получават точки, ак</w:t>
      </w:r>
      <w:r w:rsidR="00287F5F">
        <w:rPr>
          <w:rFonts w:ascii="Times New Roman" w:hAnsi="Times New Roman"/>
          <w:sz w:val="24"/>
          <w:szCs w:val="24"/>
        </w:rPr>
        <w:t xml:space="preserve">о разходите по този критерий </w:t>
      </w:r>
      <w:r w:rsidRPr="00216FCE">
        <w:rPr>
          <w:rFonts w:ascii="Times New Roman" w:hAnsi="Times New Roman"/>
          <w:sz w:val="24"/>
          <w:szCs w:val="24"/>
        </w:rPr>
        <w:t>не са по-малко от 1 %  от размера на инвестицията по проекта.</w:t>
      </w:r>
    </w:p>
    <w:p w14:paraId="73315A01" w14:textId="77777777" w:rsidR="00216FCE" w:rsidRPr="00216FCE" w:rsidRDefault="00216FCE" w:rsidP="00216FCE">
      <w:pPr>
        <w:jc w:val="both"/>
        <w:rPr>
          <w:rFonts w:ascii="Times New Roman" w:hAnsi="Times New Roman"/>
          <w:sz w:val="24"/>
          <w:szCs w:val="24"/>
        </w:rPr>
      </w:pPr>
    </w:p>
    <w:p w14:paraId="4756CC34" w14:textId="2D5DCC42"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lastRenderedPageBreak/>
        <w:t xml:space="preserve">Според Методика за подбор на проектни предложения по Стратегия за ВОМР на Местна инициативна рибарска група (МИРГ) Бургас-Камено Мярка 5.4 Преработване на продуктите от риболов и </w:t>
      </w:r>
      <w:proofErr w:type="spellStart"/>
      <w:r w:rsidRPr="00216FCE">
        <w:rPr>
          <w:rFonts w:ascii="Times New Roman" w:hAnsi="Times New Roman"/>
          <w:sz w:val="24"/>
          <w:szCs w:val="24"/>
        </w:rPr>
        <w:t>аквакултури</w:t>
      </w:r>
      <w:proofErr w:type="spellEnd"/>
      <w:r w:rsidRPr="00216FCE">
        <w:rPr>
          <w:rFonts w:ascii="Times New Roman" w:hAnsi="Times New Roman"/>
          <w:sz w:val="24"/>
          <w:szCs w:val="24"/>
        </w:rPr>
        <w:t xml:space="preserve"> Критерий 7 – видовете с добър и много добър пазарен потенциал се изброяват в приложение към Условията за кандидатстване по мярката, а именно Приложение 9 – Видове </w:t>
      </w:r>
      <w:proofErr w:type="spellStart"/>
      <w:r w:rsidRPr="00216FCE">
        <w:rPr>
          <w:rFonts w:ascii="Times New Roman" w:hAnsi="Times New Roman"/>
          <w:sz w:val="24"/>
          <w:szCs w:val="24"/>
        </w:rPr>
        <w:t>аквакултури</w:t>
      </w:r>
      <w:proofErr w:type="spellEnd"/>
      <w:r w:rsidRPr="00216FCE">
        <w:rPr>
          <w:rFonts w:ascii="Times New Roman" w:hAnsi="Times New Roman"/>
          <w:sz w:val="24"/>
          <w:szCs w:val="24"/>
        </w:rPr>
        <w:t>, обект на изкуствено отглеждане и техните пазарни цени и потенциал в Р. България.</w:t>
      </w:r>
      <w:r w:rsidR="005A4C70">
        <w:rPr>
          <w:rFonts w:ascii="Times New Roman" w:hAnsi="Times New Roman"/>
          <w:sz w:val="24"/>
          <w:szCs w:val="24"/>
        </w:rPr>
        <w:t xml:space="preserve"> В Условията за кандидатстване на стр.27 е допусната техническа грешка в текста по</w:t>
      </w:r>
      <w:r w:rsidR="005A4C70" w:rsidRPr="005A4C70">
        <w:t xml:space="preserve"> </w:t>
      </w:r>
      <w:r w:rsidR="005A4C70" w:rsidRPr="005A4C70">
        <w:rPr>
          <w:rFonts w:ascii="Times New Roman" w:hAnsi="Times New Roman"/>
          <w:sz w:val="24"/>
          <w:szCs w:val="24"/>
        </w:rPr>
        <w:t>критерий 7 „Преработване на видове с много добър пазарен потенциал и/или черна мида или на видове с добър пазарен потенциал“</w:t>
      </w:r>
      <w:r w:rsidR="005A4C70">
        <w:rPr>
          <w:rFonts w:ascii="Times New Roman" w:hAnsi="Times New Roman"/>
          <w:sz w:val="24"/>
          <w:szCs w:val="24"/>
        </w:rPr>
        <w:t xml:space="preserve">- при проверка по този критерий да се вземе предвид Маркетингов доклад от 2018г. </w:t>
      </w:r>
      <w:r w:rsidR="005A4C70" w:rsidRPr="00216FCE">
        <w:rPr>
          <w:rFonts w:ascii="Times New Roman" w:hAnsi="Times New Roman"/>
          <w:sz w:val="24"/>
          <w:szCs w:val="24"/>
        </w:rPr>
        <w:t>(Приложение 13 към УК)</w:t>
      </w:r>
      <w:r w:rsidR="005A4C70">
        <w:rPr>
          <w:rFonts w:ascii="Times New Roman" w:hAnsi="Times New Roman"/>
          <w:sz w:val="24"/>
          <w:szCs w:val="24"/>
        </w:rPr>
        <w:t xml:space="preserve">, а не </w:t>
      </w:r>
      <w:r w:rsidR="005A4C70" w:rsidRPr="005A4C70">
        <w:rPr>
          <w:rFonts w:ascii="Times New Roman" w:hAnsi="Times New Roman"/>
          <w:sz w:val="24"/>
          <w:szCs w:val="24"/>
        </w:rPr>
        <w:t>Доклад систематизиране на данни за сектор „Рибарство”</w:t>
      </w:r>
      <w:r w:rsidR="005A4C70">
        <w:rPr>
          <w:rFonts w:ascii="Times New Roman" w:hAnsi="Times New Roman"/>
          <w:sz w:val="24"/>
          <w:szCs w:val="24"/>
        </w:rPr>
        <w:t xml:space="preserve"> от 2015г.</w:t>
      </w:r>
    </w:p>
    <w:p w14:paraId="67E4B9D6" w14:textId="77777777"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За получаване на 10 т. по съответния критерий всички видове, включени в преработвателната програма на кандидата трябва да бъдат с много добър пазарен потенциал и/или черна мида.</w:t>
      </w:r>
    </w:p>
    <w:p w14:paraId="4CBA2381" w14:textId="77777777"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За получаване на 5 т. по съответния критерий всички видове, включени в преработвателната програма трябва да бъдат с добър пазарен потенциал.</w:t>
      </w:r>
    </w:p>
    <w:p w14:paraId="1BF0E0C2" w14:textId="77777777"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Кандидатът получава 10 т. и в случаите, когато в преработвателната програма са включени видове риба с добър пазарен потенциал и видове риба с много добър пазарен потенциал.</w:t>
      </w:r>
    </w:p>
    <w:p w14:paraId="02EB449A" w14:textId="6721FDDD" w:rsidR="00216FCE" w:rsidRDefault="00216FCE" w:rsidP="00216FCE">
      <w:pPr>
        <w:jc w:val="both"/>
        <w:rPr>
          <w:rFonts w:ascii="Times New Roman" w:hAnsi="Times New Roman"/>
          <w:sz w:val="24"/>
          <w:szCs w:val="24"/>
        </w:rPr>
      </w:pPr>
      <w:r w:rsidRPr="00216FCE">
        <w:rPr>
          <w:rFonts w:ascii="Times New Roman" w:hAnsi="Times New Roman"/>
          <w:sz w:val="24"/>
          <w:szCs w:val="24"/>
        </w:rPr>
        <w:t>Оценката по този критерий се прави съгласно одобрената Методика за подбор на проектни предложения по Стратегия за ВОМР на Местна инициативна рибарска група (МИРГ) Бургас-Камено</w:t>
      </w:r>
      <w:r w:rsidR="005A4C70">
        <w:rPr>
          <w:rFonts w:ascii="Times New Roman" w:hAnsi="Times New Roman"/>
          <w:sz w:val="24"/>
          <w:szCs w:val="24"/>
        </w:rPr>
        <w:t xml:space="preserve"> (Приложение 4 към УК)</w:t>
      </w:r>
      <w:r w:rsidRPr="00216FCE">
        <w:rPr>
          <w:rFonts w:ascii="Times New Roman" w:hAnsi="Times New Roman"/>
          <w:sz w:val="24"/>
          <w:szCs w:val="24"/>
        </w:rPr>
        <w:t xml:space="preserve"> и Маркетинговия доклад (Приложение 13 към УК).</w:t>
      </w:r>
    </w:p>
    <w:p w14:paraId="13ABAF4E" w14:textId="218D9F61" w:rsidR="00216FCE" w:rsidRDefault="00216FCE" w:rsidP="00216FCE">
      <w:pPr>
        <w:jc w:val="both"/>
        <w:rPr>
          <w:rFonts w:ascii="Times New Roman" w:hAnsi="Times New Roman"/>
          <w:sz w:val="24"/>
          <w:szCs w:val="24"/>
        </w:rPr>
      </w:pPr>
    </w:p>
    <w:p w14:paraId="5127FD9E" w14:textId="6316C1CA" w:rsidR="00216FCE" w:rsidRDefault="00216FCE" w:rsidP="00216FCE">
      <w:pPr>
        <w:jc w:val="both"/>
        <w:rPr>
          <w:rFonts w:ascii="Times New Roman" w:hAnsi="Times New Roman"/>
          <w:b/>
          <w:bCs/>
          <w:sz w:val="24"/>
          <w:szCs w:val="24"/>
        </w:rPr>
      </w:pPr>
      <w:r>
        <w:rPr>
          <w:rFonts w:ascii="Times New Roman" w:hAnsi="Times New Roman"/>
          <w:b/>
          <w:bCs/>
          <w:sz w:val="24"/>
          <w:szCs w:val="24"/>
        </w:rPr>
        <w:t>ОТГОВОР  НА ВЪПРОС №4</w:t>
      </w:r>
    </w:p>
    <w:p w14:paraId="7B154DD4" w14:textId="77777777" w:rsidR="00216FCE" w:rsidRDefault="00216FCE" w:rsidP="00216FCE">
      <w:pPr>
        <w:jc w:val="both"/>
        <w:rPr>
          <w:rFonts w:ascii="Times New Roman" w:hAnsi="Times New Roman"/>
          <w:sz w:val="24"/>
          <w:szCs w:val="24"/>
        </w:rPr>
      </w:pPr>
    </w:p>
    <w:p w14:paraId="44DA7982" w14:textId="61EAEC27"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Минимален осигурителен доход по основни икономически дейности и квалификационни групи професии за 2020 г. е описан в Приложение 10 към Условията за кандидатстване към настоящата процедура.</w:t>
      </w:r>
    </w:p>
    <w:p w14:paraId="0C7455D5" w14:textId="77777777"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 xml:space="preserve">За проверка на цените на прогнозните разходи, заложени от кандидатите в бизнес плановете им, УО на ПМДР прилага следния подход: </w:t>
      </w:r>
    </w:p>
    <w:p w14:paraId="660D8B8B" w14:textId="77777777" w:rsidR="00216FCE" w:rsidRPr="00216FCE" w:rsidRDefault="00216FCE" w:rsidP="00216FCE">
      <w:pPr>
        <w:jc w:val="both"/>
        <w:rPr>
          <w:rFonts w:ascii="Times New Roman" w:hAnsi="Times New Roman"/>
          <w:sz w:val="24"/>
          <w:szCs w:val="24"/>
        </w:rPr>
      </w:pPr>
    </w:p>
    <w:p w14:paraId="30AF320F" w14:textId="77777777" w:rsidR="00216FCE" w:rsidRPr="00216FCE" w:rsidRDefault="00216FCE" w:rsidP="00216FCE">
      <w:pPr>
        <w:jc w:val="both"/>
        <w:rPr>
          <w:rFonts w:ascii="Times New Roman" w:hAnsi="Times New Roman"/>
          <w:sz w:val="24"/>
          <w:szCs w:val="24"/>
        </w:rPr>
      </w:pPr>
      <w:r w:rsidRPr="00216FCE">
        <w:rPr>
          <w:rFonts w:ascii="Times New Roman" w:hAnsi="Times New Roman"/>
          <w:sz w:val="24"/>
          <w:szCs w:val="24"/>
        </w:rPr>
        <w:t>Оценителите проверяват поне 50% от прогнозните разходи, заложени в бизнес плана, които съответстват на  основните категории разходи като електричество, 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14:paraId="00009F52" w14:textId="27386C80" w:rsidR="00216FCE" w:rsidRDefault="00216FCE" w:rsidP="00216FCE">
      <w:pPr>
        <w:jc w:val="both"/>
      </w:pPr>
      <w:r w:rsidRPr="00216FCE">
        <w:rPr>
          <w:rFonts w:ascii="Times New Roman" w:hAnsi="Times New Roman"/>
          <w:sz w:val="24"/>
          <w:szCs w:val="24"/>
        </w:rPr>
        <w:t xml:space="preserve">     </w:t>
      </w:r>
      <w:r w:rsidRPr="00216FCE">
        <w:rPr>
          <w:rFonts w:ascii="Times New Roman" w:hAnsi="Times New Roman"/>
          <w:sz w:val="24"/>
          <w:szCs w:val="24"/>
        </w:rPr>
        <w:tab/>
        <w:t>-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w:t>
      </w:r>
      <w:r>
        <w:t xml:space="preserve"> </w:t>
      </w:r>
    </w:p>
    <w:sectPr w:rsidR="00216FCE" w:rsidSect="00216FC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F88BE" w14:textId="77777777" w:rsidR="00FF67A6" w:rsidRDefault="00FF67A6" w:rsidP="005A4C70">
      <w:r>
        <w:separator/>
      </w:r>
    </w:p>
  </w:endnote>
  <w:endnote w:type="continuationSeparator" w:id="0">
    <w:p w14:paraId="74591F9C" w14:textId="77777777" w:rsidR="00FF67A6" w:rsidRDefault="00FF67A6" w:rsidP="005A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1CCB" w14:textId="77777777" w:rsidR="00FF67A6" w:rsidRDefault="00FF67A6" w:rsidP="005A4C70">
      <w:r>
        <w:separator/>
      </w:r>
    </w:p>
  </w:footnote>
  <w:footnote w:type="continuationSeparator" w:id="0">
    <w:p w14:paraId="0602D475" w14:textId="77777777" w:rsidR="00FF67A6" w:rsidRDefault="00FF67A6" w:rsidP="005A4C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D2A6" w14:textId="7E2BC0B5" w:rsidR="005A4C70" w:rsidRDefault="005A4C70">
    <w:pPr>
      <w:pStyle w:val="Header"/>
    </w:pPr>
    <w:r>
      <w:rPr>
        <w:noProof/>
        <w:lang w:val="en-US" w:eastAsia="en-US"/>
      </w:rPr>
      <w:drawing>
        <wp:anchor distT="0" distB="0" distL="114300" distR="114300" simplePos="0" relativeHeight="251658240" behindDoc="1" locked="0" layoutInCell="1" allowOverlap="1" wp14:anchorId="6F8CDCA8" wp14:editId="43239EBE">
          <wp:simplePos x="0" y="0"/>
          <wp:positionH relativeFrom="margin">
            <wp:align>center</wp:align>
          </wp:positionH>
          <wp:positionV relativeFrom="paragraph">
            <wp:posOffset>-129540</wp:posOffset>
          </wp:positionV>
          <wp:extent cx="6303486" cy="1348740"/>
          <wp:effectExtent l="0" t="0" r="2540" b="3810"/>
          <wp:wrapTight wrapText="bothSides">
            <wp:wrapPolygon edited="0">
              <wp:start x="0" y="0"/>
              <wp:lineTo x="0" y="21356"/>
              <wp:lineTo x="21543" y="21356"/>
              <wp:lineTo x="21543" y="0"/>
              <wp:lineTo x="0" y="0"/>
            </wp:wrapPolygon>
          </wp:wrapT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1"/>
                  <pic:cNvPicPr/>
                </pic:nvPicPr>
                <pic:blipFill>
                  <a:blip r:embed="rId1">
                    <a:extLst>
                      <a:ext uri="{28A0092B-C50C-407E-A947-70E740481C1C}">
                        <a14:useLocalDpi xmlns:a14="http://schemas.microsoft.com/office/drawing/2010/main" val="0"/>
                      </a:ext>
                    </a:extLst>
                  </a:blip>
                  <a:stretch>
                    <a:fillRect/>
                  </a:stretch>
                </pic:blipFill>
                <pic:spPr>
                  <a:xfrm>
                    <a:off x="0" y="0"/>
                    <a:ext cx="6303486" cy="1348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8FA"/>
    <w:multiLevelType w:val="hybridMultilevel"/>
    <w:tmpl w:val="3F004E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75B6A8B"/>
    <w:multiLevelType w:val="hybridMultilevel"/>
    <w:tmpl w:val="3FC269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81F17A2"/>
    <w:multiLevelType w:val="hybridMultilevel"/>
    <w:tmpl w:val="3F004E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32F5529"/>
    <w:multiLevelType w:val="multilevel"/>
    <w:tmpl w:val="890406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A"/>
    <w:rsid w:val="00137849"/>
    <w:rsid w:val="001905EF"/>
    <w:rsid w:val="00216FCE"/>
    <w:rsid w:val="00287F5F"/>
    <w:rsid w:val="002F4775"/>
    <w:rsid w:val="003E2642"/>
    <w:rsid w:val="004222BC"/>
    <w:rsid w:val="004367EE"/>
    <w:rsid w:val="00451FE4"/>
    <w:rsid w:val="00561DD8"/>
    <w:rsid w:val="005A4C70"/>
    <w:rsid w:val="00610D1E"/>
    <w:rsid w:val="0064129B"/>
    <w:rsid w:val="0064672C"/>
    <w:rsid w:val="006C2B0A"/>
    <w:rsid w:val="00702736"/>
    <w:rsid w:val="008A4A60"/>
    <w:rsid w:val="008B70A4"/>
    <w:rsid w:val="009C3143"/>
    <w:rsid w:val="00A10A1D"/>
    <w:rsid w:val="00A714FD"/>
    <w:rsid w:val="00C915BC"/>
    <w:rsid w:val="00CA5432"/>
    <w:rsid w:val="00CE3939"/>
    <w:rsid w:val="00D82758"/>
    <w:rsid w:val="00D85ED0"/>
    <w:rsid w:val="00E41D8C"/>
    <w:rsid w:val="00EE2AD2"/>
    <w:rsid w:val="00F57A88"/>
    <w:rsid w:val="00F91C64"/>
    <w:rsid w:val="00FB4F2D"/>
    <w:rsid w:val="00FF67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BF56"/>
  <w15:chartTrackingRefBased/>
  <w15:docId w15:val="{D3A18E27-F731-438F-A49F-158D6008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42"/>
    <w:pPr>
      <w:spacing w:after="0" w:line="240" w:lineRule="auto"/>
    </w:pPr>
    <w:rPr>
      <w:rFonts w:ascii="Calibri" w:hAnsi="Calibri" w:cs="Calibri"/>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2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E2642"/>
    <w:rPr>
      <w:color w:val="0000FF"/>
      <w:u w:val="single"/>
    </w:rPr>
  </w:style>
  <w:style w:type="paragraph" w:styleId="NormalWeb">
    <w:name w:val="Normal (Web)"/>
    <w:basedOn w:val="Normal"/>
    <w:uiPriority w:val="99"/>
    <w:semiHidden/>
    <w:unhideWhenUsed/>
    <w:rsid w:val="003E2642"/>
    <w:pPr>
      <w:spacing w:before="100" w:beforeAutospacing="1" w:after="100" w:afterAutospacing="1"/>
    </w:pPr>
  </w:style>
  <w:style w:type="paragraph" w:styleId="ListParagraph">
    <w:name w:val="List Paragraph"/>
    <w:basedOn w:val="Normal"/>
    <w:uiPriority w:val="34"/>
    <w:qFormat/>
    <w:rsid w:val="003E2642"/>
    <w:pPr>
      <w:ind w:left="720"/>
      <w:contextualSpacing/>
    </w:pPr>
  </w:style>
  <w:style w:type="paragraph" w:styleId="Header">
    <w:name w:val="header"/>
    <w:basedOn w:val="Normal"/>
    <w:link w:val="HeaderChar"/>
    <w:uiPriority w:val="99"/>
    <w:unhideWhenUsed/>
    <w:rsid w:val="005A4C70"/>
    <w:pPr>
      <w:tabs>
        <w:tab w:val="center" w:pos="4536"/>
        <w:tab w:val="right" w:pos="9072"/>
      </w:tabs>
    </w:pPr>
  </w:style>
  <w:style w:type="character" w:customStyle="1" w:styleId="HeaderChar">
    <w:name w:val="Header Char"/>
    <w:basedOn w:val="DefaultParagraphFont"/>
    <w:link w:val="Header"/>
    <w:uiPriority w:val="99"/>
    <w:rsid w:val="005A4C70"/>
    <w:rPr>
      <w:rFonts w:ascii="Calibri" w:hAnsi="Calibri" w:cs="Calibri"/>
      <w:lang w:eastAsia="bg-BG"/>
    </w:rPr>
  </w:style>
  <w:style w:type="paragraph" w:styleId="Footer">
    <w:name w:val="footer"/>
    <w:basedOn w:val="Normal"/>
    <w:link w:val="FooterChar"/>
    <w:uiPriority w:val="99"/>
    <w:unhideWhenUsed/>
    <w:rsid w:val="005A4C70"/>
    <w:pPr>
      <w:tabs>
        <w:tab w:val="center" w:pos="4536"/>
        <w:tab w:val="right" w:pos="9072"/>
      </w:tabs>
    </w:pPr>
  </w:style>
  <w:style w:type="character" w:customStyle="1" w:styleId="FooterChar">
    <w:name w:val="Footer Char"/>
    <w:basedOn w:val="DefaultParagraphFont"/>
    <w:link w:val="Footer"/>
    <w:uiPriority w:val="99"/>
    <w:rsid w:val="005A4C70"/>
    <w:rPr>
      <w:rFonts w:ascii="Calibri" w:hAnsi="Calibri" w:cs="Calibri"/>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74728">
      <w:bodyDiv w:val="1"/>
      <w:marLeft w:val="0"/>
      <w:marRight w:val="0"/>
      <w:marTop w:val="0"/>
      <w:marBottom w:val="0"/>
      <w:divBdr>
        <w:top w:val="none" w:sz="0" w:space="0" w:color="auto"/>
        <w:left w:val="none" w:sz="0" w:space="0" w:color="auto"/>
        <w:bottom w:val="none" w:sz="0" w:space="0" w:color="auto"/>
        <w:right w:val="none" w:sz="0" w:space="0" w:color="auto"/>
      </w:divBdr>
    </w:div>
    <w:div w:id="716121973">
      <w:bodyDiv w:val="1"/>
      <w:marLeft w:val="0"/>
      <w:marRight w:val="0"/>
      <w:marTop w:val="0"/>
      <w:marBottom w:val="0"/>
      <w:divBdr>
        <w:top w:val="none" w:sz="0" w:space="0" w:color="auto"/>
        <w:left w:val="none" w:sz="0" w:space="0" w:color="auto"/>
        <w:bottom w:val="none" w:sz="0" w:space="0" w:color="auto"/>
        <w:right w:val="none" w:sz="0" w:space="0" w:color="auto"/>
      </w:divBdr>
    </w:div>
    <w:div w:id="795611186">
      <w:bodyDiv w:val="1"/>
      <w:marLeft w:val="0"/>
      <w:marRight w:val="0"/>
      <w:marTop w:val="0"/>
      <w:marBottom w:val="0"/>
      <w:divBdr>
        <w:top w:val="none" w:sz="0" w:space="0" w:color="auto"/>
        <w:left w:val="none" w:sz="0" w:space="0" w:color="auto"/>
        <w:bottom w:val="none" w:sz="0" w:space="0" w:color="auto"/>
        <w:right w:val="none" w:sz="0" w:space="0" w:color="auto"/>
      </w:divBdr>
    </w:div>
    <w:div w:id="1027876307">
      <w:bodyDiv w:val="1"/>
      <w:marLeft w:val="0"/>
      <w:marRight w:val="0"/>
      <w:marTop w:val="0"/>
      <w:marBottom w:val="0"/>
      <w:divBdr>
        <w:top w:val="none" w:sz="0" w:space="0" w:color="auto"/>
        <w:left w:val="none" w:sz="0" w:space="0" w:color="auto"/>
        <w:bottom w:val="none" w:sz="0" w:space="0" w:color="auto"/>
        <w:right w:val="none" w:sz="0" w:space="0" w:color="auto"/>
      </w:divBdr>
    </w:div>
    <w:div w:id="2032100895">
      <w:bodyDiv w:val="1"/>
      <w:marLeft w:val="0"/>
      <w:marRight w:val="0"/>
      <w:marTop w:val="0"/>
      <w:marBottom w:val="0"/>
      <w:divBdr>
        <w:top w:val="none" w:sz="0" w:space="0" w:color="auto"/>
        <w:left w:val="none" w:sz="0" w:space="0" w:color="auto"/>
        <w:bottom w:val="none" w:sz="0" w:space="0" w:color="auto"/>
        <w:right w:val="none" w:sz="0" w:space="0" w:color="auto"/>
      </w:divBdr>
    </w:div>
    <w:div w:id="20893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olofficebugr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1805</Words>
  <Characters>10291</Characters>
  <Application>Microsoft Office Word</Application>
  <DocSecurity>0</DocSecurity>
  <Lines>85</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Mirg Burgas</dc:creator>
  <cp:keywords/>
  <dc:description/>
  <cp:lastModifiedBy>Zaharincho</cp:lastModifiedBy>
  <cp:revision>3</cp:revision>
  <dcterms:created xsi:type="dcterms:W3CDTF">2020-10-29T09:47:00Z</dcterms:created>
  <dcterms:modified xsi:type="dcterms:W3CDTF">2020-10-29T09:50:00Z</dcterms:modified>
</cp:coreProperties>
</file>