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760"/>
        <w:gridCol w:w="1585"/>
        <w:gridCol w:w="8151"/>
        <w:gridCol w:w="3966"/>
      </w:tblGrid>
      <w:tr w:rsidR="00786B8E" w:rsidRPr="00431505">
        <w:trPr>
          <w:trHeight w:val="350"/>
        </w:trPr>
        <w:tc>
          <w:tcPr>
            <w:tcW w:w="15920" w:type="dxa"/>
            <w:gridSpan w:val="5"/>
            <w:shd w:val="clear" w:color="auto" w:fill="auto"/>
          </w:tcPr>
          <w:p w:rsidR="00C7533B" w:rsidRDefault="00C7533B" w:rsidP="00431505">
            <w:pPr>
              <w:jc w:val="center"/>
              <w:rPr>
                <w:b/>
                <w:sz w:val="28"/>
                <w:szCs w:val="28"/>
              </w:rPr>
            </w:pPr>
            <w:bookmarkStart w:id="0" w:name="_GoBack"/>
            <w:bookmarkEnd w:id="0"/>
          </w:p>
          <w:p w:rsidR="00DD2AAE" w:rsidRPr="00966FA3" w:rsidRDefault="00271716" w:rsidP="00431505">
            <w:pPr>
              <w:jc w:val="center"/>
              <w:rPr>
                <w:b/>
                <w:sz w:val="28"/>
                <w:szCs w:val="28"/>
              </w:rPr>
            </w:pPr>
            <w:r w:rsidRPr="00966FA3">
              <w:rPr>
                <w:b/>
                <w:sz w:val="28"/>
                <w:szCs w:val="28"/>
              </w:rPr>
              <w:t xml:space="preserve">Таблица за направените предложения и коментари в процеса на обществено обсъждане на </w:t>
            </w:r>
            <w:r w:rsidR="00EF7BA5">
              <w:rPr>
                <w:b/>
                <w:sz w:val="28"/>
                <w:szCs w:val="28"/>
              </w:rPr>
              <w:t>условия за кандидатстване, условия за изпълнение</w:t>
            </w:r>
            <w:r w:rsidR="00EF7BA5" w:rsidRPr="00966FA3">
              <w:rPr>
                <w:b/>
                <w:sz w:val="28"/>
                <w:szCs w:val="28"/>
              </w:rPr>
              <w:t xml:space="preserve"> </w:t>
            </w:r>
            <w:r w:rsidR="00786B8E" w:rsidRPr="00966FA3">
              <w:rPr>
                <w:b/>
                <w:sz w:val="28"/>
                <w:szCs w:val="28"/>
              </w:rPr>
              <w:t>и пакет документи за кандидатстване по процедура</w:t>
            </w:r>
            <w:r w:rsidRPr="00966FA3">
              <w:rPr>
                <w:b/>
                <w:sz w:val="28"/>
                <w:szCs w:val="28"/>
              </w:rPr>
              <w:t xml:space="preserve"> </w:t>
            </w:r>
            <w:r w:rsidR="00C7533B" w:rsidRPr="00C7533B">
              <w:rPr>
                <w:b/>
                <w:sz w:val="28"/>
                <w:szCs w:val="28"/>
                <w:lang w:val="en-US"/>
              </w:rPr>
              <w:t>BG14MFOP001-5.014 „Преработване на продуктите от риболов и аквакултури”, мярка 5.4 „Преработване на продуктите от  риболов и аквакултури” по Програма морско дело и рибарство 2014-2020 г.</w:t>
            </w:r>
          </w:p>
          <w:p w:rsidR="00560CBF" w:rsidRPr="00431505" w:rsidRDefault="00560CBF" w:rsidP="00431505">
            <w:pPr>
              <w:jc w:val="center"/>
              <w:rPr>
                <w:rFonts w:ascii="Verdana" w:hAnsi="Verdana"/>
                <w:b/>
              </w:rPr>
            </w:pPr>
          </w:p>
        </w:tc>
      </w:tr>
      <w:tr w:rsidR="0088182E" w:rsidRPr="00431505" w:rsidTr="00C7533B">
        <w:trPr>
          <w:trHeight w:val="350"/>
        </w:trPr>
        <w:tc>
          <w:tcPr>
            <w:tcW w:w="458" w:type="dxa"/>
            <w:shd w:val="clear" w:color="auto" w:fill="D9D9D9"/>
          </w:tcPr>
          <w:p w:rsidR="0088182E" w:rsidRPr="00431505" w:rsidRDefault="0088182E" w:rsidP="00431505">
            <w:pPr>
              <w:jc w:val="center"/>
              <w:rPr>
                <w:b/>
              </w:rPr>
            </w:pPr>
          </w:p>
          <w:p w:rsidR="0088182E" w:rsidRPr="00431505" w:rsidRDefault="0077264B" w:rsidP="00431505">
            <w:pPr>
              <w:jc w:val="center"/>
              <w:rPr>
                <w:b/>
              </w:rPr>
            </w:pPr>
            <w:r>
              <w:rPr>
                <w:b/>
              </w:rPr>
              <w:t>№</w:t>
            </w:r>
          </w:p>
          <w:p w:rsidR="0088182E" w:rsidRPr="00431505" w:rsidRDefault="0088182E" w:rsidP="00431505">
            <w:pPr>
              <w:jc w:val="center"/>
              <w:rPr>
                <w:b/>
              </w:rPr>
            </w:pPr>
          </w:p>
        </w:tc>
        <w:tc>
          <w:tcPr>
            <w:tcW w:w="1540" w:type="dxa"/>
            <w:shd w:val="clear" w:color="auto" w:fill="D9D9D9"/>
          </w:tcPr>
          <w:p w:rsidR="0088182E" w:rsidRPr="00431505" w:rsidRDefault="0088182E" w:rsidP="00431505">
            <w:pPr>
              <w:jc w:val="center"/>
              <w:rPr>
                <w:b/>
              </w:rPr>
            </w:pPr>
            <w:r>
              <w:rPr>
                <w:b/>
              </w:rPr>
              <w:t xml:space="preserve">Данни на подателя </w:t>
            </w:r>
            <w:r w:rsidRPr="00431505">
              <w:rPr>
                <w:b/>
              </w:rPr>
              <w:t xml:space="preserve"> </w:t>
            </w:r>
          </w:p>
        </w:tc>
        <w:tc>
          <w:tcPr>
            <w:tcW w:w="1620" w:type="dxa"/>
            <w:shd w:val="clear" w:color="auto" w:fill="D9D9D9"/>
          </w:tcPr>
          <w:p w:rsidR="0088182E" w:rsidRPr="00431505" w:rsidRDefault="0088182E" w:rsidP="00431505">
            <w:pPr>
              <w:jc w:val="center"/>
              <w:rPr>
                <w:b/>
              </w:rPr>
            </w:pPr>
            <w:r>
              <w:rPr>
                <w:b/>
              </w:rPr>
              <w:t>Дата на получаване</w:t>
            </w:r>
          </w:p>
        </w:tc>
        <w:tc>
          <w:tcPr>
            <w:tcW w:w="9928" w:type="dxa"/>
            <w:shd w:val="clear" w:color="auto" w:fill="D9D9D9"/>
          </w:tcPr>
          <w:p w:rsidR="0088182E" w:rsidRPr="00431505" w:rsidRDefault="0088182E" w:rsidP="00431505">
            <w:pPr>
              <w:jc w:val="center"/>
              <w:rPr>
                <w:b/>
              </w:rPr>
            </w:pPr>
            <w:r w:rsidRPr="00431505">
              <w:rPr>
                <w:b/>
              </w:rPr>
              <w:t xml:space="preserve">Коментар/Предложение </w:t>
            </w:r>
          </w:p>
        </w:tc>
        <w:tc>
          <w:tcPr>
            <w:tcW w:w="2374" w:type="dxa"/>
            <w:shd w:val="clear" w:color="auto" w:fill="D9D9D9"/>
          </w:tcPr>
          <w:p w:rsidR="0088182E" w:rsidRPr="00431505" w:rsidRDefault="0088182E" w:rsidP="007D7884">
            <w:pPr>
              <w:jc w:val="center"/>
              <w:rPr>
                <w:b/>
              </w:rPr>
            </w:pPr>
            <w:r w:rsidRPr="00431505">
              <w:rPr>
                <w:b/>
              </w:rPr>
              <w:t xml:space="preserve">Становище на УО на </w:t>
            </w:r>
            <w:r w:rsidR="007D7884">
              <w:rPr>
                <w:b/>
              </w:rPr>
              <w:t>ПМДР</w:t>
            </w:r>
          </w:p>
        </w:tc>
      </w:tr>
      <w:tr w:rsidR="0088182E" w:rsidRPr="00431505" w:rsidTr="00C7533B">
        <w:trPr>
          <w:trHeight w:val="350"/>
        </w:trPr>
        <w:tc>
          <w:tcPr>
            <w:tcW w:w="458" w:type="dxa"/>
            <w:shd w:val="clear" w:color="auto" w:fill="auto"/>
          </w:tcPr>
          <w:p w:rsidR="0088182E" w:rsidRPr="00D61CA5" w:rsidRDefault="00D61CA5" w:rsidP="00C7533B">
            <w:pPr>
              <w:rPr>
                <w:rFonts w:ascii="Verdana" w:hAnsi="Verdana"/>
                <w:sz w:val="20"/>
                <w:szCs w:val="20"/>
              </w:rPr>
            </w:pPr>
            <w:r w:rsidRPr="00C7533B">
              <w:t>1.</w:t>
            </w:r>
          </w:p>
        </w:tc>
        <w:tc>
          <w:tcPr>
            <w:tcW w:w="1540" w:type="dxa"/>
            <w:shd w:val="clear" w:color="auto" w:fill="auto"/>
          </w:tcPr>
          <w:p w:rsidR="0088182E" w:rsidRPr="00C7533B" w:rsidRDefault="00D61CA5" w:rsidP="00431505">
            <w:pPr>
              <w:jc w:val="both"/>
            </w:pPr>
            <w:r w:rsidRPr="00C7533B">
              <w:t>„Лотус Адвайзъри Тийм“ ЕООД</w:t>
            </w:r>
          </w:p>
        </w:tc>
        <w:tc>
          <w:tcPr>
            <w:tcW w:w="1620" w:type="dxa"/>
            <w:shd w:val="clear" w:color="auto" w:fill="auto"/>
          </w:tcPr>
          <w:p w:rsidR="0088182E" w:rsidRPr="00C7533B" w:rsidRDefault="00D61CA5" w:rsidP="00431505">
            <w:pPr>
              <w:jc w:val="both"/>
            </w:pPr>
            <w:r w:rsidRPr="00C7533B">
              <w:t>14.10.2020 г.</w:t>
            </w:r>
          </w:p>
        </w:tc>
        <w:tc>
          <w:tcPr>
            <w:tcW w:w="9928" w:type="dxa"/>
            <w:shd w:val="clear" w:color="auto" w:fill="auto"/>
          </w:tcPr>
          <w:p w:rsidR="00D61CA5" w:rsidRDefault="00D61CA5" w:rsidP="00D61CA5">
            <w:pPr>
              <w:jc w:val="both"/>
              <w:rPr>
                <w:rFonts w:ascii="Calibri" w:hAnsi="Calibri" w:cs="Calibri"/>
                <w:sz w:val="22"/>
                <w:szCs w:val="22"/>
              </w:rPr>
            </w:pPr>
            <w:r>
              <w:t>Част от допустимите разходи, съгласно т. 14.1.2.7 от Условията за кандидатстване по процедурата са „</w:t>
            </w:r>
            <w:r>
              <w:rPr>
                <w:i/>
                <w:iCs/>
              </w:rPr>
              <w:t>Инвестиции във възобновяеми енергийни източници (ВЕИ) за получаване на топлинна и/или електроенергия, необходими и пряко  свързани с производствената дейност на кандидата, включително  придобити чрез финансов лизинг“.</w:t>
            </w:r>
          </w:p>
          <w:p w:rsidR="00D61CA5" w:rsidRDefault="00D61CA5" w:rsidP="00D61CA5">
            <w:pPr>
              <w:jc w:val="both"/>
              <w:rPr>
                <w:rFonts w:ascii="Calibri" w:hAnsi="Calibri" w:cs="Calibri"/>
                <w:sz w:val="22"/>
                <w:szCs w:val="22"/>
              </w:rPr>
            </w:pPr>
            <w:r>
              <w:t> </w:t>
            </w:r>
          </w:p>
          <w:p w:rsidR="00D61CA5" w:rsidRDefault="00D61CA5" w:rsidP="00D61CA5">
            <w:pPr>
              <w:jc w:val="both"/>
              <w:rPr>
                <w:rFonts w:ascii="Calibri" w:hAnsi="Calibri" w:cs="Calibri"/>
                <w:sz w:val="22"/>
                <w:szCs w:val="22"/>
              </w:rPr>
            </w:pPr>
            <w:r>
              <w:t>Като част от задължителните документи е поставено изискване за представяне на Бизнес план (по образец) обхващащ период до 5 години за оборудване, а в случаите на инвестиция за строително-монтажни работи (СМР) периодът е за 10 години.</w:t>
            </w:r>
          </w:p>
          <w:p w:rsidR="00D61CA5" w:rsidRDefault="00D61CA5" w:rsidP="00D61CA5">
            <w:pPr>
              <w:jc w:val="both"/>
              <w:rPr>
                <w:rFonts w:ascii="Calibri" w:hAnsi="Calibri" w:cs="Calibri"/>
                <w:sz w:val="22"/>
                <w:szCs w:val="22"/>
              </w:rPr>
            </w:pPr>
            <w:r>
              <w:t> </w:t>
            </w:r>
          </w:p>
          <w:p w:rsidR="00D61CA5" w:rsidRDefault="00D61CA5" w:rsidP="00D61CA5">
            <w:pPr>
              <w:jc w:val="both"/>
              <w:rPr>
                <w:rFonts w:ascii="Calibri" w:hAnsi="Calibri" w:cs="Calibri"/>
                <w:sz w:val="22"/>
                <w:szCs w:val="22"/>
              </w:rPr>
            </w:pPr>
            <w:r>
              <w:lastRenderedPageBreak/>
              <w:t>Бизнес планът изпълнява функция за доказване на икономическа жизнеспособност, като основа част от него са планираните приходи и прогнозни разходи.</w:t>
            </w:r>
          </w:p>
          <w:p w:rsidR="00D61CA5" w:rsidRDefault="00D61CA5" w:rsidP="00D61CA5">
            <w:pPr>
              <w:jc w:val="both"/>
              <w:rPr>
                <w:rFonts w:ascii="Calibri" w:hAnsi="Calibri" w:cs="Calibri"/>
                <w:sz w:val="22"/>
                <w:szCs w:val="22"/>
              </w:rPr>
            </w:pPr>
            <w:r>
              <w:t> </w:t>
            </w:r>
          </w:p>
          <w:p w:rsidR="00D61CA5" w:rsidRDefault="00D61CA5" w:rsidP="00D61CA5">
            <w:pPr>
              <w:jc w:val="both"/>
              <w:rPr>
                <w:rFonts w:ascii="Calibri" w:hAnsi="Calibri" w:cs="Calibri"/>
                <w:sz w:val="22"/>
                <w:szCs w:val="22"/>
              </w:rPr>
            </w:pPr>
            <w:r>
              <w:t xml:space="preserve">В така разписаните условия не е взето под внимание, че инвестициите във възобновяеми енергийни източници (ВЕИ) за получаване на топлинна и/или електроенергия, необходими и пряко  свързани с производствената дейност на кандидата </w:t>
            </w:r>
            <w:r>
              <w:rPr>
                <w:u w:val="single"/>
              </w:rPr>
              <w:t>не водят до получаване на приход.</w:t>
            </w:r>
            <w:r>
              <w:t xml:space="preserve"> Тяхната единствена функция се свежда до оптимизиране на разходите и съответно до реализация на икономия в паричните средства за получаване на топлинна и/или електроенергия, необходими и пряко  свързани с производствената дейност на кандидата.</w:t>
            </w:r>
          </w:p>
          <w:p w:rsidR="00D61CA5" w:rsidRDefault="00D61CA5" w:rsidP="00D61CA5">
            <w:pPr>
              <w:jc w:val="both"/>
              <w:rPr>
                <w:rFonts w:ascii="Calibri" w:hAnsi="Calibri" w:cs="Calibri"/>
                <w:sz w:val="22"/>
                <w:szCs w:val="22"/>
              </w:rPr>
            </w:pPr>
            <w:r>
              <w:t> </w:t>
            </w:r>
          </w:p>
          <w:p w:rsidR="00D61CA5" w:rsidRDefault="00D61CA5" w:rsidP="00D61CA5">
            <w:pPr>
              <w:jc w:val="both"/>
              <w:rPr>
                <w:rFonts w:ascii="Calibri" w:hAnsi="Calibri" w:cs="Calibri"/>
                <w:sz w:val="22"/>
                <w:szCs w:val="22"/>
              </w:rPr>
            </w:pPr>
            <w:r>
              <w:t>В тази връзка не е възможно разработването на Бизнес план (по образец), тъй като няма да бъде налично както разширяване на производството (или модернизация), така и увеличаването на приходите в следствие на инвестицията във ВЕИ.</w:t>
            </w:r>
          </w:p>
          <w:p w:rsidR="00D61CA5" w:rsidRDefault="00D61CA5" w:rsidP="00D61CA5">
            <w:pPr>
              <w:jc w:val="both"/>
              <w:rPr>
                <w:rFonts w:ascii="Calibri" w:hAnsi="Calibri" w:cs="Calibri"/>
                <w:sz w:val="22"/>
                <w:szCs w:val="22"/>
              </w:rPr>
            </w:pPr>
            <w:r>
              <w:t> </w:t>
            </w:r>
          </w:p>
          <w:p w:rsidR="00D61CA5" w:rsidRDefault="00D61CA5" w:rsidP="00D61CA5">
            <w:pPr>
              <w:jc w:val="both"/>
              <w:rPr>
                <w:rFonts w:ascii="Calibri" w:hAnsi="Calibri" w:cs="Calibri"/>
                <w:sz w:val="22"/>
                <w:szCs w:val="22"/>
              </w:rPr>
            </w:pPr>
            <w:r>
              <w:t>Адекватен подход при аналогични инвестиции, които не водят до продукт и приход е приложен например в Мярка 1.4 „Ограничаване на въздействието на риболова върху морската среда и приспособяване на риболова към опазването на видовете”, където се изисква представянето на</w:t>
            </w:r>
            <w:r>
              <w:rPr>
                <w:rFonts w:ascii="Calibri" w:hAnsi="Calibri" w:cs="Calibri"/>
                <w:sz w:val="22"/>
                <w:szCs w:val="22"/>
              </w:rPr>
              <w:t xml:space="preserve"> </w:t>
            </w:r>
            <w:r>
              <w:rPr>
                <w:rFonts w:ascii="Calibri" w:hAnsi="Calibri" w:cs="Calibri"/>
                <w:i/>
                <w:iCs/>
                <w:sz w:val="22"/>
                <w:szCs w:val="22"/>
              </w:rPr>
              <w:t>„</w:t>
            </w:r>
            <w:r>
              <w:rPr>
                <w:i/>
                <w:iCs/>
              </w:rPr>
              <w:t xml:space="preserve">Справка - реализиране на инвестиционния проект“ </w:t>
            </w:r>
            <w:r>
              <w:t>или в мярка 5.3 „Мерки за предлагане на пазара”, където се изисква представянето на „Анализ приходи-разходи по образец“.</w:t>
            </w:r>
          </w:p>
          <w:p w:rsidR="00D61CA5" w:rsidRDefault="00D61CA5" w:rsidP="00D61CA5">
            <w:pPr>
              <w:jc w:val="both"/>
              <w:rPr>
                <w:rFonts w:ascii="Calibri" w:hAnsi="Calibri" w:cs="Calibri"/>
                <w:sz w:val="22"/>
                <w:szCs w:val="22"/>
              </w:rPr>
            </w:pPr>
            <w:r>
              <w:lastRenderedPageBreak/>
              <w:t> </w:t>
            </w:r>
          </w:p>
          <w:p w:rsidR="00D61CA5" w:rsidRDefault="00D61CA5" w:rsidP="00D61CA5">
            <w:pPr>
              <w:jc w:val="both"/>
              <w:rPr>
                <w:rFonts w:ascii="Calibri" w:hAnsi="Calibri" w:cs="Calibri"/>
                <w:sz w:val="22"/>
                <w:szCs w:val="22"/>
              </w:rPr>
            </w:pPr>
            <w:r>
              <w:t>Предвид гореизложеното моля да бъде предвидена възможност аналогична на тази по описаните мерки за инвестиции, които не водят до продукт и приход като бъде допуснато кандидатстването без представянето на Бизнес план от кандидати предвиждащи инвестиции в активи, които не водят до продукт и приход.</w:t>
            </w:r>
          </w:p>
          <w:p w:rsidR="00D61CA5" w:rsidRDefault="00D61CA5" w:rsidP="00D61CA5">
            <w:pPr>
              <w:jc w:val="both"/>
              <w:rPr>
                <w:rFonts w:ascii="Calibri" w:hAnsi="Calibri" w:cs="Calibri"/>
                <w:sz w:val="22"/>
                <w:szCs w:val="22"/>
              </w:rPr>
            </w:pPr>
            <w:r>
              <w:rPr>
                <w:color w:val="FF0000"/>
              </w:rPr>
              <w:t> </w:t>
            </w:r>
          </w:p>
          <w:p w:rsidR="0088182E" w:rsidRPr="000A3757" w:rsidRDefault="00D61CA5" w:rsidP="00431505">
            <w:pPr>
              <w:jc w:val="both"/>
              <w:rPr>
                <w:rFonts w:ascii="Calibri" w:hAnsi="Calibri" w:cs="Calibri"/>
                <w:sz w:val="22"/>
                <w:szCs w:val="22"/>
              </w:rPr>
            </w:pPr>
            <w:r>
              <w:t>Допускането на такъв подход ще допринесе изключително за облекчаване на административната тежест върху кандидатите.</w:t>
            </w:r>
          </w:p>
          <w:p w:rsidR="0088182E" w:rsidRPr="00431505" w:rsidRDefault="0088182E" w:rsidP="00431505">
            <w:pPr>
              <w:jc w:val="both"/>
              <w:rPr>
                <w:rFonts w:ascii="Verdana" w:hAnsi="Verdana"/>
                <w:b/>
                <w:sz w:val="20"/>
                <w:szCs w:val="20"/>
              </w:rPr>
            </w:pPr>
          </w:p>
        </w:tc>
        <w:tc>
          <w:tcPr>
            <w:tcW w:w="2374" w:type="dxa"/>
            <w:shd w:val="clear" w:color="auto" w:fill="auto"/>
          </w:tcPr>
          <w:p w:rsidR="0088182E" w:rsidRPr="00963518" w:rsidRDefault="008E1091" w:rsidP="00431505">
            <w:pPr>
              <w:jc w:val="both"/>
              <w:rPr>
                <w:b/>
              </w:rPr>
            </w:pPr>
            <w:r w:rsidRPr="00963518">
              <w:rPr>
                <w:b/>
              </w:rPr>
              <w:lastRenderedPageBreak/>
              <w:t xml:space="preserve">Не се приема. </w:t>
            </w:r>
          </w:p>
          <w:p w:rsidR="008E1091" w:rsidRPr="00431505" w:rsidRDefault="00780F23" w:rsidP="00963518">
            <w:pPr>
              <w:jc w:val="both"/>
              <w:rPr>
                <w:rFonts w:ascii="Verdana" w:hAnsi="Verdana"/>
                <w:sz w:val="20"/>
                <w:szCs w:val="20"/>
              </w:rPr>
            </w:pPr>
            <w:r>
              <w:t xml:space="preserve">Допустимите </w:t>
            </w:r>
            <w:r w:rsidR="008E1091" w:rsidRPr="00780F23">
              <w:t>инвестиции във възобновяеми енергийни източници (ВЕИ) за получаване на топлинна и/или електроенергия</w:t>
            </w:r>
            <w:r>
              <w:t xml:space="preserve"> следва да са</w:t>
            </w:r>
            <w:r w:rsidR="008E1091" w:rsidRPr="00780F23">
              <w:t xml:space="preserve"> пряко  свързани с производствената дейност на кандидата</w:t>
            </w:r>
            <w:r>
              <w:t xml:space="preserve">. </w:t>
            </w:r>
            <w:r w:rsidR="00963518">
              <w:t>Ф</w:t>
            </w:r>
            <w:r>
              <w:t xml:space="preserve">инансиране </w:t>
            </w:r>
            <w:r w:rsidR="00963518">
              <w:t>се предоставя</w:t>
            </w:r>
            <w:r>
              <w:t xml:space="preserve"> само</w:t>
            </w:r>
            <w:r w:rsidR="00963518">
              <w:t xml:space="preserve"> на</w:t>
            </w:r>
            <w:r>
              <w:t xml:space="preserve"> жизнеспособни предприятия</w:t>
            </w:r>
            <w:r w:rsidR="00963518">
              <w:t>, което се доказва с</w:t>
            </w:r>
            <w:r>
              <w:t xml:space="preserve"> Бизнес план</w:t>
            </w:r>
            <w:r w:rsidR="00963518">
              <w:t>.</w:t>
            </w:r>
          </w:p>
        </w:tc>
      </w:tr>
      <w:tr w:rsidR="00D61CA5" w:rsidRPr="00431505" w:rsidTr="00C7533B">
        <w:trPr>
          <w:trHeight w:val="350"/>
        </w:trPr>
        <w:tc>
          <w:tcPr>
            <w:tcW w:w="458" w:type="dxa"/>
            <w:shd w:val="clear" w:color="auto" w:fill="auto"/>
          </w:tcPr>
          <w:p w:rsidR="00D61CA5" w:rsidRPr="00C7533B" w:rsidRDefault="00D61CA5" w:rsidP="00431505">
            <w:pPr>
              <w:jc w:val="both"/>
            </w:pPr>
            <w:r w:rsidRPr="00C7533B">
              <w:lastRenderedPageBreak/>
              <w:t>2.</w:t>
            </w:r>
          </w:p>
        </w:tc>
        <w:tc>
          <w:tcPr>
            <w:tcW w:w="1540" w:type="dxa"/>
            <w:shd w:val="clear" w:color="auto" w:fill="auto"/>
          </w:tcPr>
          <w:p w:rsidR="00D61CA5" w:rsidRPr="00C7533B" w:rsidRDefault="00C7533B" w:rsidP="00D61CA5">
            <w:pPr>
              <w:jc w:val="both"/>
            </w:pPr>
            <w:r>
              <w:t>Екип на „Левъридж консулт“</w:t>
            </w:r>
            <w:r w:rsidR="00D61CA5" w:rsidRPr="00C7533B">
              <w:t xml:space="preserve"> ООД</w:t>
            </w:r>
          </w:p>
          <w:p w:rsidR="00D61CA5" w:rsidRPr="00C7533B" w:rsidRDefault="00C7533B" w:rsidP="00C7533B">
            <w:pPr>
              <w:jc w:val="both"/>
            </w:pPr>
            <w:r>
              <w:t>гр. София 1680, ул. „</w:t>
            </w:r>
            <w:r w:rsidR="00D61CA5" w:rsidRPr="00C7533B">
              <w:t>Родопски  извор</w:t>
            </w:r>
            <w:r>
              <w:t>“</w:t>
            </w:r>
            <w:r w:rsidR="00D61CA5" w:rsidRPr="00C7533B">
              <w:t xml:space="preserve"> №24, офис 5</w:t>
            </w:r>
          </w:p>
        </w:tc>
        <w:tc>
          <w:tcPr>
            <w:tcW w:w="1620" w:type="dxa"/>
            <w:shd w:val="clear" w:color="auto" w:fill="auto"/>
          </w:tcPr>
          <w:p w:rsidR="00D61CA5" w:rsidRPr="00C7533B" w:rsidRDefault="00D61CA5" w:rsidP="00431505">
            <w:pPr>
              <w:jc w:val="both"/>
            </w:pPr>
            <w:r w:rsidRPr="00C7533B">
              <w:t>19.10.2020 г.</w:t>
            </w:r>
          </w:p>
        </w:tc>
        <w:tc>
          <w:tcPr>
            <w:tcW w:w="9928" w:type="dxa"/>
            <w:shd w:val="clear" w:color="auto" w:fill="auto"/>
          </w:tcPr>
          <w:p w:rsidR="00C7533B" w:rsidRPr="000F7486" w:rsidRDefault="00C7533B" w:rsidP="00C7533B">
            <w:pPr>
              <w:jc w:val="both"/>
              <w:rPr>
                <w:b/>
              </w:rPr>
            </w:pPr>
            <w:r w:rsidRPr="000F7486">
              <w:rPr>
                <w:b/>
              </w:rPr>
              <w:t>Първи коментар:</w:t>
            </w:r>
          </w:p>
          <w:p w:rsidR="00C7533B" w:rsidRDefault="00C7533B" w:rsidP="00C7533B">
            <w:pPr>
              <w:jc w:val="both"/>
            </w:pPr>
            <w:r>
              <w:t xml:space="preserve">Предлагаме документа „Определения за общи показатели“, описан в т. 7 Индикатори от УК, изготвен от Помощно звено за мониторинг и оценка в областта на рибарството и аквакултурата – FAME към Европейската комисия, които кандидатите могат да прочетат да бъде преведен на български език и същият да бъде включен в документи за информация към УК по процедурата. </w:t>
            </w:r>
          </w:p>
          <w:p w:rsidR="000F7486" w:rsidRDefault="000F7486" w:rsidP="00C7533B">
            <w:pPr>
              <w:jc w:val="both"/>
            </w:pPr>
          </w:p>
          <w:p w:rsidR="002C546F" w:rsidRDefault="002C546F" w:rsidP="00C7533B">
            <w:pPr>
              <w:jc w:val="both"/>
            </w:pPr>
          </w:p>
          <w:p w:rsidR="002C546F" w:rsidRDefault="002C546F" w:rsidP="00C7533B">
            <w:pPr>
              <w:jc w:val="both"/>
            </w:pPr>
          </w:p>
          <w:p w:rsidR="00A83900" w:rsidRDefault="00A83900" w:rsidP="00C7533B">
            <w:pPr>
              <w:jc w:val="both"/>
              <w:rPr>
                <w:b/>
              </w:rPr>
            </w:pPr>
          </w:p>
          <w:p w:rsidR="00C7533B" w:rsidRPr="000F7486" w:rsidRDefault="00C7533B" w:rsidP="00C7533B">
            <w:pPr>
              <w:jc w:val="both"/>
              <w:rPr>
                <w:b/>
              </w:rPr>
            </w:pPr>
            <w:r w:rsidRPr="000F7486">
              <w:rPr>
                <w:b/>
              </w:rPr>
              <w:t>Втори коментар:</w:t>
            </w:r>
          </w:p>
          <w:p w:rsidR="00C7533B" w:rsidRPr="00393DB2" w:rsidRDefault="00C7533B" w:rsidP="00C7533B">
            <w:pPr>
              <w:jc w:val="both"/>
            </w:pPr>
            <w:r>
              <w:t xml:space="preserve">Отново коментираме начина, по който се изчислява „Товароносимостта на </w:t>
            </w:r>
            <w:r>
              <w:lastRenderedPageBreak/>
              <w:t>специализираното транспортно средство“, а именно умножена по една трета от заложените работни дни в годината, не трябва да надвишава средногодишния производствен капацитет. Така разписана формула е неприложима за голяма част от транспортните средства, които биха могли да се използват.</w:t>
            </w:r>
            <w:r w:rsidR="001631F1">
              <w:t xml:space="preserve"> </w:t>
            </w:r>
            <w:r w:rsidRPr="00393DB2">
              <w:t>Предлагаме да се прецизира формулата.</w:t>
            </w:r>
          </w:p>
          <w:p w:rsidR="00393DB2" w:rsidRDefault="00393DB2" w:rsidP="00C7533B">
            <w:pPr>
              <w:jc w:val="both"/>
            </w:pPr>
          </w:p>
          <w:p w:rsidR="00C7533B" w:rsidRDefault="00C7533B" w:rsidP="00C7533B">
            <w:pPr>
              <w:jc w:val="both"/>
            </w:pPr>
            <w:r>
              <w:t>Предлагаме да се даде определение за „луксозни стоки“. Много често неяснотата около определението „луксозна стока“ е повод за неоснователни отхвърляния на проектни предложения. Предлагаме да се заложи например стойност, на която дадена стока да се категоризира като „луксозна“ за определен тип стоки, или друг начин, но да бъде ясно разписано.</w:t>
            </w:r>
          </w:p>
          <w:p w:rsidR="000F7486" w:rsidRDefault="000F7486" w:rsidP="00C7533B">
            <w:pPr>
              <w:jc w:val="both"/>
            </w:pPr>
          </w:p>
          <w:p w:rsidR="00351479" w:rsidRDefault="00351479" w:rsidP="00C7533B">
            <w:pPr>
              <w:jc w:val="both"/>
              <w:rPr>
                <w:b/>
              </w:rPr>
            </w:pPr>
          </w:p>
          <w:p w:rsidR="00351479" w:rsidRDefault="00351479" w:rsidP="00C7533B">
            <w:pPr>
              <w:jc w:val="both"/>
              <w:rPr>
                <w:b/>
              </w:rPr>
            </w:pPr>
          </w:p>
          <w:p w:rsidR="00351479" w:rsidRDefault="00351479" w:rsidP="00C7533B">
            <w:pPr>
              <w:jc w:val="both"/>
              <w:rPr>
                <w:b/>
              </w:rPr>
            </w:pPr>
          </w:p>
          <w:p w:rsidR="00351479" w:rsidRDefault="00351479" w:rsidP="00C7533B">
            <w:pPr>
              <w:jc w:val="both"/>
              <w:rPr>
                <w:b/>
              </w:rPr>
            </w:pPr>
          </w:p>
          <w:p w:rsidR="00351479" w:rsidRDefault="00351479"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351479" w:rsidRDefault="00351479" w:rsidP="00C7533B">
            <w:pPr>
              <w:jc w:val="both"/>
              <w:rPr>
                <w:b/>
              </w:rPr>
            </w:pPr>
          </w:p>
          <w:p w:rsidR="00351479" w:rsidRDefault="00351479"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A11C77" w:rsidRDefault="00A11C77" w:rsidP="00C7533B">
            <w:pPr>
              <w:jc w:val="both"/>
              <w:rPr>
                <w:b/>
              </w:rPr>
            </w:pPr>
          </w:p>
          <w:p w:rsidR="00C7533B" w:rsidRPr="000F7486" w:rsidRDefault="00C7533B" w:rsidP="00C7533B">
            <w:pPr>
              <w:jc w:val="both"/>
              <w:rPr>
                <w:b/>
              </w:rPr>
            </w:pPr>
            <w:r w:rsidRPr="000F7486">
              <w:rPr>
                <w:b/>
              </w:rPr>
              <w:lastRenderedPageBreak/>
              <w:t>Четвърти коментар:</w:t>
            </w:r>
          </w:p>
          <w:p w:rsidR="00C7533B" w:rsidRDefault="00C7533B" w:rsidP="00C7533B">
            <w:pPr>
              <w:jc w:val="both"/>
            </w:pPr>
            <w:r>
              <w:t>По отношение на изискването за оферентите и изискването за специфичен оборот, а именно:</w:t>
            </w:r>
          </w:p>
          <w:p w:rsidR="00C7533B" w:rsidRDefault="00C7533B" w:rsidP="00C7533B">
            <w:pPr>
              <w:jc w:val="both"/>
            </w:pPr>
            <w:r>
              <w:t>„…Справката трябва да е придружена от Отчет за приходите и разходите за последните три приключили финансови години, в зависимост от датата на която оферентът е учреден или е започнал дейността си, и годишни финансови отчети….“</w:t>
            </w:r>
          </w:p>
          <w:p w:rsidR="00C7533B" w:rsidRDefault="00C7533B" w:rsidP="00C7533B">
            <w:pPr>
              <w:jc w:val="both"/>
            </w:pPr>
            <w:r>
              <w:t>Предлагаме текста да бъде по следния начин</w:t>
            </w:r>
          </w:p>
          <w:p w:rsidR="00C7533B" w:rsidRDefault="00C7533B" w:rsidP="00C7533B">
            <w:pPr>
              <w:jc w:val="both"/>
            </w:pPr>
            <w:r>
              <w:t>„…Справката трябва да е придружена от Отчет за приходите и разходите за една от последните три приключили финансови години, в зависимост от датата на която оферентът е учреден или е започнал дейността си, или от три финансови години при кумулативно доказване на оборота…“</w:t>
            </w:r>
          </w:p>
          <w:p w:rsidR="00C7533B" w:rsidRDefault="00C7533B" w:rsidP="00C7533B">
            <w:pPr>
              <w:jc w:val="both"/>
            </w:pPr>
            <w:r>
              <w:t xml:space="preserve">Пак коментираме, че Отчета за приходи и разходи е част от годишни финансови отчети, и информацията се припокрива. В другите части на ГФО няма информация за оборота на оферента, която експертите от УО на ПМДР могат да ползват. </w:t>
            </w:r>
          </w:p>
          <w:p w:rsidR="000F7486" w:rsidRDefault="000F7486" w:rsidP="00C7533B">
            <w:pPr>
              <w:jc w:val="both"/>
            </w:pPr>
          </w:p>
          <w:p w:rsidR="00C7533B" w:rsidRPr="000F7486" w:rsidRDefault="00C7533B" w:rsidP="00C7533B">
            <w:pPr>
              <w:jc w:val="both"/>
              <w:rPr>
                <w:b/>
              </w:rPr>
            </w:pPr>
            <w:r w:rsidRPr="000F7486">
              <w:rPr>
                <w:b/>
              </w:rPr>
              <w:t>Трети коментар:</w:t>
            </w:r>
          </w:p>
          <w:p w:rsidR="00C7533B" w:rsidRDefault="00C7533B" w:rsidP="00C7533B">
            <w:pPr>
              <w:jc w:val="both"/>
            </w:pPr>
            <w:r>
              <w:t>По отношение на т 24. Списък на документите, които се подават на етап кандидатстване от УК, коментираме следният документ:</w:t>
            </w:r>
          </w:p>
          <w:p w:rsidR="00C7533B" w:rsidRDefault="00C7533B" w:rsidP="00C7533B">
            <w:pPr>
              <w:jc w:val="both"/>
            </w:pPr>
            <w:r>
              <w:t>„…14. 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 2020…“</w:t>
            </w:r>
          </w:p>
          <w:p w:rsidR="00D61CA5" w:rsidRDefault="00C7533B" w:rsidP="00C7533B">
            <w:pPr>
              <w:jc w:val="both"/>
            </w:pPr>
            <w:r>
              <w:lastRenderedPageBreak/>
              <w:t>Предлагаме да отпадне, тъй като изцяло припокрива и</w:t>
            </w:r>
            <w:r w:rsidR="003C6A3A">
              <w:t>нформацията от Бизнес плана, и у</w:t>
            </w:r>
            <w:r>
              <w:t>тежнява административната тежест.</w:t>
            </w:r>
          </w:p>
          <w:p w:rsidR="00393DB2" w:rsidRDefault="00393DB2" w:rsidP="00C7533B">
            <w:pPr>
              <w:jc w:val="both"/>
            </w:pPr>
          </w:p>
        </w:tc>
        <w:tc>
          <w:tcPr>
            <w:tcW w:w="2374" w:type="dxa"/>
            <w:shd w:val="clear" w:color="auto" w:fill="auto"/>
          </w:tcPr>
          <w:p w:rsidR="00D61CA5" w:rsidRDefault="00963518" w:rsidP="00431505">
            <w:pPr>
              <w:jc w:val="both"/>
              <w:rPr>
                <w:b/>
              </w:rPr>
            </w:pPr>
            <w:r w:rsidRPr="00963518">
              <w:rPr>
                <w:b/>
              </w:rPr>
              <w:lastRenderedPageBreak/>
              <w:t>Не се приема</w:t>
            </w:r>
            <w:r>
              <w:rPr>
                <w:b/>
              </w:rPr>
              <w:t xml:space="preserve">. </w:t>
            </w:r>
          </w:p>
          <w:p w:rsidR="001631F1" w:rsidRDefault="00963518" w:rsidP="00A83900">
            <w:pPr>
              <w:jc w:val="both"/>
            </w:pPr>
            <w:r w:rsidRPr="002C546F">
              <w:t xml:space="preserve">Ръководството е </w:t>
            </w:r>
            <w:r w:rsidR="00965A0D">
              <w:t xml:space="preserve">информативно. При неразбиране от страна на кандидат </w:t>
            </w:r>
            <w:r w:rsidR="00A83900">
              <w:t xml:space="preserve">по отношение на конкретен текст от указанието, то той може да </w:t>
            </w:r>
            <w:r w:rsidR="00A83900" w:rsidRPr="00A83900">
              <w:t>иска разяснения във връзка с Условията за кандидатстване до 3 седмици преди крайния срок за подаване на проектни предложения</w:t>
            </w:r>
            <w:r w:rsidR="00A83900">
              <w:t>.</w:t>
            </w:r>
          </w:p>
          <w:p w:rsidR="001631F1" w:rsidRDefault="001631F1" w:rsidP="002C546F">
            <w:pPr>
              <w:jc w:val="both"/>
            </w:pPr>
          </w:p>
          <w:p w:rsidR="001631F1" w:rsidRPr="00E25F19" w:rsidRDefault="00E25F19" w:rsidP="002C546F">
            <w:pPr>
              <w:jc w:val="both"/>
              <w:rPr>
                <w:b/>
              </w:rPr>
            </w:pPr>
            <w:r w:rsidRPr="00E25F19">
              <w:rPr>
                <w:b/>
              </w:rPr>
              <w:t>Не се приема.</w:t>
            </w:r>
          </w:p>
          <w:p w:rsidR="00E25F19" w:rsidRDefault="00E25F19" w:rsidP="002C546F">
            <w:pPr>
              <w:jc w:val="both"/>
            </w:pPr>
            <w:r>
              <w:t xml:space="preserve">Не е направено конкретно </w:t>
            </w:r>
            <w:r>
              <w:lastRenderedPageBreak/>
              <w:t>предложение за прецизиране.</w:t>
            </w:r>
          </w:p>
          <w:p w:rsidR="001631F1" w:rsidRDefault="001631F1" w:rsidP="002C546F">
            <w:pPr>
              <w:jc w:val="both"/>
            </w:pPr>
          </w:p>
          <w:p w:rsidR="001631F1" w:rsidRDefault="001631F1" w:rsidP="002C546F">
            <w:pPr>
              <w:jc w:val="both"/>
            </w:pPr>
          </w:p>
          <w:p w:rsidR="00A11C77" w:rsidRDefault="00A11C77" w:rsidP="002C546F">
            <w:pPr>
              <w:jc w:val="both"/>
            </w:pPr>
          </w:p>
          <w:p w:rsidR="00A11C77" w:rsidRDefault="00A11C77" w:rsidP="002C546F">
            <w:pPr>
              <w:jc w:val="both"/>
            </w:pPr>
          </w:p>
          <w:p w:rsidR="00A11C77" w:rsidRDefault="00A11C77" w:rsidP="002C546F">
            <w:pPr>
              <w:jc w:val="both"/>
            </w:pPr>
          </w:p>
          <w:p w:rsidR="001631F1" w:rsidRPr="006543F9" w:rsidRDefault="001631F1" w:rsidP="006543F9">
            <w:pPr>
              <w:jc w:val="both"/>
              <w:rPr>
                <w:b/>
              </w:rPr>
            </w:pPr>
            <w:r w:rsidRPr="006543F9">
              <w:rPr>
                <w:b/>
              </w:rPr>
              <w:t>Приема се.</w:t>
            </w:r>
          </w:p>
          <w:p w:rsidR="006543F9" w:rsidRDefault="009F34E5" w:rsidP="00A83900">
            <w:pPr>
              <w:jc w:val="both"/>
            </w:pPr>
            <w:r>
              <w:t>В У</w:t>
            </w:r>
            <w:r w:rsidR="001631F1">
              <w:t xml:space="preserve">словията за кандидатстване </w:t>
            </w:r>
            <w:r>
              <w:t>е н</w:t>
            </w:r>
            <w:r w:rsidRPr="009F34E5">
              <w:t xml:space="preserve">едопустимо на луксозни стоки. </w:t>
            </w:r>
            <w:r w:rsidR="006543F9" w:rsidRPr="006543F9">
              <w:t>Луксозни стоки и екстри са тези</w:t>
            </w:r>
            <w:r w:rsidR="006543F9">
              <w:t>,</w:t>
            </w:r>
            <w:r w:rsidR="006543F9" w:rsidRPr="006543F9">
              <w:t xml:space="preserve"> при които не е спазен  принципът на икономичност, ефикасност и ефективност.</w:t>
            </w:r>
          </w:p>
          <w:p w:rsidR="00571218" w:rsidRPr="006543F9" w:rsidRDefault="00571218" w:rsidP="00A83900">
            <w:pPr>
              <w:jc w:val="both"/>
            </w:pPr>
            <w:r w:rsidRPr="009F34E5">
              <w:t xml:space="preserve">При съмнение дали даден актив/и представлява/т „луксозна стока“, които не са допустими за финансиране по линия на ЕФМДР,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w:t>
            </w:r>
            <w:r w:rsidRPr="009F34E5">
              <w:lastRenderedPageBreak/>
              <w:t>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 УО има предвид фактът, че всеки производител се стреми да представи своите продукти по възможно най-добрият и конкурентен начин, което е възможно да доведе до възприемането на продукта като луксозен. За да се избегне субективното и необосновано квалифициране на даден продукт като такъв, оценителната комисия ще взема решенията за това дали даден актив/стока са луксозни максимално прозрачно, прилагайки единен подход към всички кандидати.</w:t>
            </w:r>
          </w:p>
          <w:p w:rsidR="001631F1" w:rsidRDefault="001631F1" w:rsidP="002C546F">
            <w:pPr>
              <w:jc w:val="both"/>
            </w:pPr>
            <w:r>
              <w:t xml:space="preserve"> </w:t>
            </w:r>
          </w:p>
          <w:p w:rsidR="002A1BCE" w:rsidRDefault="002A1BCE" w:rsidP="002C546F">
            <w:pPr>
              <w:jc w:val="both"/>
            </w:pPr>
          </w:p>
          <w:p w:rsidR="001631F1" w:rsidRPr="005A61A3" w:rsidRDefault="000F1C8E" w:rsidP="002C546F">
            <w:pPr>
              <w:jc w:val="both"/>
              <w:rPr>
                <w:b/>
              </w:rPr>
            </w:pPr>
            <w:r w:rsidRPr="005A61A3">
              <w:rPr>
                <w:b/>
              </w:rPr>
              <w:lastRenderedPageBreak/>
              <w:t>П</w:t>
            </w:r>
            <w:r w:rsidR="00BE4723" w:rsidRPr="005A61A3">
              <w:rPr>
                <w:b/>
              </w:rPr>
              <w:t>риема</w:t>
            </w:r>
            <w:r w:rsidR="003C59A7" w:rsidRPr="005A61A3">
              <w:rPr>
                <w:b/>
              </w:rPr>
              <w:t xml:space="preserve"> се</w:t>
            </w:r>
            <w:r w:rsidR="00BE4723" w:rsidRPr="005A61A3">
              <w:rPr>
                <w:b/>
              </w:rPr>
              <w:t>.</w:t>
            </w:r>
          </w:p>
          <w:p w:rsidR="001631F1" w:rsidRDefault="000F1C8E" w:rsidP="002C546F">
            <w:pPr>
              <w:jc w:val="both"/>
            </w:pPr>
            <w:r w:rsidRPr="005A61A3">
              <w:t>Нанесени са корекции в УК, изискването за ГФО</w:t>
            </w:r>
            <w:r w:rsidR="005A61A3">
              <w:t xml:space="preserve"> за оферентите</w:t>
            </w:r>
            <w:r w:rsidRPr="005A61A3">
              <w:t xml:space="preserve"> отпада.</w:t>
            </w:r>
          </w:p>
          <w:p w:rsidR="001631F1" w:rsidRDefault="001631F1"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rPr>
                <w:color w:val="FF0000"/>
              </w:rPr>
            </w:pPr>
          </w:p>
          <w:p w:rsidR="000F1C8E" w:rsidRDefault="000F1C8E" w:rsidP="002C546F">
            <w:pPr>
              <w:jc w:val="both"/>
            </w:pPr>
          </w:p>
          <w:p w:rsidR="00B83CC7" w:rsidRPr="00B83CC7" w:rsidRDefault="00B83CC7" w:rsidP="00B83CC7">
            <w:pPr>
              <w:jc w:val="both"/>
              <w:rPr>
                <w:b/>
              </w:rPr>
            </w:pPr>
            <w:r w:rsidRPr="00B83CC7">
              <w:rPr>
                <w:b/>
              </w:rPr>
              <w:t>Не се приема.</w:t>
            </w:r>
          </w:p>
          <w:p w:rsidR="001631F1" w:rsidRPr="002C546F" w:rsidRDefault="00B83CC7" w:rsidP="00B83CC7">
            <w:pPr>
              <w:jc w:val="both"/>
            </w:pPr>
            <w:r w:rsidRPr="002A059F">
              <w:t xml:space="preserve">Финансовият план е задължително изискуем документ с оглед доказване на финансовия капацитет на кандидата за изпълнение на проекта, включващ етапи на </w:t>
            </w:r>
            <w:r w:rsidRPr="002A059F">
              <w:lastRenderedPageBreak/>
              <w:t>изпълнение и източници за финансиране на всеки един етап от проектното предложение</w:t>
            </w:r>
            <w:r w:rsidRPr="006422EA">
              <w:t xml:space="preserve"> </w:t>
            </w:r>
          </w:p>
        </w:tc>
      </w:tr>
      <w:tr w:rsidR="000F7486" w:rsidRPr="003C6A3A" w:rsidTr="00C7533B">
        <w:trPr>
          <w:trHeight w:val="350"/>
        </w:trPr>
        <w:tc>
          <w:tcPr>
            <w:tcW w:w="458" w:type="dxa"/>
            <w:shd w:val="clear" w:color="auto" w:fill="auto"/>
          </w:tcPr>
          <w:p w:rsidR="000F7486" w:rsidRPr="00C7533B" w:rsidRDefault="000F7486" w:rsidP="00431505">
            <w:pPr>
              <w:jc w:val="both"/>
            </w:pPr>
            <w:r>
              <w:lastRenderedPageBreak/>
              <w:t>3.</w:t>
            </w:r>
          </w:p>
        </w:tc>
        <w:tc>
          <w:tcPr>
            <w:tcW w:w="1540" w:type="dxa"/>
            <w:shd w:val="clear" w:color="auto" w:fill="auto"/>
          </w:tcPr>
          <w:p w:rsidR="000F7486" w:rsidRDefault="003C6A3A" w:rsidP="00D61CA5">
            <w:pPr>
              <w:jc w:val="both"/>
            </w:pPr>
            <w:r w:rsidRPr="003C6A3A">
              <w:t xml:space="preserve">Д-р Йордан Господинов, Изпълнителен директор и представляващ АПРП </w:t>
            </w:r>
            <w:r>
              <w:t>„</w:t>
            </w:r>
            <w:r w:rsidRPr="003C6A3A">
              <w:t>БГ ФИШ</w:t>
            </w:r>
            <w:r>
              <w:t>“</w:t>
            </w:r>
          </w:p>
        </w:tc>
        <w:tc>
          <w:tcPr>
            <w:tcW w:w="1620" w:type="dxa"/>
            <w:shd w:val="clear" w:color="auto" w:fill="auto"/>
          </w:tcPr>
          <w:p w:rsidR="000F7486" w:rsidRPr="00C7533B" w:rsidRDefault="003C6A3A" w:rsidP="00431505">
            <w:pPr>
              <w:jc w:val="both"/>
            </w:pPr>
            <w:r>
              <w:t>20.10.2020 г.</w:t>
            </w:r>
          </w:p>
        </w:tc>
        <w:tc>
          <w:tcPr>
            <w:tcW w:w="9928" w:type="dxa"/>
            <w:shd w:val="clear" w:color="auto" w:fill="auto"/>
          </w:tcPr>
          <w:p w:rsidR="001A4A6C" w:rsidRDefault="001A4A6C" w:rsidP="001A4A6C">
            <w:pPr>
              <w:jc w:val="both"/>
            </w:pPr>
            <w:r>
              <w:t>1 .По отношение на т. 24. „Списък на документите, които се</w:t>
            </w:r>
            <w:r w:rsidR="00393DB2">
              <w:t xml:space="preserve"> подават на етап кандидатстване“</w:t>
            </w:r>
            <w:r>
              <w:t xml:space="preserve">  документ № 5 от Условията за кандидатстване е записано: „Документ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Документът с</w:t>
            </w:r>
            <w:r w:rsidR="00393DB2">
              <w:t>ледва да е прикачен в ИСУН 2020“</w:t>
            </w:r>
            <w:r>
              <w:t xml:space="preserve">. </w:t>
            </w:r>
          </w:p>
          <w:p w:rsidR="00393DB2" w:rsidRDefault="00393DB2" w:rsidP="001A4A6C">
            <w:pPr>
              <w:jc w:val="both"/>
            </w:pPr>
          </w:p>
          <w:p w:rsidR="000F7486" w:rsidRPr="003C6A3A" w:rsidRDefault="001A4A6C" w:rsidP="001A4A6C">
            <w:pPr>
              <w:jc w:val="both"/>
            </w:pPr>
            <w:r>
              <w:t>Ако се приеме хипотезата, че в случаите, в които ПП включва СМР е правилна и срокът на договорите за наем трябва да бъдат със „срок не по – малък от 8 год</w:t>
            </w:r>
            <w:r w:rsidR="00393DB2">
              <w:t>ини от датата на кандидатстване“</w:t>
            </w:r>
            <w:r>
              <w:t xml:space="preserve">, тъй като мониторинговият период на всяко изпълнено ПП е 5 годишен, срокът за изпълнение на </w:t>
            </w:r>
            <w:r>
              <w:lastRenderedPageBreak/>
              <w:t>проекта е 24 месеца, а сроковете по процедурите за оценка и одобрение определени в чл. 29 до чл. 38, включително от ЗУСЕСИВ, могат да бъдат приети условно за 12 месеца, т.е. сборът от целия период е 94 месеца или 8 години, то в случаите на изпълнение на ПП включващи само доставка на машини и оборудване срокът за изпълнение на ПП е 12 месеца като общият сбор на целия период би следвало да бъде изчислен на 84 месеца или 7 години валидност на договори за наем. По този начин няма да бъдат налагани ограничителни условия на бенефициенти, чиито договори за наем вече са подписани и срокът на действие вече тече. Освен това трябва да се има в предвид и фактът, че съгласно чл.</w:t>
            </w:r>
            <w:r w:rsidR="00393DB2">
              <w:t xml:space="preserve"> </w:t>
            </w:r>
            <w:r>
              <w:t>55, ал.</w:t>
            </w:r>
            <w:r w:rsidR="00393DB2">
              <w:t xml:space="preserve"> </w:t>
            </w:r>
            <w:r>
              <w:t>1 от Закона за корпоративно подоходно облагане годишната амортизационна норма за категория II - машини, производст</w:t>
            </w:r>
            <w:r w:rsidR="00393DB2">
              <w:t>вено оборудване, апаратура е 30</w:t>
            </w:r>
            <w:r>
              <w:t>%. В този случай амортизирането на активите е даже преди изтичане на срока за мониторинг.</w:t>
            </w:r>
          </w:p>
        </w:tc>
        <w:tc>
          <w:tcPr>
            <w:tcW w:w="2374" w:type="dxa"/>
            <w:shd w:val="clear" w:color="auto" w:fill="auto"/>
          </w:tcPr>
          <w:p w:rsidR="00B83CC7" w:rsidRPr="00B83CC7" w:rsidRDefault="00B83CC7" w:rsidP="00B83CC7">
            <w:pPr>
              <w:jc w:val="both"/>
              <w:rPr>
                <w:b/>
              </w:rPr>
            </w:pPr>
            <w:r w:rsidRPr="00B83CC7">
              <w:rPr>
                <w:b/>
              </w:rPr>
              <w:lastRenderedPageBreak/>
              <w:t xml:space="preserve">Приема се. </w:t>
            </w:r>
          </w:p>
          <w:p w:rsidR="000F7486" w:rsidRPr="003C6A3A" w:rsidRDefault="000F7486" w:rsidP="00E742B3">
            <w:pPr>
              <w:jc w:val="both"/>
            </w:pPr>
          </w:p>
        </w:tc>
      </w:tr>
    </w:tbl>
    <w:p w:rsidR="00F0188E" w:rsidRPr="00112269" w:rsidRDefault="00F0188E" w:rsidP="00F0188E">
      <w:pPr>
        <w:jc w:val="both"/>
        <w:rPr>
          <w:rFonts w:ascii="Verdana" w:hAnsi="Verdana" w:cs="Tahoma"/>
          <w:sz w:val="16"/>
          <w:szCs w:val="16"/>
        </w:rPr>
      </w:pPr>
    </w:p>
    <w:p w:rsidR="00CA374E" w:rsidRPr="00112269" w:rsidRDefault="00CA374E" w:rsidP="00F0188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052A4A" w:rsidRPr="00052A4A" w:rsidRDefault="00CA374E" w:rsidP="00CA374E">
      <w:pPr>
        <w:jc w:val="both"/>
        <w:rPr>
          <w:b/>
        </w:rPr>
      </w:pPr>
      <w:r w:rsidRPr="00052A4A">
        <w:rPr>
          <w:b/>
        </w:rPr>
        <w:t xml:space="preserve">Одобрил:        </w:t>
      </w:r>
    </w:p>
    <w:p w:rsidR="00803C81" w:rsidRDefault="00CA374E" w:rsidP="00CA374E">
      <w:pPr>
        <w:jc w:val="both"/>
        <w:rPr>
          <w:rFonts w:ascii="Verdana" w:hAnsi="Verdana" w:cs="Tahoma"/>
          <w:sz w:val="16"/>
          <w:szCs w:val="16"/>
        </w:rPr>
      </w:pPr>
      <w:r w:rsidRPr="00112269">
        <w:rPr>
          <w:rFonts w:ascii="Verdana" w:hAnsi="Verdana" w:cs="Tahoma"/>
          <w:sz w:val="16"/>
          <w:szCs w:val="16"/>
        </w:rPr>
        <w:t xml:space="preserve"> </w:t>
      </w:r>
      <w:r w:rsidR="00E428A1">
        <w:rPr>
          <w:rFonts w:ascii="Verdana" w:hAnsi="Verdana" w:cs="Tahoma"/>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424722CA-84EA-4CB0-A5FD-8616B0DBFEF6}" provid="{00000000-0000-0000-0000-000000000000}" o:suggestedsigner="Д-Р ЛОЗАНА ВАСИЛЕВА" o:suggestedsigner2="ЗАМЕСТНИК-МИНИСТЪР НА МЗХГ И РУО НА ПМДР 2014-2020" issignatureline="t"/>
          </v:shape>
        </w:pict>
      </w:r>
    </w:p>
    <w:p w:rsidR="00803C81" w:rsidRDefault="00803C81" w:rsidP="00CA374E">
      <w:pPr>
        <w:jc w:val="both"/>
        <w:rPr>
          <w:rFonts w:ascii="Verdana" w:hAnsi="Verdana" w:cs="Tahoma"/>
          <w:sz w:val="16"/>
          <w:szCs w:val="16"/>
        </w:rPr>
      </w:pPr>
    </w:p>
    <w:p w:rsidR="00052A4A" w:rsidRDefault="00052A4A" w:rsidP="00CA374E">
      <w:pPr>
        <w:jc w:val="both"/>
        <w:rPr>
          <w:rFonts w:ascii="Verdana" w:hAnsi="Verdana" w:cs="Tahoma"/>
          <w:sz w:val="16"/>
          <w:szCs w:val="16"/>
        </w:rPr>
      </w:pPr>
    </w:p>
    <w:p w:rsidR="00CA374E" w:rsidRPr="00052A4A" w:rsidRDefault="00052A4A" w:rsidP="00CA374E">
      <w:pPr>
        <w:jc w:val="both"/>
        <w:rPr>
          <w:b/>
        </w:rPr>
      </w:pPr>
      <w:r w:rsidRPr="00052A4A">
        <w:rPr>
          <w:b/>
        </w:rPr>
        <w:t xml:space="preserve">Съгласувал:       </w:t>
      </w:r>
      <w:r w:rsidR="00803C81" w:rsidRPr="00052A4A">
        <w:rPr>
          <w:b/>
        </w:rPr>
        <w:tab/>
      </w:r>
      <w:r w:rsidR="00803C81" w:rsidRPr="00052A4A">
        <w:rPr>
          <w:b/>
        </w:rPr>
        <w:tab/>
      </w:r>
      <w:r w:rsidR="004145C4" w:rsidRPr="00052A4A">
        <w:rPr>
          <w:b/>
        </w:rPr>
        <w:t xml:space="preserve"> </w:t>
      </w:r>
      <w:r w:rsidR="00CA374E" w:rsidRPr="00112269">
        <w:rPr>
          <w:rFonts w:ascii="Verdana" w:hAnsi="Verdana" w:cs="Tahoma"/>
          <w:sz w:val="16"/>
          <w:szCs w:val="16"/>
        </w:rPr>
        <w:t xml:space="preserve">       </w:t>
      </w:r>
    </w:p>
    <w:p w:rsidR="00F0188E" w:rsidRPr="00112269" w:rsidRDefault="00F0188E" w:rsidP="00F0188E">
      <w:pPr>
        <w:jc w:val="both"/>
        <w:rPr>
          <w:rFonts w:ascii="Verdana" w:hAnsi="Verdana" w:cs="Tahoma"/>
          <w:sz w:val="16"/>
          <w:szCs w:val="16"/>
        </w:rPr>
      </w:pPr>
    </w:p>
    <w:p w:rsidR="00803C81" w:rsidRDefault="00E428A1" w:rsidP="00B746EC">
      <w:pPr>
        <w:jc w:val="both"/>
        <w:rPr>
          <w:rFonts w:ascii="Verdana" w:hAnsi="Verdana" w:cs="Tahoma"/>
          <w:sz w:val="16"/>
          <w:szCs w:val="16"/>
        </w:rPr>
      </w:pPr>
      <w:r>
        <w:rPr>
          <w:rFonts w:ascii="Verdana" w:hAnsi="Verdana" w:cs="Tahoma"/>
          <w:sz w:val="16"/>
          <w:szCs w:val="16"/>
        </w:rPr>
        <w:pict>
          <v:shape id="_x0000_i1026" type="#_x0000_t75" alt="Microsoft Office Signature Line..." style="width:192pt;height:96pt">
            <v:imagedata r:id="rId8" o:title=""/>
            <o:lock v:ext="edit" ungrouping="t" rotation="t" cropping="t" verticies="t" text="t" grouping="t"/>
            <o:signatureline v:ext="edit" id="{B8EB4C0D-B451-48F3-9ECD-5E8D987928E7}" provid="{00000000-0000-0000-0000-000000000000}" o:suggestedsigner="СТОЯН КОТОВ" o:suggestedsigner2="ДИРЕКТОР НА ДИРЕКЦИЯ МДР" issignatureline="t"/>
          </v:shape>
        </w:pict>
      </w:r>
    </w:p>
    <w:p w:rsidR="00877530" w:rsidRDefault="00E80C74" w:rsidP="00B746EC">
      <w:pPr>
        <w:jc w:val="both"/>
        <w:rPr>
          <w:rFonts w:ascii="Verdana" w:hAnsi="Verdana"/>
          <w:sz w:val="16"/>
          <w:szCs w:val="16"/>
        </w:rPr>
      </w:pPr>
      <w:r>
        <w:rPr>
          <w:rFonts w:ascii="Verdana" w:hAnsi="Verdana" w:cs="Tahoma"/>
          <w:sz w:val="16"/>
          <w:szCs w:val="16"/>
        </w:rPr>
        <w:t xml:space="preserve">    </w:t>
      </w:r>
    </w:p>
    <w:p w:rsidR="00877530" w:rsidRDefault="00780350" w:rsidP="00877530">
      <w:pPr>
        <w:jc w:val="both"/>
        <w:rPr>
          <w:rFonts w:ascii="Verdana" w:hAnsi="Verdana"/>
          <w:color w:val="999999"/>
          <w:sz w:val="16"/>
          <w:szCs w:val="16"/>
        </w:rPr>
      </w:pPr>
      <w:r>
        <w:rPr>
          <w:rFonts w:ascii="Verdana" w:hAnsi="Verdana"/>
          <w:color w:val="999999"/>
          <w:sz w:val="16"/>
          <w:szCs w:val="16"/>
        </w:rPr>
        <w:t xml:space="preserve">       </w:t>
      </w:r>
      <w:r>
        <w:rPr>
          <w:rFonts w:ascii="Verdana" w:hAnsi="Verdana"/>
          <w:color w:val="999999"/>
          <w:sz w:val="16"/>
          <w:szCs w:val="16"/>
        </w:rPr>
        <w:tab/>
      </w:r>
      <w:r>
        <w:rPr>
          <w:rFonts w:ascii="Verdana" w:hAnsi="Verdana"/>
          <w:color w:val="999999"/>
          <w:sz w:val="16"/>
          <w:szCs w:val="16"/>
        </w:rPr>
        <w:tab/>
        <w:t xml:space="preserve">  </w:t>
      </w:r>
      <w:r w:rsidR="00E80C74">
        <w:rPr>
          <w:rFonts w:ascii="Verdana" w:hAnsi="Verdana"/>
          <w:color w:val="999999"/>
          <w:sz w:val="16"/>
          <w:szCs w:val="16"/>
        </w:rPr>
        <w:t xml:space="preserve">   </w:t>
      </w:r>
      <w:r>
        <w:rPr>
          <w:rFonts w:ascii="Verdana" w:hAnsi="Verdana"/>
          <w:color w:val="999999"/>
          <w:sz w:val="16"/>
          <w:szCs w:val="16"/>
        </w:rPr>
        <w:t xml:space="preserve"> </w:t>
      </w:r>
    </w:p>
    <w:p w:rsidR="0017293A" w:rsidRPr="00452B14" w:rsidRDefault="0017293A" w:rsidP="0017293A">
      <w:pPr>
        <w:ind w:left="1416"/>
        <w:jc w:val="both"/>
        <w:rPr>
          <w:rFonts w:ascii="Verdana" w:hAnsi="Verdana"/>
          <w:sz w:val="16"/>
          <w:szCs w:val="16"/>
          <w:lang w:val="ru-RU"/>
        </w:rPr>
      </w:pPr>
      <w:r>
        <w:rPr>
          <w:rFonts w:ascii="Verdana" w:hAnsi="Verdana" w:cs="Tahoma"/>
          <w:sz w:val="16"/>
          <w:szCs w:val="16"/>
        </w:rPr>
        <w:t xml:space="preserve">  </w:t>
      </w:r>
    </w:p>
    <w:p w:rsidR="00F0188E" w:rsidRDefault="0017293A" w:rsidP="005E51BF">
      <w:pPr>
        <w:jc w:val="both"/>
        <w:rPr>
          <w:rFonts w:ascii="Verdana" w:hAnsi="Verdana" w:cs="Tahoma"/>
          <w:sz w:val="16"/>
          <w:szCs w:val="16"/>
          <w:lang w:val="en-US"/>
        </w:rPr>
      </w:pPr>
      <w:r>
        <w:rPr>
          <w:rFonts w:ascii="Verdana" w:hAnsi="Verdana"/>
          <w:color w:val="999999"/>
          <w:sz w:val="16"/>
          <w:szCs w:val="16"/>
        </w:rPr>
        <w:t xml:space="preserve">       </w:t>
      </w:r>
      <w:r>
        <w:rPr>
          <w:rFonts w:ascii="Verdana" w:hAnsi="Verdana"/>
          <w:color w:val="999999"/>
          <w:sz w:val="16"/>
          <w:szCs w:val="16"/>
        </w:rPr>
        <w:tab/>
      </w:r>
      <w:r>
        <w:rPr>
          <w:rFonts w:ascii="Verdana" w:hAnsi="Verdana"/>
          <w:color w:val="999999"/>
          <w:sz w:val="16"/>
          <w:szCs w:val="16"/>
        </w:rPr>
        <w:tab/>
      </w:r>
    </w:p>
    <w:p w:rsidR="00452B14" w:rsidRPr="00112269" w:rsidRDefault="00452B14" w:rsidP="00452B14">
      <w:pPr>
        <w:ind w:left="1701"/>
        <w:jc w:val="both"/>
        <w:rPr>
          <w:rFonts w:ascii="Verdana" w:hAnsi="Verdana" w:cs="Tahoma"/>
          <w:sz w:val="16"/>
          <w:szCs w:val="16"/>
        </w:rPr>
      </w:pPr>
    </w:p>
    <w:p w:rsidR="00452B14" w:rsidRPr="00452B14" w:rsidRDefault="00452B14" w:rsidP="00F0188E">
      <w:pPr>
        <w:ind w:left="1701"/>
        <w:jc w:val="both"/>
        <w:rPr>
          <w:rFonts w:ascii="Verdana" w:hAnsi="Verdana" w:cs="Tahoma"/>
          <w:sz w:val="16"/>
          <w:szCs w:val="16"/>
          <w:lang w:val="en-US"/>
        </w:rPr>
      </w:pPr>
    </w:p>
    <w:sectPr w:rsidR="00452B14" w:rsidRPr="00452B14" w:rsidSect="00982D3C">
      <w:headerReference w:type="default" r:id="rId9"/>
      <w:pgSz w:w="16838" w:h="11906" w:orient="landscape"/>
      <w:pgMar w:top="2521"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5D" w:rsidRDefault="008F445D">
      <w:r>
        <w:separator/>
      </w:r>
    </w:p>
  </w:endnote>
  <w:endnote w:type="continuationSeparator" w:id="0">
    <w:p w:rsidR="008F445D" w:rsidRDefault="008F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5D" w:rsidRDefault="008F445D">
      <w:r>
        <w:separator/>
      </w:r>
    </w:p>
  </w:footnote>
  <w:footnote w:type="continuationSeparator" w:id="0">
    <w:p w:rsidR="008F445D" w:rsidRDefault="008F44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14" w:rsidRDefault="00452B14" w:rsidP="00452B14">
    <w:pPr>
      <w:pStyle w:val="ListParagraph"/>
      <w:rPr>
        <w:lang w:val="en-US"/>
      </w:rPr>
    </w:pPr>
  </w:p>
  <w:tbl>
    <w:tblPr>
      <w:tblW w:w="15820" w:type="dxa"/>
      <w:jc w:val="center"/>
      <w:tblLayout w:type="fixed"/>
      <w:tblCellMar>
        <w:left w:w="0" w:type="dxa"/>
        <w:right w:w="0" w:type="dxa"/>
      </w:tblCellMar>
      <w:tblLook w:val="04A0" w:firstRow="1" w:lastRow="0" w:firstColumn="1" w:lastColumn="0" w:noHBand="0" w:noVBand="1"/>
    </w:tblPr>
    <w:tblGrid>
      <w:gridCol w:w="3568"/>
      <w:gridCol w:w="2160"/>
      <w:gridCol w:w="6210"/>
      <w:gridCol w:w="3882"/>
    </w:tblGrid>
    <w:tr w:rsidR="009370D1" w:rsidRPr="009370D1" w:rsidTr="00A11C77">
      <w:trPr>
        <w:trHeight w:val="997"/>
        <w:tblHeader/>
        <w:jc w:val="center"/>
      </w:trPr>
      <w:tc>
        <w:tcPr>
          <w:tcW w:w="3568" w:type="dxa"/>
          <w:vMerge w:val="restart"/>
          <w:tcBorders>
            <w:top w:val="single" w:sz="4" w:space="0" w:color="auto"/>
            <w:left w:val="single" w:sz="2" w:space="0" w:color="000000"/>
            <w:right w:val="nil"/>
          </w:tcBorders>
          <w:vAlign w:val="center"/>
        </w:tcPr>
        <w:p w:rsidR="00310D8B" w:rsidRDefault="006858DB" w:rsidP="00310D8B">
          <w:pPr>
            <w:widowControl w:val="0"/>
            <w:suppressLineNumbers/>
            <w:suppressAutoHyphens/>
            <w:jc w:val="center"/>
            <w:rPr>
              <w:rFonts w:eastAsia="HG Mincho Light J"/>
              <w:b/>
              <w:color w:val="000000"/>
              <w:sz w:val="20"/>
            </w:rPr>
          </w:pPr>
          <w:r>
            <w:rPr>
              <w:rFonts w:eastAsia="HG Mincho Light J"/>
              <w:b/>
              <w:color w:val="000000"/>
              <w:sz w:val="20"/>
            </w:rPr>
            <w:t xml:space="preserve">Министерство на земеделието, </w:t>
          </w:r>
          <w:r w:rsidR="00310D8B" w:rsidRPr="00180FF2">
            <w:rPr>
              <w:rFonts w:eastAsia="HG Mincho Light J"/>
              <w:b/>
              <w:color w:val="000000"/>
              <w:sz w:val="20"/>
            </w:rPr>
            <w:t>храните</w:t>
          </w:r>
        </w:p>
        <w:p w:rsidR="006858DB" w:rsidRPr="00180FF2" w:rsidRDefault="006858DB" w:rsidP="00310D8B">
          <w:pPr>
            <w:widowControl w:val="0"/>
            <w:suppressLineNumbers/>
            <w:suppressAutoHyphens/>
            <w:jc w:val="center"/>
            <w:rPr>
              <w:rFonts w:eastAsia="HG Mincho Light J"/>
              <w:b/>
              <w:color w:val="000000"/>
              <w:sz w:val="20"/>
            </w:rPr>
          </w:pPr>
          <w:r>
            <w:rPr>
              <w:rFonts w:eastAsia="HG Mincho Light J"/>
              <w:b/>
              <w:color w:val="000000"/>
              <w:sz w:val="20"/>
            </w:rPr>
            <w:t>и горите</w:t>
          </w:r>
        </w:p>
        <w:p w:rsidR="00310D8B" w:rsidRPr="00180FF2" w:rsidRDefault="00310D8B" w:rsidP="00310D8B">
          <w:pPr>
            <w:widowControl w:val="0"/>
            <w:suppressLineNumbers/>
            <w:suppressAutoHyphens/>
            <w:jc w:val="center"/>
            <w:rPr>
              <w:rFonts w:eastAsia="HG Mincho Light J"/>
              <w:b/>
              <w:color w:val="000000"/>
              <w:sz w:val="20"/>
            </w:rPr>
          </w:pPr>
        </w:p>
        <w:p w:rsidR="00310D8B" w:rsidRPr="00180FF2" w:rsidRDefault="00310D8B" w:rsidP="00310D8B">
          <w:pPr>
            <w:widowControl w:val="0"/>
            <w:suppressLineNumbers/>
            <w:suppressAutoHyphens/>
            <w:jc w:val="center"/>
            <w:rPr>
              <w:rFonts w:eastAsia="HG Mincho Light J"/>
              <w:b/>
              <w:color w:val="000000"/>
              <w:sz w:val="20"/>
            </w:rPr>
          </w:pPr>
          <w:r w:rsidRPr="00180FF2">
            <w:rPr>
              <w:rFonts w:eastAsia="HG Mincho Light J"/>
              <w:b/>
              <w:color w:val="000000"/>
              <w:sz w:val="20"/>
            </w:rPr>
            <w:t xml:space="preserve">Дирекция “Морско дело и рибарство” </w:t>
          </w:r>
        </w:p>
        <w:p w:rsidR="00310D8B" w:rsidRPr="00180FF2" w:rsidRDefault="00310D8B" w:rsidP="00310D8B">
          <w:pPr>
            <w:widowControl w:val="0"/>
            <w:suppressLineNumbers/>
            <w:suppressAutoHyphens/>
            <w:jc w:val="center"/>
            <w:rPr>
              <w:rFonts w:eastAsia="HG Mincho Light J"/>
              <w:b/>
              <w:color w:val="000000"/>
              <w:sz w:val="20"/>
            </w:rPr>
          </w:pPr>
        </w:p>
        <w:p w:rsidR="009370D1" w:rsidRPr="009370D1" w:rsidRDefault="00310D8B" w:rsidP="00310D8B">
          <w:pPr>
            <w:widowControl w:val="0"/>
            <w:suppressLineNumbers/>
            <w:suppressAutoHyphens/>
            <w:spacing w:line="276" w:lineRule="auto"/>
            <w:jc w:val="center"/>
            <w:rPr>
              <w:rFonts w:eastAsia="HG Mincho Light J"/>
              <w:b/>
              <w:color w:val="000000"/>
              <w:sz w:val="20"/>
              <w:lang w:eastAsia="en-US"/>
            </w:rPr>
          </w:pPr>
          <w:r w:rsidRPr="00180FF2">
            <w:rPr>
              <w:rFonts w:eastAsia="HG Mincho Light J"/>
              <w:b/>
              <w:color w:val="000000"/>
              <w:sz w:val="20"/>
            </w:rPr>
            <w:t>Управляващ орган на ПМДР</w:t>
          </w:r>
        </w:p>
      </w:tc>
      <w:tc>
        <w:tcPr>
          <w:tcW w:w="8370" w:type="dxa"/>
          <w:gridSpan w:val="2"/>
          <w:tcBorders>
            <w:top w:val="single" w:sz="2" w:space="0" w:color="000000"/>
            <w:left w:val="single" w:sz="2" w:space="0" w:color="000000"/>
            <w:bottom w:val="single" w:sz="2" w:space="0" w:color="000000"/>
            <w:right w:val="nil"/>
          </w:tcBorders>
          <w:vAlign w:val="center"/>
          <w:hideMark/>
        </w:tcPr>
        <w:p w:rsidR="009370D1" w:rsidRPr="009370D1" w:rsidRDefault="00310D8B" w:rsidP="009370D1">
          <w:pPr>
            <w:widowControl w:val="0"/>
            <w:suppressLineNumbers/>
            <w:suppressAutoHyphens/>
            <w:spacing w:line="276" w:lineRule="auto"/>
            <w:jc w:val="center"/>
            <w:rPr>
              <w:rFonts w:eastAsia="HG Mincho Light J"/>
              <w:b/>
              <w:color w:val="000000"/>
              <w:sz w:val="20"/>
              <w:lang w:eastAsia="en-US"/>
            </w:rPr>
          </w:pPr>
          <w:r w:rsidRPr="00310D8B">
            <w:rPr>
              <w:rFonts w:eastAsia="HG Mincho Light J"/>
              <w:b/>
              <w:color w:val="000000"/>
              <w:sz w:val="20"/>
              <w:szCs w:val="22"/>
              <w:lang w:eastAsia="en-US"/>
            </w:rPr>
            <w:t>НАРЪЧНИК ПО ПРОГРАМА „МОРСКО ДЕЛО И РИБАРСТВО”  2014 - 2020 (ПМДР)</w:t>
          </w:r>
        </w:p>
      </w:tc>
      <w:tc>
        <w:tcPr>
          <w:tcW w:w="3882" w:type="dxa"/>
          <w:tcBorders>
            <w:top w:val="single" w:sz="2" w:space="0" w:color="000000"/>
            <w:left w:val="single" w:sz="2" w:space="0" w:color="000000"/>
            <w:bottom w:val="single" w:sz="2" w:space="0" w:color="000000"/>
            <w:right w:val="single" w:sz="2" w:space="0" w:color="000000"/>
          </w:tcBorders>
          <w:vAlign w:val="center"/>
          <w:hideMark/>
        </w:tcPr>
        <w:p w:rsidR="009370D1" w:rsidRPr="00A90A94" w:rsidRDefault="00A90A94" w:rsidP="009370D1">
          <w:pPr>
            <w:widowControl w:val="0"/>
            <w:suppressLineNumbers/>
            <w:suppressAutoHyphens/>
            <w:spacing w:line="276" w:lineRule="auto"/>
            <w:jc w:val="center"/>
            <w:rPr>
              <w:rFonts w:eastAsia="HG Mincho Light J"/>
              <w:b/>
              <w:color w:val="000000"/>
              <w:sz w:val="20"/>
              <w:lang w:eastAsia="en-US"/>
            </w:rPr>
          </w:pPr>
          <w:r>
            <w:rPr>
              <w:rFonts w:eastAsia="HG Mincho Light J"/>
              <w:b/>
              <w:color w:val="000000"/>
              <w:sz w:val="20"/>
              <w:lang w:eastAsia="en-US"/>
            </w:rPr>
            <w:t>Вариант 3</w:t>
          </w:r>
        </w:p>
      </w:tc>
    </w:tr>
    <w:tr w:rsidR="009370D1" w:rsidRPr="009370D1" w:rsidTr="00A11C77">
      <w:trPr>
        <w:trHeight w:val="572"/>
        <w:jc w:val="center"/>
      </w:trPr>
      <w:tc>
        <w:tcPr>
          <w:tcW w:w="3568" w:type="dxa"/>
          <w:vMerge/>
          <w:tcBorders>
            <w:left w:val="single" w:sz="2" w:space="0" w:color="000000"/>
            <w:right w:val="nil"/>
          </w:tcBorders>
          <w:vAlign w:val="center"/>
          <w:hideMark/>
        </w:tcPr>
        <w:p w:rsidR="009370D1" w:rsidRPr="009370D1" w:rsidRDefault="009370D1" w:rsidP="009370D1">
          <w:pPr>
            <w:rPr>
              <w:rFonts w:eastAsia="HG Mincho Light J"/>
              <w:b/>
              <w:color w:val="000000"/>
              <w:sz w:val="20"/>
              <w:lang w:eastAsia="en-US"/>
            </w:rPr>
          </w:pPr>
        </w:p>
      </w:tc>
      <w:tc>
        <w:tcPr>
          <w:tcW w:w="2160" w:type="dxa"/>
          <w:tcBorders>
            <w:top w:val="nil"/>
            <w:left w:val="single" w:sz="2" w:space="0" w:color="000000"/>
            <w:bottom w:val="single" w:sz="2" w:space="0" w:color="000000"/>
            <w:right w:val="single" w:sz="2" w:space="0" w:color="000000"/>
          </w:tcBorders>
          <w:vAlign w:val="center"/>
          <w:hideMark/>
        </w:tcPr>
        <w:p w:rsidR="009370D1" w:rsidRPr="00382217" w:rsidRDefault="009370D1" w:rsidP="00F93403">
          <w:pPr>
            <w:pStyle w:val="TableContents"/>
            <w:spacing w:after="0"/>
            <w:jc w:val="center"/>
            <w:rPr>
              <w:b/>
              <w:sz w:val="20"/>
              <w:lang w:val="bg-BG"/>
            </w:rPr>
          </w:pPr>
          <w:r w:rsidRPr="00382217">
            <w:rPr>
              <w:b/>
              <w:sz w:val="20"/>
              <w:lang w:val="bg-BG"/>
            </w:rPr>
            <w:t>Глава 4</w:t>
          </w:r>
        </w:p>
        <w:p w:rsidR="009370D1" w:rsidRPr="009370D1" w:rsidRDefault="009370D1" w:rsidP="00310D8B">
          <w:pPr>
            <w:widowControl w:val="0"/>
            <w:suppressLineNumbers/>
            <w:suppressAutoHyphens/>
            <w:spacing w:line="276" w:lineRule="auto"/>
            <w:jc w:val="center"/>
            <w:rPr>
              <w:rFonts w:eastAsia="HG Mincho Light J"/>
              <w:b/>
              <w:color w:val="000000"/>
              <w:sz w:val="20"/>
              <w:lang w:eastAsia="en-US"/>
            </w:rPr>
          </w:pPr>
          <w:r w:rsidRPr="00382217">
            <w:rPr>
              <w:b/>
              <w:sz w:val="20"/>
            </w:rPr>
            <w:t>Приложение 4.I.</w:t>
          </w:r>
          <w:r w:rsidR="00310D8B">
            <w:rPr>
              <w:b/>
              <w:sz w:val="20"/>
            </w:rPr>
            <w:t>8</w:t>
          </w:r>
          <w:r w:rsidRPr="00382217">
            <w:rPr>
              <w:b/>
              <w:sz w:val="20"/>
            </w:rPr>
            <w:t xml:space="preserve">. </w:t>
          </w:r>
        </w:p>
      </w:tc>
      <w:tc>
        <w:tcPr>
          <w:tcW w:w="6210" w:type="dxa"/>
          <w:tcBorders>
            <w:top w:val="nil"/>
            <w:left w:val="single" w:sz="2" w:space="0" w:color="000000"/>
            <w:bottom w:val="single" w:sz="2" w:space="0" w:color="000000"/>
            <w:right w:val="single" w:sz="2" w:space="0" w:color="000000"/>
          </w:tcBorders>
          <w:vAlign w:val="center"/>
          <w:hideMark/>
        </w:tcPr>
        <w:p w:rsidR="009370D1" w:rsidRPr="00382217" w:rsidRDefault="009370D1" w:rsidP="00F93403">
          <w:pPr>
            <w:pStyle w:val="TableContents"/>
            <w:spacing w:after="0"/>
            <w:jc w:val="center"/>
            <w:rPr>
              <w:b/>
              <w:sz w:val="20"/>
              <w:lang w:val="bg-BG"/>
            </w:rPr>
          </w:pPr>
          <w:r w:rsidRPr="00382217">
            <w:rPr>
              <w:b/>
              <w:sz w:val="20"/>
              <w:lang w:val="bg-BG"/>
            </w:rPr>
            <w:t xml:space="preserve">ПРОЦЕДУРИ ЗА ПРЕДОСТАВЯНЕ НА БЕЗВЪЗМЕЗДНА ФИНАНСОВА ПОМОЩ </w:t>
          </w:r>
        </w:p>
        <w:p w:rsidR="009370D1" w:rsidRPr="00382217" w:rsidRDefault="009370D1" w:rsidP="00F93403">
          <w:pPr>
            <w:pStyle w:val="TableContents"/>
            <w:spacing w:after="0"/>
            <w:jc w:val="center"/>
            <w:rPr>
              <w:b/>
              <w:sz w:val="20"/>
              <w:lang w:val="bg-BG"/>
            </w:rPr>
          </w:pPr>
        </w:p>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382217">
            <w:rPr>
              <w:b/>
              <w:sz w:val="20"/>
            </w:rPr>
            <w:t>Образец на Таблица за направените предложения и коментари в процеса на обществено обсъждане на проект на</w:t>
          </w:r>
          <w:r>
            <w:rPr>
              <w:b/>
              <w:sz w:val="20"/>
            </w:rPr>
            <w:t xml:space="preserve"> ИГРП/</w:t>
          </w:r>
          <w:r w:rsidRPr="00382217">
            <w:rPr>
              <w:b/>
              <w:sz w:val="20"/>
            </w:rPr>
            <w:t xml:space="preserve"> Насоки и пакет документи за кандидатстване </w:t>
          </w:r>
        </w:p>
      </w:tc>
      <w:tc>
        <w:tcPr>
          <w:tcW w:w="3882" w:type="dxa"/>
          <w:tcBorders>
            <w:top w:val="nil"/>
            <w:left w:val="single" w:sz="2" w:space="0" w:color="000000"/>
            <w:bottom w:val="single" w:sz="2" w:space="0" w:color="000000"/>
            <w:right w:val="single" w:sz="2" w:space="0" w:color="000000"/>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9370D1">
            <w:rPr>
              <w:b/>
              <w:sz w:val="20"/>
            </w:rPr>
            <w:t xml:space="preserve">страница: </w:t>
          </w:r>
          <w:r w:rsidRPr="009370D1">
            <w:rPr>
              <w:b/>
              <w:sz w:val="20"/>
              <w:szCs w:val="20"/>
              <w:lang w:val="pl-PL" w:eastAsia="pl-PL"/>
            </w:rPr>
            <w:fldChar w:fldCharType="begin"/>
          </w:r>
          <w:r w:rsidRPr="009370D1">
            <w:rPr>
              <w:b/>
              <w:sz w:val="20"/>
              <w:szCs w:val="20"/>
              <w:lang w:val="pl-PL" w:eastAsia="pl-PL"/>
            </w:rPr>
            <w:instrText xml:space="preserve"> PAGE </w:instrText>
          </w:r>
          <w:r w:rsidRPr="009370D1">
            <w:rPr>
              <w:b/>
              <w:sz w:val="20"/>
              <w:szCs w:val="20"/>
              <w:lang w:val="pl-PL" w:eastAsia="pl-PL"/>
            </w:rPr>
            <w:fldChar w:fldCharType="separate"/>
          </w:r>
          <w:r w:rsidR="00E428A1">
            <w:rPr>
              <w:b/>
              <w:noProof/>
              <w:sz w:val="20"/>
              <w:szCs w:val="20"/>
              <w:lang w:val="pl-PL" w:eastAsia="pl-PL"/>
            </w:rPr>
            <w:t>1</w:t>
          </w:r>
          <w:r w:rsidRPr="009370D1">
            <w:rPr>
              <w:b/>
              <w:sz w:val="20"/>
              <w:szCs w:val="20"/>
              <w:lang w:val="pl-PL" w:eastAsia="pl-PL"/>
            </w:rPr>
            <w:fldChar w:fldCharType="end"/>
          </w:r>
          <w:r w:rsidRPr="009370D1">
            <w:rPr>
              <w:b/>
              <w:sz w:val="20"/>
              <w:szCs w:val="20"/>
              <w:lang w:val="pl-PL" w:eastAsia="pl-PL"/>
            </w:rPr>
            <w:t>/</w:t>
          </w:r>
          <w:r w:rsidRPr="009370D1">
            <w:rPr>
              <w:b/>
              <w:sz w:val="20"/>
              <w:szCs w:val="20"/>
              <w:lang w:val="pl-PL" w:eastAsia="pl-PL"/>
            </w:rPr>
            <w:fldChar w:fldCharType="begin"/>
          </w:r>
          <w:r w:rsidRPr="009370D1">
            <w:rPr>
              <w:b/>
              <w:sz w:val="20"/>
              <w:szCs w:val="20"/>
              <w:lang w:val="pl-PL" w:eastAsia="pl-PL"/>
            </w:rPr>
            <w:instrText xml:space="preserve"> NUMPAGES </w:instrText>
          </w:r>
          <w:r w:rsidRPr="009370D1">
            <w:rPr>
              <w:b/>
              <w:sz w:val="20"/>
              <w:szCs w:val="20"/>
              <w:lang w:val="pl-PL" w:eastAsia="pl-PL"/>
            </w:rPr>
            <w:fldChar w:fldCharType="separate"/>
          </w:r>
          <w:r w:rsidR="00E428A1">
            <w:rPr>
              <w:b/>
              <w:noProof/>
              <w:sz w:val="20"/>
              <w:szCs w:val="20"/>
              <w:lang w:val="pl-PL" w:eastAsia="pl-PL"/>
            </w:rPr>
            <w:t>9</w:t>
          </w:r>
          <w:r w:rsidRPr="009370D1">
            <w:rPr>
              <w:b/>
              <w:sz w:val="20"/>
              <w:szCs w:val="20"/>
              <w:lang w:val="pl-PL" w:eastAsia="pl-PL"/>
            </w:rPr>
            <w:fldChar w:fldCharType="end"/>
          </w:r>
        </w:p>
      </w:tc>
    </w:tr>
    <w:tr w:rsidR="009370D1" w:rsidRPr="009370D1" w:rsidTr="00A11C77">
      <w:trPr>
        <w:trHeight w:val="550"/>
        <w:jc w:val="center"/>
      </w:trPr>
      <w:tc>
        <w:tcPr>
          <w:tcW w:w="3568" w:type="dxa"/>
          <w:vMerge/>
          <w:tcBorders>
            <w:left w:val="single" w:sz="2" w:space="0" w:color="000000"/>
            <w:right w:val="nil"/>
          </w:tcBorders>
          <w:vAlign w:val="center"/>
          <w:hideMark/>
        </w:tcPr>
        <w:p w:rsidR="009370D1" w:rsidRPr="009370D1" w:rsidRDefault="009370D1" w:rsidP="009370D1">
          <w:pPr>
            <w:rPr>
              <w:rFonts w:eastAsia="HG Mincho Light J"/>
              <w:b/>
              <w:color w:val="000000"/>
              <w:sz w:val="20"/>
              <w:lang w:eastAsia="en-US"/>
            </w:rPr>
          </w:pPr>
        </w:p>
      </w:tc>
      <w:tc>
        <w:tcPr>
          <w:tcW w:w="8370" w:type="dxa"/>
          <w:gridSpan w:val="2"/>
          <w:vMerge w:val="restart"/>
          <w:tcBorders>
            <w:top w:val="nil"/>
            <w:left w:val="single" w:sz="2" w:space="0" w:color="000000"/>
            <w:right w:val="nil"/>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9370D1">
            <w:rPr>
              <w:rFonts w:eastAsia="HG Mincho Light J"/>
              <w:b/>
              <w:color w:val="000000"/>
              <w:sz w:val="20"/>
              <w:szCs w:val="22"/>
              <w:lang w:eastAsia="en-US"/>
            </w:rPr>
            <w:t>Одобрен от: Ръководител на Управляващия орган</w:t>
          </w:r>
        </w:p>
      </w:tc>
      <w:tc>
        <w:tcPr>
          <w:tcW w:w="3882" w:type="dxa"/>
          <w:tcBorders>
            <w:top w:val="nil"/>
            <w:left w:val="single" w:sz="2" w:space="0" w:color="000000"/>
            <w:bottom w:val="single" w:sz="4" w:space="0" w:color="auto"/>
            <w:right w:val="single" w:sz="2" w:space="0" w:color="000000"/>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r w:rsidRPr="009370D1">
            <w:rPr>
              <w:rFonts w:eastAsia="HG Mincho Light J"/>
              <w:b/>
              <w:color w:val="000000"/>
              <w:sz w:val="20"/>
              <w:szCs w:val="22"/>
              <w:lang w:eastAsia="en-US"/>
            </w:rPr>
            <w:t>Дата:</w:t>
          </w:r>
        </w:p>
        <w:p w:rsidR="009370D1" w:rsidRPr="00306CCE" w:rsidRDefault="00306CCE" w:rsidP="00306CCE">
          <w:pPr>
            <w:widowControl w:val="0"/>
            <w:suppressLineNumbers/>
            <w:suppressAutoHyphens/>
            <w:spacing w:line="276" w:lineRule="auto"/>
            <w:jc w:val="center"/>
            <w:rPr>
              <w:rFonts w:eastAsia="HG Mincho Light J"/>
              <w:b/>
              <w:color w:val="000000"/>
              <w:sz w:val="20"/>
              <w:lang w:eastAsia="en-US"/>
            </w:rPr>
          </w:pPr>
          <w:r>
            <w:rPr>
              <w:rFonts w:eastAsia="HG Mincho Light J"/>
              <w:b/>
              <w:color w:val="000000"/>
              <w:sz w:val="20"/>
              <w:szCs w:val="22"/>
              <w:lang w:eastAsia="en-US"/>
            </w:rPr>
            <w:t>а</w:t>
          </w:r>
          <w:r w:rsidR="006858DB">
            <w:rPr>
              <w:rFonts w:eastAsia="HG Mincho Light J"/>
              <w:b/>
              <w:color w:val="000000"/>
              <w:sz w:val="20"/>
              <w:szCs w:val="22"/>
              <w:lang w:eastAsia="en-US"/>
            </w:rPr>
            <w:t>вгуст</w:t>
          </w:r>
          <w:r>
            <w:rPr>
              <w:rFonts w:eastAsia="HG Mincho Light J"/>
              <w:b/>
              <w:color w:val="000000"/>
              <w:sz w:val="20"/>
              <w:szCs w:val="22"/>
              <w:lang w:eastAsia="en-US"/>
            </w:rPr>
            <w:t>,</w:t>
          </w:r>
          <w:r w:rsidR="009370D1" w:rsidRPr="009370D1">
            <w:rPr>
              <w:rFonts w:eastAsia="HG Mincho Light J"/>
              <w:b/>
              <w:color w:val="000000"/>
              <w:sz w:val="20"/>
              <w:szCs w:val="22"/>
              <w:lang w:eastAsia="en-US"/>
            </w:rPr>
            <w:t xml:space="preserve"> 201</w:t>
          </w:r>
          <w:r w:rsidR="00A90A94">
            <w:rPr>
              <w:rFonts w:eastAsia="HG Mincho Light J"/>
              <w:b/>
              <w:color w:val="000000"/>
              <w:sz w:val="20"/>
              <w:szCs w:val="22"/>
              <w:lang w:val="en-US" w:eastAsia="en-US"/>
            </w:rPr>
            <w:t>8</w:t>
          </w:r>
          <w:r>
            <w:rPr>
              <w:rFonts w:eastAsia="HG Mincho Light J"/>
              <w:b/>
              <w:color w:val="000000"/>
              <w:sz w:val="20"/>
              <w:szCs w:val="22"/>
              <w:lang w:eastAsia="en-US"/>
            </w:rPr>
            <w:t xml:space="preserve"> г.</w:t>
          </w:r>
        </w:p>
      </w:tc>
    </w:tr>
    <w:tr w:rsidR="009370D1" w:rsidRPr="009370D1" w:rsidTr="00A11C77">
      <w:trPr>
        <w:trHeight w:val="550"/>
        <w:jc w:val="center"/>
      </w:trPr>
      <w:tc>
        <w:tcPr>
          <w:tcW w:w="3568" w:type="dxa"/>
          <w:vMerge/>
          <w:tcBorders>
            <w:left w:val="single" w:sz="2" w:space="0" w:color="000000"/>
            <w:bottom w:val="single" w:sz="2" w:space="0" w:color="000000"/>
            <w:right w:val="nil"/>
          </w:tcBorders>
          <w:vAlign w:val="center"/>
        </w:tcPr>
        <w:p w:rsidR="009370D1" w:rsidRPr="009370D1" w:rsidRDefault="009370D1" w:rsidP="009370D1">
          <w:pPr>
            <w:rPr>
              <w:rFonts w:eastAsia="HG Mincho Light J"/>
              <w:b/>
              <w:color w:val="000000"/>
              <w:sz w:val="20"/>
              <w:lang w:eastAsia="en-US"/>
            </w:rPr>
          </w:pPr>
        </w:p>
      </w:tc>
      <w:tc>
        <w:tcPr>
          <w:tcW w:w="8370" w:type="dxa"/>
          <w:gridSpan w:val="2"/>
          <w:vMerge/>
          <w:tcBorders>
            <w:left w:val="single" w:sz="2" w:space="0" w:color="000000"/>
            <w:bottom w:val="single" w:sz="2" w:space="0" w:color="000000"/>
            <w:right w:val="nil"/>
          </w:tcBorders>
          <w:vAlign w:val="center"/>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p>
      </w:tc>
      <w:tc>
        <w:tcPr>
          <w:tcW w:w="3882" w:type="dxa"/>
          <w:tcBorders>
            <w:top w:val="single" w:sz="4" w:space="0" w:color="auto"/>
            <w:left w:val="single" w:sz="2" w:space="0" w:color="000000"/>
            <w:bottom w:val="single" w:sz="2" w:space="0" w:color="000000"/>
            <w:right w:val="single" w:sz="2" w:space="0" w:color="000000"/>
          </w:tcBorders>
          <w:vAlign w:val="center"/>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r w:rsidRPr="009370D1">
            <w:rPr>
              <w:rFonts w:eastAsia="HG Mincho Light J"/>
              <w:b/>
              <w:color w:val="000000"/>
              <w:sz w:val="20"/>
              <w:szCs w:val="22"/>
              <w:lang w:eastAsia="en-US"/>
            </w:rPr>
            <w:t>Версия:</w:t>
          </w:r>
        </w:p>
        <w:p w:rsidR="009370D1" w:rsidRPr="00306CCE" w:rsidRDefault="00306CCE" w:rsidP="00306CCE">
          <w:pPr>
            <w:widowControl w:val="0"/>
            <w:suppressLineNumbers/>
            <w:suppressAutoHyphens/>
            <w:spacing w:line="276" w:lineRule="auto"/>
            <w:jc w:val="center"/>
            <w:rPr>
              <w:rFonts w:eastAsia="HG Mincho Light J"/>
              <w:b/>
              <w:color w:val="000000"/>
              <w:sz w:val="20"/>
              <w:szCs w:val="22"/>
              <w:lang w:eastAsia="en-US"/>
            </w:rPr>
          </w:pPr>
          <w:r>
            <w:rPr>
              <w:rFonts w:eastAsia="HG Mincho Light J"/>
              <w:b/>
              <w:color w:val="000000"/>
              <w:sz w:val="20"/>
              <w:szCs w:val="22"/>
              <w:lang w:eastAsia="en-US"/>
            </w:rPr>
            <w:t>а</w:t>
          </w:r>
          <w:r w:rsidR="006858DB">
            <w:rPr>
              <w:rFonts w:eastAsia="HG Mincho Light J"/>
              <w:b/>
              <w:color w:val="000000"/>
              <w:sz w:val="20"/>
              <w:szCs w:val="22"/>
              <w:lang w:eastAsia="en-US"/>
            </w:rPr>
            <w:t>вгуст</w:t>
          </w:r>
          <w:r>
            <w:rPr>
              <w:rFonts w:eastAsia="HG Mincho Light J"/>
              <w:b/>
              <w:color w:val="000000"/>
              <w:sz w:val="20"/>
              <w:szCs w:val="22"/>
              <w:lang w:eastAsia="en-US"/>
            </w:rPr>
            <w:t>,</w:t>
          </w:r>
          <w:r w:rsidR="006858DB">
            <w:rPr>
              <w:rFonts w:eastAsia="HG Mincho Light J"/>
              <w:b/>
              <w:color w:val="000000"/>
              <w:sz w:val="20"/>
              <w:szCs w:val="22"/>
              <w:lang w:eastAsia="en-US"/>
            </w:rPr>
            <w:t xml:space="preserve"> 201</w:t>
          </w:r>
          <w:r w:rsidR="00A90A94">
            <w:rPr>
              <w:rFonts w:eastAsia="HG Mincho Light J"/>
              <w:b/>
              <w:color w:val="000000"/>
              <w:sz w:val="20"/>
              <w:szCs w:val="22"/>
              <w:lang w:val="en-US" w:eastAsia="en-US"/>
            </w:rPr>
            <w:t>8</w:t>
          </w:r>
          <w:r>
            <w:rPr>
              <w:rFonts w:eastAsia="HG Mincho Light J"/>
              <w:b/>
              <w:color w:val="000000"/>
              <w:sz w:val="20"/>
              <w:szCs w:val="22"/>
              <w:lang w:eastAsia="en-US"/>
            </w:rPr>
            <w:t xml:space="preserve"> г.</w:t>
          </w:r>
        </w:p>
      </w:tc>
    </w:tr>
  </w:tbl>
  <w:p w:rsidR="00452B14" w:rsidRPr="00DE5492" w:rsidRDefault="00452B14" w:rsidP="002E5F13">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156153B3"/>
    <w:multiLevelType w:val="hybridMultilevel"/>
    <w:tmpl w:val="A02E9B8E"/>
    <w:lvl w:ilvl="0" w:tplc="CB2A9806">
      <w:start w:val="1"/>
      <w:numFmt w:val="bullet"/>
      <w:lvlText w:val=""/>
      <w:lvlJc w:val="left"/>
      <w:pPr>
        <w:tabs>
          <w:tab w:val="num" w:pos="720"/>
        </w:tabs>
        <w:ind w:left="720" w:hanging="360"/>
      </w:pPr>
      <w:rPr>
        <w:rFonts w:ascii="Wingdings" w:hAnsi="Wingdings" w:hint="default"/>
      </w:rPr>
    </w:lvl>
    <w:lvl w:ilvl="1" w:tplc="90245E88">
      <w:start w:val="3"/>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86546"/>
    <w:multiLevelType w:val="hybridMultilevel"/>
    <w:tmpl w:val="5E985CCE"/>
    <w:lvl w:ilvl="0" w:tplc="04020011">
      <w:start w:val="1"/>
      <w:numFmt w:val="decimal"/>
      <w:lvlText w:val="%1)"/>
      <w:lvlJc w:val="left"/>
      <w:pPr>
        <w:tabs>
          <w:tab w:val="num" w:pos="360"/>
        </w:tabs>
        <w:ind w:left="360" w:hanging="360"/>
      </w:pPr>
      <w:rPr>
        <w:rFonts w:hint="default"/>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660"/>
        </w:tabs>
        <w:ind w:left="660" w:hanging="660"/>
      </w:pPr>
      <w:rPr>
        <w:rFonts w:ascii="Wingdings" w:eastAsia="Times New Roman" w:hAnsi="Wingdings" w:cs="MS Mincho"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31E6089E"/>
    <w:multiLevelType w:val="hybridMultilevel"/>
    <w:tmpl w:val="B57246DA"/>
    <w:lvl w:ilvl="0" w:tplc="CF7C7408">
      <w:start w:val="80"/>
      <w:numFmt w:val="bullet"/>
      <w:lvlText w:val="-"/>
      <w:lvlJc w:val="left"/>
      <w:pPr>
        <w:tabs>
          <w:tab w:val="num" w:pos="720"/>
        </w:tabs>
        <w:ind w:left="720" w:hanging="360"/>
      </w:pPr>
      <w:rPr>
        <w:rFonts w:ascii="Times New Roman" w:eastAsia="Times New Roman" w:hAnsi="Times New Roman" w:cs="Times New Roman" w:hint="default"/>
        <w:b/>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b/>
        <w:i w:val="0"/>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8C2284"/>
    <w:multiLevelType w:val="hybridMultilevel"/>
    <w:tmpl w:val="984664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4D590997"/>
    <w:multiLevelType w:val="hybridMultilevel"/>
    <w:tmpl w:val="2D84AF82"/>
    <w:lvl w:ilvl="0" w:tplc="0D9C685E">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Wingdings"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Wingdings"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34FEB"/>
    <w:multiLevelType w:val="hybridMultilevel"/>
    <w:tmpl w:val="4C885FCE"/>
    <w:lvl w:ilvl="0" w:tplc="04020001">
      <w:start w:val="1"/>
      <w:numFmt w:val="bullet"/>
      <w:lvlText w:val=""/>
      <w:lvlJc w:val="left"/>
      <w:pPr>
        <w:tabs>
          <w:tab w:val="num" w:pos="915"/>
        </w:tabs>
        <w:ind w:left="915" w:hanging="360"/>
      </w:pPr>
      <w:rPr>
        <w:rFonts w:ascii="Symbol" w:hAnsi="Symbol" w:hint="default"/>
        <w:b/>
        <w:i w:val="0"/>
      </w:rPr>
    </w:lvl>
    <w:lvl w:ilvl="1" w:tplc="04020003" w:tentative="1">
      <w:start w:val="1"/>
      <w:numFmt w:val="bullet"/>
      <w:lvlText w:val="o"/>
      <w:lvlJc w:val="left"/>
      <w:pPr>
        <w:tabs>
          <w:tab w:val="num" w:pos="1635"/>
        </w:tabs>
        <w:ind w:left="1635" w:hanging="360"/>
      </w:pPr>
      <w:rPr>
        <w:rFonts w:ascii="Courier New" w:hAnsi="Courier New" w:cs="Courier New" w:hint="default"/>
      </w:rPr>
    </w:lvl>
    <w:lvl w:ilvl="2" w:tplc="04020005" w:tentative="1">
      <w:start w:val="1"/>
      <w:numFmt w:val="bullet"/>
      <w:lvlText w:val=""/>
      <w:lvlJc w:val="left"/>
      <w:pPr>
        <w:tabs>
          <w:tab w:val="num" w:pos="2355"/>
        </w:tabs>
        <w:ind w:left="2355" w:hanging="360"/>
      </w:pPr>
      <w:rPr>
        <w:rFonts w:ascii="Wingdings" w:hAnsi="Wingdings" w:hint="default"/>
      </w:rPr>
    </w:lvl>
    <w:lvl w:ilvl="3" w:tplc="04020001">
      <w:start w:val="1"/>
      <w:numFmt w:val="bullet"/>
      <w:lvlText w:val=""/>
      <w:lvlJc w:val="left"/>
      <w:pPr>
        <w:tabs>
          <w:tab w:val="num" w:pos="3075"/>
        </w:tabs>
        <w:ind w:left="3075" w:hanging="360"/>
      </w:pPr>
      <w:rPr>
        <w:rFonts w:ascii="Symbol" w:hAnsi="Symbol" w:hint="default"/>
        <w:b/>
        <w:i w:val="0"/>
      </w:rPr>
    </w:lvl>
    <w:lvl w:ilvl="4" w:tplc="04020003" w:tentative="1">
      <w:start w:val="1"/>
      <w:numFmt w:val="bullet"/>
      <w:lvlText w:val="o"/>
      <w:lvlJc w:val="left"/>
      <w:pPr>
        <w:tabs>
          <w:tab w:val="num" w:pos="3795"/>
        </w:tabs>
        <w:ind w:left="3795" w:hanging="360"/>
      </w:pPr>
      <w:rPr>
        <w:rFonts w:ascii="Courier New" w:hAnsi="Courier New" w:cs="Courier New" w:hint="default"/>
      </w:rPr>
    </w:lvl>
    <w:lvl w:ilvl="5" w:tplc="04020005" w:tentative="1">
      <w:start w:val="1"/>
      <w:numFmt w:val="bullet"/>
      <w:lvlText w:val=""/>
      <w:lvlJc w:val="left"/>
      <w:pPr>
        <w:tabs>
          <w:tab w:val="num" w:pos="4515"/>
        </w:tabs>
        <w:ind w:left="4515" w:hanging="360"/>
      </w:pPr>
      <w:rPr>
        <w:rFonts w:ascii="Wingdings" w:hAnsi="Wingdings" w:hint="default"/>
      </w:rPr>
    </w:lvl>
    <w:lvl w:ilvl="6" w:tplc="04020001" w:tentative="1">
      <w:start w:val="1"/>
      <w:numFmt w:val="bullet"/>
      <w:lvlText w:val=""/>
      <w:lvlJc w:val="left"/>
      <w:pPr>
        <w:tabs>
          <w:tab w:val="num" w:pos="5235"/>
        </w:tabs>
        <w:ind w:left="5235" w:hanging="360"/>
      </w:pPr>
      <w:rPr>
        <w:rFonts w:ascii="Symbol" w:hAnsi="Symbol" w:hint="default"/>
      </w:rPr>
    </w:lvl>
    <w:lvl w:ilvl="7" w:tplc="04020003" w:tentative="1">
      <w:start w:val="1"/>
      <w:numFmt w:val="bullet"/>
      <w:lvlText w:val="o"/>
      <w:lvlJc w:val="left"/>
      <w:pPr>
        <w:tabs>
          <w:tab w:val="num" w:pos="5955"/>
        </w:tabs>
        <w:ind w:left="5955" w:hanging="360"/>
      </w:pPr>
      <w:rPr>
        <w:rFonts w:ascii="Courier New" w:hAnsi="Courier New" w:cs="Courier New" w:hint="default"/>
      </w:rPr>
    </w:lvl>
    <w:lvl w:ilvl="8" w:tplc="04020005" w:tentative="1">
      <w:start w:val="1"/>
      <w:numFmt w:val="bullet"/>
      <w:lvlText w:val=""/>
      <w:lvlJc w:val="left"/>
      <w:pPr>
        <w:tabs>
          <w:tab w:val="num" w:pos="6675"/>
        </w:tabs>
        <w:ind w:left="6675" w:hanging="360"/>
      </w:pPr>
      <w:rPr>
        <w:rFonts w:ascii="Wingdings" w:hAnsi="Wingdings" w:hint="default"/>
      </w:rPr>
    </w:lvl>
  </w:abstractNum>
  <w:abstractNum w:abstractNumId="8" w15:restartNumberingAfterBreak="0">
    <w:nsid w:val="52B230A0"/>
    <w:multiLevelType w:val="hybridMultilevel"/>
    <w:tmpl w:val="E4EA8D02"/>
    <w:lvl w:ilvl="0" w:tplc="0402000F">
      <w:start w:val="6"/>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422CA"/>
    <w:multiLevelType w:val="hybridMultilevel"/>
    <w:tmpl w:val="205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02032"/>
    <w:multiLevelType w:val="hybridMultilevel"/>
    <w:tmpl w:val="16C8771E"/>
    <w:lvl w:ilvl="0" w:tplc="0402000F">
      <w:start w:val="1"/>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Wingdings" w:hint="default"/>
      </w:rPr>
    </w:lvl>
    <w:lvl w:ilvl="2" w:tplc="0402001B">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655195"/>
    <w:multiLevelType w:val="hybridMultilevel"/>
    <w:tmpl w:val="D548BE58"/>
    <w:lvl w:ilvl="0" w:tplc="04020009">
      <w:start w:val="1"/>
      <w:numFmt w:val="bullet"/>
      <w:pStyle w:val="ListBullet2"/>
      <w:lvlText w:val=""/>
      <w:lvlJc w:val="left"/>
      <w:pPr>
        <w:tabs>
          <w:tab w:val="num" w:pos="1003"/>
        </w:tabs>
        <w:ind w:left="100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0"/>
  </w:num>
  <w:num w:numId="4">
    <w:abstractNumId w:val="3"/>
  </w:num>
  <w:num w:numId="5">
    <w:abstractNumId w:val="2"/>
  </w:num>
  <w:num w:numId="6">
    <w:abstractNumId w:val="1"/>
  </w:num>
  <w:num w:numId="7">
    <w:abstractNumId w:val="5"/>
  </w:num>
  <w:num w:numId="8">
    <w:abstractNumId w:val="11"/>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2"/>
    <w:rsid w:val="0000402A"/>
    <w:rsid w:val="00013A3C"/>
    <w:rsid w:val="00017F11"/>
    <w:rsid w:val="000226FB"/>
    <w:rsid w:val="00032501"/>
    <w:rsid w:val="00052A4A"/>
    <w:rsid w:val="000536CF"/>
    <w:rsid w:val="00063706"/>
    <w:rsid w:val="0008378F"/>
    <w:rsid w:val="000969EE"/>
    <w:rsid w:val="000A01E6"/>
    <w:rsid w:val="000A3757"/>
    <w:rsid w:val="000B1BE7"/>
    <w:rsid w:val="000C1A6A"/>
    <w:rsid w:val="000C6778"/>
    <w:rsid w:val="000F1C8E"/>
    <w:rsid w:val="000F7486"/>
    <w:rsid w:val="00112269"/>
    <w:rsid w:val="0013771B"/>
    <w:rsid w:val="00140548"/>
    <w:rsid w:val="001453BE"/>
    <w:rsid w:val="00152543"/>
    <w:rsid w:val="00154A2F"/>
    <w:rsid w:val="0015692D"/>
    <w:rsid w:val="00162A12"/>
    <w:rsid w:val="001631F1"/>
    <w:rsid w:val="0017293A"/>
    <w:rsid w:val="0017321D"/>
    <w:rsid w:val="001767EE"/>
    <w:rsid w:val="00180BED"/>
    <w:rsid w:val="001961DC"/>
    <w:rsid w:val="00197136"/>
    <w:rsid w:val="001A4A6C"/>
    <w:rsid w:val="001B3040"/>
    <w:rsid w:val="001B4E81"/>
    <w:rsid w:val="001D3AB0"/>
    <w:rsid w:val="001D79F7"/>
    <w:rsid w:val="001E5070"/>
    <w:rsid w:val="001E55F3"/>
    <w:rsid w:val="00200C47"/>
    <w:rsid w:val="00210931"/>
    <w:rsid w:val="002138A1"/>
    <w:rsid w:val="00215E29"/>
    <w:rsid w:val="0022347B"/>
    <w:rsid w:val="002271CA"/>
    <w:rsid w:val="00230989"/>
    <w:rsid w:val="0023736D"/>
    <w:rsid w:val="002471AB"/>
    <w:rsid w:val="0024739B"/>
    <w:rsid w:val="002536E0"/>
    <w:rsid w:val="00254154"/>
    <w:rsid w:val="00271716"/>
    <w:rsid w:val="002928E7"/>
    <w:rsid w:val="002A1BCE"/>
    <w:rsid w:val="002B2DF9"/>
    <w:rsid w:val="002B7853"/>
    <w:rsid w:val="002C4815"/>
    <w:rsid w:val="002C546F"/>
    <w:rsid w:val="002C6EC2"/>
    <w:rsid w:val="002C7E9D"/>
    <w:rsid w:val="002E5F13"/>
    <w:rsid w:val="002F0E42"/>
    <w:rsid w:val="002F7FD2"/>
    <w:rsid w:val="00306CCE"/>
    <w:rsid w:val="00310D8B"/>
    <w:rsid w:val="003214E2"/>
    <w:rsid w:val="003237B2"/>
    <w:rsid w:val="00351479"/>
    <w:rsid w:val="00366601"/>
    <w:rsid w:val="00370AE2"/>
    <w:rsid w:val="00382217"/>
    <w:rsid w:val="00393DB2"/>
    <w:rsid w:val="00394352"/>
    <w:rsid w:val="00396472"/>
    <w:rsid w:val="003C59A7"/>
    <w:rsid w:val="003C6A3A"/>
    <w:rsid w:val="003C7709"/>
    <w:rsid w:val="003D080A"/>
    <w:rsid w:val="003D2BDB"/>
    <w:rsid w:val="003E0C7C"/>
    <w:rsid w:val="003E3F39"/>
    <w:rsid w:val="003E7C13"/>
    <w:rsid w:val="003F0FFF"/>
    <w:rsid w:val="0041052C"/>
    <w:rsid w:val="004145C4"/>
    <w:rsid w:val="00431341"/>
    <w:rsid w:val="00431505"/>
    <w:rsid w:val="00436167"/>
    <w:rsid w:val="0044764C"/>
    <w:rsid w:val="00452B14"/>
    <w:rsid w:val="00453355"/>
    <w:rsid w:val="004542FF"/>
    <w:rsid w:val="00462B80"/>
    <w:rsid w:val="0047796C"/>
    <w:rsid w:val="00486011"/>
    <w:rsid w:val="00494BEC"/>
    <w:rsid w:val="00496E57"/>
    <w:rsid w:val="004A7F39"/>
    <w:rsid w:val="004B4915"/>
    <w:rsid w:val="004C2492"/>
    <w:rsid w:val="004C2B2F"/>
    <w:rsid w:val="004C3653"/>
    <w:rsid w:val="004C5BBD"/>
    <w:rsid w:val="004F0A7B"/>
    <w:rsid w:val="004F286C"/>
    <w:rsid w:val="00501E46"/>
    <w:rsid w:val="00501F3F"/>
    <w:rsid w:val="00505169"/>
    <w:rsid w:val="005327A1"/>
    <w:rsid w:val="0054380D"/>
    <w:rsid w:val="005466CF"/>
    <w:rsid w:val="0055260D"/>
    <w:rsid w:val="00560CBF"/>
    <w:rsid w:val="00561E4C"/>
    <w:rsid w:val="00571218"/>
    <w:rsid w:val="00571A5F"/>
    <w:rsid w:val="005A61A3"/>
    <w:rsid w:val="005C3417"/>
    <w:rsid w:val="005C798C"/>
    <w:rsid w:val="005D5913"/>
    <w:rsid w:val="005E51BF"/>
    <w:rsid w:val="006155B9"/>
    <w:rsid w:val="00636599"/>
    <w:rsid w:val="00637DC2"/>
    <w:rsid w:val="006525D4"/>
    <w:rsid w:val="006543F9"/>
    <w:rsid w:val="00656737"/>
    <w:rsid w:val="00666371"/>
    <w:rsid w:val="00672F2F"/>
    <w:rsid w:val="006777B9"/>
    <w:rsid w:val="00677E7B"/>
    <w:rsid w:val="006815DA"/>
    <w:rsid w:val="006858DB"/>
    <w:rsid w:val="00685A79"/>
    <w:rsid w:val="0069032E"/>
    <w:rsid w:val="006961BB"/>
    <w:rsid w:val="006A1F2F"/>
    <w:rsid w:val="006A4EFF"/>
    <w:rsid w:val="006B20C5"/>
    <w:rsid w:val="00726A86"/>
    <w:rsid w:val="00726D23"/>
    <w:rsid w:val="00760142"/>
    <w:rsid w:val="007707EF"/>
    <w:rsid w:val="0077264B"/>
    <w:rsid w:val="00780350"/>
    <w:rsid w:val="00780F23"/>
    <w:rsid w:val="00786B8E"/>
    <w:rsid w:val="00791071"/>
    <w:rsid w:val="0079327A"/>
    <w:rsid w:val="007D7884"/>
    <w:rsid w:val="007E096B"/>
    <w:rsid w:val="007E0B23"/>
    <w:rsid w:val="00803C81"/>
    <w:rsid w:val="00825169"/>
    <w:rsid w:val="00842B5C"/>
    <w:rsid w:val="00860CA8"/>
    <w:rsid w:val="00875289"/>
    <w:rsid w:val="00877530"/>
    <w:rsid w:val="0088182E"/>
    <w:rsid w:val="00884A24"/>
    <w:rsid w:val="00886A31"/>
    <w:rsid w:val="00887561"/>
    <w:rsid w:val="0089395F"/>
    <w:rsid w:val="008B7EC8"/>
    <w:rsid w:val="008D5D8F"/>
    <w:rsid w:val="008D6783"/>
    <w:rsid w:val="008E1091"/>
    <w:rsid w:val="008F445D"/>
    <w:rsid w:val="00911E6C"/>
    <w:rsid w:val="009178F3"/>
    <w:rsid w:val="009368E6"/>
    <w:rsid w:val="009370D1"/>
    <w:rsid w:val="009474BC"/>
    <w:rsid w:val="00947C84"/>
    <w:rsid w:val="00960DBA"/>
    <w:rsid w:val="00963518"/>
    <w:rsid w:val="00965A0D"/>
    <w:rsid w:val="00966FA3"/>
    <w:rsid w:val="00967EF1"/>
    <w:rsid w:val="00967F65"/>
    <w:rsid w:val="00982B5D"/>
    <w:rsid w:val="00982D3C"/>
    <w:rsid w:val="009835EB"/>
    <w:rsid w:val="009A091B"/>
    <w:rsid w:val="009D2FCA"/>
    <w:rsid w:val="009D4358"/>
    <w:rsid w:val="009E02E6"/>
    <w:rsid w:val="009E4C13"/>
    <w:rsid w:val="009F0361"/>
    <w:rsid w:val="009F3229"/>
    <w:rsid w:val="009F34E5"/>
    <w:rsid w:val="00A0757A"/>
    <w:rsid w:val="00A11C77"/>
    <w:rsid w:val="00A268BE"/>
    <w:rsid w:val="00A35C73"/>
    <w:rsid w:val="00A37EE9"/>
    <w:rsid w:val="00A530D3"/>
    <w:rsid w:val="00A61D39"/>
    <w:rsid w:val="00A7140B"/>
    <w:rsid w:val="00A83900"/>
    <w:rsid w:val="00A90A94"/>
    <w:rsid w:val="00A954A0"/>
    <w:rsid w:val="00AA52AE"/>
    <w:rsid w:val="00AC250E"/>
    <w:rsid w:val="00AF6F1C"/>
    <w:rsid w:val="00B17CAB"/>
    <w:rsid w:val="00B22313"/>
    <w:rsid w:val="00B346AF"/>
    <w:rsid w:val="00B57B46"/>
    <w:rsid w:val="00B617F0"/>
    <w:rsid w:val="00B62900"/>
    <w:rsid w:val="00B746EC"/>
    <w:rsid w:val="00B836E8"/>
    <w:rsid w:val="00B83CC7"/>
    <w:rsid w:val="00B90E8D"/>
    <w:rsid w:val="00BA4C95"/>
    <w:rsid w:val="00BA576D"/>
    <w:rsid w:val="00BE2E9E"/>
    <w:rsid w:val="00BE4723"/>
    <w:rsid w:val="00C3387D"/>
    <w:rsid w:val="00C53E63"/>
    <w:rsid w:val="00C65CA2"/>
    <w:rsid w:val="00C7533B"/>
    <w:rsid w:val="00CA209E"/>
    <w:rsid w:val="00CA374E"/>
    <w:rsid w:val="00CC7398"/>
    <w:rsid w:val="00CE4453"/>
    <w:rsid w:val="00CE50B7"/>
    <w:rsid w:val="00D21C30"/>
    <w:rsid w:val="00D2290C"/>
    <w:rsid w:val="00D40651"/>
    <w:rsid w:val="00D4352A"/>
    <w:rsid w:val="00D4662E"/>
    <w:rsid w:val="00D61CA5"/>
    <w:rsid w:val="00D6702E"/>
    <w:rsid w:val="00D81812"/>
    <w:rsid w:val="00DA0192"/>
    <w:rsid w:val="00DB41C5"/>
    <w:rsid w:val="00DB5633"/>
    <w:rsid w:val="00DC231F"/>
    <w:rsid w:val="00DD2AAE"/>
    <w:rsid w:val="00DD7FDA"/>
    <w:rsid w:val="00DE34C1"/>
    <w:rsid w:val="00DE5492"/>
    <w:rsid w:val="00E1683C"/>
    <w:rsid w:val="00E2302D"/>
    <w:rsid w:val="00E25F19"/>
    <w:rsid w:val="00E428A1"/>
    <w:rsid w:val="00E51D89"/>
    <w:rsid w:val="00E64965"/>
    <w:rsid w:val="00E742B3"/>
    <w:rsid w:val="00E80C74"/>
    <w:rsid w:val="00E87F60"/>
    <w:rsid w:val="00EA33C8"/>
    <w:rsid w:val="00EB348E"/>
    <w:rsid w:val="00ED7921"/>
    <w:rsid w:val="00EE07F8"/>
    <w:rsid w:val="00EF08EE"/>
    <w:rsid w:val="00EF7BA5"/>
    <w:rsid w:val="00F0188E"/>
    <w:rsid w:val="00F145E6"/>
    <w:rsid w:val="00F353FF"/>
    <w:rsid w:val="00F418D5"/>
    <w:rsid w:val="00F45D8A"/>
    <w:rsid w:val="00F70C7E"/>
    <w:rsid w:val="00F93403"/>
    <w:rsid w:val="00F97B45"/>
    <w:rsid w:val="00FB6AC6"/>
    <w:rsid w:val="00FC424F"/>
    <w:rsid w:val="00FC61DB"/>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614362-7A4C-4124-89B1-0F9407D7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rsid w:val="00560CBF"/>
    <w:pPr>
      <w:tabs>
        <w:tab w:val="center" w:pos="4536"/>
        <w:tab w:val="right" w:pos="9072"/>
      </w:tabs>
    </w:pPr>
  </w:style>
  <w:style w:type="paragraph" w:styleId="Footer">
    <w:name w:val="footer"/>
    <w:basedOn w:val="Normal"/>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qFormat/>
    <w:rsid w:val="00452B14"/>
    <w:pPr>
      <w:ind w:left="708"/>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59730">
      <w:bodyDiv w:val="1"/>
      <w:marLeft w:val="0"/>
      <w:marRight w:val="0"/>
      <w:marTop w:val="0"/>
      <w:marBottom w:val="0"/>
      <w:divBdr>
        <w:top w:val="none" w:sz="0" w:space="0" w:color="auto"/>
        <w:left w:val="none" w:sz="0" w:space="0" w:color="auto"/>
        <w:bottom w:val="none" w:sz="0" w:space="0" w:color="auto"/>
        <w:right w:val="none" w:sz="0" w:space="0" w:color="auto"/>
      </w:divBdr>
    </w:div>
    <w:div w:id="584918907">
      <w:bodyDiv w:val="1"/>
      <w:marLeft w:val="0"/>
      <w:marRight w:val="0"/>
      <w:marTop w:val="0"/>
      <w:marBottom w:val="0"/>
      <w:divBdr>
        <w:top w:val="none" w:sz="0" w:space="0" w:color="auto"/>
        <w:left w:val="none" w:sz="0" w:space="0" w:color="auto"/>
        <w:bottom w:val="none" w:sz="0" w:space="0" w:color="auto"/>
        <w:right w:val="none" w:sz="0" w:space="0" w:color="auto"/>
      </w:divBdr>
      <w:divsChild>
        <w:div w:id="89742758">
          <w:marLeft w:val="0"/>
          <w:marRight w:val="0"/>
          <w:marTop w:val="0"/>
          <w:marBottom w:val="0"/>
          <w:divBdr>
            <w:top w:val="none" w:sz="0" w:space="0" w:color="auto"/>
            <w:left w:val="none" w:sz="0" w:space="0" w:color="auto"/>
            <w:bottom w:val="none" w:sz="0" w:space="0" w:color="auto"/>
            <w:right w:val="none" w:sz="0" w:space="0" w:color="auto"/>
          </w:divBdr>
        </w:div>
        <w:div w:id="89856543">
          <w:marLeft w:val="0"/>
          <w:marRight w:val="0"/>
          <w:marTop w:val="0"/>
          <w:marBottom w:val="0"/>
          <w:divBdr>
            <w:top w:val="none" w:sz="0" w:space="0" w:color="auto"/>
            <w:left w:val="none" w:sz="0" w:space="0" w:color="auto"/>
            <w:bottom w:val="none" w:sz="0" w:space="0" w:color="auto"/>
            <w:right w:val="none" w:sz="0" w:space="0" w:color="auto"/>
          </w:divBdr>
        </w:div>
        <w:div w:id="119811854">
          <w:marLeft w:val="0"/>
          <w:marRight w:val="0"/>
          <w:marTop w:val="0"/>
          <w:marBottom w:val="0"/>
          <w:divBdr>
            <w:top w:val="none" w:sz="0" w:space="0" w:color="auto"/>
            <w:left w:val="none" w:sz="0" w:space="0" w:color="auto"/>
            <w:bottom w:val="none" w:sz="0" w:space="0" w:color="auto"/>
            <w:right w:val="none" w:sz="0" w:space="0" w:color="auto"/>
          </w:divBdr>
        </w:div>
        <w:div w:id="290324922">
          <w:marLeft w:val="0"/>
          <w:marRight w:val="0"/>
          <w:marTop w:val="0"/>
          <w:marBottom w:val="0"/>
          <w:divBdr>
            <w:top w:val="none" w:sz="0" w:space="0" w:color="auto"/>
            <w:left w:val="none" w:sz="0" w:space="0" w:color="auto"/>
            <w:bottom w:val="none" w:sz="0" w:space="0" w:color="auto"/>
            <w:right w:val="none" w:sz="0" w:space="0" w:color="auto"/>
          </w:divBdr>
        </w:div>
        <w:div w:id="362249350">
          <w:marLeft w:val="0"/>
          <w:marRight w:val="0"/>
          <w:marTop w:val="0"/>
          <w:marBottom w:val="0"/>
          <w:divBdr>
            <w:top w:val="none" w:sz="0" w:space="0" w:color="auto"/>
            <w:left w:val="none" w:sz="0" w:space="0" w:color="auto"/>
            <w:bottom w:val="none" w:sz="0" w:space="0" w:color="auto"/>
            <w:right w:val="none" w:sz="0" w:space="0" w:color="auto"/>
          </w:divBdr>
        </w:div>
        <w:div w:id="418213576">
          <w:marLeft w:val="0"/>
          <w:marRight w:val="0"/>
          <w:marTop w:val="0"/>
          <w:marBottom w:val="0"/>
          <w:divBdr>
            <w:top w:val="none" w:sz="0" w:space="0" w:color="auto"/>
            <w:left w:val="none" w:sz="0" w:space="0" w:color="auto"/>
            <w:bottom w:val="none" w:sz="0" w:space="0" w:color="auto"/>
            <w:right w:val="none" w:sz="0" w:space="0" w:color="auto"/>
          </w:divBdr>
        </w:div>
        <w:div w:id="724181769">
          <w:marLeft w:val="0"/>
          <w:marRight w:val="0"/>
          <w:marTop w:val="0"/>
          <w:marBottom w:val="0"/>
          <w:divBdr>
            <w:top w:val="none" w:sz="0" w:space="0" w:color="auto"/>
            <w:left w:val="none" w:sz="0" w:space="0" w:color="auto"/>
            <w:bottom w:val="none" w:sz="0" w:space="0" w:color="auto"/>
            <w:right w:val="none" w:sz="0" w:space="0" w:color="auto"/>
          </w:divBdr>
        </w:div>
        <w:div w:id="1004168945">
          <w:marLeft w:val="0"/>
          <w:marRight w:val="0"/>
          <w:marTop w:val="0"/>
          <w:marBottom w:val="0"/>
          <w:divBdr>
            <w:top w:val="none" w:sz="0" w:space="0" w:color="auto"/>
            <w:left w:val="none" w:sz="0" w:space="0" w:color="auto"/>
            <w:bottom w:val="none" w:sz="0" w:space="0" w:color="auto"/>
            <w:right w:val="none" w:sz="0" w:space="0" w:color="auto"/>
          </w:divBdr>
        </w:div>
        <w:div w:id="1047489206">
          <w:marLeft w:val="0"/>
          <w:marRight w:val="0"/>
          <w:marTop w:val="0"/>
          <w:marBottom w:val="0"/>
          <w:divBdr>
            <w:top w:val="none" w:sz="0" w:space="0" w:color="auto"/>
            <w:left w:val="none" w:sz="0" w:space="0" w:color="auto"/>
            <w:bottom w:val="none" w:sz="0" w:space="0" w:color="auto"/>
            <w:right w:val="none" w:sz="0" w:space="0" w:color="auto"/>
          </w:divBdr>
        </w:div>
        <w:div w:id="1146236921">
          <w:marLeft w:val="0"/>
          <w:marRight w:val="0"/>
          <w:marTop w:val="0"/>
          <w:marBottom w:val="0"/>
          <w:divBdr>
            <w:top w:val="none" w:sz="0" w:space="0" w:color="auto"/>
            <w:left w:val="none" w:sz="0" w:space="0" w:color="auto"/>
            <w:bottom w:val="none" w:sz="0" w:space="0" w:color="auto"/>
            <w:right w:val="none" w:sz="0" w:space="0" w:color="auto"/>
          </w:divBdr>
        </w:div>
        <w:div w:id="1361777722">
          <w:marLeft w:val="0"/>
          <w:marRight w:val="0"/>
          <w:marTop w:val="0"/>
          <w:marBottom w:val="0"/>
          <w:divBdr>
            <w:top w:val="none" w:sz="0" w:space="0" w:color="auto"/>
            <w:left w:val="none" w:sz="0" w:space="0" w:color="auto"/>
            <w:bottom w:val="none" w:sz="0" w:space="0" w:color="auto"/>
            <w:right w:val="none" w:sz="0" w:space="0" w:color="auto"/>
          </w:divBdr>
        </w:div>
        <w:div w:id="1367751358">
          <w:marLeft w:val="0"/>
          <w:marRight w:val="0"/>
          <w:marTop w:val="0"/>
          <w:marBottom w:val="0"/>
          <w:divBdr>
            <w:top w:val="none" w:sz="0" w:space="0" w:color="auto"/>
            <w:left w:val="none" w:sz="0" w:space="0" w:color="auto"/>
            <w:bottom w:val="none" w:sz="0" w:space="0" w:color="auto"/>
            <w:right w:val="none" w:sz="0" w:space="0" w:color="auto"/>
          </w:divBdr>
        </w:div>
        <w:div w:id="1496451620">
          <w:marLeft w:val="0"/>
          <w:marRight w:val="0"/>
          <w:marTop w:val="0"/>
          <w:marBottom w:val="0"/>
          <w:divBdr>
            <w:top w:val="none" w:sz="0" w:space="0" w:color="auto"/>
            <w:left w:val="none" w:sz="0" w:space="0" w:color="auto"/>
            <w:bottom w:val="none" w:sz="0" w:space="0" w:color="auto"/>
            <w:right w:val="none" w:sz="0" w:space="0" w:color="auto"/>
          </w:divBdr>
        </w:div>
        <w:div w:id="1600790685">
          <w:marLeft w:val="0"/>
          <w:marRight w:val="0"/>
          <w:marTop w:val="0"/>
          <w:marBottom w:val="0"/>
          <w:divBdr>
            <w:top w:val="none" w:sz="0" w:space="0" w:color="auto"/>
            <w:left w:val="none" w:sz="0" w:space="0" w:color="auto"/>
            <w:bottom w:val="none" w:sz="0" w:space="0" w:color="auto"/>
            <w:right w:val="none" w:sz="0" w:space="0" w:color="auto"/>
          </w:divBdr>
        </w:div>
        <w:div w:id="1654487560">
          <w:marLeft w:val="0"/>
          <w:marRight w:val="0"/>
          <w:marTop w:val="0"/>
          <w:marBottom w:val="0"/>
          <w:divBdr>
            <w:top w:val="none" w:sz="0" w:space="0" w:color="auto"/>
            <w:left w:val="none" w:sz="0" w:space="0" w:color="auto"/>
            <w:bottom w:val="none" w:sz="0" w:space="0" w:color="auto"/>
            <w:right w:val="none" w:sz="0" w:space="0" w:color="auto"/>
          </w:divBdr>
        </w:div>
      </w:divsChild>
    </w:div>
    <w:div w:id="1010990803">
      <w:bodyDiv w:val="1"/>
      <w:marLeft w:val="0"/>
      <w:marRight w:val="0"/>
      <w:marTop w:val="0"/>
      <w:marBottom w:val="0"/>
      <w:divBdr>
        <w:top w:val="none" w:sz="0" w:space="0" w:color="auto"/>
        <w:left w:val="none" w:sz="0" w:space="0" w:color="auto"/>
        <w:bottom w:val="none" w:sz="0" w:space="0" w:color="auto"/>
        <w:right w:val="none" w:sz="0" w:space="0" w:color="auto"/>
      </w:divBdr>
    </w:div>
    <w:div w:id="1844128632">
      <w:bodyDiv w:val="1"/>
      <w:marLeft w:val="0"/>
      <w:marRight w:val="0"/>
      <w:marTop w:val="0"/>
      <w:marBottom w:val="0"/>
      <w:divBdr>
        <w:top w:val="none" w:sz="0" w:space="0" w:color="auto"/>
        <w:left w:val="none" w:sz="0" w:space="0" w:color="auto"/>
        <w:bottom w:val="none" w:sz="0" w:space="0" w:color="auto"/>
        <w:right w:val="none" w:sz="0" w:space="0" w:color="auto"/>
      </w:divBdr>
    </w:div>
    <w:div w:id="198994288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Текст в НК</vt:lpstr>
    </vt:vector>
  </TitlesOfParts>
  <Company>MEE</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НК</dc:title>
  <dc:creator>ME</dc:creator>
  <cp:lastModifiedBy>Zaharincho</cp:lastModifiedBy>
  <cp:revision>2</cp:revision>
  <cp:lastPrinted>2013-01-29T09:20:00Z</cp:lastPrinted>
  <dcterms:created xsi:type="dcterms:W3CDTF">2020-11-06T15:10:00Z</dcterms:created>
  <dcterms:modified xsi:type="dcterms:W3CDTF">2020-11-06T15:10:00Z</dcterms:modified>
</cp:coreProperties>
</file>