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631"/>
        <w:gridCol w:w="1607"/>
        <w:gridCol w:w="8258"/>
        <w:gridCol w:w="3966"/>
      </w:tblGrid>
      <w:tr w:rsidR="00786B8E" w:rsidRPr="00431505">
        <w:trPr>
          <w:trHeight w:val="350"/>
        </w:trPr>
        <w:tc>
          <w:tcPr>
            <w:tcW w:w="15920" w:type="dxa"/>
            <w:gridSpan w:val="5"/>
            <w:shd w:val="clear" w:color="auto" w:fill="auto"/>
          </w:tcPr>
          <w:p w:rsidR="00C7533B" w:rsidRDefault="00C7533B" w:rsidP="00431505">
            <w:pPr>
              <w:jc w:val="center"/>
              <w:rPr>
                <w:b/>
                <w:sz w:val="28"/>
                <w:szCs w:val="28"/>
              </w:rPr>
            </w:pPr>
          </w:p>
          <w:p w:rsidR="00B757F1" w:rsidRPr="00B757F1" w:rsidRDefault="00271716" w:rsidP="00B757F1">
            <w:pPr>
              <w:jc w:val="center"/>
              <w:rPr>
                <w:b/>
                <w:sz w:val="28"/>
                <w:szCs w:val="28"/>
                <w:lang w:val="en-US"/>
              </w:rPr>
            </w:pPr>
            <w:r w:rsidRPr="00B757F1">
              <w:rPr>
                <w:b/>
                <w:sz w:val="28"/>
                <w:szCs w:val="28"/>
              </w:rPr>
              <w:t xml:space="preserve">Таблица за направените предложения и коментари в процеса на обществено обсъждане на </w:t>
            </w:r>
            <w:r w:rsidR="00DE34C1" w:rsidRPr="00B757F1">
              <w:rPr>
                <w:b/>
                <w:sz w:val="28"/>
                <w:szCs w:val="28"/>
              </w:rPr>
              <w:t>проект на</w:t>
            </w:r>
            <w:r w:rsidR="00E87F60" w:rsidRPr="00B757F1">
              <w:rPr>
                <w:b/>
                <w:sz w:val="28"/>
                <w:szCs w:val="28"/>
                <w:lang w:val="en-US"/>
              </w:rPr>
              <w:t xml:space="preserve"> </w:t>
            </w:r>
            <w:r w:rsidR="00EF7BA5" w:rsidRPr="00B757F1">
              <w:rPr>
                <w:b/>
                <w:sz w:val="28"/>
                <w:szCs w:val="28"/>
              </w:rPr>
              <w:t xml:space="preserve">условия за кандидатстване, условия за изпълнение </w:t>
            </w:r>
            <w:r w:rsidR="00786B8E" w:rsidRPr="00B757F1">
              <w:rPr>
                <w:b/>
                <w:sz w:val="28"/>
                <w:szCs w:val="28"/>
              </w:rPr>
              <w:t>и пакет документи за кандидатстване по процедура</w:t>
            </w:r>
            <w:r w:rsidRPr="00B757F1">
              <w:rPr>
                <w:b/>
                <w:sz w:val="28"/>
                <w:szCs w:val="28"/>
              </w:rPr>
              <w:t xml:space="preserve"> </w:t>
            </w:r>
            <w:proofErr w:type="spellStart"/>
            <w:r w:rsidR="00B757F1" w:rsidRPr="00B757F1">
              <w:rPr>
                <w:b/>
                <w:sz w:val="28"/>
                <w:szCs w:val="28"/>
                <w:lang w:val="en-US"/>
              </w:rPr>
              <w:t>Процедура</w:t>
            </w:r>
            <w:proofErr w:type="spellEnd"/>
            <w:r w:rsidR="00B757F1" w:rsidRPr="00B757F1">
              <w:rPr>
                <w:b/>
                <w:sz w:val="28"/>
                <w:szCs w:val="28"/>
                <w:lang w:val="en-US"/>
              </w:rPr>
              <w:t xml:space="preserve"> </w:t>
            </w:r>
            <w:proofErr w:type="spellStart"/>
            <w:r w:rsidR="00B757F1" w:rsidRPr="00B757F1">
              <w:rPr>
                <w:b/>
                <w:sz w:val="28"/>
                <w:szCs w:val="28"/>
                <w:lang w:val="en-US"/>
              </w:rPr>
              <w:t>чрез</w:t>
            </w:r>
            <w:proofErr w:type="spellEnd"/>
            <w:r w:rsidR="00B757F1" w:rsidRPr="00B757F1">
              <w:rPr>
                <w:b/>
                <w:sz w:val="28"/>
                <w:szCs w:val="28"/>
                <w:lang w:val="en-US"/>
              </w:rPr>
              <w:t xml:space="preserve"> </w:t>
            </w:r>
            <w:proofErr w:type="spellStart"/>
            <w:r w:rsidR="00B757F1" w:rsidRPr="00B757F1">
              <w:rPr>
                <w:b/>
                <w:sz w:val="28"/>
                <w:szCs w:val="28"/>
                <w:lang w:val="en-US"/>
              </w:rPr>
              <w:t>подбор</w:t>
            </w:r>
            <w:proofErr w:type="spellEnd"/>
            <w:r w:rsidR="00B757F1" w:rsidRPr="00B757F1">
              <w:rPr>
                <w:b/>
                <w:sz w:val="28"/>
                <w:szCs w:val="28"/>
                <w:lang w:val="en-US"/>
              </w:rPr>
              <w:t xml:space="preserve"> </w:t>
            </w:r>
            <w:proofErr w:type="spellStart"/>
            <w:r w:rsidR="00B757F1" w:rsidRPr="00B757F1">
              <w:rPr>
                <w:b/>
                <w:sz w:val="28"/>
                <w:szCs w:val="28"/>
                <w:lang w:val="en-US"/>
              </w:rPr>
              <w:t>на</w:t>
            </w:r>
            <w:proofErr w:type="spellEnd"/>
            <w:r w:rsidR="00B757F1" w:rsidRPr="00B757F1">
              <w:rPr>
                <w:b/>
                <w:sz w:val="28"/>
                <w:szCs w:val="28"/>
                <w:lang w:val="en-US"/>
              </w:rPr>
              <w:t xml:space="preserve"> </w:t>
            </w:r>
            <w:proofErr w:type="spellStart"/>
            <w:r w:rsidR="00B757F1" w:rsidRPr="00B757F1">
              <w:rPr>
                <w:b/>
                <w:sz w:val="28"/>
                <w:szCs w:val="28"/>
                <w:lang w:val="en-US"/>
              </w:rPr>
              <w:t>проекти</w:t>
            </w:r>
            <w:proofErr w:type="spellEnd"/>
            <w:r w:rsidR="00B757F1" w:rsidRPr="00B757F1">
              <w:rPr>
                <w:b/>
                <w:sz w:val="28"/>
                <w:szCs w:val="28"/>
                <w:lang w:val="en-US"/>
              </w:rPr>
              <w:t xml:space="preserve"> BG14MFOP001-2.016 „</w:t>
            </w:r>
            <w:proofErr w:type="spellStart"/>
            <w:r w:rsidR="00B757F1" w:rsidRPr="00B757F1">
              <w:rPr>
                <w:b/>
                <w:sz w:val="28"/>
                <w:szCs w:val="28"/>
                <w:lang w:val="en-US"/>
              </w:rPr>
              <w:t>Продуктивни</w:t>
            </w:r>
            <w:proofErr w:type="spellEnd"/>
            <w:r w:rsidR="00B757F1" w:rsidRPr="00B757F1">
              <w:rPr>
                <w:b/>
                <w:sz w:val="28"/>
                <w:szCs w:val="28"/>
                <w:lang w:val="en-US"/>
              </w:rPr>
              <w:t xml:space="preserve"> </w:t>
            </w:r>
            <w:proofErr w:type="spellStart"/>
            <w:r w:rsidR="00B757F1" w:rsidRPr="00B757F1">
              <w:rPr>
                <w:b/>
                <w:sz w:val="28"/>
                <w:szCs w:val="28"/>
                <w:lang w:val="en-US"/>
              </w:rPr>
              <w:t>инвестиции</w:t>
            </w:r>
            <w:proofErr w:type="spellEnd"/>
            <w:r w:rsidR="00B757F1" w:rsidRPr="00B757F1">
              <w:rPr>
                <w:b/>
                <w:sz w:val="28"/>
                <w:szCs w:val="28"/>
                <w:lang w:val="en-US"/>
              </w:rPr>
              <w:t xml:space="preserve"> в </w:t>
            </w:r>
            <w:proofErr w:type="spellStart"/>
            <w:r w:rsidR="00B757F1" w:rsidRPr="00B757F1">
              <w:rPr>
                <w:b/>
                <w:sz w:val="28"/>
                <w:szCs w:val="28"/>
                <w:lang w:val="en-US"/>
              </w:rPr>
              <w:t>аквакултурите</w:t>
            </w:r>
            <w:proofErr w:type="spellEnd"/>
            <w:r w:rsidR="00B757F1" w:rsidRPr="00B757F1">
              <w:rPr>
                <w:b/>
                <w:sz w:val="28"/>
                <w:szCs w:val="28"/>
                <w:lang w:val="en-US"/>
              </w:rPr>
              <w:t>“</w:t>
            </w:r>
            <w:r w:rsidR="00B757F1" w:rsidRPr="00B757F1">
              <w:rPr>
                <w:b/>
                <w:sz w:val="28"/>
                <w:szCs w:val="28"/>
              </w:rPr>
              <w:t xml:space="preserve">, </w:t>
            </w:r>
            <w:proofErr w:type="spellStart"/>
            <w:r w:rsidR="00B757F1" w:rsidRPr="00B757F1">
              <w:rPr>
                <w:b/>
                <w:sz w:val="28"/>
                <w:szCs w:val="28"/>
                <w:lang w:val="en-US"/>
              </w:rPr>
              <w:t>Сектор</w:t>
            </w:r>
            <w:proofErr w:type="spellEnd"/>
            <w:r w:rsidR="00B757F1" w:rsidRPr="00B757F1">
              <w:rPr>
                <w:b/>
                <w:sz w:val="28"/>
                <w:szCs w:val="28"/>
                <w:lang w:val="en-US"/>
              </w:rPr>
              <w:t xml:space="preserve"> „</w:t>
            </w:r>
            <w:proofErr w:type="spellStart"/>
            <w:r w:rsidR="00B757F1" w:rsidRPr="00B757F1">
              <w:rPr>
                <w:b/>
                <w:sz w:val="28"/>
                <w:szCs w:val="28"/>
                <w:lang w:val="en-US"/>
              </w:rPr>
              <w:t>Рециркулационни</w:t>
            </w:r>
            <w:proofErr w:type="spellEnd"/>
            <w:r w:rsidR="00B757F1" w:rsidRPr="00B757F1">
              <w:rPr>
                <w:b/>
                <w:sz w:val="28"/>
                <w:szCs w:val="28"/>
                <w:lang w:val="en-US"/>
              </w:rPr>
              <w:t xml:space="preserve"> </w:t>
            </w:r>
            <w:proofErr w:type="spellStart"/>
            <w:r w:rsidR="00B757F1" w:rsidRPr="00B757F1">
              <w:rPr>
                <w:b/>
                <w:sz w:val="28"/>
                <w:szCs w:val="28"/>
                <w:lang w:val="en-US"/>
              </w:rPr>
              <w:t>системи</w:t>
            </w:r>
            <w:proofErr w:type="spellEnd"/>
            <w:r w:rsidR="00B757F1" w:rsidRPr="00B757F1">
              <w:rPr>
                <w:b/>
                <w:sz w:val="28"/>
                <w:szCs w:val="28"/>
                <w:lang w:val="en-US"/>
              </w:rPr>
              <w:t>“ и</w:t>
            </w:r>
          </w:p>
          <w:p w:rsidR="00DD2AAE" w:rsidRPr="00966FA3" w:rsidRDefault="00B757F1" w:rsidP="00B757F1">
            <w:pPr>
              <w:rPr>
                <w:b/>
                <w:sz w:val="28"/>
                <w:szCs w:val="28"/>
              </w:rPr>
            </w:pPr>
            <w:proofErr w:type="spellStart"/>
            <w:r w:rsidRPr="00B757F1">
              <w:rPr>
                <w:b/>
                <w:sz w:val="28"/>
                <w:szCs w:val="28"/>
                <w:lang w:val="en-US"/>
              </w:rPr>
              <w:t>Сектор</w:t>
            </w:r>
            <w:proofErr w:type="spellEnd"/>
            <w:r w:rsidRPr="00B757F1">
              <w:rPr>
                <w:b/>
                <w:sz w:val="28"/>
                <w:szCs w:val="28"/>
                <w:lang w:val="en-US"/>
              </w:rPr>
              <w:t xml:space="preserve"> „</w:t>
            </w:r>
            <w:proofErr w:type="spellStart"/>
            <w:r w:rsidRPr="00B757F1">
              <w:rPr>
                <w:b/>
                <w:sz w:val="28"/>
                <w:szCs w:val="28"/>
                <w:lang w:val="en-US"/>
              </w:rPr>
              <w:t>Изграждане</w:t>
            </w:r>
            <w:proofErr w:type="spellEnd"/>
            <w:r w:rsidRPr="00B757F1">
              <w:rPr>
                <w:b/>
                <w:sz w:val="28"/>
                <w:szCs w:val="28"/>
                <w:lang w:val="en-US"/>
              </w:rPr>
              <w:t xml:space="preserve"> </w:t>
            </w:r>
            <w:proofErr w:type="spellStart"/>
            <w:r w:rsidRPr="00B757F1">
              <w:rPr>
                <w:b/>
                <w:sz w:val="28"/>
                <w:szCs w:val="28"/>
                <w:lang w:val="en-US"/>
              </w:rPr>
              <w:t>на</w:t>
            </w:r>
            <w:proofErr w:type="spellEnd"/>
            <w:r w:rsidRPr="00B757F1">
              <w:rPr>
                <w:b/>
                <w:sz w:val="28"/>
                <w:szCs w:val="28"/>
                <w:lang w:val="en-US"/>
              </w:rPr>
              <w:t xml:space="preserve"> </w:t>
            </w:r>
            <w:proofErr w:type="spellStart"/>
            <w:r w:rsidRPr="00B757F1">
              <w:rPr>
                <w:b/>
                <w:sz w:val="28"/>
                <w:szCs w:val="28"/>
                <w:lang w:val="en-US"/>
              </w:rPr>
              <w:t>нови</w:t>
            </w:r>
            <w:proofErr w:type="spellEnd"/>
            <w:r w:rsidRPr="00B757F1">
              <w:rPr>
                <w:b/>
                <w:sz w:val="28"/>
                <w:szCs w:val="28"/>
                <w:lang w:val="en-US"/>
              </w:rPr>
              <w:t xml:space="preserve">, </w:t>
            </w:r>
            <w:proofErr w:type="spellStart"/>
            <w:r w:rsidRPr="00B757F1">
              <w:rPr>
                <w:b/>
                <w:sz w:val="28"/>
                <w:szCs w:val="28"/>
                <w:lang w:val="en-US"/>
              </w:rPr>
              <w:t>както</w:t>
            </w:r>
            <w:proofErr w:type="spellEnd"/>
            <w:r w:rsidRPr="00B757F1">
              <w:rPr>
                <w:b/>
                <w:sz w:val="28"/>
                <w:szCs w:val="28"/>
                <w:lang w:val="en-US"/>
              </w:rPr>
              <w:t xml:space="preserve"> и </w:t>
            </w:r>
            <w:proofErr w:type="spellStart"/>
            <w:r w:rsidRPr="00B757F1">
              <w:rPr>
                <w:b/>
                <w:sz w:val="28"/>
                <w:szCs w:val="28"/>
                <w:lang w:val="en-US"/>
              </w:rPr>
              <w:t>разширяване</w:t>
            </w:r>
            <w:proofErr w:type="spellEnd"/>
            <w:r w:rsidRPr="00B757F1">
              <w:rPr>
                <w:b/>
                <w:sz w:val="28"/>
                <w:szCs w:val="28"/>
                <w:lang w:val="en-US"/>
              </w:rPr>
              <w:t xml:space="preserve"> и </w:t>
            </w:r>
            <w:proofErr w:type="spellStart"/>
            <w:r w:rsidRPr="00B757F1">
              <w:rPr>
                <w:b/>
                <w:sz w:val="28"/>
                <w:szCs w:val="28"/>
                <w:lang w:val="en-US"/>
              </w:rPr>
              <w:t>модернизация</w:t>
            </w:r>
            <w:proofErr w:type="spellEnd"/>
            <w:r w:rsidRPr="00B757F1">
              <w:rPr>
                <w:b/>
                <w:sz w:val="28"/>
                <w:szCs w:val="28"/>
                <w:lang w:val="en-US"/>
              </w:rPr>
              <w:t xml:space="preserve"> </w:t>
            </w:r>
            <w:proofErr w:type="spellStart"/>
            <w:r w:rsidRPr="00B757F1">
              <w:rPr>
                <w:b/>
                <w:sz w:val="28"/>
                <w:szCs w:val="28"/>
                <w:lang w:val="en-US"/>
              </w:rPr>
              <w:t>на</w:t>
            </w:r>
            <w:proofErr w:type="spellEnd"/>
            <w:r w:rsidRPr="00B757F1">
              <w:rPr>
                <w:b/>
                <w:sz w:val="28"/>
                <w:szCs w:val="28"/>
                <w:lang w:val="en-US"/>
              </w:rPr>
              <w:t xml:space="preserve"> </w:t>
            </w:r>
            <w:proofErr w:type="spellStart"/>
            <w:r w:rsidRPr="00B757F1">
              <w:rPr>
                <w:b/>
                <w:sz w:val="28"/>
                <w:szCs w:val="28"/>
                <w:lang w:val="en-US"/>
              </w:rPr>
              <w:t>съществуващи</w:t>
            </w:r>
            <w:proofErr w:type="spellEnd"/>
            <w:r w:rsidRPr="00B757F1">
              <w:rPr>
                <w:b/>
                <w:sz w:val="28"/>
                <w:szCs w:val="28"/>
                <w:lang w:val="en-US"/>
              </w:rPr>
              <w:t xml:space="preserve"> </w:t>
            </w:r>
            <w:proofErr w:type="spellStart"/>
            <w:r w:rsidRPr="00B757F1">
              <w:rPr>
                <w:b/>
                <w:sz w:val="28"/>
                <w:szCs w:val="28"/>
                <w:lang w:val="en-US"/>
              </w:rPr>
              <w:t>аквакултурни</w:t>
            </w:r>
            <w:proofErr w:type="spellEnd"/>
            <w:r w:rsidRPr="00B757F1">
              <w:rPr>
                <w:b/>
                <w:sz w:val="28"/>
                <w:szCs w:val="28"/>
                <w:lang w:val="en-US"/>
              </w:rPr>
              <w:t xml:space="preserve"> </w:t>
            </w:r>
            <w:proofErr w:type="spellStart"/>
            <w:r w:rsidRPr="00B757F1">
              <w:rPr>
                <w:b/>
                <w:sz w:val="28"/>
                <w:szCs w:val="28"/>
                <w:lang w:val="en-US"/>
              </w:rPr>
              <w:t>стопанства</w:t>
            </w:r>
            <w:proofErr w:type="spellEnd"/>
            <w:r w:rsidRPr="00B757F1">
              <w:rPr>
                <w:b/>
                <w:sz w:val="28"/>
                <w:szCs w:val="28"/>
                <w:lang w:val="en-US"/>
              </w:rPr>
              <w:t>“</w:t>
            </w:r>
            <w:proofErr w:type="gramStart"/>
            <w:r w:rsidR="00C7533B" w:rsidRPr="00B757F1">
              <w:rPr>
                <w:b/>
                <w:sz w:val="28"/>
                <w:szCs w:val="28"/>
                <w:lang w:val="en-US"/>
              </w:rPr>
              <w:t>,</w:t>
            </w:r>
            <w:proofErr w:type="spellStart"/>
            <w:r w:rsidRPr="00B757F1">
              <w:rPr>
                <w:b/>
                <w:sz w:val="28"/>
                <w:szCs w:val="28"/>
                <w:lang w:val="en-US"/>
              </w:rPr>
              <w:t>мярка</w:t>
            </w:r>
            <w:proofErr w:type="spellEnd"/>
            <w:proofErr w:type="gramEnd"/>
            <w:r w:rsidRPr="00B757F1">
              <w:rPr>
                <w:b/>
                <w:sz w:val="28"/>
                <w:szCs w:val="28"/>
                <w:lang w:val="en-US"/>
              </w:rPr>
              <w:t xml:space="preserve"> 2.2. „</w:t>
            </w:r>
            <w:proofErr w:type="spellStart"/>
            <w:r w:rsidRPr="00B757F1">
              <w:rPr>
                <w:b/>
                <w:sz w:val="28"/>
                <w:szCs w:val="28"/>
                <w:lang w:val="en-US"/>
              </w:rPr>
              <w:t>Продуктивни</w:t>
            </w:r>
            <w:proofErr w:type="spellEnd"/>
            <w:r w:rsidRPr="00B757F1">
              <w:rPr>
                <w:b/>
                <w:sz w:val="28"/>
                <w:szCs w:val="28"/>
                <w:lang w:val="en-US"/>
              </w:rPr>
              <w:t xml:space="preserve"> </w:t>
            </w:r>
            <w:proofErr w:type="spellStart"/>
            <w:r w:rsidRPr="00B757F1">
              <w:rPr>
                <w:b/>
                <w:sz w:val="28"/>
                <w:szCs w:val="28"/>
                <w:lang w:val="en-US"/>
              </w:rPr>
              <w:t>инвестиции</w:t>
            </w:r>
            <w:proofErr w:type="spellEnd"/>
            <w:r w:rsidRPr="00B757F1">
              <w:rPr>
                <w:b/>
                <w:sz w:val="28"/>
                <w:szCs w:val="28"/>
                <w:lang w:val="en-US"/>
              </w:rPr>
              <w:t xml:space="preserve"> в </w:t>
            </w:r>
            <w:proofErr w:type="spellStart"/>
            <w:r w:rsidRPr="00B757F1">
              <w:rPr>
                <w:b/>
                <w:sz w:val="28"/>
                <w:szCs w:val="28"/>
                <w:lang w:val="en-US"/>
              </w:rPr>
              <w:t>аквакултурите</w:t>
            </w:r>
            <w:proofErr w:type="spellEnd"/>
            <w:proofErr w:type="gramStart"/>
            <w:r w:rsidRPr="00B757F1">
              <w:rPr>
                <w:b/>
                <w:sz w:val="28"/>
                <w:szCs w:val="28"/>
                <w:lang w:val="en-US"/>
              </w:rPr>
              <w:t>“</w:t>
            </w:r>
            <w:r w:rsidR="00C7533B" w:rsidRPr="00B757F1">
              <w:rPr>
                <w:b/>
                <w:sz w:val="28"/>
                <w:szCs w:val="28"/>
                <w:lang w:val="en-US"/>
              </w:rPr>
              <w:t xml:space="preserve"> </w:t>
            </w:r>
            <w:proofErr w:type="spellStart"/>
            <w:r w:rsidR="00C7533B" w:rsidRPr="00B757F1">
              <w:rPr>
                <w:b/>
                <w:sz w:val="28"/>
                <w:szCs w:val="28"/>
                <w:lang w:val="en-US"/>
              </w:rPr>
              <w:t>по</w:t>
            </w:r>
            <w:proofErr w:type="spellEnd"/>
            <w:proofErr w:type="gramEnd"/>
            <w:r w:rsidR="00C7533B" w:rsidRPr="00B757F1">
              <w:rPr>
                <w:b/>
                <w:sz w:val="28"/>
                <w:szCs w:val="28"/>
                <w:lang w:val="en-US"/>
              </w:rPr>
              <w:t xml:space="preserve"> </w:t>
            </w:r>
            <w:proofErr w:type="spellStart"/>
            <w:r w:rsidR="00C7533B" w:rsidRPr="00B757F1">
              <w:rPr>
                <w:b/>
                <w:sz w:val="28"/>
                <w:szCs w:val="28"/>
                <w:lang w:val="en-US"/>
              </w:rPr>
              <w:t>Програма</w:t>
            </w:r>
            <w:proofErr w:type="spellEnd"/>
            <w:r w:rsidR="00C7533B" w:rsidRPr="00B757F1">
              <w:rPr>
                <w:b/>
                <w:sz w:val="28"/>
                <w:szCs w:val="28"/>
                <w:lang w:val="en-US"/>
              </w:rPr>
              <w:t xml:space="preserve"> </w:t>
            </w:r>
            <w:proofErr w:type="spellStart"/>
            <w:r w:rsidR="00C7533B" w:rsidRPr="00B757F1">
              <w:rPr>
                <w:b/>
                <w:sz w:val="28"/>
                <w:szCs w:val="28"/>
                <w:lang w:val="en-US"/>
              </w:rPr>
              <w:t>морско</w:t>
            </w:r>
            <w:proofErr w:type="spellEnd"/>
            <w:r w:rsidR="00C7533B" w:rsidRPr="00B757F1">
              <w:rPr>
                <w:b/>
                <w:sz w:val="28"/>
                <w:szCs w:val="28"/>
                <w:lang w:val="en-US"/>
              </w:rPr>
              <w:t xml:space="preserve"> </w:t>
            </w:r>
            <w:proofErr w:type="spellStart"/>
            <w:r w:rsidR="00C7533B" w:rsidRPr="00B757F1">
              <w:rPr>
                <w:b/>
                <w:sz w:val="28"/>
                <w:szCs w:val="28"/>
                <w:lang w:val="en-US"/>
              </w:rPr>
              <w:t>дело</w:t>
            </w:r>
            <w:proofErr w:type="spellEnd"/>
            <w:r w:rsidR="00C7533B" w:rsidRPr="00B757F1">
              <w:rPr>
                <w:b/>
                <w:sz w:val="28"/>
                <w:szCs w:val="28"/>
                <w:lang w:val="en-US"/>
              </w:rPr>
              <w:t xml:space="preserve"> и </w:t>
            </w:r>
            <w:proofErr w:type="spellStart"/>
            <w:r w:rsidR="00C7533B" w:rsidRPr="00B757F1">
              <w:rPr>
                <w:b/>
                <w:sz w:val="28"/>
                <w:szCs w:val="28"/>
                <w:lang w:val="en-US"/>
              </w:rPr>
              <w:t>рибарство</w:t>
            </w:r>
            <w:proofErr w:type="spellEnd"/>
            <w:r w:rsidR="00C7533B" w:rsidRPr="00B757F1">
              <w:rPr>
                <w:b/>
                <w:sz w:val="28"/>
                <w:szCs w:val="28"/>
                <w:lang w:val="en-US"/>
              </w:rPr>
              <w:t xml:space="preserve"> 2014-2020 г.</w:t>
            </w:r>
          </w:p>
          <w:p w:rsidR="00560CBF" w:rsidRPr="00431505" w:rsidRDefault="00560CBF" w:rsidP="00431505">
            <w:pPr>
              <w:jc w:val="center"/>
              <w:rPr>
                <w:rFonts w:ascii="Verdana" w:hAnsi="Verdana"/>
                <w:b/>
              </w:rPr>
            </w:pPr>
          </w:p>
        </w:tc>
      </w:tr>
      <w:tr w:rsidR="0088182E" w:rsidRPr="00431505" w:rsidTr="00DC6E92">
        <w:trPr>
          <w:trHeight w:val="350"/>
        </w:trPr>
        <w:tc>
          <w:tcPr>
            <w:tcW w:w="458" w:type="dxa"/>
            <w:shd w:val="clear" w:color="auto" w:fill="D9D9D9"/>
          </w:tcPr>
          <w:p w:rsidR="0088182E" w:rsidRPr="00431505" w:rsidRDefault="0088182E" w:rsidP="00431505">
            <w:pPr>
              <w:jc w:val="center"/>
              <w:rPr>
                <w:b/>
              </w:rPr>
            </w:pPr>
          </w:p>
          <w:p w:rsidR="0088182E" w:rsidRPr="00431505" w:rsidRDefault="0077264B" w:rsidP="00431505">
            <w:pPr>
              <w:jc w:val="center"/>
              <w:rPr>
                <w:b/>
              </w:rPr>
            </w:pPr>
            <w:r>
              <w:rPr>
                <w:b/>
              </w:rPr>
              <w:t>№</w:t>
            </w:r>
          </w:p>
          <w:p w:rsidR="0088182E" w:rsidRPr="00431505" w:rsidRDefault="0088182E" w:rsidP="00431505">
            <w:pPr>
              <w:jc w:val="center"/>
              <w:rPr>
                <w:b/>
              </w:rPr>
            </w:pPr>
          </w:p>
        </w:tc>
        <w:tc>
          <w:tcPr>
            <w:tcW w:w="1631" w:type="dxa"/>
            <w:shd w:val="clear" w:color="auto" w:fill="D9D9D9"/>
          </w:tcPr>
          <w:p w:rsidR="0088182E" w:rsidRPr="00431505" w:rsidRDefault="0088182E" w:rsidP="00431505">
            <w:pPr>
              <w:jc w:val="center"/>
              <w:rPr>
                <w:b/>
              </w:rPr>
            </w:pPr>
            <w:r>
              <w:rPr>
                <w:b/>
              </w:rPr>
              <w:t xml:space="preserve">Данни на подателя </w:t>
            </w:r>
            <w:r w:rsidRPr="00431505">
              <w:rPr>
                <w:b/>
              </w:rPr>
              <w:t xml:space="preserve"> </w:t>
            </w:r>
          </w:p>
        </w:tc>
        <w:tc>
          <w:tcPr>
            <w:tcW w:w="1618" w:type="dxa"/>
            <w:shd w:val="clear" w:color="auto" w:fill="D9D9D9"/>
          </w:tcPr>
          <w:p w:rsidR="0088182E" w:rsidRPr="00431505" w:rsidRDefault="0088182E" w:rsidP="00431505">
            <w:pPr>
              <w:jc w:val="center"/>
              <w:rPr>
                <w:b/>
              </w:rPr>
            </w:pPr>
            <w:r>
              <w:rPr>
                <w:b/>
              </w:rPr>
              <w:t>Дата на получаване</w:t>
            </w:r>
          </w:p>
        </w:tc>
        <w:tc>
          <w:tcPr>
            <w:tcW w:w="8734" w:type="dxa"/>
            <w:shd w:val="clear" w:color="auto" w:fill="D9D9D9"/>
          </w:tcPr>
          <w:p w:rsidR="0088182E" w:rsidRPr="00431505" w:rsidRDefault="0088182E" w:rsidP="00431505">
            <w:pPr>
              <w:jc w:val="center"/>
              <w:rPr>
                <w:b/>
              </w:rPr>
            </w:pPr>
            <w:r w:rsidRPr="00431505">
              <w:rPr>
                <w:b/>
              </w:rPr>
              <w:t xml:space="preserve">Коментар/Предложение </w:t>
            </w:r>
          </w:p>
        </w:tc>
        <w:tc>
          <w:tcPr>
            <w:tcW w:w="3479" w:type="dxa"/>
            <w:shd w:val="clear" w:color="auto" w:fill="D9D9D9"/>
          </w:tcPr>
          <w:p w:rsidR="0088182E" w:rsidRPr="00431505" w:rsidRDefault="0088182E" w:rsidP="007D7884">
            <w:pPr>
              <w:jc w:val="center"/>
              <w:rPr>
                <w:b/>
              </w:rPr>
            </w:pPr>
            <w:r w:rsidRPr="00431505">
              <w:rPr>
                <w:b/>
              </w:rPr>
              <w:t xml:space="preserve">Становище на УО на </w:t>
            </w:r>
            <w:r w:rsidR="007D7884">
              <w:rPr>
                <w:b/>
              </w:rPr>
              <w:t>ПМДР</w:t>
            </w:r>
          </w:p>
        </w:tc>
      </w:tr>
      <w:tr w:rsidR="0088182E" w:rsidRPr="00431505" w:rsidTr="00DC6E92">
        <w:trPr>
          <w:trHeight w:val="350"/>
        </w:trPr>
        <w:tc>
          <w:tcPr>
            <w:tcW w:w="458" w:type="dxa"/>
            <w:shd w:val="clear" w:color="auto" w:fill="auto"/>
          </w:tcPr>
          <w:p w:rsidR="0088182E" w:rsidRPr="00D61CA5" w:rsidRDefault="00D61CA5" w:rsidP="00C7533B">
            <w:pPr>
              <w:rPr>
                <w:rFonts w:ascii="Verdana" w:hAnsi="Verdana"/>
                <w:sz w:val="20"/>
                <w:szCs w:val="20"/>
              </w:rPr>
            </w:pPr>
            <w:r w:rsidRPr="00C7533B">
              <w:t>1.</w:t>
            </w:r>
          </w:p>
        </w:tc>
        <w:tc>
          <w:tcPr>
            <w:tcW w:w="1631" w:type="dxa"/>
            <w:shd w:val="clear" w:color="auto" w:fill="auto"/>
          </w:tcPr>
          <w:p w:rsidR="00DC2FEB" w:rsidRPr="00A00D23" w:rsidRDefault="00DC2FEB" w:rsidP="00DC2FEB">
            <w:pPr>
              <w:rPr>
                <w:sz w:val="22"/>
                <w:szCs w:val="22"/>
              </w:rPr>
            </w:pPr>
            <w:r w:rsidRPr="00A00D23">
              <w:rPr>
                <w:sz w:val="22"/>
                <w:szCs w:val="22"/>
              </w:rPr>
              <w:t>Стоян Костов</w:t>
            </w:r>
          </w:p>
          <w:p w:rsidR="0088182E" w:rsidRPr="00A00D23" w:rsidRDefault="00DC2FEB" w:rsidP="00DC2FEB">
            <w:pPr>
              <w:jc w:val="both"/>
              <w:rPr>
                <w:sz w:val="22"/>
                <w:szCs w:val="22"/>
              </w:rPr>
            </w:pPr>
            <w:r w:rsidRPr="00A00D23">
              <w:rPr>
                <w:sz w:val="22"/>
                <w:szCs w:val="22"/>
              </w:rPr>
              <w:t>"Адванс проджект консулт"</w:t>
            </w:r>
          </w:p>
        </w:tc>
        <w:tc>
          <w:tcPr>
            <w:tcW w:w="1618" w:type="dxa"/>
            <w:shd w:val="clear" w:color="auto" w:fill="auto"/>
          </w:tcPr>
          <w:p w:rsidR="0088182E" w:rsidRPr="00A00D23" w:rsidRDefault="00D61CA5" w:rsidP="00DC2FEB">
            <w:pPr>
              <w:jc w:val="both"/>
              <w:rPr>
                <w:sz w:val="22"/>
                <w:szCs w:val="22"/>
              </w:rPr>
            </w:pPr>
            <w:r w:rsidRPr="00A00D23">
              <w:rPr>
                <w:sz w:val="22"/>
                <w:szCs w:val="22"/>
              </w:rPr>
              <w:t>1</w:t>
            </w:r>
            <w:r w:rsidR="00DC2FEB" w:rsidRPr="00A00D23">
              <w:rPr>
                <w:sz w:val="22"/>
                <w:szCs w:val="22"/>
                <w:lang w:val="en-US"/>
              </w:rPr>
              <w:t>9</w:t>
            </w:r>
            <w:r w:rsidRPr="00A00D23">
              <w:rPr>
                <w:sz w:val="22"/>
                <w:szCs w:val="22"/>
              </w:rPr>
              <w:t>.10.2020 г.</w:t>
            </w:r>
          </w:p>
        </w:tc>
        <w:tc>
          <w:tcPr>
            <w:tcW w:w="8734" w:type="dxa"/>
            <w:shd w:val="clear" w:color="auto" w:fill="auto"/>
          </w:tcPr>
          <w:p w:rsidR="00DC2FEB" w:rsidRPr="00A00D23" w:rsidRDefault="00DC2FEB" w:rsidP="00DC2FEB">
            <w:pPr>
              <w:rPr>
                <w:sz w:val="22"/>
                <w:szCs w:val="22"/>
              </w:rPr>
            </w:pPr>
            <w:r w:rsidRPr="00A00D23">
              <w:rPr>
                <w:sz w:val="22"/>
                <w:szCs w:val="22"/>
              </w:rPr>
              <w:t>Във връзка с публикуваните за обществено обсъждане Условия за кандидатсване с проектни предложения за предоставяне на безвъзмездна финансова помощ по Програма за морско дело и рибарство 2014-2020 г., финансирана от Европейския фонд за морско дело и рибарство, мярка 2.2. „Продуктивни инвестиции в аквакултурите“, излагаме следните бележки:</w:t>
            </w:r>
          </w:p>
          <w:p w:rsidR="00DC2FEB" w:rsidRPr="00A00D23" w:rsidRDefault="00063C34" w:rsidP="00DC2FEB">
            <w:pPr>
              <w:rPr>
                <w:sz w:val="22"/>
                <w:szCs w:val="22"/>
              </w:rPr>
            </w:pPr>
            <w:r>
              <w:rPr>
                <w:sz w:val="22"/>
                <w:szCs w:val="22"/>
              </w:rPr>
              <w:t>1. </w:t>
            </w:r>
            <w:r w:rsidR="00DC2FEB" w:rsidRPr="00A00D23">
              <w:rPr>
                <w:sz w:val="22"/>
                <w:szCs w:val="22"/>
              </w:rPr>
              <w:t xml:space="preserve">Съгласно т. 14.1.3.7. „Лабораторно оборудване, свързано с контрола на хидро-химичните показатели на водата и здравословното състояние на водните организми“ допустим разход е закупуването на такъв вид оборудване относно анализа на водата, не е предвидена възможност за закупуване на лабораторно оборудване относно фико- химичния анализ на фуражите необходими за изхранване на водните организми. </w:t>
            </w:r>
          </w:p>
          <w:p w:rsidR="00DC2FEB" w:rsidRPr="00A00D23" w:rsidRDefault="00DC2FEB" w:rsidP="00DC2FEB">
            <w:pPr>
              <w:rPr>
                <w:sz w:val="22"/>
                <w:szCs w:val="22"/>
              </w:rPr>
            </w:pPr>
            <w:r w:rsidRPr="00A00D23">
              <w:rPr>
                <w:sz w:val="22"/>
                <w:szCs w:val="22"/>
              </w:rPr>
              <w:t xml:space="preserve">Мотиви: За доброто и устойчиво отглеждане на водни организми от голямо значение е качеството на храната. Отклоненията в качеството на храната може да доведе до </w:t>
            </w:r>
            <w:r w:rsidRPr="00A00D23">
              <w:rPr>
                <w:sz w:val="22"/>
                <w:szCs w:val="22"/>
              </w:rPr>
              <w:lastRenderedPageBreak/>
              <w:t>унищожаване на цяла популация от водни организми. От друга страна хуманното отношение към животните включва и изхранването им с пълноценна и чиста храна, отговаряща на определени изисквания към химичния анализ.</w:t>
            </w:r>
          </w:p>
          <w:p w:rsidR="00A00D23" w:rsidRDefault="00A00D23" w:rsidP="00DC2FEB">
            <w:pPr>
              <w:rPr>
                <w:sz w:val="22"/>
                <w:szCs w:val="22"/>
              </w:rPr>
            </w:pPr>
          </w:p>
          <w:p w:rsidR="00A00D23" w:rsidRDefault="00A00D23" w:rsidP="00DC2FEB">
            <w:pPr>
              <w:rPr>
                <w:sz w:val="22"/>
                <w:szCs w:val="22"/>
              </w:rPr>
            </w:pPr>
          </w:p>
          <w:p w:rsidR="00DC2FEB" w:rsidRPr="00A00D23" w:rsidRDefault="00DC2FEB" w:rsidP="00DC2FEB">
            <w:pPr>
              <w:rPr>
                <w:sz w:val="22"/>
                <w:szCs w:val="22"/>
              </w:rPr>
            </w:pPr>
            <w:r w:rsidRPr="00A00D23">
              <w:rPr>
                <w:sz w:val="22"/>
                <w:szCs w:val="22"/>
              </w:rPr>
              <w:t>2. Съгласно т. 14.1.3. „Допустими разходи по сектори“, Сектор „Изграждане на нови, както и разширяване и модернизация на съществуващи аквакултурни стопанства“, Допустими са разходите по точки от 14.1.3.11. до 14.1.3.16, недопустими в този сектор са разходи свързани със строително- монтажни работи, които са крайно необходими за изграждане на цялостно аквакултурно стопанство. Недопостуми като разход са и закупуване на нови машини и съоръжения, оборудване за транспорт на жива риба и други водни животни, закупуване на плавателни съдове, закупуване на софтуер, изграждане на обекти за продажба на дребно, съгласно Наредба 26.</w:t>
            </w:r>
          </w:p>
          <w:p w:rsidR="00DC2FEB" w:rsidRPr="00A00D23" w:rsidRDefault="00DC2FEB" w:rsidP="00DC2FEB">
            <w:pPr>
              <w:rPr>
                <w:sz w:val="22"/>
                <w:szCs w:val="22"/>
              </w:rPr>
            </w:pPr>
            <w:r w:rsidRPr="00A00D23">
              <w:rPr>
                <w:sz w:val="22"/>
                <w:szCs w:val="22"/>
              </w:rPr>
              <w:t xml:space="preserve">Мотиви: Предоставена е възможност за кандидатсване на нови стопанства, за които ще бъде от жизненоважно значение изграждането на автоматизарано, леснодостъпно и продуктивно стопанство. За постигането на тези цели в повечето случаи е необходимо извършването на строително- монтажни дейности. При изграждането на ново аквакултурно стопаства, както и модернизиране на същетвуващо, изключването на възможността за закупуване на нови машини и исъоръжения е недопустимо. Недопустимостта за закупуване на плавателни съдове, прави невъзможно обслужването на аквакултурното стопаснство. Изключването от допустимост на разходите за извършване на посочените инвестиционни разходи, прави невъзможно изграждането на устойчиво аквакултурно стопанство.   </w:t>
            </w:r>
          </w:p>
          <w:p w:rsidR="00DC2FEB" w:rsidRPr="00A00D23" w:rsidRDefault="00DC2FEB" w:rsidP="00DC2FEB">
            <w:pPr>
              <w:rPr>
                <w:sz w:val="22"/>
                <w:szCs w:val="22"/>
              </w:rPr>
            </w:pPr>
            <w:r w:rsidRPr="00A00D23">
              <w:rPr>
                <w:sz w:val="22"/>
                <w:szCs w:val="22"/>
              </w:rPr>
              <w:t xml:space="preserve">3. В т. 14.1.3 липсват подточки 14.1.3.13 и 14.1.3.14, които попадат в Допустимите разходи по сектор „Изграждане на нови, както и разширяване и модернизация на съществуващи аквакултурни стопанства“, поради което не става ясно какви са </w:t>
            </w:r>
            <w:r w:rsidRPr="00A00D23">
              <w:rPr>
                <w:sz w:val="22"/>
                <w:szCs w:val="22"/>
              </w:rPr>
              <w:lastRenderedPageBreak/>
              <w:t xml:space="preserve">допустимите разходи. </w:t>
            </w:r>
          </w:p>
          <w:p w:rsidR="00DC2FEB" w:rsidRPr="00A00D23" w:rsidRDefault="00DC2FEB" w:rsidP="00DC2FEB">
            <w:pPr>
              <w:rPr>
                <w:sz w:val="22"/>
                <w:szCs w:val="22"/>
              </w:rPr>
            </w:pPr>
            <w:r w:rsidRPr="00A00D23">
              <w:rPr>
                <w:sz w:val="22"/>
                <w:szCs w:val="22"/>
              </w:rPr>
              <w:t xml:space="preserve">4.  Съгласно т. 22. Критерии и методика за оценка на проектните предложения е посочено, че проектни предложения получи по-малко от 20 точки, същите се отхвърлят. В приложение 4 „Критерии и методология за оценка на проектни предложения“ е записано, че проектни </w:t>
            </w:r>
            <w:r w:rsidR="00734F84">
              <w:rPr>
                <w:sz w:val="22"/>
                <w:szCs w:val="22"/>
              </w:rPr>
              <w:t>предложения получили под 10 т. н</w:t>
            </w:r>
            <w:r w:rsidRPr="00A00D23">
              <w:rPr>
                <w:sz w:val="22"/>
                <w:szCs w:val="22"/>
              </w:rPr>
              <w:t>е се разглеждат. Следва това разминаване на бъде уточнено.</w:t>
            </w:r>
          </w:p>
          <w:p w:rsidR="0088182E" w:rsidRPr="00A00D23" w:rsidRDefault="0088182E" w:rsidP="00431505">
            <w:pPr>
              <w:jc w:val="both"/>
              <w:rPr>
                <w:rFonts w:ascii="Verdana" w:hAnsi="Verdana"/>
                <w:b/>
                <w:sz w:val="22"/>
                <w:szCs w:val="22"/>
              </w:rPr>
            </w:pPr>
          </w:p>
        </w:tc>
        <w:tc>
          <w:tcPr>
            <w:tcW w:w="3479" w:type="dxa"/>
            <w:shd w:val="clear" w:color="auto" w:fill="auto"/>
          </w:tcPr>
          <w:p w:rsidR="0088182E" w:rsidRPr="00A00D23" w:rsidRDefault="0088182E" w:rsidP="00431505">
            <w:pPr>
              <w:jc w:val="both"/>
              <w:rPr>
                <w:rFonts w:ascii="Verdana" w:hAnsi="Verdana"/>
                <w:sz w:val="22"/>
                <w:szCs w:val="22"/>
              </w:rPr>
            </w:pPr>
          </w:p>
          <w:p w:rsidR="00A00D23" w:rsidRPr="00A00D23" w:rsidRDefault="00A00D23" w:rsidP="00431505">
            <w:pPr>
              <w:jc w:val="both"/>
              <w:rPr>
                <w:rFonts w:ascii="Verdana" w:hAnsi="Verdana"/>
                <w:sz w:val="22"/>
                <w:szCs w:val="22"/>
              </w:rPr>
            </w:pPr>
          </w:p>
          <w:p w:rsidR="00A00D23" w:rsidRPr="00A00D23" w:rsidRDefault="00A00D23" w:rsidP="00431505">
            <w:pPr>
              <w:jc w:val="both"/>
              <w:rPr>
                <w:rFonts w:ascii="Verdana" w:hAnsi="Verdana"/>
                <w:sz w:val="22"/>
                <w:szCs w:val="22"/>
              </w:rPr>
            </w:pPr>
          </w:p>
          <w:p w:rsidR="00A00D23" w:rsidRPr="00A00D23" w:rsidRDefault="00A00D23" w:rsidP="00431505">
            <w:pPr>
              <w:jc w:val="both"/>
              <w:rPr>
                <w:rFonts w:ascii="Verdana" w:hAnsi="Verdana"/>
                <w:sz w:val="22"/>
                <w:szCs w:val="22"/>
              </w:rPr>
            </w:pPr>
          </w:p>
          <w:p w:rsidR="00A00D23" w:rsidRPr="00A00D23" w:rsidRDefault="00A00D23" w:rsidP="00431505">
            <w:pPr>
              <w:jc w:val="both"/>
              <w:rPr>
                <w:rFonts w:ascii="Verdana" w:hAnsi="Verdana"/>
                <w:sz w:val="22"/>
                <w:szCs w:val="22"/>
              </w:rPr>
            </w:pPr>
          </w:p>
          <w:p w:rsidR="000017A0" w:rsidRDefault="002C2F57" w:rsidP="00A00D23">
            <w:pPr>
              <w:jc w:val="both"/>
              <w:rPr>
                <w:sz w:val="22"/>
                <w:szCs w:val="22"/>
              </w:rPr>
            </w:pPr>
            <w:r>
              <w:rPr>
                <w:sz w:val="22"/>
                <w:szCs w:val="22"/>
              </w:rPr>
              <w:t>Не се п</w:t>
            </w:r>
            <w:r w:rsidR="00A00D23" w:rsidRPr="00A00D23">
              <w:rPr>
                <w:sz w:val="22"/>
                <w:szCs w:val="22"/>
              </w:rPr>
              <w:t>р</w:t>
            </w:r>
            <w:r>
              <w:rPr>
                <w:sz w:val="22"/>
                <w:szCs w:val="22"/>
              </w:rPr>
              <w:t>иема</w:t>
            </w:r>
            <w:r w:rsidR="00A00D23" w:rsidRPr="00A00D23">
              <w:rPr>
                <w:sz w:val="22"/>
                <w:szCs w:val="22"/>
              </w:rPr>
              <w:t xml:space="preserve">. </w:t>
            </w:r>
            <w:r>
              <w:rPr>
                <w:sz w:val="22"/>
                <w:szCs w:val="22"/>
              </w:rPr>
              <w:t xml:space="preserve">На опаковките на фуражите би следвало да са указани </w:t>
            </w:r>
            <w:r w:rsidR="00A00D23" w:rsidRPr="00A00D23">
              <w:rPr>
                <w:sz w:val="22"/>
                <w:szCs w:val="22"/>
              </w:rPr>
              <w:t xml:space="preserve"> фи</w:t>
            </w:r>
            <w:r>
              <w:rPr>
                <w:sz w:val="22"/>
                <w:szCs w:val="22"/>
              </w:rPr>
              <w:t>зи</w:t>
            </w:r>
            <w:r w:rsidR="00A00D23" w:rsidRPr="00A00D23">
              <w:rPr>
                <w:sz w:val="22"/>
                <w:szCs w:val="22"/>
              </w:rPr>
              <w:t>ко- химични</w:t>
            </w:r>
            <w:r>
              <w:rPr>
                <w:sz w:val="22"/>
                <w:szCs w:val="22"/>
              </w:rPr>
              <w:t>те</w:t>
            </w:r>
            <w:r w:rsidR="00A00D23" w:rsidRPr="00A00D23">
              <w:rPr>
                <w:sz w:val="22"/>
                <w:szCs w:val="22"/>
              </w:rPr>
              <w:t xml:space="preserve"> </w:t>
            </w:r>
            <w:r>
              <w:rPr>
                <w:sz w:val="22"/>
                <w:szCs w:val="22"/>
              </w:rPr>
              <w:t>качества</w:t>
            </w:r>
            <w:r w:rsidR="00A00D23" w:rsidRPr="00A00D23">
              <w:rPr>
                <w:sz w:val="22"/>
                <w:szCs w:val="22"/>
              </w:rPr>
              <w:t xml:space="preserve"> на фуражите</w:t>
            </w:r>
            <w:r>
              <w:rPr>
                <w:sz w:val="22"/>
                <w:szCs w:val="22"/>
              </w:rPr>
              <w:t>.</w:t>
            </w:r>
            <w:r w:rsidR="00A00D23" w:rsidRPr="00A00D23">
              <w:rPr>
                <w:sz w:val="22"/>
                <w:szCs w:val="22"/>
              </w:rPr>
              <w:t xml:space="preserve"> </w:t>
            </w:r>
          </w:p>
          <w:p w:rsidR="000017A0" w:rsidRDefault="000017A0" w:rsidP="00A00D23">
            <w:pPr>
              <w:jc w:val="both"/>
              <w:rPr>
                <w:sz w:val="22"/>
                <w:szCs w:val="22"/>
              </w:rPr>
            </w:pPr>
          </w:p>
          <w:p w:rsidR="00D30DC7" w:rsidRDefault="00D30DC7" w:rsidP="00720BEC">
            <w:pPr>
              <w:jc w:val="both"/>
              <w:rPr>
                <w:sz w:val="22"/>
                <w:szCs w:val="22"/>
              </w:rPr>
            </w:pPr>
          </w:p>
          <w:p w:rsidR="00D30DC7" w:rsidRDefault="00D30DC7" w:rsidP="00720BEC">
            <w:pPr>
              <w:jc w:val="both"/>
              <w:rPr>
                <w:sz w:val="22"/>
                <w:szCs w:val="22"/>
              </w:rPr>
            </w:pPr>
          </w:p>
          <w:p w:rsidR="00D30DC7" w:rsidRDefault="00D30DC7" w:rsidP="00720BEC">
            <w:pPr>
              <w:jc w:val="both"/>
              <w:rPr>
                <w:sz w:val="22"/>
                <w:szCs w:val="22"/>
              </w:rPr>
            </w:pPr>
          </w:p>
          <w:p w:rsidR="00D30DC7" w:rsidRDefault="00D30DC7" w:rsidP="00720BEC">
            <w:pPr>
              <w:jc w:val="both"/>
              <w:rPr>
                <w:sz w:val="22"/>
                <w:szCs w:val="22"/>
              </w:rPr>
            </w:pPr>
          </w:p>
          <w:p w:rsidR="00DC6E92" w:rsidRDefault="00DC6E92" w:rsidP="00720BEC">
            <w:pPr>
              <w:jc w:val="both"/>
              <w:rPr>
                <w:sz w:val="22"/>
                <w:szCs w:val="22"/>
                <w:lang w:val="en-US"/>
              </w:rPr>
            </w:pPr>
          </w:p>
          <w:p w:rsidR="00DC6E92" w:rsidRDefault="00DC6E92" w:rsidP="00720BEC">
            <w:pPr>
              <w:jc w:val="both"/>
              <w:rPr>
                <w:sz w:val="22"/>
                <w:szCs w:val="22"/>
                <w:lang w:val="en-US"/>
              </w:rPr>
            </w:pPr>
          </w:p>
          <w:p w:rsidR="00DC6E92" w:rsidRDefault="00DC6E92" w:rsidP="00720BEC">
            <w:pPr>
              <w:jc w:val="both"/>
              <w:rPr>
                <w:sz w:val="22"/>
                <w:szCs w:val="22"/>
                <w:lang w:val="en-US"/>
              </w:rPr>
            </w:pPr>
          </w:p>
          <w:p w:rsidR="00DC6E92" w:rsidRDefault="00DC6E92" w:rsidP="00720BEC">
            <w:pPr>
              <w:jc w:val="both"/>
              <w:rPr>
                <w:sz w:val="22"/>
                <w:szCs w:val="22"/>
                <w:lang w:val="en-US"/>
              </w:rPr>
            </w:pPr>
          </w:p>
          <w:p w:rsidR="00734F84" w:rsidRDefault="00063C34" w:rsidP="00720BEC">
            <w:pPr>
              <w:jc w:val="both"/>
              <w:rPr>
                <w:sz w:val="22"/>
                <w:szCs w:val="22"/>
              </w:rPr>
            </w:pPr>
            <w:r>
              <w:rPr>
                <w:sz w:val="22"/>
                <w:szCs w:val="22"/>
              </w:rPr>
              <w:t>Приема се.</w:t>
            </w:r>
            <w:r w:rsidR="00F82D2D">
              <w:rPr>
                <w:sz w:val="22"/>
                <w:szCs w:val="22"/>
              </w:rPr>
              <w:t xml:space="preserve"> Извършена е корекция в </w:t>
            </w:r>
            <w:r w:rsidRPr="00063C34">
              <w:rPr>
                <w:sz w:val="22"/>
                <w:szCs w:val="22"/>
              </w:rPr>
              <w:t>Условията за кандидатстване.</w:t>
            </w: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734F84" w:rsidRDefault="00734F84" w:rsidP="00720BEC">
            <w:pPr>
              <w:jc w:val="both"/>
              <w:rPr>
                <w:sz w:val="22"/>
                <w:szCs w:val="22"/>
              </w:rPr>
            </w:pPr>
          </w:p>
          <w:p w:rsidR="00107ED4" w:rsidRDefault="00107ED4" w:rsidP="00720BEC">
            <w:pPr>
              <w:jc w:val="both"/>
              <w:rPr>
                <w:sz w:val="22"/>
                <w:szCs w:val="22"/>
              </w:rPr>
            </w:pPr>
          </w:p>
          <w:p w:rsidR="00734F84" w:rsidRDefault="00107ED4" w:rsidP="00720BEC">
            <w:pPr>
              <w:jc w:val="both"/>
              <w:rPr>
                <w:sz w:val="22"/>
                <w:szCs w:val="22"/>
              </w:rPr>
            </w:pPr>
            <w:r>
              <w:rPr>
                <w:sz w:val="22"/>
                <w:szCs w:val="22"/>
              </w:rPr>
              <w:t>И</w:t>
            </w:r>
            <w:r w:rsidR="001F23C0" w:rsidRPr="001F23C0">
              <w:rPr>
                <w:sz w:val="22"/>
                <w:szCs w:val="22"/>
              </w:rPr>
              <w:t xml:space="preserve">звършена е корекция в </w:t>
            </w:r>
            <w:r w:rsidR="00063C34" w:rsidRPr="00063C34">
              <w:rPr>
                <w:sz w:val="22"/>
                <w:szCs w:val="22"/>
              </w:rPr>
              <w:t>Условията за кандидатстване.</w:t>
            </w:r>
          </w:p>
          <w:p w:rsidR="00057406" w:rsidRDefault="00057406" w:rsidP="00D223AF">
            <w:pPr>
              <w:spacing w:before="120" w:after="120"/>
              <w:jc w:val="both"/>
              <w:rPr>
                <w:sz w:val="22"/>
                <w:szCs w:val="22"/>
              </w:rPr>
            </w:pPr>
          </w:p>
          <w:p w:rsidR="00D223AF" w:rsidRDefault="00107ED4" w:rsidP="00D223AF">
            <w:pPr>
              <w:spacing w:before="120" w:after="120"/>
              <w:jc w:val="both"/>
              <w:rPr>
                <w:b/>
              </w:rPr>
            </w:pPr>
            <w:r>
              <w:rPr>
                <w:sz w:val="22"/>
                <w:szCs w:val="22"/>
              </w:rPr>
              <w:t xml:space="preserve">Приема се. </w:t>
            </w:r>
            <w:r w:rsidR="001F23C0">
              <w:rPr>
                <w:sz w:val="22"/>
                <w:szCs w:val="22"/>
                <w:lang w:val="en-US"/>
              </w:rPr>
              <w:t xml:space="preserve"> </w:t>
            </w:r>
            <w:r>
              <w:rPr>
                <w:sz w:val="22"/>
                <w:szCs w:val="22"/>
              </w:rPr>
              <w:t>Т</w:t>
            </w:r>
            <w:r w:rsidR="00734F84">
              <w:rPr>
                <w:sz w:val="22"/>
                <w:szCs w:val="22"/>
              </w:rPr>
              <w:t xml:space="preserve">екстът в т. </w:t>
            </w:r>
            <w:r w:rsidR="00734F84" w:rsidRPr="00734F84">
              <w:rPr>
                <w:sz w:val="22"/>
                <w:szCs w:val="22"/>
              </w:rPr>
              <w:t xml:space="preserve">22. </w:t>
            </w:r>
            <w:r w:rsidR="00734F84">
              <w:rPr>
                <w:sz w:val="22"/>
                <w:szCs w:val="22"/>
              </w:rPr>
              <w:t>„</w:t>
            </w:r>
            <w:r w:rsidR="00734F84" w:rsidRPr="00734F84">
              <w:rPr>
                <w:sz w:val="22"/>
                <w:szCs w:val="22"/>
              </w:rPr>
              <w:t>Критерии и методика за оценка на проектните предложения</w:t>
            </w:r>
            <w:r w:rsidR="00734F84">
              <w:rPr>
                <w:sz w:val="22"/>
                <w:szCs w:val="22"/>
              </w:rPr>
              <w:t xml:space="preserve">“ е унифициран с текста в </w:t>
            </w:r>
            <w:r w:rsidR="00734F84" w:rsidRPr="00734F84">
              <w:rPr>
                <w:sz w:val="22"/>
                <w:szCs w:val="22"/>
              </w:rPr>
              <w:t>приложение 4 „Критерии и методология за оценка на проектни предложения“</w:t>
            </w:r>
            <w:r w:rsidR="00734F84">
              <w:rPr>
                <w:sz w:val="22"/>
                <w:szCs w:val="22"/>
              </w:rPr>
              <w:t xml:space="preserve">. </w:t>
            </w:r>
            <w:r w:rsidR="00734F84" w:rsidRPr="00734F84">
              <w:rPr>
                <w:sz w:val="22"/>
                <w:szCs w:val="22"/>
              </w:rPr>
              <w:t>приложение 4 „Критерии и методология за оценка на проектни предложения“</w:t>
            </w:r>
            <w:r w:rsidR="00D223AF">
              <w:rPr>
                <w:sz w:val="22"/>
                <w:szCs w:val="22"/>
              </w:rPr>
              <w:t xml:space="preserve">, а именно </w:t>
            </w:r>
          </w:p>
          <w:p w:rsidR="00D223AF" w:rsidRPr="00F44213" w:rsidRDefault="00D223AF" w:rsidP="00D223AF">
            <w:pPr>
              <w:spacing w:before="120" w:after="120"/>
              <w:jc w:val="both"/>
            </w:pPr>
            <w:r w:rsidRPr="00B8370E">
              <w:rPr>
                <w:b/>
              </w:rPr>
              <w:t>Проектните предложения, получили минимум 10 точки на етап „Техническа и финансова оценка”,</w:t>
            </w:r>
            <w:r>
              <w:rPr>
                <w:b/>
              </w:rPr>
              <w:t xml:space="preserve"> </w:t>
            </w:r>
            <w: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общия размер на общия бюджет по процедурата.</w:t>
            </w:r>
          </w:p>
          <w:p w:rsidR="00D223AF" w:rsidRPr="00F44213" w:rsidRDefault="00D223AF" w:rsidP="00D223AF">
            <w:pPr>
              <w:spacing w:before="120" w:after="120"/>
              <w:jc w:val="both"/>
            </w:pPr>
            <w:r>
              <w:t xml:space="preserve">В случай че проектното предложение </w:t>
            </w:r>
            <w:r>
              <w:rPr>
                <w:bCs/>
              </w:rPr>
              <w:t>получи по-малко от 1</w:t>
            </w:r>
            <w:r>
              <w:t xml:space="preserve">0 точки, проектното предложение се </w:t>
            </w:r>
            <w:r>
              <w:lastRenderedPageBreak/>
              <w:t>отхвърля.</w:t>
            </w:r>
          </w:p>
          <w:p w:rsidR="00D223AF" w:rsidRPr="007253B6" w:rsidRDefault="00D223AF" w:rsidP="00D223AF">
            <w:pPr>
              <w:jc w:val="both"/>
              <w:rPr>
                <w:color w:val="000000"/>
                <w:lang w:val="ru-RU"/>
              </w:rPr>
            </w:pPr>
            <w: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rsidR="00734F84" w:rsidRPr="00D223AF" w:rsidRDefault="00734F84" w:rsidP="00720BEC">
            <w:pPr>
              <w:jc w:val="both"/>
              <w:rPr>
                <w:sz w:val="22"/>
                <w:szCs w:val="22"/>
              </w:rPr>
            </w:pPr>
          </w:p>
          <w:p w:rsidR="00734F84" w:rsidRDefault="00734F84" w:rsidP="00720BEC">
            <w:pPr>
              <w:jc w:val="both"/>
              <w:rPr>
                <w:sz w:val="22"/>
                <w:szCs w:val="22"/>
              </w:rPr>
            </w:pPr>
          </w:p>
          <w:p w:rsidR="00734F84" w:rsidRPr="00A00D23" w:rsidRDefault="00734F84" w:rsidP="00720BEC">
            <w:pPr>
              <w:jc w:val="both"/>
              <w:rPr>
                <w:sz w:val="22"/>
                <w:szCs w:val="22"/>
              </w:rPr>
            </w:pPr>
          </w:p>
        </w:tc>
      </w:tr>
      <w:tr w:rsidR="00D61CA5" w:rsidRPr="00431505" w:rsidTr="00DC6E92">
        <w:trPr>
          <w:trHeight w:val="350"/>
        </w:trPr>
        <w:tc>
          <w:tcPr>
            <w:tcW w:w="458" w:type="dxa"/>
            <w:shd w:val="clear" w:color="auto" w:fill="auto"/>
          </w:tcPr>
          <w:p w:rsidR="00130905" w:rsidRDefault="00130905" w:rsidP="00431505">
            <w:pPr>
              <w:jc w:val="both"/>
            </w:pPr>
          </w:p>
          <w:p w:rsidR="008727AF" w:rsidRDefault="008727AF" w:rsidP="00431505">
            <w:pPr>
              <w:jc w:val="both"/>
            </w:pPr>
          </w:p>
          <w:p w:rsidR="008727AF" w:rsidRDefault="008727AF" w:rsidP="00431505">
            <w:pPr>
              <w:jc w:val="both"/>
            </w:pPr>
          </w:p>
          <w:p w:rsidR="008727AF" w:rsidRDefault="008727AF" w:rsidP="00431505">
            <w:pPr>
              <w:jc w:val="both"/>
            </w:pPr>
          </w:p>
          <w:p w:rsidR="008727AF" w:rsidRDefault="008727AF" w:rsidP="00431505">
            <w:pPr>
              <w:jc w:val="both"/>
            </w:pPr>
          </w:p>
          <w:p w:rsidR="008727AF" w:rsidRDefault="008727AF" w:rsidP="00431505">
            <w:pPr>
              <w:jc w:val="both"/>
            </w:pPr>
          </w:p>
          <w:p w:rsidR="00D61CA5" w:rsidRPr="00C7533B" w:rsidRDefault="00D61CA5" w:rsidP="00431505">
            <w:pPr>
              <w:jc w:val="both"/>
            </w:pPr>
            <w:r w:rsidRPr="00C7533B">
              <w:t>2.</w:t>
            </w:r>
          </w:p>
        </w:tc>
        <w:tc>
          <w:tcPr>
            <w:tcW w:w="1631" w:type="dxa"/>
            <w:shd w:val="clear" w:color="auto" w:fill="auto"/>
          </w:tcPr>
          <w:p w:rsidR="00130905" w:rsidRDefault="00130905" w:rsidP="00D61CA5">
            <w:pPr>
              <w:jc w:val="both"/>
            </w:pPr>
          </w:p>
          <w:p w:rsidR="00130905" w:rsidRDefault="00130905" w:rsidP="00D61CA5">
            <w:pPr>
              <w:jc w:val="both"/>
            </w:pPr>
          </w:p>
          <w:p w:rsidR="00130905" w:rsidRDefault="00130905" w:rsidP="00D61CA5">
            <w:pPr>
              <w:jc w:val="both"/>
            </w:pPr>
          </w:p>
          <w:p w:rsidR="00130905" w:rsidRDefault="00130905" w:rsidP="00D61CA5">
            <w:pPr>
              <w:jc w:val="both"/>
            </w:pPr>
          </w:p>
          <w:p w:rsidR="00130905" w:rsidRDefault="00130905" w:rsidP="00D61CA5">
            <w:pPr>
              <w:jc w:val="both"/>
            </w:pPr>
          </w:p>
          <w:p w:rsidR="00130905" w:rsidRDefault="00130905" w:rsidP="00D61CA5">
            <w:pPr>
              <w:jc w:val="both"/>
            </w:pPr>
          </w:p>
          <w:p w:rsidR="00D61CA5" w:rsidRPr="00C7533B" w:rsidRDefault="00C7533B" w:rsidP="00D61CA5">
            <w:pPr>
              <w:jc w:val="both"/>
            </w:pPr>
            <w:r>
              <w:t>Екип на „Левъридж консулт“</w:t>
            </w:r>
            <w:r w:rsidR="00D61CA5" w:rsidRPr="00C7533B">
              <w:t xml:space="preserve"> ООД</w:t>
            </w:r>
          </w:p>
          <w:p w:rsidR="00D61CA5" w:rsidRPr="00C7533B" w:rsidRDefault="00C7533B" w:rsidP="00C7533B">
            <w:pPr>
              <w:jc w:val="both"/>
            </w:pPr>
            <w:r>
              <w:t>гр. София 1680, ул. „</w:t>
            </w:r>
            <w:r w:rsidR="00D61CA5" w:rsidRPr="00C7533B">
              <w:t xml:space="preserve">Родопски  </w:t>
            </w:r>
            <w:r w:rsidR="00D61CA5" w:rsidRPr="00C7533B">
              <w:lastRenderedPageBreak/>
              <w:t>извор</w:t>
            </w:r>
            <w:r>
              <w:t>“</w:t>
            </w:r>
            <w:r w:rsidR="00D61CA5" w:rsidRPr="00C7533B">
              <w:t xml:space="preserve"> №24, офис 5</w:t>
            </w:r>
          </w:p>
        </w:tc>
        <w:tc>
          <w:tcPr>
            <w:tcW w:w="1618" w:type="dxa"/>
            <w:shd w:val="clear" w:color="auto" w:fill="auto"/>
          </w:tcPr>
          <w:p w:rsidR="00130905" w:rsidRDefault="00130905" w:rsidP="00431505">
            <w:pPr>
              <w:jc w:val="both"/>
            </w:pPr>
          </w:p>
          <w:p w:rsidR="00130905" w:rsidRDefault="00130905" w:rsidP="00431505">
            <w:pPr>
              <w:jc w:val="both"/>
            </w:pPr>
          </w:p>
          <w:p w:rsidR="00130905" w:rsidRDefault="00130905" w:rsidP="00431505">
            <w:pPr>
              <w:jc w:val="both"/>
            </w:pPr>
          </w:p>
          <w:p w:rsidR="00130905" w:rsidRDefault="00130905" w:rsidP="00431505">
            <w:pPr>
              <w:jc w:val="both"/>
            </w:pPr>
          </w:p>
          <w:p w:rsidR="00130905" w:rsidRDefault="00130905" w:rsidP="00431505">
            <w:pPr>
              <w:jc w:val="both"/>
            </w:pPr>
          </w:p>
          <w:p w:rsidR="00130905" w:rsidRDefault="00130905" w:rsidP="00431505">
            <w:pPr>
              <w:jc w:val="both"/>
            </w:pPr>
          </w:p>
          <w:p w:rsidR="00D61CA5" w:rsidRPr="00C7533B" w:rsidRDefault="00D61CA5" w:rsidP="00431505">
            <w:pPr>
              <w:jc w:val="both"/>
            </w:pPr>
            <w:r w:rsidRPr="00C7533B">
              <w:t>19.10.2020 г.</w:t>
            </w:r>
          </w:p>
        </w:tc>
        <w:tc>
          <w:tcPr>
            <w:tcW w:w="8734" w:type="dxa"/>
            <w:shd w:val="clear" w:color="auto" w:fill="auto"/>
          </w:tcPr>
          <w:p w:rsidR="00130905" w:rsidRDefault="00130905" w:rsidP="00C7533B">
            <w:pPr>
              <w:jc w:val="both"/>
              <w:rPr>
                <w:b/>
                <w:sz w:val="22"/>
                <w:szCs w:val="22"/>
              </w:rPr>
            </w:pPr>
          </w:p>
          <w:p w:rsidR="00130905" w:rsidRDefault="00130905" w:rsidP="00C7533B">
            <w:pPr>
              <w:jc w:val="both"/>
              <w:rPr>
                <w:b/>
                <w:sz w:val="22"/>
                <w:szCs w:val="22"/>
              </w:rPr>
            </w:pPr>
          </w:p>
          <w:p w:rsidR="00130905" w:rsidRDefault="00130905" w:rsidP="00C7533B">
            <w:pPr>
              <w:jc w:val="both"/>
              <w:rPr>
                <w:b/>
                <w:sz w:val="22"/>
                <w:szCs w:val="22"/>
              </w:rPr>
            </w:pPr>
          </w:p>
          <w:p w:rsidR="00130905" w:rsidRDefault="00130905" w:rsidP="00C7533B">
            <w:pPr>
              <w:jc w:val="both"/>
              <w:rPr>
                <w:b/>
                <w:sz w:val="22"/>
                <w:szCs w:val="22"/>
              </w:rPr>
            </w:pPr>
          </w:p>
          <w:p w:rsidR="00130905" w:rsidRDefault="00130905" w:rsidP="00C7533B">
            <w:pPr>
              <w:jc w:val="both"/>
              <w:rPr>
                <w:b/>
                <w:sz w:val="22"/>
                <w:szCs w:val="22"/>
              </w:rPr>
            </w:pPr>
          </w:p>
          <w:p w:rsidR="00130905" w:rsidRDefault="00130905" w:rsidP="00C7533B">
            <w:pPr>
              <w:jc w:val="both"/>
              <w:rPr>
                <w:b/>
                <w:sz w:val="22"/>
                <w:szCs w:val="22"/>
              </w:rPr>
            </w:pPr>
          </w:p>
          <w:p w:rsidR="00C7533B" w:rsidRPr="00F82D2D" w:rsidRDefault="00C7533B" w:rsidP="00C7533B">
            <w:pPr>
              <w:jc w:val="both"/>
              <w:rPr>
                <w:b/>
                <w:sz w:val="22"/>
                <w:szCs w:val="22"/>
              </w:rPr>
            </w:pPr>
            <w:r w:rsidRPr="00F82D2D">
              <w:rPr>
                <w:b/>
                <w:sz w:val="22"/>
                <w:szCs w:val="22"/>
              </w:rPr>
              <w:t>Първи коментар:</w:t>
            </w:r>
          </w:p>
          <w:p w:rsidR="00C7533B" w:rsidRPr="00F82D2D" w:rsidRDefault="00C7533B" w:rsidP="00C7533B">
            <w:pPr>
              <w:jc w:val="both"/>
              <w:rPr>
                <w:sz w:val="22"/>
                <w:szCs w:val="22"/>
              </w:rPr>
            </w:pPr>
            <w:r w:rsidRPr="00F82D2D">
              <w:rPr>
                <w:sz w:val="22"/>
                <w:szCs w:val="22"/>
              </w:rPr>
              <w:t xml:space="preserve">Предлагаме документа „Определения за общи показатели“, описан в т. 7 Индикатори от УК, изготвен от Помощно звено за мониторинг и оценка в областта на рибарството и аквакултурата – FAME към Европейската комисия, които кандидатите могат да прочетат да бъде преведен на български език и същият да бъде включен в документи за информация към УК по процедурата. </w:t>
            </w:r>
          </w:p>
          <w:p w:rsidR="000F7486" w:rsidRPr="00F82D2D" w:rsidRDefault="000F7486" w:rsidP="00C7533B">
            <w:pPr>
              <w:jc w:val="both"/>
              <w:rPr>
                <w:sz w:val="22"/>
                <w:szCs w:val="22"/>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6E92" w:rsidRDefault="00DC6E92" w:rsidP="00C7533B">
            <w:pPr>
              <w:jc w:val="both"/>
              <w:rPr>
                <w:b/>
                <w:sz w:val="22"/>
                <w:szCs w:val="22"/>
                <w:lang w:val="en-US"/>
              </w:rPr>
            </w:pPr>
          </w:p>
          <w:p w:rsidR="00DC2FEB" w:rsidRPr="00130905" w:rsidRDefault="00C7533B" w:rsidP="00C7533B">
            <w:pPr>
              <w:jc w:val="both"/>
              <w:rPr>
                <w:b/>
                <w:sz w:val="22"/>
                <w:szCs w:val="22"/>
              </w:rPr>
            </w:pPr>
            <w:r w:rsidRPr="00F82D2D">
              <w:rPr>
                <w:b/>
                <w:sz w:val="22"/>
                <w:szCs w:val="22"/>
              </w:rPr>
              <w:t>Втори коментар:</w:t>
            </w:r>
          </w:p>
          <w:p w:rsidR="00DC2FEB" w:rsidRPr="00F82D2D" w:rsidRDefault="00DC2FEB" w:rsidP="00DC2FEB">
            <w:pPr>
              <w:spacing w:line="276" w:lineRule="auto"/>
              <w:jc w:val="both"/>
              <w:rPr>
                <w:sz w:val="22"/>
                <w:szCs w:val="22"/>
              </w:rPr>
            </w:pPr>
            <w:r w:rsidRPr="00F82D2D">
              <w:rPr>
                <w:sz w:val="22"/>
                <w:szCs w:val="22"/>
              </w:rPr>
              <w:t xml:space="preserve">Съгласно т. 14.1.3. Допустими за финансиране разходи по настоящата процедура“ от УК е описано, че допустими разходи за  </w:t>
            </w:r>
            <w:bookmarkStart w:id="0" w:name="_Hlk53417129"/>
            <w:r w:rsidRPr="00F82D2D">
              <w:rPr>
                <w:sz w:val="22"/>
                <w:szCs w:val="22"/>
              </w:rPr>
              <w:t>Сектор „</w:t>
            </w:r>
            <w:r w:rsidRPr="00F82D2D">
              <w:rPr>
                <w:b/>
                <w:bCs/>
                <w:sz w:val="22"/>
                <w:szCs w:val="22"/>
              </w:rPr>
              <w:t>Изграждане на нови, както и разширяване и модернизация на съществуващи аквакултурни стопанства</w:t>
            </w:r>
            <w:bookmarkEnd w:id="0"/>
            <w:r w:rsidRPr="00F82D2D">
              <w:rPr>
                <w:sz w:val="22"/>
                <w:szCs w:val="22"/>
              </w:rPr>
              <w:t xml:space="preserve">“ са по точки от </w:t>
            </w:r>
            <w:r w:rsidRPr="00F82D2D">
              <w:rPr>
                <w:sz w:val="22"/>
                <w:szCs w:val="22"/>
                <w:u w:val="single"/>
              </w:rPr>
              <w:t>14.1.3.11. до 14.1.3.16,</w:t>
            </w:r>
            <w:r w:rsidRPr="00F82D2D">
              <w:rPr>
                <w:sz w:val="22"/>
                <w:szCs w:val="22"/>
              </w:rPr>
              <w:t xml:space="preserve"> а именно:</w:t>
            </w:r>
          </w:p>
          <w:p w:rsidR="00DC2FEB" w:rsidRPr="00F82D2D" w:rsidRDefault="00DC2FEB" w:rsidP="00DC2FEB">
            <w:pPr>
              <w:spacing w:line="276" w:lineRule="auto"/>
              <w:jc w:val="both"/>
              <w:rPr>
                <w:sz w:val="22"/>
                <w:szCs w:val="22"/>
              </w:rPr>
            </w:pPr>
            <w:r w:rsidRPr="00F82D2D">
              <w:rPr>
                <w:sz w:val="22"/>
                <w:szCs w:val="22"/>
              </w:rPr>
              <w:t>14.1.3.11. Инвестиции във възобновяеми енергийни източници (ВЕИ) за получаване на топлинна и/или електроенергия, и/или инвестиции свързани с намаляване на енергийните загуби, необходими и пряко свързани с изпълнението на проекта и отговарящи на капацитета и нуждите на стопанството, включително придобити чрез финансов лизинг;</w:t>
            </w:r>
          </w:p>
          <w:p w:rsidR="00DC2FEB" w:rsidRPr="00F82D2D" w:rsidRDefault="00DC2FEB" w:rsidP="00DC2FEB">
            <w:pPr>
              <w:spacing w:line="276" w:lineRule="auto"/>
              <w:jc w:val="both"/>
              <w:rPr>
                <w:sz w:val="22"/>
                <w:szCs w:val="22"/>
              </w:rPr>
            </w:pPr>
            <w:r w:rsidRPr="00F82D2D">
              <w:rPr>
                <w:sz w:val="22"/>
                <w:szCs w:val="22"/>
              </w:rPr>
              <w:t>14.1.3.12.  за закупуване на земя, която има пряка връзка с изпълнението на проекта и е в размер до 10 на сто от общите допустими разходи по проекта, при условията на чл. 19 от ПМС № 189 от 2016 г.14.1.3.13. 14.1.3.14. За обучение на персонала, зает с производствената дейност, пряко свързана с предвидената инвестиция – до 1% от общите допустими разходи по проекта;</w:t>
            </w:r>
          </w:p>
          <w:p w:rsidR="00DC2FEB" w:rsidRPr="00F82D2D" w:rsidRDefault="00DC2FEB" w:rsidP="00DC2FEB">
            <w:pPr>
              <w:spacing w:line="276" w:lineRule="auto"/>
              <w:jc w:val="both"/>
              <w:rPr>
                <w:sz w:val="22"/>
                <w:szCs w:val="22"/>
              </w:rPr>
            </w:pPr>
            <w:r w:rsidRPr="00F82D2D">
              <w:rPr>
                <w:sz w:val="22"/>
                <w:szCs w:val="22"/>
              </w:rPr>
              <w:t xml:space="preserve">14.1.3.15. Разходи за информация и комуникация - до 2 на сто от общите допустими </w:t>
            </w:r>
            <w:r w:rsidRPr="00F82D2D">
              <w:rPr>
                <w:sz w:val="22"/>
                <w:szCs w:val="22"/>
              </w:rPr>
              <w:lastRenderedPageBreak/>
              <w:t>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rsidR="00DC2FEB" w:rsidRPr="00F82D2D" w:rsidRDefault="00DC2FEB" w:rsidP="00DC2FEB">
            <w:pPr>
              <w:spacing w:line="276" w:lineRule="auto"/>
              <w:jc w:val="both"/>
              <w:rPr>
                <w:sz w:val="22"/>
                <w:szCs w:val="22"/>
              </w:rPr>
            </w:pPr>
            <w:r w:rsidRPr="00F82D2D">
              <w:rPr>
                <w:sz w:val="22"/>
                <w:szCs w:val="22"/>
              </w:rPr>
              <w:t>14.1.3.16. Изграждане/монтаж на съоръжения и оборудване, свързани с намаляване отрицателното въздействие върху околната среда и/или ефективно използване на естествените ресурси в обектите за аквакултури (вкл. въвеждане на повторно използване на водата в проточни рибовъдни стопанства - оборотно водоснабдяване);</w:t>
            </w:r>
          </w:p>
          <w:p w:rsidR="00DC2FEB" w:rsidRPr="00F82D2D" w:rsidRDefault="00DC2FEB" w:rsidP="00DC2FEB">
            <w:pPr>
              <w:spacing w:line="276" w:lineRule="auto"/>
              <w:jc w:val="both"/>
              <w:rPr>
                <w:b/>
                <w:bCs/>
                <w:sz w:val="22"/>
                <w:szCs w:val="22"/>
              </w:rPr>
            </w:pPr>
            <w:r w:rsidRPr="00F82D2D">
              <w:rPr>
                <w:b/>
                <w:bCs/>
                <w:sz w:val="22"/>
                <w:szCs w:val="22"/>
              </w:rPr>
              <w:t xml:space="preserve">Предлагаме да се уточнят допустимите разходи с поредност на номера 14.1.3.13 и 14.1.3.14. </w:t>
            </w:r>
          </w:p>
          <w:p w:rsidR="00DC2FEB" w:rsidRPr="00F82D2D" w:rsidRDefault="00DC2FEB" w:rsidP="00DC2FEB">
            <w:pPr>
              <w:spacing w:line="276" w:lineRule="auto"/>
              <w:jc w:val="both"/>
              <w:rPr>
                <w:b/>
                <w:bCs/>
                <w:sz w:val="22"/>
                <w:szCs w:val="22"/>
              </w:rPr>
            </w:pPr>
            <w:r w:rsidRPr="00F82D2D">
              <w:rPr>
                <w:b/>
                <w:bCs/>
                <w:sz w:val="22"/>
                <w:szCs w:val="22"/>
              </w:rPr>
              <w:t>Моля да уточните дали е допусната техническа грешка при определяне на допустимите разходи</w:t>
            </w:r>
            <w:r w:rsidRPr="00F82D2D">
              <w:rPr>
                <w:sz w:val="22"/>
                <w:szCs w:val="22"/>
              </w:rPr>
              <w:t xml:space="preserve"> за Сектор „Изграждане на нови, както и разширяване и модернизация на съществуващи аквакултурни стопанства</w:t>
            </w:r>
            <w:r w:rsidRPr="00F82D2D">
              <w:rPr>
                <w:b/>
                <w:bCs/>
                <w:sz w:val="22"/>
                <w:szCs w:val="22"/>
              </w:rPr>
              <w:t xml:space="preserve"> от </w:t>
            </w:r>
            <w:r w:rsidRPr="00F82D2D">
              <w:rPr>
                <w:b/>
                <w:bCs/>
                <w:sz w:val="22"/>
                <w:szCs w:val="22"/>
                <w:u w:val="single"/>
              </w:rPr>
              <w:t>14.1.3.11</w:t>
            </w:r>
            <w:r w:rsidRPr="00F82D2D">
              <w:rPr>
                <w:b/>
                <w:bCs/>
                <w:sz w:val="22"/>
                <w:szCs w:val="22"/>
              </w:rPr>
              <w:t xml:space="preserve">. до 14.1.3.16, вместо от </w:t>
            </w:r>
            <w:r w:rsidRPr="00F82D2D">
              <w:rPr>
                <w:b/>
                <w:bCs/>
                <w:sz w:val="22"/>
                <w:szCs w:val="22"/>
                <w:u w:val="single"/>
              </w:rPr>
              <w:t>14.1.3.1</w:t>
            </w:r>
            <w:r w:rsidRPr="00F82D2D">
              <w:rPr>
                <w:b/>
                <w:bCs/>
                <w:sz w:val="22"/>
                <w:szCs w:val="22"/>
              </w:rPr>
              <w:t xml:space="preserve"> до 14.1.3.16. </w:t>
            </w:r>
          </w:p>
          <w:p w:rsidR="00DC2FEB" w:rsidRPr="00F82D2D" w:rsidRDefault="00DC2FEB" w:rsidP="00C7533B">
            <w:pPr>
              <w:jc w:val="both"/>
              <w:rPr>
                <w:b/>
                <w:sz w:val="22"/>
                <w:szCs w:val="22"/>
                <w:lang w:val="en-US"/>
              </w:rPr>
            </w:pPr>
          </w:p>
          <w:p w:rsidR="00DC2FEB" w:rsidRPr="00F82D2D" w:rsidRDefault="00DC2FEB" w:rsidP="00DC2FEB">
            <w:pPr>
              <w:spacing w:line="276" w:lineRule="auto"/>
              <w:jc w:val="both"/>
              <w:rPr>
                <w:b/>
                <w:bCs/>
                <w:sz w:val="22"/>
                <w:szCs w:val="22"/>
                <w:u w:val="single"/>
              </w:rPr>
            </w:pPr>
            <w:r w:rsidRPr="00F82D2D">
              <w:rPr>
                <w:b/>
                <w:bCs/>
                <w:sz w:val="22"/>
                <w:szCs w:val="22"/>
                <w:u w:val="single"/>
              </w:rPr>
              <w:t>Трети коментар:</w:t>
            </w:r>
          </w:p>
          <w:p w:rsidR="00DC2FEB" w:rsidRPr="00F82D2D" w:rsidRDefault="00DC2FEB" w:rsidP="00C7533B">
            <w:pPr>
              <w:jc w:val="both"/>
              <w:rPr>
                <w:b/>
                <w:sz w:val="22"/>
                <w:szCs w:val="22"/>
                <w:lang w:val="en-US"/>
              </w:rPr>
            </w:pPr>
          </w:p>
          <w:p w:rsidR="00C7533B" w:rsidRPr="00F82D2D" w:rsidRDefault="00C7533B" w:rsidP="00C7533B">
            <w:pPr>
              <w:jc w:val="both"/>
              <w:rPr>
                <w:sz w:val="22"/>
                <w:szCs w:val="22"/>
              </w:rPr>
            </w:pPr>
            <w:r w:rsidRPr="00F82D2D">
              <w:rPr>
                <w:sz w:val="22"/>
                <w:szCs w:val="22"/>
              </w:rPr>
              <w:t>Отново коментираме начина, по който се изчислява „Товароносимостта на специализираното транспортно средство“, а именно умножена по една трета от заложените работни дни в годината, не трябва да надвишава средногодишния производствен капацитет. Така разписана формула е неприложима за голяма част от транспортните средства, които биха могли да се използват.</w:t>
            </w:r>
          </w:p>
          <w:p w:rsidR="00C7533B" w:rsidRPr="00F82D2D" w:rsidRDefault="00C7533B" w:rsidP="00C7533B">
            <w:pPr>
              <w:jc w:val="both"/>
              <w:rPr>
                <w:sz w:val="22"/>
                <w:szCs w:val="22"/>
              </w:rPr>
            </w:pPr>
            <w:r w:rsidRPr="00F82D2D">
              <w:rPr>
                <w:sz w:val="22"/>
                <w:szCs w:val="22"/>
              </w:rPr>
              <w:t>Предлагаме да се прецизира формулата.</w:t>
            </w:r>
          </w:p>
          <w:p w:rsidR="00393DB2" w:rsidRPr="00F82D2D" w:rsidRDefault="00393DB2" w:rsidP="00C7533B">
            <w:pPr>
              <w:jc w:val="both"/>
              <w:rPr>
                <w:sz w:val="22"/>
                <w:szCs w:val="22"/>
              </w:rPr>
            </w:pPr>
          </w:p>
          <w:p w:rsidR="00C7533B" w:rsidRPr="00F82D2D" w:rsidRDefault="00C7533B" w:rsidP="00C7533B">
            <w:pPr>
              <w:jc w:val="both"/>
              <w:rPr>
                <w:sz w:val="22"/>
                <w:szCs w:val="22"/>
              </w:rPr>
            </w:pPr>
            <w:r w:rsidRPr="00F82D2D">
              <w:rPr>
                <w:sz w:val="22"/>
                <w:szCs w:val="22"/>
              </w:rPr>
              <w:lastRenderedPageBreak/>
              <w:t>Предлагаме да се даде определение за „луксозни стоки“. Много често неяснотата около определението „луксозна стока“ е повод за неоснователни отхвърляния на проектни предложения. Предлагаме да се заложи например стойност, на която дадена стока да се категоризира като „луксозна“ за определен тип стоки, или друг начин, но да бъде ясно разписано.</w:t>
            </w:r>
          </w:p>
          <w:p w:rsidR="000F7486" w:rsidRPr="00F82D2D" w:rsidRDefault="000F7486" w:rsidP="00C7533B">
            <w:pPr>
              <w:jc w:val="both"/>
              <w:rPr>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9C282A" w:rsidRDefault="009C282A" w:rsidP="00C7533B">
            <w:pPr>
              <w:jc w:val="both"/>
              <w:rPr>
                <w:b/>
                <w:sz w:val="22"/>
                <w:szCs w:val="22"/>
              </w:rPr>
            </w:pPr>
          </w:p>
          <w:p w:rsidR="00C7533B" w:rsidRPr="00F82D2D" w:rsidRDefault="00C7533B" w:rsidP="00C7533B">
            <w:pPr>
              <w:jc w:val="both"/>
              <w:rPr>
                <w:b/>
                <w:sz w:val="22"/>
                <w:szCs w:val="22"/>
              </w:rPr>
            </w:pPr>
            <w:r w:rsidRPr="00F82D2D">
              <w:rPr>
                <w:b/>
                <w:sz w:val="22"/>
                <w:szCs w:val="22"/>
              </w:rPr>
              <w:t>Четвърти коментар:</w:t>
            </w:r>
          </w:p>
          <w:p w:rsidR="00C7533B" w:rsidRPr="00F82D2D" w:rsidRDefault="00C7533B" w:rsidP="00C7533B">
            <w:pPr>
              <w:jc w:val="both"/>
              <w:rPr>
                <w:sz w:val="22"/>
                <w:szCs w:val="22"/>
              </w:rPr>
            </w:pPr>
            <w:r w:rsidRPr="00F82D2D">
              <w:rPr>
                <w:sz w:val="22"/>
                <w:szCs w:val="22"/>
              </w:rPr>
              <w:t>По отношение на изискването за оферентите и изискването за специфичен оборот, а именно:</w:t>
            </w:r>
          </w:p>
          <w:p w:rsidR="00C7533B" w:rsidRPr="00F82D2D" w:rsidRDefault="00C7533B" w:rsidP="00C7533B">
            <w:pPr>
              <w:jc w:val="both"/>
              <w:rPr>
                <w:sz w:val="22"/>
                <w:szCs w:val="22"/>
              </w:rPr>
            </w:pPr>
            <w:r w:rsidRPr="00F82D2D">
              <w:rPr>
                <w:sz w:val="22"/>
                <w:szCs w:val="22"/>
              </w:rPr>
              <w:t>„…Справката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е започнал дейността си, и годишни финансови отчети….“</w:t>
            </w:r>
          </w:p>
          <w:p w:rsidR="00C7533B" w:rsidRPr="00F82D2D" w:rsidRDefault="00C7533B" w:rsidP="00C7533B">
            <w:pPr>
              <w:jc w:val="both"/>
              <w:rPr>
                <w:sz w:val="22"/>
                <w:szCs w:val="22"/>
              </w:rPr>
            </w:pPr>
            <w:r w:rsidRPr="00F82D2D">
              <w:rPr>
                <w:sz w:val="22"/>
                <w:szCs w:val="22"/>
              </w:rPr>
              <w:t>Предлагаме текста да бъде по следния начин</w:t>
            </w:r>
          </w:p>
          <w:p w:rsidR="00C7533B" w:rsidRPr="00F82D2D" w:rsidRDefault="00C7533B" w:rsidP="00C7533B">
            <w:pPr>
              <w:jc w:val="both"/>
              <w:rPr>
                <w:sz w:val="22"/>
                <w:szCs w:val="22"/>
              </w:rPr>
            </w:pPr>
            <w:r w:rsidRPr="00F82D2D">
              <w:rPr>
                <w:sz w:val="22"/>
                <w:szCs w:val="22"/>
              </w:rPr>
              <w:t>„…Справката трябва да е придружена от Отчет за приходите и разходите за една от последните три приключили финансови години, в зависимост от датата на която оферентът е учреден или е започнал дейността си, или от три финансови години при кумулативно доказване на оборота…“</w:t>
            </w:r>
          </w:p>
          <w:p w:rsidR="00C7533B" w:rsidRPr="00F82D2D" w:rsidRDefault="00C7533B" w:rsidP="00C7533B">
            <w:pPr>
              <w:jc w:val="both"/>
              <w:rPr>
                <w:sz w:val="22"/>
                <w:szCs w:val="22"/>
              </w:rPr>
            </w:pPr>
            <w:r w:rsidRPr="00F82D2D">
              <w:rPr>
                <w:sz w:val="22"/>
                <w:szCs w:val="22"/>
              </w:rPr>
              <w:t xml:space="preserve">Пак коментираме, че Отчета за приходи и разходи е част от годишни финансови </w:t>
            </w:r>
            <w:r w:rsidRPr="00F82D2D">
              <w:rPr>
                <w:sz w:val="22"/>
                <w:szCs w:val="22"/>
              </w:rPr>
              <w:lastRenderedPageBreak/>
              <w:t xml:space="preserve">отчети, и информацията се припокрива. В другите части на ГФО няма информация за оборота на оферента, която експертите от УО на ПМДР могат да ползват. </w:t>
            </w:r>
          </w:p>
          <w:p w:rsidR="00DC6E92" w:rsidRPr="009C282A" w:rsidRDefault="00DC6E92" w:rsidP="00C7533B">
            <w:pPr>
              <w:jc w:val="both"/>
              <w:rPr>
                <w:b/>
                <w:sz w:val="22"/>
                <w:szCs w:val="22"/>
              </w:rPr>
            </w:pPr>
          </w:p>
          <w:p w:rsidR="00C7533B" w:rsidRPr="00F82D2D" w:rsidRDefault="00DC2FEB" w:rsidP="00C7533B">
            <w:pPr>
              <w:jc w:val="both"/>
              <w:rPr>
                <w:b/>
                <w:sz w:val="22"/>
                <w:szCs w:val="22"/>
              </w:rPr>
            </w:pPr>
            <w:r w:rsidRPr="00F82D2D">
              <w:rPr>
                <w:b/>
                <w:sz w:val="22"/>
                <w:szCs w:val="22"/>
              </w:rPr>
              <w:t>Пети</w:t>
            </w:r>
            <w:r w:rsidR="00C7533B" w:rsidRPr="00F82D2D">
              <w:rPr>
                <w:b/>
                <w:sz w:val="22"/>
                <w:szCs w:val="22"/>
              </w:rPr>
              <w:t xml:space="preserve"> коментар:</w:t>
            </w:r>
          </w:p>
          <w:p w:rsidR="00C7533B" w:rsidRPr="00F82D2D" w:rsidRDefault="00C7533B" w:rsidP="00C7533B">
            <w:pPr>
              <w:jc w:val="both"/>
              <w:rPr>
                <w:sz w:val="22"/>
                <w:szCs w:val="22"/>
              </w:rPr>
            </w:pPr>
            <w:r w:rsidRPr="00F82D2D">
              <w:rPr>
                <w:sz w:val="22"/>
                <w:szCs w:val="22"/>
              </w:rPr>
              <w:t>По отношение на т 24. Списък на документите, които се подават на етап кандидатстване от УК, коментираме следният документ:</w:t>
            </w:r>
          </w:p>
          <w:p w:rsidR="00C7533B" w:rsidRPr="00F82D2D" w:rsidRDefault="00C7533B" w:rsidP="00C7533B">
            <w:pPr>
              <w:jc w:val="both"/>
              <w:rPr>
                <w:sz w:val="22"/>
                <w:szCs w:val="22"/>
              </w:rPr>
            </w:pPr>
            <w:r w:rsidRPr="00F82D2D">
              <w:rPr>
                <w:sz w:val="22"/>
                <w:szCs w:val="22"/>
              </w:rPr>
              <w:t>„…14.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rsidR="00D61CA5" w:rsidRPr="00F82D2D" w:rsidRDefault="00C7533B" w:rsidP="00C7533B">
            <w:pPr>
              <w:jc w:val="both"/>
              <w:rPr>
                <w:sz w:val="22"/>
                <w:szCs w:val="22"/>
              </w:rPr>
            </w:pPr>
            <w:r w:rsidRPr="00F82D2D">
              <w:rPr>
                <w:sz w:val="22"/>
                <w:szCs w:val="22"/>
              </w:rPr>
              <w:t>Предлагаме да отпадне, тъй като изцяло припокрива и</w:t>
            </w:r>
            <w:r w:rsidR="003C6A3A" w:rsidRPr="00F82D2D">
              <w:rPr>
                <w:sz w:val="22"/>
                <w:szCs w:val="22"/>
              </w:rPr>
              <w:t>нформацията от Бизнес плана, и у</w:t>
            </w:r>
            <w:r w:rsidRPr="00F82D2D">
              <w:rPr>
                <w:sz w:val="22"/>
                <w:szCs w:val="22"/>
              </w:rPr>
              <w:t>тежнява административната тежест.</w:t>
            </w:r>
          </w:p>
          <w:p w:rsidR="00393DB2" w:rsidRPr="00F82D2D" w:rsidRDefault="00393DB2" w:rsidP="00C7533B">
            <w:pPr>
              <w:jc w:val="both"/>
              <w:rPr>
                <w:sz w:val="22"/>
                <w:szCs w:val="22"/>
              </w:rPr>
            </w:pPr>
          </w:p>
        </w:tc>
        <w:tc>
          <w:tcPr>
            <w:tcW w:w="3479" w:type="dxa"/>
            <w:shd w:val="clear" w:color="auto" w:fill="auto"/>
          </w:tcPr>
          <w:p w:rsidR="006600BE" w:rsidRDefault="006600BE" w:rsidP="00DC6E92">
            <w:pPr>
              <w:jc w:val="both"/>
              <w:rPr>
                <w:highlight w:val="yellow"/>
              </w:rPr>
            </w:pPr>
          </w:p>
          <w:p w:rsidR="006600BE" w:rsidRDefault="006600BE" w:rsidP="00DC6E92">
            <w:pPr>
              <w:jc w:val="both"/>
              <w:rPr>
                <w:highlight w:val="yellow"/>
              </w:rPr>
            </w:pPr>
          </w:p>
          <w:p w:rsidR="006600BE" w:rsidRDefault="006600BE" w:rsidP="00DC6E92">
            <w:pPr>
              <w:jc w:val="both"/>
              <w:rPr>
                <w:highlight w:val="yellow"/>
              </w:rPr>
            </w:pPr>
          </w:p>
          <w:p w:rsidR="006600BE" w:rsidRDefault="006600BE" w:rsidP="00DC6E92">
            <w:pPr>
              <w:jc w:val="both"/>
              <w:rPr>
                <w:highlight w:val="yellow"/>
              </w:rPr>
            </w:pPr>
          </w:p>
          <w:p w:rsidR="006600BE" w:rsidRDefault="006600BE" w:rsidP="00DC6E92">
            <w:pPr>
              <w:jc w:val="both"/>
              <w:rPr>
                <w:highlight w:val="yellow"/>
              </w:rPr>
            </w:pPr>
          </w:p>
          <w:p w:rsidR="006600BE" w:rsidRDefault="006600BE" w:rsidP="00DC6E92">
            <w:pPr>
              <w:jc w:val="both"/>
              <w:rPr>
                <w:highlight w:val="yellow"/>
              </w:rPr>
            </w:pPr>
          </w:p>
          <w:p w:rsidR="00DC6E92" w:rsidRPr="003A51AC" w:rsidRDefault="00DC6E92" w:rsidP="00DC6E92">
            <w:pPr>
              <w:jc w:val="both"/>
            </w:pPr>
            <w:r w:rsidRPr="003A51AC">
              <w:t xml:space="preserve">Не се приема. </w:t>
            </w:r>
          </w:p>
          <w:p w:rsidR="00DC6E92" w:rsidRDefault="00DC6E92" w:rsidP="00DC6E92">
            <w:pPr>
              <w:jc w:val="both"/>
            </w:pPr>
            <w:r w:rsidRPr="003A51AC">
              <w:t>Ръководството е информативно. При неразбиране от страна на кандидат по отношение на конкретен текст от указанието, то той може да иска разяснения във</w:t>
            </w:r>
            <w:r w:rsidRPr="00B8370E">
              <w:t xml:space="preserve"> връзка с Условията за </w:t>
            </w:r>
            <w:r w:rsidRPr="00B8370E">
              <w:lastRenderedPageBreak/>
              <w:t>кандидатстване до 3 седмици преди крайния срок за подаване на проектни предложения.</w:t>
            </w:r>
          </w:p>
          <w:p w:rsidR="00DC6E92" w:rsidRDefault="00DC6E92" w:rsidP="00DC6E92">
            <w:pPr>
              <w:jc w:val="both"/>
            </w:pPr>
          </w:p>
          <w:p w:rsidR="00DC6E92" w:rsidRDefault="00DC6E92" w:rsidP="00DC6E92">
            <w:pPr>
              <w:jc w:val="both"/>
              <w:rPr>
                <w:sz w:val="22"/>
                <w:szCs w:val="22"/>
                <w:lang w:val="en-US"/>
              </w:rPr>
            </w:pPr>
          </w:p>
          <w:p w:rsidR="00130905" w:rsidRDefault="00130905" w:rsidP="00057406">
            <w:pPr>
              <w:jc w:val="both"/>
              <w:rPr>
                <w:sz w:val="22"/>
                <w:szCs w:val="22"/>
              </w:rPr>
            </w:pPr>
          </w:p>
          <w:p w:rsidR="00130905" w:rsidRDefault="00130905" w:rsidP="00057406">
            <w:pPr>
              <w:jc w:val="both"/>
              <w:rPr>
                <w:sz w:val="22"/>
                <w:szCs w:val="22"/>
              </w:rPr>
            </w:pPr>
          </w:p>
          <w:p w:rsidR="00130905" w:rsidRDefault="00130905" w:rsidP="00057406">
            <w:pPr>
              <w:jc w:val="both"/>
              <w:rPr>
                <w:sz w:val="22"/>
                <w:szCs w:val="22"/>
              </w:rPr>
            </w:pPr>
          </w:p>
          <w:p w:rsidR="00057406" w:rsidRDefault="00057406" w:rsidP="00057406">
            <w:pPr>
              <w:jc w:val="both"/>
              <w:rPr>
                <w:sz w:val="22"/>
                <w:szCs w:val="22"/>
              </w:rPr>
            </w:pPr>
            <w:r>
              <w:rPr>
                <w:sz w:val="22"/>
                <w:szCs w:val="22"/>
              </w:rPr>
              <w:t xml:space="preserve">Приема се. Извършена е корекция в </w:t>
            </w:r>
            <w:r w:rsidR="008727AF">
              <w:rPr>
                <w:sz w:val="22"/>
                <w:szCs w:val="22"/>
              </w:rPr>
              <w:t>Условията за кандидатстване</w:t>
            </w:r>
            <w:r>
              <w:rPr>
                <w:sz w:val="22"/>
                <w:szCs w:val="22"/>
              </w:rPr>
              <w:t>.</w:t>
            </w:r>
          </w:p>
          <w:p w:rsidR="00057406" w:rsidRDefault="00057406" w:rsidP="00057406">
            <w:pPr>
              <w:jc w:val="both"/>
              <w:rPr>
                <w:sz w:val="22"/>
                <w:szCs w:val="22"/>
              </w:rPr>
            </w:pPr>
          </w:p>
          <w:p w:rsidR="00DC6E92" w:rsidRDefault="00DC6E92" w:rsidP="00DC6E92">
            <w:pPr>
              <w:jc w:val="both"/>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P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9C282A" w:rsidRDefault="009C282A" w:rsidP="00DC6E92">
            <w:pPr>
              <w:jc w:val="both"/>
              <w:rPr>
                <w:lang w:val="en-US"/>
              </w:rPr>
            </w:pPr>
          </w:p>
          <w:p w:rsidR="009C282A" w:rsidRDefault="009C282A" w:rsidP="00DC6E92">
            <w:pPr>
              <w:jc w:val="both"/>
              <w:rPr>
                <w:lang w:val="en-US"/>
              </w:rPr>
            </w:pPr>
          </w:p>
          <w:p w:rsidR="00DC6E92" w:rsidRPr="009C282A" w:rsidRDefault="00DC6E92" w:rsidP="00DC6E92">
            <w:pPr>
              <w:jc w:val="both"/>
            </w:pPr>
            <w:r w:rsidRPr="009C282A">
              <w:t>Не се приема.</w:t>
            </w:r>
          </w:p>
          <w:p w:rsidR="00DC6E92" w:rsidRDefault="00DC6E92" w:rsidP="00DC6E92">
            <w:pPr>
              <w:jc w:val="both"/>
            </w:pPr>
            <w:r w:rsidRPr="009C282A">
              <w:t>Не е направено конкретно предложение за прецизиране.</w:t>
            </w:r>
          </w:p>
          <w:p w:rsidR="00DC6E92" w:rsidRDefault="00DC6E92" w:rsidP="00DC6E92">
            <w:pPr>
              <w:jc w:val="both"/>
              <w:rPr>
                <w:lang w:val="en-US"/>
              </w:rPr>
            </w:pPr>
          </w:p>
          <w:p w:rsidR="00DC6E92" w:rsidRDefault="00DC6E92" w:rsidP="00DC6E92">
            <w:pPr>
              <w:jc w:val="both"/>
              <w:rPr>
                <w:lang w:val="en-US"/>
              </w:rPr>
            </w:pPr>
          </w:p>
          <w:p w:rsidR="00DC6E92" w:rsidRDefault="00DC6E92" w:rsidP="00DC6E92">
            <w:pPr>
              <w:jc w:val="both"/>
              <w:rPr>
                <w:lang w:val="en-US"/>
              </w:rPr>
            </w:pPr>
          </w:p>
          <w:p w:rsidR="00DC6E92" w:rsidRPr="009C282A" w:rsidRDefault="009C282A" w:rsidP="00DC6E92">
            <w:pPr>
              <w:jc w:val="both"/>
            </w:pPr>
            <w:proofErr w:type="spellStart"/>
            <w:r w:rsidRPr="009C282A">
              <w:rPr>
                <w:lang w:val="en-US"/>
              </w:rPr>
              <w:lastRenderedPageBreak/>
              <w:t>Луксозни</w:t>
            </w:r>
            <w:proofErr w:type="spellEnd"/>
            <w:r w:rsidRPr="009C282A">
              <w:rPr>
                <w:lang w:val="en-US"/>
              </w:rPr>
              <w:t xml:space="preserve"> </w:t>
            </w:r>
            <w:proofErr w:type="spellStart"/>
            <w:r w:rsidRPr="009C282A">
              <w:rPr>
                <w:lang w:val="en-US"/>
              </w:rPr>
              <w:t>стоки</w:t>
            </w:r>
            <w:proofErr w:type="spellEnd"/>
            <w:r w:rsidRPr="009C282A">
              <w:rPr>
                <w:lang w:val="en-US"/>
              </w:rPr>
              <w:t xml:space="preserve"> и </w:t>
            </w:r>
            <w:proofErr w:type="spellStart"/>
            <w:r w:rsidRPr="009C282A">
              <w:rPr>
                <w:lang w:val="en-US"/>
              </w:rPr>
              <w:t>екстри</w:t>
            </w:r>
            <w:proofErr w:type="spellEnd"/>
            <w:r w:rsidRPr="009C282A">
              <w:rPr>
                <w:lang w:val="en-US"/>
              </w:rPr>
              <w:t xml:space="preserve"> </w:t>
            </w:r>
            <w:proofErr w:type="spellStart"/>
            <w:r w:rsidRPr="009C282A">
              <w:rPr>
                <w:lang w:val="en-US"/>
              </w:rPr>
              <w:t>са</w:t>
            </w:r>
            <w:proofErr w:type="spellEnd"/>
            <w:r w:rsidRPr="009C282A">
              <w:rPr>
                <w:lang w:val="en-US"/>
              </w:rPr>
              <w:t xml:space="preserve"> </w:t>
            </w:r>
            <w:proofErr w:type="spellStart"/>
            <w:r w:rsidRPr="009C282A">
              <w:rPr>
                <w:lang w:val="en-US"/>
              </w:rPr>
              <w:t>тези</w:t>
            </w:r>
            <w:proofErr w:type="spellEnd"/>
            <w:r w:rsidRPr="009C282A">
              <w:rPr>
                <w:lang w:val="en-US"/>
              </w:rPr>
              <w:t xml:space="preserve">, </w:t>
            </w:r>
            <w:proofErr w:type="spellStart"/>
            <w:r w:rsidRPr="009C282A">
              <w:rPr>
                <w:lang w:val="en-US"/>
              </w:rPr>
              <w:t>при</w:t>
            </w:r>
            <w:proofErr w:type="spellEnd"/>
            <w:r w:rsidRPr="009C282A">
              <w:rPr>
                <w:lang w:val="en-US"/>
              </w:rPr>
              <w:t xml:space="preserve"> </w:t>
            </w:r>
            <w:proofErr w:type="spellStart"/>
            <w:r w:rsidRPr="009C282A">
              <w:rPr>
                <w:lang w:val="en-US"/>
              </w:rPr>
              <w:t>които</w:t>
            </w:r>
            <w:proofErr w:type="spellEnd"/>
            <w:r w:rsidRPr="009C282A">
              <w:rPr>
                <w:lang w:val="en-US"/>
              </w:rPr>
              <w:t xml:space="preserve"> </w:t>
            </w:r>
            <w:proofErr w:type="spellStart"/>
            <w:r w:rsidRPr="009C282A">
              <w:rPr>
                <w:lang w:val="en-US"/>
              </w:rPr>
              <w:t>не</w:t>
            </w:r>
            <w:proofErr w:type="spellEnd"/>
            <w:r w:rsidRPr="009C282A">
              <w:rPr>
                <w:lang w:val="en-US"/>
              </w:rPr>
              <w:t xml:space="preserve"> е </w:t>
            </w:r>
            <w:proofErr w:type="spellStart"/>
            <w:proofErr w:type="gramStart"/>
            <w:r w:rsidRPr="009C282A">
              <w:rPr>
                <w:lang w:val="en-US"/>
              </w:rPr>
              <w:t>спазен</w:t>
            </w:r>
            <w:proofErr w:type="spellEnd"/>
            <w:r w:rsidRPr="009C282A">
              <w:rPr>
                <w:lang w:val="en-US"/>
              </w:rPr>
              <w:t xml:space="preserve">  </w:t>
            </w:r>
            <w:proofErr w:type="spellStart"/>
            <w:r w:rsidRPr="009C282A">
              <w:rPr>
                <w:lang w:val="en-US"/>
              </w:rPr>
              <w:t>принципът</w:t>
            </w:r>
            <w:proofErr w:type="spellEnd"/>
            <w:proofErr w:type="gram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икономичност</w:t>
            </w:r>
            <w:proofErr w:type="spellEnd"/>
            <w:r w:rsidRPr="009C282A">
              <w:rPr>
                <w:lang w:val="en-US"/>
              </w:rPr>
              <w:t xml:space="preserve">, </w:t>
            </w:r>
            <w:proofErr w:type="spellStart"/>
            <w:r w:rsidRPr="009C282A">
              <w:rPr>
                <w:lang w:val="en-US"/>
              </w:rPr>
              <w:t>ефикасност</w:t>
            </w:r>
            <w:proofErr w:type="spellEnd"/>
            <w:r w:rsidRPr="009C282A">
              <w:rPr>
                <w:lang w:val="en-US"/>
              </w:rPr>
              <w:t xml:space="preserve"> и </w:t>
            </w:r>
            <w:proofErr w:type="spellStart"/>
            <w:r w:rsidRPr="009C282A">
              <w:rPr>
                <w:lang w:val="en-US"/>
              </w:rPr>
              <w:t>ефективност</w:t>
            </w:r>
            <w:proofErr w:type="spellEnd"/>
            <w:r w:rsidRPr="009C282A">
              <w:rPr>
                <w:lang w:val="en-US"/>
              </w:rPr>
              <w:t>.</w:t>
            </w:r>
          </w:p>
          <w:p w:rsidR="00DC6E92" w:rsidRDefault="009C282A" w:rsidP="00DC6E92">
            <w:pPr>
              <w:jc w:val="both"/>
              <w:rPr>
                <w:lang w:val="en-US"/>
              </w:rPr>
            </w:pPr>
            <w:proofErr w:type="spellStart"/>
            <w:r w:rsidRPr="009C282A">
              <w:rPr>
                <w:lang w:val="en-US"/>
              </w:rPr>
              <w:t>При</w:t>
            </w:r>
            <w:proofErr w:type="spellEnd"/>
            <w:r w:rsidRPr="009C282A">
              <w:rPr>
                <w:lang w:val="en-US"/>
              </w:rPr>
              <w:t xml:space="preserve"> </w:t>
            </w:r>
            <w:proofErr w:type="spellStart"/>
            <w:r w:rsidRPr="009C282A">
              <w:rPr>
                <w:lang w:val="en-US"/>
              </w:rPr>
              <w:t>съмнение</w:t>
            </w:r>
            <w:proofErr w:type="spellEnd"/>
            <w:r w:rsidRPr="009C282A">
              <w:rPr>
                <w:lang w:val="en-US"/>
              </w:rPr>
              <w:t xml:space="preserve"> </w:t>
            </w:r>
            <w:proofErr w:type="spellStart"/>
            <w:r w:rsidRPr="009C282A">
              <w:rPr>
                <w:lang w:val="en-US"/>
              </w:rPr>
              <w:t>дали</w:t>
            </w:r>
            <w:proofErr w:type="spellEnd"/>
            <w:r w:rsidRPr="009C282A">
              <w:rPr>
                <w:lang w:val="en-US"/>
              </w:rPr>
              <w:t xml:space="preserve"> </w:t>
            </w:r>
            <w:proofErr w:type="spellStart"/>
            <w:r w:rsidRPr="009C282A">
              <w:rPr>
                <w:lang w:val="en-US"/>
              </w:rPr>
              <w:t>даден</w:t>
            </w:r>
            <w:proofErr w:type="spellEnd"/>
            <w:r w:rsidRPr="009C282A">
              <w:rPr>
                <w:lang w:val="en-US"/>
              </w:rPr>
              <w:t xml:space="preserve"> </w:t>
            </w:r>
            <w:proofErr w:type="spellStart"/>
            <w:r w:rsidRPr="009C282A">
              <w:rPr>
                <w:lang w:val="en-US"/>
              </w:rPr>
              <w:t>актив</w:t>
            </w:r>
            <w:proofErr w:type="spellEnd"/>
            <w:r w:rsidRPr="009C282A">
              <w:rPr>
                <w:lang w:val="en-US"/>
              </w:rPr>
              <w:t xml:space="preserve">/и </w:t>
            </w:r>
            <w:proofErr w:type="spellStart"/>
            <w:r w:rsidRPr="009C282A">
              <w:rPr>
                <w:lang w:val="en-US"/>
              </w:rPr>
              <w:t>представлява</w:t>
            </w:r>
            <w:proofErr w:type="spellEnd"/>
            <w:r w:rsidRPr="009C282A">
              <w:rPr>
                <w:lang w:val="en-US"/>
              </w:rPr>
              <w:t>/т „</w:t>
            </w:r>
            <w:proofErr w:type="spellStart"/>
            <w:r w:rsidRPr="009C282A">
              <w:rPr>
                <w:lang w:val="en-US"/>
              </w:rPr>
              <w:t>луксозна</w:t>
            </w:r>
            <w:proofErr w:type="spellEnd"/>
            <w:r w:rsidRPr="009C282A">
              <w:rPr>
                <w:lang w:val="en-US"/>
              </w:rPr>
              <w:t xml:space="preserve"> </w:t>
            </w:r>
            <w:proofErr w:type="spellStart"/>
            <w:r w:rsidRPr="009C282A">
              <w:rPr>
                <w:lang w:val="en-US"/>
              </w:rPr>
              <w:t>стока</w:t>
            </w:r>
            <w:proofErr w:type="spellEnd"/>
            <w:r w:rsidRPr="009C282A">
              <w:rPr>
                <w:lang w:val="en-US"/>
              </w:rPr>
              <w:t xml:space="preserve">“, </w:t>
            </w:r>
            <w:proofErr w:type="spellStart"/>
            <w:r w:rsidRPr="009C282A">
              <w:rPr>
                <w:lang w:val="en-US"/>
              </w:rPr>
              <w:t>които</w:t>
            </w:r>
            <w:proofErr w:type="spellEnd"/>
            <w:r w:rsidRPr="009C282A">
              <w:rPr>
                <w:lang w:val="en-US"/>
              </w:rPr>
              <w:t xml:space="preserve"> </w:t>
            </w:r>
            <w:proofErr w:type="spellStart"/>
            <w:r w:rsidRPr="009C282A">
              <w:rPr>
                <w:lang w:val="en-US"/>
              </w:rPr>
              <w:t>не</w:t>
            </w:r>
            <w:proofErr w:type="spellEnd"/>
            <w:r w:rsidRPr="009C282A">
              <w:rPr>
                <w:lang w:val="en-US"/>
              </w:rPr>
              <w:t xml:space="preserve"> </w:t>
            </w:r>
            <w:proofErr w:type="spellStart"/>
            <w:r w:rsidRPr="009C282A">
              <w:rPr>
                <w:lang w:val="en-US"/>
              </w:rPr>
              <w:t>са</w:t>
            </w:r>
            <w:proofErr w:type="spellEnd"/>
            <w:r w:rsidRPr="009C282A">
              <w:rPr>
                <w:lang w:val="en-US"/>
              </w:rPr>
              <w:t xml:space="preserve"> </w:t>
            </w:r>
            <w:proofErr w:type="spellStart"/>
            <w:r w:rsidRPr="009C282A">
              <w:rPr>
                <w:lang w:val="en-US"/>
              </w:rPr>
              <w:t>допустими</w:t>
            </w:r>
            <w:proofErr w:type="spellEnd"/>
            <w:r w:rsidRPr="009C282A">
              <w:rPr>
                <w:lang w:val="en-US"/>
              </w:rPr>
              <w:t xml:space="preserve"> </w:t>
            </w:r>
            <w:proofErr w:type="spellStart"/>
            <w:r w:rsidRPr="009C282A">
              <w:rPr>
                <w:lang w:val="en-US"/>
              </w:rPr>
              <w:t>за</w:t>
            </w:r>
            <w:proofErr w:type="spellEnd"/>
            <w:r w:rsidRPr="009C282A">
              <w:rPr>
                <w:lang w:val="en-US"/>
              </w:rPr>
              <w:t xml:space="preserve"> </w:t>
            </w:r>
            <w:proofErr w:type="spellStart"/>
            <w:r w:rsidRPr="009C282A">
              <w:rPr>
                <w:lang w:val="en-US"/>
              </w:rPr>
              <w:t>финансиране</w:t>
            </w:r>
            <w:proofErr w:type="spellEnd"/>
            <w:r w:rsidRPr="009C282A">
              <w:rPr>
                <w:lang w:val="en-US"/>
              </w:rPr>
              <w:t xml:space="preserve"> </w:t>
            </w:r>
            <w:proofErr w:type="spellStart"/>
            <w:r w:rsidRPr="009C282A">
              <w:rPr>
                <w:lang w:val="en-US"/>
              </w:rPr>
              <w:t>по</w:t>
            </w:r>
            <w:proofErr w:type="spellEnd"/>
            <w:r w:rsidRPr="009C282A">
              <w:rPr>
                <w:lang w:val="en-US"/>
              </w:rPr>
              <w:t xml:space="preserve"> </w:t>
            </w:r>
            <w:proofErr w:type="spellStart"/>
            <w:r w:rsidRPr="009C282A">
              <w:rPr>
                <w:lang w:val="en-US"/>
              </w:rPr>
              <w:t>линия</w:t>
            </w:r>
            <w:proofErr w:type="spellEnd"/>
            <w:r w:rsidRPr="009C282A">
              <w:rPr>
                <w:lang w:val="en-US"/>
              </w:rPr>
              <w:t xml:space="preserve"> </w:t>
            </w:r>
            <w:proofErr w:type="spellStart"/>
            <w:r w:rsidRPr="009C282A">
              <w:rPr>
                <w:lang w:val="en-US"/>
              </w:rPr>
              <w:t>на</w:t>
            </w:r>
            <w:proofErr w:type="spellEnd"/>
            <w:r w:rsidRPr="009C282A">
              <w:rPr>
                <w:lang w:val="en-US"/>
              </w:rPr>
              <w:t xml:space="preserve"> ЕФМДР, </w:t>
            </w:r>
            <w:proofErr w:type="spellStart"/>
            <w:r w:rsidRPr="009C282A">
              <w:rPr>
                <w:lang w:val="en-US"/>
              </w:rPr>
              <w:t>оценителната</w:t>
            </w:r>
            <w:proofErr w:type="spellEnd"/>
            <w:r w:rsidRPr="009C282A">
              <w:rPr>
                <w:lang w:val="en-US"/>
              </w:rPr>
              <w:t xml:space="preserve"> </w:t>
            </w:r>
            <w:proofErr w:type="spellStart"/>
            <w:r w:rsidRPr="009C282A">
              <w:rPr>
                <w:lang w:val="en-US"/>
              </w:rPr>
              <w:t>комисия</w:t>
            </w:r>
            <w:proofErr w:type="spellEnd"/>
            <w:r w:rsidRPr="009C282A">
              <w:rPr>
                <w:lang w:val="en-US"/>
              </w:rPr>
              <w:t xml:space="preserve"> </w:t>
            </w:r>
            <w:proofErr w:type="spellStart"/>
            <w:r w:rsidRPr="009C282A">
              <w:rPr>
                <w:lang w:val="en-US"/>
              </w:rPr>
              <w:t>извършва</w:t>
            </w:r>
            <w:proofErr w:type="spellEnd"/>
            <w:r w:rsidRPr="009C282A">
              <w:rPr>
                <w:lang w:val="en-US"/>
              </w:rPr>
              <w:t xml:space="preserve"> </w:t>
            </w:r>
            <w:proofErr w:type="spellStart"/>
            <w:r w:rsidRPr="009C282A">
              <w:rPr>
                <w:lang w:val="en-US"/>
              </w:rPr>
              <w:t>справка</w:t>
            </w:r>
            <w:proofErr w:type="spellEnd"/>
            <w:r w:rsidRPr="009C282A">
              <w:rPr>
                <w:lang w:val="en-US"/>
              </w:rPr>
              <w:t>/</w:t>
            </w:r>
            <w:proofErr w:type="spellStart"/>
            <w:r w:rsidRPr="009C282A">
              <w:rPr>
                <w:lang w:val="en-US"/>
              </w:rPr>
              <w:t>проверка</w:t>
            </w:r>
            <w:proofErr w:type="spellEnd"/>
            <w:r w:rsidRPr="009C282A">
              <w:rPr>
                <w:lang w:val="en-US"/>
              </w:rPr>
              <w:t>/</w:t>
            </w:r>
            <w:proofErr w:type="spellStart"/>
            <w:r w:rsidRPr="009C282A">
              <w:rPr>
                <w:lang w:val="en-US"/>
              </w:rPr>
              <w:t>проучване</w:t>
            </w:r>
            <w:proofErr w:type="spellEnd"/>
            <w:r w:rsidRPr="009C282A">
              <w:rPr>
                <w:lang w:val="en-US"/>
              </w:rPr>
              <w:t xml:space="preserve"> </w:t>
            </w:r>
            <w:proofErr w:type="spellStart"/>
            <w:r w:rsidRPr="009C282A">
              <w:rPr>
                <w:lang w:val="en-US"/>
              </w:rPr>
              <w:t>относно</w:t>
            </w:r>
            <w:proofErr w:type="spellEnd"/>
            <w:r w:rsidRPr="009C282A">
              <w:rPr>
                <w:lang w:val="en-US"/>
              </w:rPr>
              <w:t xml:space="preserve"> </w:t>
            </w:r>
            <w:proofErr w:type="spellStart"/>
            <w:r w:rsidRPr="009C282A">
              <w:rPr>
                <w:lang w:val="en-US"/>
              </w:rPr>
              <w:t>характеристиките</w:t>
            </w:r>
            <w:proofErr w:type="spellEnd"/>
            <w:r w:rsidRPr="009C282A">
              <w:rPr>
                <w:lang w:val="en-US"/>
              </w:rPr>
              <w:t>/</w:t>
            </w:r>
            <w:proofErr w:type="spellStart"/>
            <w:r w:rsidRPr="009C282A">
              <w:rPr>
                <w:lang w:val="en-US"/>
              </w:rPr>
              <w:t>предназначението</w:t>
            </w:r>
            <w:proofErr w:type="spellEnd"/>
            <w:r w:rsidRPr="009C282A">
              <w:rPr>
                <w:lang w:val="en-US"/>
              </w:rPr>
              <w:t xml:space="preserve"> </w:t>
            </w:r>
            <w:proofErr w:type="spellStart"/>
            <w:r w:rsidRPr="009C282A">
              <w:rPr>
                <w:lang w:val="en-US"/>
              </w:rPr>
              <w:t>му</w:t>
            </w:r>
            <w:proofErr w:type="spellEnd"/>
            <w:r w:rsidRPr="009C282A">
              <w:rPr>
                <w:lang w:val="en-US"/>
              </w:rPr>
              <w:t xml:space="preserve"> в </w:t>
            </w:r>
            <w:proofErr w:type="spellStart"/>
            <w:r w:rsidRPr="009C282A">
              <w:rPr>
                <w:lang w:val="en-US"/>
              </w:rPr>
              <w:t>сайта</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производителя</w:t>
            </w:r>
            <w:proofErr w:type="spellEnd"/>
            <w:r w:rsidRPr="009C282A">
              <w:rPr>
                <w:lang w:val="en-US"/>
              </w:rPr>
              <w:t xml:space="preserve"> и </w:t>
            </w:r>
            <w:proofErr w:type="spellStart"/>
            <w:r w:rsidRPr="009C282A">
              <w:rPr>
                <w:lang w:val="en-US"/>
              </w:rPr>
              <w:t>при</w:t>
            </w:r>
            <w:proofErr w:type="spellEnd"/>
            <w:r w:rsidRPr="009C282A">
              <w:rPr>
                <w:lang w:val="en-US"/>
              </w:rPr>
              <w:t xml:space="preserve"> </w:t>
            </w:r>
            <w:proofErr w:type="spellStart"/>
            <w:r w:rsidRPr="009C282A">
              <w:rPr>
                <w:lang w:val="en-US"/>
              </w:rPr>
              <w:t>наличие</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разминаване</w:t>
            </w:r>
            <w:proofErr w:type="spellEnd"/>
            <w:r w:rsidRPr="009C282A">
              <w:rPr>
                <w:lang w:val="en-US"/>
              </w:rPr>
              <w:t xml:space="preserve"> </w:t>
            </w:r>
            <w:proofErr w:type="spellStart"/>
            <w:r w:rsidRPr="009C282A">
              <w:rPr>
                <w:lang w:val="en-US"/>
              </w:rPr>
              <w:t>между</w:t>
            </w:r>
            <w:proofErr w:type="spellEnd"/>
            <w:r w:rsidRPr="009C282A">
              <w:rPr>
                <w:lang w:val="en-US"/>
              </w:rPr>
              <w:t xml:space="preserve"> </w:t>
            </w:r>
            <w:proofErr w:type="spellStart"/>
            <w:r w:rsidRPr="009C282A">
              <w:rPr>
                <w:lang w:val="en-US"/>
              </w:rPr>
              <w:t>предназначението</w:t>
            </w:r>
            <w:proofErr w:type="spellEnd"/>
            <w:r w:rsidRPr="009C282A">
              <w:rPr>
                <w:lang w:val="en-US"/>
              </w:rPr>
              <w:t xml:space="preserve"> </w:t>
            </w:r>
            <w:proofErr w:type="spellStart"/>
            <w:r w:rsidRPr="009C282A">
              <w:rPr>
                <w:lang w:val="en-US"/>
              </w:rPr>
              <w:t>му</w:t>
            </w:r>
            <w:proofErr w:type="spellEnd"/>
            <w:r w:rsidRPr="009C282A">
              <w:rPr>
                <w:lang w:val="en-US"/>
              </w:rPr>
              <w:t xml:space="preserve"> в </w:t>
            </w:r>
            <w:proofErr w:type="spellStart"/>
            <w:r w:rsidRPr="009C282A">
              <w:rPr>
                <w:lang w:val="en-US"/>
              </w:rPr>
              <w:t>изпълнението</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проекта</w:t>
            </w:r>
            <w:proofErr w:type="spellEnd"/>
            <w:r w:rsidRPr="009C282A">
              <w:rPr>
                <w:lang w:val="en-US"/>
              </w:rPr>
              <w:t xml:space="preserve"> и </w:t>
            </w:r>
            <w:proofErr w:type="spellStart"/>
            <w:r w:rsidRPr="009C282A">
              <w:rPr>
                <w:lang w:val="en-US"/>
              </w:rPr>
              <w:t>това</w:t>
            </w:r>
            <w:proofErr w:type="spellEnd"/>
            <w:r w:rsidRPr="009C282A">
              <w:rPr>
                <w:lang w:val="en-US"/>
              </w:rPr>
              <w:t xml:space="preserve"> в </w:t>
            </w:r>
            <w:proofErr w:type="spellStart"/>
            <w:r w:rsidRPr="009C282A">
              <w:rPr>
                <w:lang w:val="en-US"/>
              </w:rPr>
              <w:t>сайта</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производителя</w:t>
            </w:r>
            <w:proofErr w:type="spellEnd"/>
            <w:r w:rsidRPr="009C282A">
              <w:rPr>
                <w:lang w:val="en-US"/>
              </w:rPr>
              <w:t xml:space="preserve"> </w:t>
            </w:r>
            <w:proofErr w:type="spellStart"/>
            <w:r w:rsidRPr="009C282A">
              <w:rPr>
                <w:lang w:val="en-US"/>
              </w:rPr>
              <w:t>или</w:t>
            </w:r>
            <w:proofErr w:type="spellEnd"/>
            <w:r w:rsidRPr="009C282A">
              <w:rPr>
                <w:lang w:val="en-US"/>
              </w:rPr>
              <w:t xml:space="preserve"> </w:t>
            </w:r>
            <w:proofErr w:type="spellStart"/>
            <w:r w:rsidRPr="009C282A">
              <w:rPr>
                <w:lang w:val="en-US"/>
              </w:rPr>
              <w:t>друг</w:t>
            </w:r>
            <w:proofErr w:type="spellEnd"/>
            <w:r w:rsidRPr="009C282A">
              <w:rPr>
                <w:lang w:val="en-US"/>
              </w:rPr>
              <w:t xml:space="preserve"> </w:t>
            </w:r>
            <w:proofErr w:type="spellStart"/>
            <w:r w:rsidRPr="009C282A">
              <w:rPr>
                <w:lang w:val="en-US"/>
              </w:rPr>
              <w:t>легитимен</w:t>
            </w:r>
            <w:proofErr w:type="spellEnd"/>
            <w:r w:rsidRPr="009C282A">
              <w:rPr>
                <w:lang w:val="en-US"/>
              </w:rPr>
              <w:t xml:space="preserve"> </w:t>
            </w:r>
            <w:proofErr w:type="spellStart"/>
            <w:r w:rsidRPr="009C282A">
              <w:rPr>
                <w:lang w:val="en-US"/>
              </w:rPr>
              <w:t>източник</w:t>
            </w:r>
            <w:proofErr w:type="spellEnd"/>
            <w:r w:rsidRPr="009C282A">
              <w:rPr>
                <w:lang w:val="en-US"/>
              </w:rPr>
              <w:t xml:space="preserve">, </w:t>
            </w:r>
            <w:proofErr w:type="spellStart"/>
            <w:r w:rsidRPr="009C282A">
              <w:rPr>
                <w:lang w:val="en-US"/>
              </w:rPr>
              <w:t>активите</w:t>
            </w:r>
            <w:proofErr w:type="spellEnd"/>
            <w:r w:rsidRPr="009C282A">
              <w:rPr>
                <w:lang w:val="en-US"/>
              </w:rPr>
              <w:t xml:space="preserve"> </w:t>
            </w:r>
            <w:proofErr w:type="spellStart"/>
            <w:r w:rsidRPr="009C282A">
              <w:rPr>
                <w:lang w:val="en-US"/>
              </w:rPr>
              <w:t>биват</w:t>
            </w:r>
            <w:proofErr w:type="spellEnd"/>
            <w:r w:rsidRPr="009C282A">
              <w:rPr>
                <w:lang w:val="en-US"/>
              </w:rPr>
              <w:t xml:space="preserve"> </w:t>
            </w:r>
            <w:proofErr w:type="spellStart"/>
            <w:r w:rsidRPr="009C282A">
              <w:rPr>
                <w:lang w:val="en-US"/>
              </w:rPr>
              <w:t>квалифицирани</w:t>
            </w:r>
            <w:proofErr w:type="spellEnd"/>
            <w:r w:rsidRPr="009C282A">
              <w:rPr>
                <w:lang w:val="en-US"/>
              </w:rPr>
              <w:t xml:space="preserve"> </w:t>
            </w:r>
            <w:proofErr w:type="spellStart"/>
            <w:r w:rsidRPr="009C282A">
              <w:rPr>
                <w:lang w:val="en-US"/>
              </w:rPr>
              <w:t>като</w:t>
            </w:r>
            <w:proofErr w:type="spellEnd"/>
            <w:r w:rsidRPr="009C282A">
              <w:rPr>
                <w:lang w:val="en-US"/>
              </w:rPr>
              <w:t xml:space="preserve"> </w:t>
            </w:r>
            <w:proofErr w:type="spellStart"/>
            <w:r w:rsidRPr="009C282A">
              <w:rPr>
                <w:lang w:val="en-US"/>
              </w:rPr>
              <w:t>недопустими</w:t>
            </w:r>
            <w:proofErr w:type="spellEnd"/>
            <w:r w:rsidRPr="009C282A">
              <w:rPr>
                <w:lang w:val="en-US"/>
              </w:rPr>
              <w:t xml:space="preserve"> </w:t>
            </w:r>
            <w:proofErr w:type="spellStart"/>
            <w:r w:rsidRPr="009C282A">
              <w:rPr>
                <w:lang w:val="en-US"/>
              </w:rPr>
              <w:t>за</w:t>
            </w:r>
            <w:proofErr w:type="spellEnd"/>
            <w:r w:rsidRPr="009C282A">
              <w:rPr>
                <w:lang w:val="en-US"/>
              </w:rPr>
              <w:t xml:space="preserve"> </w:t>
            </w:r>
            <w:proofErr w:type="spellStart"/>
            <w:r w:rsidRPr="009C282A">
              <w:rPr>
                <w:lang w:val="en-US"/>
              </w:rPr>
              <w:t>финансиране</w:t>
            </w:r>
            <w:proofErr w:type="spellEnd"/>
            <w:r w:rsidRPr="009C282A">
              <w:rPr>
                <w:lang w:val="en-US"/>
              </w:rPr>
              <w:t xml:space="preserve">. УО </w:t>
            </w:r>
            <w:proofErr w:type="spellStart"/>
            <w:r w:rsidRPr="009C282A">
              <w:rPr>
                <w:lang w:val="en-US"/>
              </w:rPr>
              <w:t>има</w:t>
            </w:r>
            <w:proofErr w:type="spellEnd"/>
            <w:r w:rsidRPr="009C282A">
              <w:rPr>
                <w:lang w:val="en-US"/>
              </w:rPr>
              <w:t xml:space="preserve"> </w:t>
            </w:r>
            <w:proofErr w:type="spellStart"/>
            <w:r w:rsidRPr="009C282A">
              <w:rPr>
                <w:lang w:val="en-US"/>
              </w:rPr>
              <w:t>предвид</w:t>
            </w:r>
            <w:proofErr w:type="spellEnd"/>
            <w:r w:rsidRPr="009C282A">
              <w:rPr>
                <w:lang w:val="en-US"/>
              </w:rPr>
              <w:t xml:space="preserve"> </w:t>
            </w:r>
            <w:proofErr w:type="spellStart"/>
            <w:r w:rsidRPr="009C282A">
              <w:rPr>
                <w:lang w:val="en-US"/>
              </w:rPr>
              <w:t>фактът</w:t>
            </w:r>
            <w:proofErr w:type="spellEnd"/>
            <w:r w:rsidRPr="009C282A">
              <w:rPr>
                <w:lang w:val="en-US"/>
              </w:rPr>
              <w:t xml:space="preserve">, </w:t>
            </w:r>
            <w:proofErr w:type="spellStart"/>
            <w:r w:rsidRPr="009C282A">
              <w:rPr>
                <w:lang w:val="en-US"/>
              </w:rPr>
              <w:t>че</w:t>
            </w:r>
            <w:proofErr w:type="spellEnd"/>
            <w:r w:rsidRPr="009C282A">
              <w:rPr>
                <w:lang w:val="en-US"/>
              </w:rPr>
              <w:t xml:space="preserve"> </w:t>
            </w:r>
            <w:proofErr w:type="spellStart"/>
            <w:r w:rsidRPr="009C282A">
              <w:rPr>
                <w:lang w:val="en-US"/>
              </w:rPr>
              <w:t>всеки</w:t>
            </w:r>
            <w:proofErr w:type="spellEnd"/>
            <w:r w:rsidRPr="009C282A">
              <w:rPr>
                <w:lang w:val="en-US"/>
              </w:rPr>
              <w:t xml:space="preserve"> </w:t>
            </w:r>
            <w:proofErr w:type="spellStart"/>
            <w:r w:rsidRPr="009C282A">
              <w:rPr>
                <w:lang w:val="en-US"/>
              </w:rPr>
              <w:t>производител</w:t>
            </w:r>
            <w:proofErr w:type="spellEnd"/>
            <w:r w:rsidRPr="009C282A">
              <w:rPr>
                <w:lang w:val="en-US"/>
              </w:rPr>
              <w:t xml:space="preserve"> </w:t>
            </w:r>
            <w:proofErr w:type="spellStart"/>
            <w:r w:rsidRPr="009C282A">
              <w:rPr>
                <w:lang w:val="en-US"/>
              </w:rPr>
              <w:t>се</w:t>
            </w:r>
            <w:proofErr w:type="spellEnd"/>
            <w:r w:rsidRPr="009C282A">
              <w:rPr>
                <w:lang w:val="en-US"/>
              </w:rPr>
              <w:t xml:space="preserve"> </w:t>
            </w:r>
            <w:proofErr w:type="spellStart"/>
            <w:r w:rsidRPr="009C282A">
              <w:rPr>
                <w:lang w:val="en-US"/>
              </w:rPr>
              <w:t>стреми</w:t>
            </w:r>
            <w:proofErr w:type="spellEnd"/>
            <w:r w:rsidRPr="009C282A">
              <w:rPr>
                <w:lang w:val="en-US"/>
              </w:rPr>
              <w:t xml:space="preserve"> </w:t>
            </w:r>
            <w:proofErr w:type="spellStart"/>
            <w:r w:rsidRPr="009C282A">
              <w:rPr>
                <w:lang w:val="en-US"/>
              </w:rPr>
              <w:t>да</w:t>
            </w:r>
            <w:proofErr w:type="spellEnd"/>
            <w:r w:rsidRPr="009C282A">
              <w:rPr>
                <w:lang w:val="en-US"/>
              </w:rPr>
              <w:t xml:space="preserve"> </w:t>
            </w:r>
            <w:proofErr w:type="spellStart"/>
            <w:r w:rsidRPr="009C282A">
              <w:rPr>
                <w:lang w:val="en-US"/>
              </w:rPr>
              <w:t>представи</w:t>
            </w:r>
            <w:proofErr w:type="spellEnd"/>
            <w:r w:rsidRPr="009C282A">
              <w:rPr>
                <w:lang w:val="en-US"/>
              </w:rPr>
              <w:t xml:space="preserve"> </w:t>
            </w:r>
            <w:proofErr w:type="spellStart"/>
            <w:r w:rsidRPr="009C282A">
              <w:rPr>
                <w:lang w:val="en-US"/>
              </w:rPr>
              <w:t>своите</w:t>
            </w:r>
            <w:proofErr w:type="spellEnd"/>
            <w:r w:rsidRPr="009C282A">
              <w:rPr>
                <w:lang w:val="en-US"/>
              </w:rPr>
              <w:t xml:space="preserve"> </w:t>
            </w:r>
            <w:proofErr w:type="spellStart"/>
            <w:r w:rsidRPr="009C282A">
              <w:rPr>
                <w:lang w:val="en-US"/>
              </w:rPr>
              <w:t>продукти</w:t>
            </w:r>
            <w:proofErr w:type="spellEnd"/>
            <w:r w:rsidRPr="009C282A">
              <w:rPr>
                <w:lang w:val="en-US"/>
              </w:rPr>
              <w:t xml:space="preserve"> </w:t>
            </w:r>
            <w:proofErr w:type="spellStart"/>
            <w:r w:rsidRPr="009C282A">
              <w:rPr>
                <w:lang w:val="en-US"/>
              </w:rPr>
              <w:t>по</w:t>
            </w:r>
            <w:proofErr w:type="spellEnd"/>
            <w:r w:rsidRPr="009C282A">
              <w:rPr>
                <w:lang w:val="en-US"/>
              </w:rPr>
              <w:t xml:space="preserve"> </w:t>
            </w:r>
            <w:proofErr w:type="spellStart"/>
            <w:r w:rsidRPr="009C282A">
              <w:rPr>
                <w:lang w:val="en-US"/>
              </w:rPr>
              <w:t>възможно</w:t>
            </w:r>
            <w:proofErr w:type="spellEnd"/>
            <w:r w:rsidRPr="009C282A">
              <w:rPr>
                <w:lang w:val="en-US"/>
              </w:rPr>
              <w:t xml:space="preserve"> </w:t>
            </w:r>
            <w:proofErr w:type="spellStart"/>
            <w:r w:rsidRPr="009C282A">
              <w:rPr>
                <w:lang w:val="en-US"/>
              </w:rPr>
              <w:t>най-добрият</w:t>
            </w:r>
            <w:proofErr w:type="spellEnd"/>
            <w:r w:rsidRPr="009C282A">
              <w:rPr>
                <w:lang w:val="en-US"/>
              </w:rPr>
              <w:t xml:space="preserve"> </w:t>
            </w:r>
            <w:r w:rsidRPr="009C282A">
              <w:rPr>
                <w:lang w:val="en-US"/>
              </w:rPr>
              <w:lastRenderedPageBreak/>
              <w:t xml:space="preserve">и </w:t>
            </w:r>
            <w:proofErr w:type="spellStart"/>
            <w:r w:rsidRPr="009C282A">
              <w:rPr>
                <w:lang w:val="en-US"/>
              </w:rPr>
              <w:t>конкурентен</w:t>
            </w:r>
            <w:proofErr w:type="spellEnd"/>
            <w:r w:rsidRPr="009C282A">
              <w:rPr>
                <w:lang w:val="en-US"/>
              </w:rPr>
              <w:t xml:space="preserve"> </w:t>
            </w:r>
            <w:proofErr w:type="spellStart"/>
            <w:r w:rsidRPr="009C282A">
              <w:rPr>
                <w:lang w:val="en-US"/>
              </w:rPr>
              <w:t>начин</w:t>
            </w:r>
            <w:proofErr w:type="spellEnd"/>
            <w:r w:rsidRPr="009C282A">
              <w:rPr>
                <w:lang w:val="en-US"/>
              </w:rPr>
              <w:t xml:space="preserve">, </w:t>
            </w:r>
            <w:proofErr w:type="spellStart"/>
            <w:r w:rsidRPr="009C282A">
              <w:rPr>
                <w:lang w:val="en-US"/>
              </w:rPr>
              <w:t>което</w:t>
            </w:r>
            <w:proofErr w:type="spellEnd"/>
            <w:r w:rsidRPr="009C282A">
              <w:rPr>
                <w:lang w:val="en-US"/>
              </w:rPr>
              <w:t xml:space="preserve"> е </w:t>
            </w:r>
            <w:proofErr w:type="spellStart"/>
            <w:r w:rsidRPr="009C282A">
              <w:rPr>
                <w:lang w:val="en-US"/>
              </w:rPr>
              <w:t>възможно</w:t>
            </w:r>
            <w:proofErr w:type="spellEnd"/>
            <w:r w:rsidRPr="009C282A">
              <w:rPr>
                <w:lang w:val="en-US"/>
              </w:rPr>
              <w:t xml:space="preserve"> </w:t>
            </w:r>
            <w:proofErr w:type="spellStart"/>
            <w:r w:rsidRPr="009C282A">
              <w:rPr>
                <w:lang w:val="en-US"/>
              </w:rPr>
              <w:t>да</w:t>
            </w:r>
            <w:proofErr w:type="spellEnd"/>
            <w:r w:rsidRPr="009C282A">
              <w:rPr>
                <w:lang w:val="en-US"/>
              </w:rPr>
              <w:t xml:space="preserve"> </w:t>
            </w:r>
            <w:proofErr w:type="spellStart"/>
            <w:r w:rsidRPr="009C282A">
              <w:rPr>
                <w:lang w:val="en-US"/>
              </w:rPr>
              <w:t>доведе</w:t>
            </w:r>
            <w:proofErr w:type="spellEnd"/>
            <w:r w:rsidRPr="009C282A">
              <w:rPr>
                <w:lang w:val="en-US"/>
              </w:rPr>
              <w:t xml:space="preserve"> </w:t>
            </w:r>
            <w:proofErr w:type="spellStart"/>
            <w:r w:rsidRPr="009C282A">
              <w:rPr>
                <w:lang w:val="en-US"/>
              </w:rPr>
              <w:t>до</w:t>
            </w:r>
            <w:proofErr w:type="spellEnd"/>
            <w:r w:rsidRPr="009C282A">
              <w:rPr>
                <w:lang w:val="en-US"/>
              </w:rPr>
              <w:t xml:space="preserve"> </w:t>
            </w:r>
            <w:proofErr w:type="spellStart"/>
            <w:r w:rsidRPr="009C282A">
              <w:rPr>
                <w:lang w:val="en-US"/>
              </w:rPr>
              <w:t>възприемането</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продукта</w:t>
            </w:r>
            <w:proofErr w:type="spellEnd"/>
            <w:r w:rsidRPr="009C282A">
              <w:rPr>
                <w:lang w:val="en-US"/>
              </w:rPr>
              <w:t xml:space="preserve"> </w:t>
            </w:r>
            <w:proofErr w:type="spellStart"/>
            <w:r w:rsidRPr="009C282A">
              <w:rPr>
                <w:lang w:val="en-US"/>
              </w:rPr>
              <w:t>като</w:t>
            </w:r>
            <w:proofErr w:type="spellEnd"/>
            <w:r w:rsidRPr="009C282A">
              <w:rPr>
                <w:lang w:val="en-US"/>
              </w:rPr>
              <w:t xml:space="preserve"> </w:t>
            </w:r>
            <w:proofErr w:type="spellStart"/>
            <w:r w:rsidRPr="009C282A">
              <w:rPr>
                <w:lang w:val="en-US"/>
              </w:rPr>
              <w:t>луксозен</w:t>
            </w:r>
            <w:proofErr w:type="spellEnd"/>
            <w:r w:rsidRPr="009C282A">
              <w:rPr>
                <w:lang w:val="en-US"/>
              </w:rPr>
              <w:t xml:space="preserve">. </w:t>
            </w:r>
            <w:proofErr w:type="spellStart"/>
            <w:r w:rsidRPr="009C282A">
              <w:rPr>
                <w:lang w:val="en-US"/>
              </w:rPr>
              <w:t>За</w:t>
            </w:r>
            <w:proofErr w:type="spellEnd"/>
            <w:r w:rsidRPr="009C282A">
              <w:rPr>
                <w:lang w:val="en-US"/>
              </w:rPr>
              <w:t xml:space="preserve"> </w:t>
            </w:r>
            <w:proofErr w:type="spellStart"/>
            <w:r w:rsidRPr="009C282A">
              <w:rPr>
                <w:lang w:val="en-US"/>
              </w:rPr>
              <w:t>да</w:t>
            </w:r>
            <w:proofErr w:type="spellEnd"/>
            <w:r w:rsidRPr="009C282A">
              <w:rPr>
                <w:lang w:val="en-US"/>
              </w:rPr>
              <w:t xml:space="preserve"> </w:t>
            </w:r>
            <w:proofErr w:type="spellStart"/>
            <w:r w:rsidRPr="009C282A">
              <w:rPr>
                <w:lang w:val="en-US"/>
              </w:rPr>
              <w:t>се</w:t>
            </w:r>
            <w:proofErr w:type="spellEnd"/>
            <w:r w:rsidRPr="009C282A">
              <w:rPr>
                <w:lang w:val="en-US"/>
              </w:rPr>
              <w:t xml:space="preserve"> </w:t>
            </w:r>
            <w:proofErr w:type="spellStart"/>
            <w:r w:rsidRPr="009C282A">
              <w:rPr>
                <w:lang w:val="en-US"/>
              </w:rPr>
              <w:t>избегне</w:t>
            </w:r>
            <w:proofErr w:type="spellEnd"/>
            <w:r w:rsidRPr="009C282A">
              <w:rPr>
                <w:lang w:val="en-US"/>
              </w:rPr>
              <w:t xml:space="preserve"> </w:t>
            </w:r>
            <w:proofErr w:type="spellStart"/>
            <w:r w:rsidRPr="009C282A">
              <w:rPr>
                <w:lang w:val="en-US"/>
              </w:rPr>
              <w:t>субективното</w:t>
            </w:r>
            <w:proofErr w:type="spellEnd"/>
            <w:r w:rsidRPr="009C282A">
              <w:rPr>
                <w:lang w:val="en-US"/>
              </w:rPr>
              <w:t xml:space="preserve"> и </w:t>
            </w:r>
            <w:proofErr w:type="spellStart"/>
            <w:r w:rsidRPr="009C282A">
              <w:rPr>
                <w:lang w:val="en-US"/>
              </w:rPr>
              <w:t>необосновано</w:t>
            </w:r>
            <w:proofErr w:type="spellEnd"/>
            <w:r w:rsidRPr="009C282A">
              <w:rPr>
                <w:lang w:val="en-US"/>
              </w:rPr>
              <w:t xml:space="preserve"> </w:t>
            </w:r>
            <w:proofErr w:type="spellStart"/>
            <w:r w:rsidRPr="009C282A">
              <w:rPr>
                <w:lang w:val="en-US"/>
              </w:rPr>
              <w:t>квалифициране</w:t>
            </w:r>
            <w:proofErr w:type="spellEnd"/>
            <w:r w:rsidRPr="009C282A">
              <w:rPr>
                <w:lang w:val="en-US"/>
              </w:rPr>
              <w:t xml:space="preserve"> </w:t>
            </w:r>
            <w:proofErr w:type="spellStart"/>
            <w:r w:rsidRPr="009C282A">
              <w:rPr>
                <w:lang w:val="en-US"/>
              </w:rPr>
              <w:t>на</w:t>
            </w:r>
            <w:proofErr w:type="spellEnd"/>
            <w:r w:rsidRPr="009C282A">
              <w:rPr>
                <w:lang w:val="en-US"/>
              </w:rPr>
              <w:t xml:space="preserve"> </w:t>
            </w:r>
            <w:proofErr w:type="spellStart"/>
            <w:r w:rsidRPr="009C282A">
              <w:rPr>
                <w:lang w:val="en-US"/>
              </w:rPr>
              <w:t>даден</w:t>
            </w:r>
            <w:proofErr w:type="spellEnd"/>
            <w:r w:rsidRPr="009C282A">
              <w:rPr>
                <w:lang w:val="en-US"/>
              </w:rPr>
              <w:t xml:space="preserve"> </w:t>
            </w:r>
            <w:proofErr w:type="spellStart"/>
            <w:r w:rsidRPr="009C282A">
              <w:rPr>
                <w:lang w:val="en-US"/>
              </w:rPr>
              <w:t>продукт</w:t>
            </w:r>
            <w:proofErr w:type="spellEnd"/>
            <w:r w:rsidRPr="009C282A">
              <w:rPr>
                <w:lang w:val="en-US"/>
              </w:rPr>
              <w:t xml:space="preserve"> </w:t>
            </w:r>
            <w:proofErr w:type="spellStart"/>
            <w:r w:rsidRPr="009C282A">
              <w:rPr>
                <w:lang w:val="en-US"/>
              </w:rPr>
              <w:t>като</w:t>
            </w:r>
            <w:proofErr w:type="spellEnd"/>
            <w:r w:rsidRPr="009C282A">
              <w:rPr>
                <w:lang w:val="en-US"/>
              </w:rPr>
              <w:t xml:space="preserve"> </w:t>
            </w:r>
            <w:proofErr w:type="spellStart"/>
            <w:r w:rsidRPr="009C282A">
              <w:rPr>
                <w:lang w:val="en-US"/>
              </w:rPr>
              <w:t>такъв</w:t>
            </w:r>
            <w:proofErr w:type="spellEnd"/>
            <w:r w:rsidRPr="009C282A">
              <w:rPr>
                <w:lang w:val="en-US"/>
              </w:rPr>
              <w:t xml:space="preserve">, </w:t>
            </w:r>
            <w:proofErr w:type="spellStart"/>
            <w:r w:rsidRPr="009C282A">
              <w:rPr>
                <w:lang w:val="en-US"/>
              </w:rPr>
              <w:t>оценителната</w:t>
            </w:r>
            <w:proofErr w:type="spellEnd"/>
            <w:r w:rsidRPr="009C282A">
              <w:rPr>
                <w:lang w:val="en-US"/>
              </w:rPr>
              <w:t xml:space="preserve"> </w:t>
            </w:r>
            <w:proofErr w:type="spellStart"/>
            <w:r w:rsidRPr="009C282A">
              <w:rPr>
                <w:lang w:val="en-US"/>
              </w:rPr>
              <w:t>комисия</w:t>
            </w:r>
            <w:proofErr w:type="spellEnd"/>
            <w:r w:rsidRPr="009C282A">
              <w:rPr>
                <w:lang w:val="en-US"/>
              </w:rPr>
              <w:t xml:space="preserve"> </w:t>
            </w:r>
            <w:proofErr w:type="spellStart"/>
            <w:r w:rsidRPr="009C282A">
              <w:rPr>
                <w:lang w:val="en-US"/>
              </w:rPr>
              <w:t>ще</w:t>
            </w:r>
            <w:proofErr w:type="spellEnd"/>
            <w:r w:rsidRPr="009C282A">
              <w:rPr>
                <w:lang w:val="en-US"/>
              </w:rPr>
              <w:t xml:space="preserve"> </w:t>
            </w:r>
            <w:proofErr w:type="spellStart"/>
            <w:r w:rsidRPr="009C282A">
              <w:rPr>
                <w:lang w:val="en-US"/>
              </w:rPr>
              <w:t>взема</w:t>
            </w:r>
            <w:proofErr w:type="spellEnd"/>
            <w:r w:rsidRPr="009C282A">
              <w:rPr>
                <w:lang w:val="en-US"/>
              </w:rPr>
              <w:t xml:space="preserve"> </w:t>
            </w:r>
            <w:proofErr w:type="spellStart"/>
            <w:r w:rsidRPr="009C282A">
              <w:rPr>
                <w:lang w:val="en-US"/>
              </w:rPr>
              <w:t>решенията</w:t>
            </w:r>
            <w:proofErr w:type="spellEnd"/>
            <w:r w:rsidRPr="009C282A">
              <w:rPr>
                <w:lang w:val="en-US"/>
              </w:rPr>
              <w:t xml:space="preserve"> </w:t>
            </w:r>
            <w:proofErr w:type="spellStart"/>
            <w:r w:rsidRPr="009C282A">
              <w:rPr>
                <w:lang w:val="en-US"/>
              </w:rPr>
              <w:t>за</w:t>
            </w:r>
            <w:proofErr w:type="spellEnd"/>
            <w:r w:rsidRPr="009C282A">
              <w:rPr>
                <w:lang w:val="en-US"/>
              </w:rPr>
              <w:t xml:space="preserve"> </w:t>
            </w:r>
            <w:proofErr w:type="spellStart"/>
            <w:r w:rsidRPr="009C282A">
              <w:rPr>
                <w:lang w:val="en-US"/>
              </w:rPr>
              <w:t>това</w:t>
            </w:r>
            <w:proofErr w:type="spellEnd"/>
            <w:r w:rsidRPr="009C282A">
              <w:rPr>
                <w:lang w:val="en-US"/>
              </w:rPr>
              <w:t xml:space="preserve"> </w:t>
            </w:r>
            <w:proofErr w:type="spellStart"/>
            <w:r w:rsidRPr="009C282A">
              <w:rPr>
                <w:lang w:val="en-US"/>
              </w:rPr>
              <w:t>дали</w:t>
            </w:r>
            <w:proofErr w:type="spellEnd"/>
            <w:r w:rsidRPr="009C282A">
              <w:rPr>
                <w:lang w:val="en-US"/>
              </w:rPr>
              <w:t xml:space="preserve"> </w:t>
            </w:r>
            <w:proofErr w:type="spellStart"/>
            <w:r w:rsidRPr="009C282A">
              <w:rPr>
                <w:lang w:val="en-US"/>
              </w:rPr>
              <w:t>даден</w:t>
            </w:r>
            <w:proofErr w:type="spellEnd"/>
            <w:r w:rsidRPr="009C282A">
              <w:rPr>
                <w:lang w:val="en-US"/>
              </w:rPr>
              <w:t xml:space="preserve"> </w:t>
            </w:r>
            <w:proofErr w:type="spellStart"/>
            <w:r w:rsidRPr="009C282A">
              <w:rPr>
                <w:lang w:val="en-US"/>
              </w:rPr>
              <w:t>актив</w:t>
            </w:r>
            <w:proofErr w:type="spellEnd"/>
            <w:r w:rsidRPr="009C282A">
              <w:rPr>
                <w:lang w:val="en-US"/>
              </w:rPr>
              <w:t>/</w:t>
            </w:r>
            <w:proofErr w:type="spellStart"/>
            <w:r w:rsidRPr="009C282A">
              <w:rPr>
                <w:lang w:val="en-US"/>
              </w:rPr>
              <w:t>стока</w:t>
            </w:r>
            <w:proofErr w:type="spellEnd"/>
            <w:r w:rsidRPr="009C282A">
              <w:rPr>
                <w:lang w:val="en-US"/>
              </w:rPr>
              <w:t xml:space="preserve"> </w:t>
            </w:r>
            <w:proofErr w:type="spellStart"/>
            <w:r w:rsidRPr="009C282A">
              <w:rPr>
                <w:lang w:val="en-US"/>
              </w:rPr>
              <w:t>са</w:t>
            </w:r>
            <w:proofErr w:type="spellEnd"/>
            <w:r w:rsidRPr="009C282A">
              <w:rPr>
                <w:lang w:val="en-US"/>
              </w:rPr>
              <w:t xml:space="preserve"> </w:t>
            </w:r>
            <w:proofErr w:type="spellStart"/>
            <w:r w:rsidRPr="009C282A">
              <w:rPr>
                <w:lang w:val="en-US"/>
              </w:rPr>
              <w:t>луксозни</w:t>
            </w:r>
            <w:proofErr w:type="spellEnd"/>
            <w:r w:rsidRPr="009C282A">
              <w:rPr>
                <w:lang w:val="en-US"/>
              </w:rPr>
              <w:t xml:space="preserve"> </w:t>
            </w:r>
            <w:proofErr w:type="spellStart"/>
            <w:r w:rsidRPr="009C282A">
              <w:rPr>
                <w:lang w:val="en-US"/>
              </w:rPr>
              <w:t>максимално</w:t>
            </w:r>
            <w:proofErr w:type="spellEnd"/>
            <w:r w:rsidRPr="009C282A">
              <w:rPr>
                <w:lang w:val="en-US"/>
              </w:rPr>
              <w:t xml:space="preserve"> </w:t>
            </w:r>
            <w:proofErr w:type="spellStart"/>
            <w:r w:rsidRPr="009C282A">
              <w:rPr>
                <w:lang w:val="en-US"/>
              </w:rPr>
              <w:t>прозрачно</w:t>
            </w:r>
            <w:proofErr w:type="spellEnd"/>
            <w:r w:rsidRPr="009C282A">
              <w:rPr>
                <w:lang w:val="en-US"/>
              </w:rPr>
              <w:t xml:space="preserve">, </w:t>
            </w:r>
            <w:proofErr w:type="spellStart"/>
            <w:r w:rsidRPr="009C282A">
              <w:rPr>
                <w:lang w:val="en-US"/>
              </w:rPr>
              <w:t>прилагайки</w:t>
            </w:r>
            <w:proofErr w:type="spellEnd"/>
            <w:r w:rsidRPr="009C282A">
              <w:rPr>
                <w:lang w:val="en-US"/>
              </w:rPr>
              <w:t xml:space="preserve"> </w:t>
            </w:r>
            <w:proofErr w:type="spellStart"/>
            <w:r w:rsidRPr="009C282A">
              <w:rPr>
                <w:lang w:val="en-US"/>
              </w:rPr>
              <w:t>единен</w:t>
            </w:r>
            <w:proofErr w:type="spellEnd"/>
            <w:r w:rsidRPr="009C282A">
              <w:rPr>
                <w:lang w:val="en-US"/>
              </w:rPr>
              <w:t xml:space="preserve"> </w:t>
            </w:r>
            <w:proofErr w:type="spellStart"/>
            <w:r w:rsidRPr="009C282A">
              <w:rPr>
                <w:lang w:val="en-US"/>
              </w:rPr>
              <w:t>подход</w:t>
            </w:r>
            <w:proofErr w:type="spellEnd"/>
            <w:r w:rsidRPr="009C282A">
              <w:rPr>
                <w:lang w:val="en-US"/>
              </w:rPr>
              <w:t xml:space="preserve"> </w:t>
            </w:r>
            <w:proofErr w:type="spellStart"/>
            <w:r w:rsidRPr="009C282A">
              <w:rPr>
                <w:lang w:val="en-US"/>
              </w:rPr>
              <w:t>към</w:t>
            </w:r>
            <w:proofErr w:type="spellEnd"/>
            <w:r w:rsidRPr="009C282A">
              <w:rPr>
                <w:lang w:val="en-US"/>
              </w:rPr>
              <w:t xml:space="preserve"> </w:t>
            </w:r>
            <w:proofErr w:type="spellStart"/>
            <w:r w:rsidRPr="009C282A">
              <w:rPr>
                <w:lang w:val="en-US"/>
              </w:rPr>
              <w:t>всички</w:t>
            </w:r>
            <w:proofErr w:type="spellEnd"/>
            <w:r w:rsidRPr="009C282A">
              <w:rPr>
                <w:lang w:val="en-US"/>
              </w:rPr>
              <w:t xml:space="preserve"> </w:t>
            </w:r>
            <w:proofErr w:type="spellStart"/>
            <w:r w:rsidRPr="009C282A">
              <w:rPr>
                <w:lang w:val="en-US"/>
              </w:rPr>
              <w:t>кандидати</w:t>
            </w:r>
            <w:proofErr w:type="spellEnd"/>
            <w:r w:rsidRPr="009C282A">
              <w:rPr>
                <w:lang w:val="en-US"/>
              </w:rPr>
              <w:t>.</w:t>
            </w:r>
          </w:p>
          <w:p w:rsidR="00DC6E92" w:rsidRDefault="00DC6E92" w:rsidP="00DC6E92">
            <w:pPr>
              <w:jc w:val="both"/>
              <w:rPr>
                <w:lang w:val="en-US"/>
              </w:rPr>
            </w:pPr>
          </w:p>
          <w:p w:rsidR="00473A37" w:rsidRDefault="00473A37" w:rsidP="00DC6E92">
            <w:pPr>
              <w:jc w:val="both"/>
            </w:pPr>
          </w:p>
          <w:p w:rsidR="00EC03C5" w:rsidRDefault="00EC03C5" w:rsidP="00EC03C5">
            <w:pPr>
              <w:jc w:val="both"/>
            </w:pPr>
            <w:r>
              <w:t>Приема се.</w:t>
            </w:r>
          </w:p>
          <w:p w:rsidR="00DC6E92" w:rsidRDefault="00EC03C5" w:rsidP="00EC03C5">
            <w:pPr>
              <w:jc w:val="both"/>
            </w:pPr>
            <w:r>
              <w:t xml:space="preserve">Нанесени са корекции в </w:t>
            </w:r>
            <w:r w:rsidR="00DF3B49">
              <w:t>Условията за кандидатстване. И</w:t>
            </w:r>
            <w:bookmarkStart w:id="1" w:name="_GoBack"/>
            <w:bookmarkEnd w:id="1"/>
            <w:r>
              <w:t xml:space="preserve">зискването за </w:t>
            </w:r>
            <w:r w:rsidR="00DF3B49">
              <w:t>Годишен финансов отчет</w:t>
            </w:r>
            <w:r>
              <w:t xml:space="preserve"> за оферентите отпада.</w:t>
            </w:r>
            <w:r w:rsidR="00E56A93" w:rsidRPr="006D0A7F">
              <w:rPr>
                <w:highlight w:val="yellow"/>
              </w:rPr>
              <w:t xml:space="preserve"> </w:t>
            </w:r>
          </w:p>
          <w:p w:rsidR="00DC6E92" w:rsidRDefault="00DC6E92" w:rsidP="00DC6E92">
            <w:pPr>
              <w:jc w:val="both"/>
            </w:pPr>
          </w:p>
          <w:p w:rsidR="00EF512E" w:rsidRDefault="00EF512E" w:rsidP="00DC6E92">
            <w:pPr>
              <w:jc w:val="both"/>
              <w:rPr>
                <w:highlight w:val="yellow"/>
              </w:rPr>
            </w:pPr>
          </w:p>
          <w:p w:rsidR="00EC03C5" w:rsidRDefault="00EC03C5" w:rsidP="00DC6E92">
            <w:pPr>
              <w:jc w:val="both"/>
              <w:rPr>
                <w:highlight w:val="yellow"/>
              </w:rPr>
            </w:pPr>
          </w:p>
          <w:p w:rsidR="00EC03C5" w:rsidRDefault="00EC03C5" w:rsidP="00DC6E92">
            <w:pPr>
              <w:jc w:val="both"/>
              <w:rPr>
                <w:highlight w:val="yellow"/>
              </w:rPr>
            </w:pPr>
          </w:p>
          <w:p w:rsidR="00EC03C5" w:rsidRDefault="00EC03C5" w:rsidP="00DC6E92">
            <w:pPr>
              <w:jc w:val="both"/>
              <w:rPr>
                <w:highlight w:val="yellow"/>
              </w:rPr>
            </w:pPr>
          </w:p>
          <w:p w:rsidR="00EC03C5" w:rsidRDefault="00EC03C5" w:rsidP="00DC6E92">
            <w:pPr>
              <w:jc w:val="both"/>
              <w:rPr>
                <w:highlight w:val="yellow"/>
              </w:rPr>
            </w:pPr>
          </w:p>
          <w:p w:rsidR="00EC03C5" w:rsidRDefault="00EC03C5" w:rsidP="00DC6E92">
            <w:pPr>
              <w:jc w:val="both"/>
              <w:rPr>
                <w:highlight w:val="yellow"/>
              </w:rPr>
            </w:pPr>
          </w:p>
          <w:p w:rsidR="00EF512E" w:rsidRDefault="00EF512E" w:rsidP="00DC6E92">
            <w:pPr>
              <w:jc w:val="both"/>
              <w:rPr>
                <w:highlight w:val="yellow"/>
              </w:rPr>
            </w:pPr>
          </w:p>
          <w:p w:rsidR="00EF512E" w:rsidRPr="002A059F" w:rsidRDefault="006422EA" w:rsidP="00DC6E92">
            <w:pPr>
              <w:jc w:val="both"/>
            </w:pPr>
            <w:r w:rsidRPr="002A059F">
              <w:t>Не се приема.</w:t>
            </w:r>
          </w:p>
          <w:p w:rsidR="009D4585" w:rsidRDefault="006422EA" w:rsidP="00720BEC">
            <w:pPr>
              <w:jc w:val="both"/>
            </w:pPr>
            <w:r w:rsidRPr="002A059F">
              <w:t>Финансов</w:t>
            </w:r>
            <w:r w:rsidR="002A059F" w:rsidRPr="002A059F">
              <w:t>ият</w:t>
            </w:r>
            <w:r w:rsidRPr="002A059F">
              <w:t xml:space="preserve"> план </w:t>
            </w:r>
            <w:r w:rsidR="00057449" w:rsidRPr="002A059F">
              <w:t xml:space="preserve">е задължително изискуем документ с оглед доказване на финансовия капацитет на кандидата </w:t>
            </w:r>
            <w:r w:rsidRPr="002A059F">
              <w:t>за изпълнение на проекта, включващ етапи на изпълнение и източници за финансиране на всеки един етап от проектното предложение</w:t>
            </w:r>
            <w:r w:rsidRPr="006422EA">
              <w:t xml:space="preserve"> </w:t>
            </w:r>
          </w:p>
          <w:p w:rsidR="009D4585" w:rsidRPr="00431505" w:rsidRDefault="009D4585" w:rsidP="00720BEC">
            <w:pPr>
              <w:jc w:val="both"/>
              <w:rPr>
                <w:rFonts w:ascii="Verdana" w:hAnsi="Verdana"/>
                <w:sz w:val="20"/>
                <w:szCs w:val="20"/>
              </w:rPr>
            </w:pPr>
          </w:p>
        </w:tc>
      </w:tr>
      <w:tr w:rsidR="000F7486" w:rsidRPr="003C6A3A" w:rsidTr="00DC6E92">
        <w:trPr>
          <w:trHeight w:val="350"/>
        </w:trPr>
        <w:tc>
          <w:tcPr>
            <w:tcW w:w="458" w:type="dxa"/>
            <w:shd w:val="clear" w:color="auto" w:fill="auto"/>
          </w:tcPr>
          <w:p w:rsidR="000F7486" w:rsidRPr="00C7533B" w:rsidRDefault="000F7486" w:rsidP="00431505">
            <w:pPr>
              <w:jc w:val="both"/>
            </w:pPr>
            <w:r>
              <w:lastRenderedPageBreak/>
              <w:t>3.</w:t>
            </w:r>
          </w:p>
        </w:tc>
        <w:tc>
          <w:tcPr>
            <w:tcW w:w="1631" w:type="dxa"/>
            <w:shd w:val="clear" w:color="auto" w:fill="auto"/>
          </w:tcPr>
          <w:p w:rsidR="000F7486" w:rsidRPr="003C2A1E" w:rsidRDefault="003C6A3A" w:rsidP="00D61CA5">
            <w:pPr>
              <w:jc w:val="both"/>
              <w:rPr>
                <w:sz w:val="22"/>
                <w:szCs w:val="22"/>
              </w:rPr>
            </w:pPr>
            <w:r w:rsidRPr="003C2A1E">
              <w:rPr>
                <w:sz w:val="22"/>
                <w:szCs w:val="22"/>
              </w:rPr>
              <w:t>Д-р Йордан Господинов, Изпълнителен директор и представляващ АПРП „БГ ФИШ“</w:t>
            </w:r>
          </w:p>
        </w:tc>
        <w:tc>
          <w:tcPr>
            <w:tcW w:w="1618" w:type="dxa"/>
            <w:shd w:val="clear" w:color="auto" w:fill="auto"/>
          </w:tcPr>
          <w:p w:rsidR="000F7486" w:rsidRPr="003C2A1E" w:rsidRDefault="003C6A3A" w:rsidP="00431505">
            <w:pPr>
              <w:jc w:val="both"/>
            </w:pPr>
            <w:r w:rsidRPr="003C2A1E">
              <w:t>20.10.2020 г.</w:t>
            </w:r>
          </w:p>
        </w:tc>
        <w:tc>
          <w:tcPr>
            <w:tcW w:w="8734" w:type="dxa"/>
            <w:shd w:val="clear" w:color="auto" w:fill="auto"/>
          </w:tcPr>
          <w:p w:rsidR="003C2A1E" w:rsidRPr="00C67735" w:rsidRDefault="003C2A1E" w:rsidP="003C2A1E">
            <w:pPr>
              <w:spacing w:before="100" w:beforeAutospacing="1" w:after="100" w:afterAutospacing="1"/>
              <w:jc w:val="both"/>
              <w:rPr>
                <w:lang w:eastAsia="en-GB"/>
              </w:rPr>
            </w:pPr>
            <w:r>
              <w:rPr>
                <w:lang w:eastAsia="en-GB"/>
              </w:rPr>
              <w:t xml:space="preserve">            </w:t>
            </w:r>
            <w:r w:rsidRPr="00C67735">
              <w:rPr>
                <w:lang w:eastAsia="en-GB"/>
              </w:rPr>
              <w:t xml:space="preserve">В рамките на общественото обсъждане на Условията за кандидатстване и Условията за изпълнение във връзка с предстоящото отваряне на BG14MFOP001-2.016 „Продуктивни инвестиции в аквакултурите", сектор „Рециркулационни системи" и сектор „Изграждане на нови, както и разширяване и модернизация на съществуващи аквакултурни стопанства" </w:t>
            </w:r>
            <w:bookmarkStart w:id="2" w:name="_Hlk54004190"/>
            <w:r w:rsidRPr="00C67735">
              <w:rPr>
                <w:lang w:eastAsia="en-GB"/>
              </w:rPr>
              <w:t xml:space="preserve">мярка 2.2 „Продуктивни инвестиции в аквакултурите" </w:t>
            </w:r>
            <w:bookmarkEnd w:id="2"/>
            <w:r w:rsidRPr="00C67735">
              <w:rPr>
                <w:lang w:eastAsia="en-GB"/>
              </w:rPr>
              <w:t>за прием на проектни предложения Ви предоставяме нашите коментари и препоръки:</w:t>
            </w:r>
          </w:p>
          <w:p w:rsidR="003C2A1E" w:rsidRPr="00C67735" w:rsidRDefault="003C2A1E" w:rsidP="003C2A1E">
            <w:pPr>
              <w:spacing w:before="100" w:beforeAutospacing="1" w:after="100" w:afterAutospacing="1"/>
              <w:jc w:val="both"/>
              <w:rPr>
                <w:lang w:eastAsia="en-GB"/>
              </w:rPr>
            </w:pPr>
            <w:r w:rsidRPr="00C67735">
              <w:rPr>
                <w:lang w:eastAsia="en-GB"/>
              </w:rPr>
              <w:t>1.</w:t>
            </w:r>
            <w:r>
              <w:rPr>
                <w:lang w:eastAsia="en-GB"/>
              </w:rPr>
              <w:t xml:space="preserve"> </w:t>
            </w:r>
            <w:r w:rsidRPr="00C67735">
              <w:rPr>
                <w:lang w:eastAsia="en-GB"/>
              </w:rPr>
              <w:t xml:space="preserve">По отношение на т. 24. „Списък на документите, които се подават на етап </w:t>
            </w:r>
            <w:r w:rsidRPr="00C67735">
              <w:rPr>
                <w:lang w:eastAsia="en-GB"/>
              </w:rPr>
              <w:lastRenderedPageBreak/>
              <w:t xml:space="preserve">кандидатстване"  документ № 2 от Условията за кандидатстване е записано: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 </w:t>
            </w:r>
          </w:p>
          <w:p w:rsidR="003C2A1E" w:rsidRPr="00C67735" w:rsidRDefault="003C2A1E" w:rsidP="003C2A1E">
            <w:pPr>
              <w:spacing w:before="100" w:beforeAutospacing="1" w:after="100" w:afterAutospacing="1"/>
              <w:jc w:val="both"/>
              <w:rPr>
                <w:lang w:eastAsia="en-GB"/>
              </w:rPr>
            </w:pPr>
            <w:r w:rsidRPr="00C67735">
              <w:rPr>
                <w:lang w:eastAsia="en-GB"/>
              </w:rPr>
              <w:t xml:space="preserve">Ако се приеме хипотезата,че в случаите в които ПП включва СМР е правилна и срокът на договорите за наем трябва да бъдат със „срок не по – малък от 8 години от датата на кандидатстване", тъй като мониторинговият период на всяко изпълнено ПП е 5 годишен, срокът за изпълнение на проекта е 24 месеца, а сроковете по процедурите за оценка и одобрение определени в чл. 29 до чл. 38 включително от ЗУСЕСИВ могат да бъдат приети условно за 12 месеца, т.е. сборът от целия период е 94 месеца или 8 години, то в случаите на изпълнение на ПП включващи само доставка на машини и оборудване </w:t>
            </w:r>
            <w:r w:rsidRPr="00C67735">
              <w:rPr>
                <w:lang w:eastAsia="en-GB"/>
              </w:rPr>
              <w:lastRenderedPageBreak/>
              <w:t>срокът за изпълнение на ПП е 12 месеца като общият сбор на целия период би следвало да бъде изчислен на 84 месеца или 7 години валидност на договори за наем. По този начин няма да бъдат налагани ограничителни условия на бенефициенти, чиито договори за наем вече са подписани и срокът на действие вече тече. Освен това трябва да се има в предвид и факта, че  съгласно чл.55, ал.1 от Закона за корпоративно подоходно облагане годишната амортизационна норма за категория II - машини, производствено оборудване, апаратура е 30 %. В този случай амортизирането на активите е даже преди изтичане на срока за мониторинг.</w:t>
            </w:r>
          </w:p>
          <w:p w:rsidR="000F7486" w:rsidRPr="00D02D90" w:rsidRDefault="003C2A1E" w:rsidP="00D02D90">
            <w:pPr>
              <w:spacing w:before="100" w:beforeAutospacing="1" w:after="100" w:afterAutospacing="1"/>
              <w:jc w:val="both"/>
              <w:rPr>
                <w:lang w:eastAsia="en-GB"/>
              </w:rPr>
            </w:pPr>
            <w:r w:rsidRPr="00C67735">
              <w:rPr>
                <w:lang w:eastAsia="en-GB"/>
              </w:rPr>
              <w:t>2. По отношение на т. 14.1.3.16. „Изграждане/монтаж на съоръжения и оборудване, свързани с намаляване отрицателното въздействие върху околната среда и/или ефективно използване на естествените ресурси в обектите за аквакултури (вкл. въвеждане на повторно използване на водата в проточни рибовъдни стопанства - оборотно водоснабдяване);" е уточнено, че : „При въвеждане на оборотно водоснабдяване в обектите за аквакултури (по т. 14.1.3.16.), следва делът на повторно използваната вода да не е по-висок от 70% от разрешените за използване водни количества (с документ № 8 от т. 24 на настоящите условия)." Документ № 8 е разрешителното за водоползване издадено от съответната Басейнова дирекция. От този текст не е видно по какъв начин ще бъде доказан обема на „на повторно използваната вода" до максимум 70% от определените в съответното разрешително за водоползване водни количества</w:t>
            </w:r>
            <w:r>
              <w:rPr>
                <w:lang w:eastAsia="en-GB"/>
              </w:rPr>
              <w:t>.</w:t>
            </w:r>
          </w:p>
        </w:tc>
        <w:tc>
          <w:tcPr>
            <w:tcW w:w="3479" w:type="dxa"/>
            <w:shd w:val="clear" w:color="auto" w:fill="auto"/>
          </w:tcPr>
          <w:p w:rsidR="006D0A7F" w:rsidRDefault="006D0A7F" w:rsidP="00431505">
            <w:pPr>
              <w:jc w:val="both"/>
            </w:pPr>
          </w:p>
          <w:p w:rsidR="006D0A7F" w:rsidRDefault="006D0A7F" w:rsidP="00431505">
            <w:pPr>
              <w:jc w:val="both"/>
            </w:pPr>
          </w:p>
          <w:p w:rsidR="006D0A7F" w:rsidRDefault="006D0A7F" w:rsidP="00431505">
            <w:pPr>
              <w:jc w:val="both"/>
            </w:pPr>
          </w:p>
          <w:p w:rsidR="006D0A7F" w:rsidRDefault="006D0A7F" w:rsidP="00431505">
            <w:pPr>
              <w:jc w:val="both"/>
            </w:pPr>
          </w:p>
          <w:p w:rsidR="006D0A7F" w:rsidRDefault="006D0A7F" w:rsidP="00431505">
            <w:pPr>
              <w:jc w:val="both"/>
            </w:pPr>
          </w:p>
          <w:p w:rsidR="006D0A7F" w:rsidRDefault="006D0A7F" w:rsidP="00431505">
            <w:pPr>
              <w:jc w:val="both"/>
            </w:pPr>
          </w:p>
          <w:p w:rsidR="006D0A7F" w:rsidRDefault="006D0A7F" w:rsidP="00431505">
            <w:pPr>
              <w:jc w:val="both"/>
            </w:pPr>
          </w:p>
          <w:p w:rsidR="006D0A7F" w:rsidRDefault="006D0A7F" w:rsidP="00431505">
            <w:pPr>
              <w:jc w:val="both"/>
            </w:pPr>
          </w:p>
          <w:p w:rsidR="009D4585" w:rsidRDefault="009C282A" w:rsidP="00431505">
            <w:pPr>
              <w:jc w:val="both"/>
            </w:pPr>
            <w:r>
              <w:t xml:space="preserve">Приема се. Отразено е в Условията </w:t>
            </w:r>
            <w:r>
              <w:lastRenderedPageBreak/>
              <w:t>за кандидатстване</w:t>
            </w:r>
            <w:r w:rsidR="00246EA3">
              <w:t>.</w:t>
            </w: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9D4585" w:rsidRDefault="009D4585" w:rsidP="00431505">
            <w:pPr>
              <w:jc w:val="both"/>
            </w:pPr>
          </w:p>
          <w:p w:rsidR="00DC6E92" w:rsidRPr="00DC6E92" w:rsidRDefault="00DC6E92" w:rsidP="00431505">
            <w:pPr>
              <w:jc w:val="both"/>
            </w:pPr>
            <w:r>
              <w:t>Приема се. Спорният текст е премахнат.</w:t>
            </w:r>
          </w:p>
        </w:tc>
      </w:tr>
    </w:tbl>
    <w:p w:rsidR="00F0188E" w:rsidRPr="00112269" w:rsidRDefault="00F0188E" w:rsidP="00F0188E">
      <w:pPr>
        <w:jc w:val="both"/>
        <w:rPr>
          <w:rFonts w:ascii="Verdana" w:hAnsi="Verdana" w:cs="Tahoma"/>
          <w:sz w:val="16"/>
          <w:szCs w:val="16"/>
        </w:rPr>
      </w:pPr>
    </w:p>
    <w:p w:rsidR="00CA374E" w:rsidRPr="00112269" w:rsidRDefault="00CA374E" w:rsidP="00F0188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803C81" w:rsidRDefault="00803C81" w:rsidP="00CA374E">
      <w:pPr>
        <w:jc w:val="both"/>
        <w:rPr>
          <w:rFonts w:ascii="Verdana" w:hAnsi="Verdana" w:cs="Tahoma"/>
          <w:sz w:val="16"/>
          <w:szCs w:val="16"/>
        </w:rPr>
      </w:pPr>
    </w:p>
    <w:p w:rsidR="00052A4A" w:rsidRPr="00052A4A" w:rsidRDefault="00CA374E" w:rsidP="00CA374E">
      <w:pPr>
        <w:jc w:val="both"/>
        <w:rPr>
          <w:b/>
        </w:rPr>
      </w:pPr>
      <w:r w:rsidRPr="00052A4A">
        <w:rPr>
          <w:b/>
        </w:rPr>
        <w:t xml:space="preserve">Одобрил:        </w:t>
      </w:r>
    </w:p>
    <w:p w:rsidR="00803C81" w:rsidRDefault="00CA374E" w:rsidP="00CA374E">
      <w:pPr>
        <w:jc w:val="both"/>
        <w:rPr>
          <w:rFonts w:ascii="Verdana" w:hAnsi="Verdana" w:cs="Tahoma"/>
          <w:sz w:val="16"/>
          <w:szCs w:val="16"/>
        </w:rPr>
      </w:pPr>
      <w:r w:rsidRPr="00112269">
        <w:rPr>
          <w:rFonts w:ascii="Verdana" w:hAnsi="Verdana" w:cs="Tahoma"/>
          <w:sz w:val="16"/>
          <w:szCs w:val="16"/>
        </w:rPr>
        <w:t xml:space="preserve"> </w:t>
      </w:r>
      <w:r w:rsidR="003A51AC">
        <w:rPr>
          <w:rFonts w:ascii="Verdana" w:hAnsi="Verdana" w:cs="Tahoma"/>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424722CA-84EA-4CB0-A5FD-8616B0DBFEF6}" provid="{00000000-0000-0000-0000-000000000000}" o:suggestedsigner="Д-Р ЛОЗАНА ВАСИЛЕВА" o:suggestedsigner2="ЗАМЕСТНИК-МИНИСТЪР НА МЗХГ И РУО НА ПМДР 2014-2020" issignatureline="t"/>
          </v:shape>
        </w:pict>
      </w:r>
    </w:p>
    <w:p w:rsidR="00803C81" w:rsidRDefault="00803C81" w:rsidP="00CA374E">
      <w:pPr>
        <w:jc w:val="both"/>
        <w:rPr>
          <w:rFonts w:ascii="Verdana" w:hAnsi="Verdana" w:cs="Tahoma"/>
          <w:sz w:val="16"/>
          <w:szCs w:val="16"/>
        </w:rPr>
      </w:pPr>
    </w:p>
    <w:p w:rsidR="00052A4A" w:rsidRDefault="00052A4A" w:rsidP="00CA374E">
      <w:pPr>
        <w:jc w:val="both"/>
        <w:rPr>
          <w:rFonts w:ascii="Verdana" w:hAnsi="Verdana" w:cs="Tahoma"/>
          <w:sz w:val="16"/>
          <w:szCs w:val="16"/>
        </w:rPr>
      </w:pPr>
    </w:p>
    <w:p w:rsidR="00CA374E" w:rsidRPr="00052A4A" w:rsidRDefault="00052A4A" w:rsidP="00CA374E">
      <w:pPr>
        <w:jc w:val="both"/>
        <w:rPr>
          <w:b/>
        </w:rPr>
      </w:pPr>
      <w:r w:rsidRPr="00052A4A">
        <w:rPr>
          <w:b/>
        </w:rPr>
        <w:t xml:space="preserve">Съгласувал:       </w:t>
      </w:r>
      <w:r w:rsidR="00803C81" w:rsidRPr="00052A4A">
        <w:rPr>
          <w:b/>
        </w:rPr>
        <w:tab/>
      </w:r>
      <w:r w:rsidR="00803C81" w:rsidRPr="00052A4A">
        <w:rPr>
          <w:b/>
        </w:rPr>
        <w:tab/>
      </w:r>
      <w:r w:rsidR="004145C4" w:rsidRPr="00052A4A">
        <w:rPr>
          <w:b/>
        </w:rPr>
        <w:t xml:space="preserve"> </w:t>
      </w:r>
      <w:r w:rsidR="00CA374E" w:rsidRPr="00112269">
        <w:rPr>
          <w:rFonts w:ascii="Verdana" w:hAnsi="Verdana" w:cs="Tahoma"/>
          <w:sz w:val="16"/>
          <w:szCs w:val="16"/>
        </w:rPr>
        <w:t xml:space="preserve">       </w:t>
      </w:r>
    </w:p>
    <w:p w:rsidR="00F0188E" w:rsidRPr="00112269" w:rsidRDefault="00F0188E" w:rsidP="00F0188E">
      <w:pPr>
        <w:jc w:val="both"/>
        <w:rPr>
          <w:rFonts w:ascii="Verdana" w:hAnsi="Verdana" w:cs="Tahoma"/>
          <w:sz w:val="16"/>
          <w:szCs w:val="16"/>
        </w:rPr>
      </w:pPr>
    </w:p>
    <w:p w:rsidR="00803C81" w:rsidRDefault="003A51AC" w:rsidP="00B746EC">
      <w:pPr>
        <w:jc w:val="both"/>
        <w:rPr>
          <w:rFonts w:ascii="Verdana" w:hAnsi="Verdana" w:cs="Tahoma"/>
          <w:sz w:val="16"/>
          <w:szCs w:val="16"/>
        </w:rPr>
      </w:pPr>
      <w:r>
        <w:rPr>
          <w:rFonts w:ascii="Verdana" w:hAnsi="Verdana" w:cs="Tahoma"/>
          <w:sz w:val="16"/>
          <w:szCs w:val="16"/>
        </w:rPr>
        <w:pict>
          <v:shape id="_x0000_i1026" type="#_x0000_t75" alt="Microsoft Office Signature Line..." style="width:192pt;height:96pt">
            <v:imagedata r:id="rId9" o:title=""/>
            <o:lock v:ext="edit" ungrouping="t" rotation="t" cropping="t" verticies="t" text="t" grouping="t"/>
            <o:signatureline v:ext="edit" id="{B8EB4C0D-B451-48F3-9ECD-5E8D987928E7}" provid="{00000000-0000-0000-0000-000000000000}" o:suggestedsigner="СТОЯН КОТОВ" o:suggestedsigner2="ДИРЕКТОР НА ДИРЕКЦИЯ МДР" issignatureline="t"/>
          </v:shape>
        </w:pict>
      </w:r>
    </w:p>
    <w:p w:rsidR="00877530" w:rsidRDefault="00E80C74" w:rsidP="00B746EC">
      <w:pPr>
        <w:jc w:val="both"/>
        <w:rPr>
          <w:rFonts w:ascii="Verdana" w:hAnsi="Verdana"/>
          <w:sz w:val="16"/>
          <w:szCs w:val="16"/>
        </w:rPr>
      </w:pPr>
      <w:r>
        <w:rPr>
          <w:rFonts w:ascii="Verdana" w:hAnsi="Verdana" w:cs="Tahoma"/>
          <w:sz w:val="16"/>
          <w:szCs w:val="16"/>
        </w:rPr>
        <w:lastRenderedPageBreak/>
        <w:t xml:space="preserve">    </w:t>
      </w:r>
    </w:p>
    <w:p w:rsidR="00877530" w:rsidRDefault="00780350" w:rsidP="00877530">
      <w:pPr>
        <w:jc w:val="both"/>
        <w:rPr>
          <w:rFonts w:ascii="Verdana" w:hAnsi="Verdana"/>
          <w:color w:val="999999"/>
          <w:sz w:val="16"/>
          <w:szCs w:val="16"/>
        </w:rPr>
      </w:pPr>
      <w:r>
        <w:rPr>
          <w:rFonts w:ascii="Verdana" w:hAnsi="Verdana"/>
          <w:color w:val="999999"/>
          <w:sz w:val="16"/>
          <w:szCs w:val="16"/>
        </w:rPr>
        <w:t xml:space="preserve">       </w:t>
      </w:r>
      <w:r>
        <w:rPr>
          <w:rFonts w:ascii="Verdana" w:hAnsi="Verdana"/>
          <w:color w:val="999999"/>
          <w:sz w:val="16"/>
          <w:szCs w:val="16"/>
        </w:rPr>
        <w:tab/>
      </w:r>
      <w:r>
        <w:rPr>
          <w:rFonts w:ascii="Verdana" w:hAnsi="Verdana"/>
          <w:color w:val="999999"/>
          <w:sz w:val="16"/>
          <w:szCs w:val="16"/>
        </w:rPr>
        <w:tab/>
        <w:t xml:space="preserve">  </w:t>
      </w:r>
      <w:r w:rsidR="00E80C74">
        <w:rPr>
          <w:rFonts w:ascii="Verdana" w:hAnsi="Verdana"/>
          <w:color w:val="999999"/>
          <w:sz w:val="16"/>
          <w:szCs w:val="16"/>
        </w:rPr>
        <w:t xml:space="preserve">   </w:t>
      </w:r>
      <w:r>
        <w:rPr>
          <w:rFonts w:ascii="Verdana" w:hAnsi="Verdana"/>
          <w:color w:val="999999"/>
          <w:sz w:val="16"/>
          <w:szCs w:val="16"/>
        </w:rPr>
        <w:t xml:space="preserve"> подпис </w:t>
      </w:r>
      <w:r>
        <w:rPr>
          <w:rFonts w:ascii="Verdana" w:hAnsi="Verdana"/>
          <w:color w:val="999999"/>
          <w:sz w:val="16"/>
          <w:szCs w:val="16"/>
        </w:rPr>
        <w:tab/>
        <w:t xml:space="preserve">       </w:t>
      </w:r>
      <w:r w:rsidR="00877530">
        <w:rPr>
          <w:rFonts w:ascii="Verdana" w:hAnsi="Verdana"/>
          <w:color w:val="999999"/>
          <w:sz w:val="16"/>
          <w:szCs w:val="16"/>
        </w:rPr>
        <w:t>дата</w:t>
      </w:r>
    </w:p>
    <w:p w:rsidR="00877530" w:rsidRDefault="00877530" w:rsidP="00877530">
      <w:pPr>
        <w:jc w:val="both"/>
        <w:rPr>
          <w:rFonts w:ascii="Verdana" w:hAnsi="Verdana"/>
          <w:color w:val="999999"/>
          <w:sz w:val="16"/>
          <w:szCs w:val="16"/>
        </w:rPr>
      </w:pPr>
    </w:p>
    <w:p w:rsidR="0017293A" w:rsidRPr="00452B14" w:rsidRDefault="0017293A" w:rsidP="0017293A">
      <w:pPr>
        <w:ind w:left="1416"/>
        <w:jc w:val="both"/>
        <w:rPr>
          <w:rFonts w:ascii="Verdana" w:hAnsi="Verdana"/>
          <w:sz w:val="16"/>
          <w:szCs w:val="16"/>
          <w:lang w:val="ru-RU"/>
        </w:rPr>
      </w:pPr>
      <w:r>
        <w:rPr>
          <w:rFonts w:ascii="Verdana" w:hAnsi="Verdana" w:cs="Tahoma"/>
          <w:sz w:val="16"/>
          <w:szCs w:val="16"/>
        </w:rPr>
        <w:t xml:space="preserve">  </w:t>
      </w:r>
    </w:p>
    <w:p w:rsidR="00F0188E" w:rsidRDefault="0017293A" w:rsidP="005E51BF">
      <w:pPr>
        <w:jc w:val="both"/>
        <w:rPr>
          <w:rFonts w:ascii="Verdana" w:hAnsi="Verdana" w:cs="Tahoma"/>
          <w:sz w:val="16"/>
          <w:szCs w:val="16"/>
          <w:lang w:val="en-US"/>
        </w:rPr>
      </w:pPr>
      <w:r>
        <w:rPr>
          <w:rFonts w:ascii="Verdana" w:hAnsi="Verdana"/>
          <w:color w:val="999999"/>
          <w:sz w:val="16"/>
          <w:szCs w:val="16"/>
        </w:rPr>
        <w:t xml:space="preserve">       </w:t>
      </w:r>
      <w:r>
        <w:rPr>
          <w:rFonts w:ascii="Verdana" w:hAnsi="Verdana"/>
          <w:color w:val="999999"/>
          <w:sz w:val="16"/>
          <w:szCs w:val="16"/>
        </w:rPr>
        <w:tab/>
      </w:r>
      <w:r>
        <w:rPr>
          <w:rFonts w:ascii="Verdana" w:hAnsi="Verdana"/>
          <w:color w:val="999999"/>
          <w:sz w:val="16"/>
          <w:szCs w:val="16"/>
        </w:rPr>
        <w:tab/>
      </w:r>
    </w:p>
    <w:p w:rsidR="00452B14" w:rsidRPr="00112269" w:rsidRDefault="00452B14" w:rsidP="00452B14">
      <w:pPr>
        <w:ind w:left="1701"/>
        <w:jc w:val="both"/>
        <w:rPr>
          <w:rFonts w:ascii="Verdana" w:hAnsi="Verdana" w:cs="Tahoma"/>
          <w:sz w:val="16"/>
          <w:szCs w:val="16"/>
        </w:rPr>
      </w:pPr>
    </w:p>
    <w:p w:rsidR="00452B14" w:rsidRPr="00452B14" w:rsidRDefault="00452B14" w:rsidP="00F0188E">
      <w:pPr>
        <w:ind w:left="1701"/>
        <w:jc w:val="both"/>
        <w:rPr>
          <w:rFonts w:ascii="Verdana" w:hAnsi="Verdana" w:cs="Tahoma"/>
          <w:sz w:val="16"/>
          <w:szCs w:val="16"/>
          <w:lang w:val="en-US"/>
        </w:rPr>
      </w:pPr>
    </w:p>
    <w:sectPr w:rsidR="00452B14" w:rsidRPr="00452B14" w:rsidSect="00982D3C">
      <w:headerReference w:type="default" r:id="rId10"/>
      <w:pgSz w:w="16838" w:h="11906" w:orient="landscape"/>
      <w:pgMar w:top="2521"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DB" w:rsidRDefault="003D2BDB">
      <w:r>
        <w:separator/>
      </w:r>
    </w:p>
  </w:endnote>
  <w:endnote w:type="continuationSeparator" w:id="0">
    <w:p w:rsidR="003D2BDB" w:rsidRDefault="003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DB" w:rsidRDefault="003D2BDB">
      <w:r>
        <w:separator/>
      </w:r>
    </w:p>
  </w:footnote>
  <w:footnote w:type="continuationSeparator" w:id="0">
    <w:p w:rsidR="003D2BDB" w:rsidRDefault="003D2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14" w:rsidRDefault="00452B14" w:rsidP="00452B14">
    <w:pPr>
      <w:pStyle w:val="ListParagraph"/>
      <w:rPr>
        <w:lang w:val="en-US"/>
      </w:rPr>
    </w:pPr>
  </w:p>
  <w:tbl>
    <w:tblPr>
      <w:tblW w:w="15820" w:type="dxa"/>
      <w:jc w:val="center"/>
      <w:tblInd w:w="-5491" w:type="dxa"/>
      <w:tblLayout w:type="fixed"/>
      <w:tblCellMar>
        <w:left w:w="0" w:type="dxa"/>
        <w:right w:w="0" w:type="dxa"/>
      </w:tblCellMar>
      <w:tblLook w:val="04A0" w:firstRow="1" w:lastRow="0" w:firstColumn="1" w:lastColumn="0" w:noHBand="0" w:noVBand="1"/>
    </w:tblPr>
    <w:tblGrid>
      <w:gridCol w:w="3568"/>
      <w:gridCol w:w="2160"/>
      <w:gridCol w:w="6663"/>
      <w:gridCol w:w="3429"/>
    </w:tblGrid>
    <w:tr w:rsidR="009370D1" w:rsidRPr="009370D1" w:rsidTr="006858DB">
      <w:trPr>
        <w:trHeight w:val="997"/>
        <w:tblHeader/>
        <w:jc w:val="center"/>
      </w:trPr>
      <w:tc>
        <w:tcPr>
          <w:tcW w:w="3568" w:type="dxa"/>
          <w:vMerge w:val="restart"/>
          <w:tcBorders>
            <w:top w:val="single" w:sz="4" w:space="0" w:color="auto"/>
            <w:left w:val="single" w:sz="2" w:space="0" w:color="000000"/>
            <w:right w:val="nil"/>
          </w:tcBorders>
          <w:vAlign w:val="center"/>
        </w:tcPr>
        <w:p w:rsidR="00310D8B" w:rsidRDefault="006858DB" w:rsidP="00310D8B">
          <w:pPr>
            <w:widowControl w:val="0"/>
            <w:suppressLineNumbers/>
            <w:suppressAutoHyphens/>
            <w:jc w:val="center"/>
            <w:rPr>
              <w:rFonts w:eastAsia="HG Mincho Light J"/>
              <w:b/>
              <w:color w:val="000000"/>
              <w:sz w:val="20"/>
            </w:rPr>
          </w:pPr>
          <w:r>
            <w:rPr>
              <w:rFonts w:eastAsia="HG Mincho Light J"/>
              <w:b/>
              <w:color w:val="000000"/>
              <w:sz w:val="20"/>
            </w:rPr>
            <w:t xml:space="preserve">Министерство на земеделието, </w:t>
          </w:r>
          <w:r w:rsidR="00310D8B" w:rsidRPr="00180FF2">
            <w:rPr>
              <w:rFonts w:eastAsia="HG Mincho Light J"/>
              <w:b/>
              <w:color w:val="000000"/>
              <w:sz w:val="20"/>
            </w:rPr>
            <w:t>храните</w:t>
          </w:r>
        </w:p>
        <w:p w:rsidR="006858DB" w:rsidRPr="00180FF2" w:rsidRDefault="006858DB" w:rsidP="00310D8B">
          <w:pPr>
            <w:widowControl w:val="0"/>
            <w:suppressLineNumbers/>
            <w:suppressAutoHyphens/>
            <w:jc w:val="center"/>
            <w:rPr>
              <w:rFonts w:eastAsia="HG Mincho Light J"/>
              <w:b/>
              <w:color w:val="000000"/>
              <w:sz w:val="20"/>
            </w:rPr>
          </w:pPr>
          <w:r>
            <w:rPr>
              <w:rFonts w:eastAsia="HG Mincho Light J"/>
              <w:b/>
              <w:color w:val="000000"/>
              <w:sz w:val="20"/>
            </w:rPr>
            <w:t>и горите</w:t>
          </w:r>
        </w:p>
        <w:p w:rsidR="00310D8B" w:rsidRPr="00180FF2" w:rsidRDefault="00310D8B" w:rsidP="00310D8B">
          <w:pPr>
            <w:widowControl w:val="0"/>
            <w:suppressLineNumbers/>
            <w:suppressAutoHyphens/>
            <w:jc w:val="center"/>
            <w:rPr>
              <w:rFonts w:eastAsia="HG Mincho Light J"/>
              <w:b/>
              <w:color w:val="000000"/>
              <w:sz w:val="20"/>
            </w:rPr>
          </w:pPr>
        </w:p>
        <w:p w:rsidR="00310D8B" w:rsidRPr="00180FF2" w:rsidRDefault="00310D8B" w:rsidP="00310D8B">
          <w:pPr>
            <w:widowControl w:val="0"/>
            <w:suppressLineNumbers/>
            <w:suppressAutoHyphens/>
            <w:jc w:val="center"/>
            <w:rPr>
              <w:rFonts w:eastAsia="HG Mincho Light J"/>
              <w:b/>
              <w:color w:val="000000"/>
              <w:sz w:val="20"/>
            </w:rPr>
          </w:pPr>
          <w:r w:rsidRPr="00180FF2">
            <w:rPr>
              <w:rFonts w:eastAsia="HG Mincho Light J"/>
              <w:b/>
              <w:color w:val="000000"/>
              <w:sz w:val="20"/>
            </w:rPr>
            <w:t xml:space="preserve">Дирекция “Морско дело и рибарство” </w:t>
          </w:r>
        </w:p>
        <w:p w:rsidR="00310D8B" w:rsidRPr="00180FF2" w:rsidRDefault="00310D8B" w:rsidP="00310D8B">
          <w:pPr>
            <w:widowControl w:val="0"/>
            <w:suppressLineNumbers/>
            <w:suppressAutoHyphens/>
            <w:jc w:val="center"/>
            <w:rPr>
              <w:rFonts w:eastAsia="HG Mincho Light J"/>
              <w:b/>
              <w:color w:val="000000"/>
              <w:sz w:val="20"/>
            </w:rPr>
          </w:pPr>
        </w:p>
        <w:p w:rsidR="009370D1" w:rsidRPr="009370D1" w:rsidRDefault="00310D8B" w:rsidP="00310D8B">
          <w:pPr>
            <w:widowControl w:val="0"/>
            <w:suppressLineNumbers/>
            <w:suppressAutoHyphens/>
            <w:spacing w:line="276" w:lineRule="auto"/>
            <w:jc w:val="center"/>
            <w:rPr>
              <w:rFonts w:eastAsia="HG Mincho Light J"/>
              <w:b/>
              <w:color w:val="000000"/>
              <w:sz w:val="20"/>
              <w:lang w:eastAsia="en-US"/>
            </w:rPr>
          </w:pPr>
          <w:r w:rsidRPr="00180FF2">
            <w:rPr>
              <w:rFonts w:eastAsia="HG Mincho Light J"/>
              <w:b/>
              <w:color w:val="000000"/>
              <w:sz w:val="20"/>
            </w:rPr>
            <w:t>Управляващ орган на ПМДР</w:t>
          </w:r>
        </w:p>
      </w:tc>
      <w:tc>
        <w:tcPr>
          <w:tcW w:w="8823" w:type="dxa"/>
          <w:gridSpan w:val="2"/>
          <w:tcBorders>
            <w:top w:val="single" w:sz="2" w:space="0" w:color="000000"/>
            <w:left w:val="single" w:sz="2" w:space="0" w:color="000000"/>
            <w:bottom w:val="single" w:sz="2" w:space="0" w:color="000000"/>
            <w:right w:val="nil"/>
          </w:tcBorders>
          <w:vAlign w:val="center"/>
          <w:hideMark/>
        </w:tcPr>
        <w:p w:rsidR="009370D1" w:rsidRPr="009370D1" w:rsidRDefault="00310D8B" w:rsidP="009370D1">
          <w:pPr>
            <w:widowControl w:val="0"/>
            <w:suppressLineNumbers/>
            <w:suppressAutoHyphens/>
            <w:spacing w:line="276" w:lineRule="auto"/>
            <w:jc w:val="center"/>
            <w:rPr>
              <w:rFonts w:eastAsia="HG Mincho Light J"/>
              <w:b/>
              <w:color w:val="000000"/>
              <w:sz w:val="20"/>
              <w:lang w:eastAsia="en-US"/>
            </w:rPr>
          </w:pPr>
          <w:r w:rsidRPr="00310D8B">
            <w:rPr>
              <w:rFonts w:eastAsia="HG Mincho Light J"/>
              <w:b/>
              <w:color w:val="000000"/>
              <w:sz w:val="20"/>
              <w:szCs w:val="22"/>
              <w:lang w:eastAsia="en-US"/>
            </w:rPr>
            <w:t>НАРЪЧНИК ПО ПРОГРАМА „МОРСКО ДЕЛО И РИБАРСТВО”  2014 - 2020 (ПМДР)</w:t>
          </w:r>
        </w:p>
      </w:tc>
      <w:tc>
        <w:tcPr>
          <w:tcW w:w="3429" w:type="dxa"/>
          <w:tcBorders>
            <w:top w:val="single" w:sz="2" w:space="0" w:color="000000"/>
            <w:left w:val="single" w:sz="2" w:space="0" w:color="000000"/>
            <w:bottom w:val="single" w:sz="2" w:space="0" w:color="000000"/>
            <w:right w:val="single" w:sz="2" w:space="0" w:color="000000"/>
          </w:tcBorders>
          <w:vAlign w:val="center"/>
          <w:hideMark/>
        </w:tcPr>
        <w:p w:rsidR="009370D1" w:rsidRPr="00A90A94" w:rsidRDefault="00A90A94" w:rsidP="009370D1">
          <w:pPr>
            <w:widowControl w:val="0"/>
            <w:suppressLineNumbers/>
            <w:suppressAutoHyphens/>
            <w:spacing w:line="276" w:lineRule="auto"/>
            <w:jc w:val="center"/>
            <w:rPr>
              <w:rFonts w:eastAsia="HG Mincho Light J"/>
              <w:b/>
              <w:color w:val="000000"/>
              <w:sz w:val="20"/>
              <w:lang w:eastAsia="en-US"/>
            </w:rPr>
          </w:pPr>
          <w:r>
            <w:rPr>
              <w:rFonts w:eastAsia="HG Mincho Light J"/>
              <w:b/>
              <w:color w:val="000000"/>
              <w:sz w:val="20"/>
              <w:lang w:eastAsia="en-US"/>
            </w:rPr>
            <w:t>Вариант 3</w:t>
          </w:r>
        </w:p>
      </w:tc>
    </w:tr>
    <w:tr w:rsidR="009370D1" w:rsidRPr="009370D1" w:rsidTr="006858DB">
      <w:trPr>
        <w:trHeight w:val="572"/>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2160" w:type="dxa"/>
          <w:tcBorders>
            <w:top w:val="nil"/>
            <w:left w:val="single" w:sz="2" w:space="0" w:color="000000"/>
            <w:bottom w:val="single" w:sz="2" w:space="0" w:color="000000"/>
            <w:right w:val="single" w:sz="2" w:space="0" w:color="000000"/>
          </w:tcBorders>
          <w:vAlign w:val="center"/>
          <w:hideMark/>
        </w:tcPr>
        <w:p w:rsidR="009370D1" w:rsidRPr="00382217" w:rsidRDefault="009370D1" w:rsidP="00F93403">
          <w:pPr>
            <w:pStyle w:val="TableContents"/>
            <w:spacing w:after="0"/>
            <w:jc w:val="center"/>
            <w:rPr>
              <w:b/>
              <w:sz w:val="20"/>
              <w:lang w:val="bg-BG"/>
            </w:rPr>
          </w:pPr>
          <w:r w:rsidRPr="00382217">
            <w:rPr>
              <w:b/>
              <w:sz w:val="20"/>
              <w:lang w:val="bg-BG"/>
            </w:rPr>
            <w:t>Глава 4</w:t>
          </w:r>
        </w:p>
        <w:p w:rsidR="009370D1" w:rsidRPr="009370D1" w:rsidRDefault="009370D1" w:rsidP="00310D8B">
          <w:pPr>
            <w:widowControl w:val="0"/>
            <w:suppressLineNumbers/>
            <w:suppressAutoHyphens/>
            <w:spacing w:line="276" w:lineRule="auto"/>
            <w:jc w:val="center"/>
            <w:rPr>
              <w:rFonts w:eastAsia="HG Mincho Light J"/>
              <w:b/>
              <w:color w:val="000000"/>
              <w:sz w:val="20"/>
              <w:lang w:eastAsia="en-US"/>
            </w:rPr>
          </w:pPr>
          <w:r w:rsidRPr="00382217">
            <w:rPr>
              <w:b/>
              <w:sz w:val="20"/>
            </w:rPr>
            <w:t>Приложение 4.I.</w:t>
          </w:r>
          <w:r w:rsidR="00310D8B">
            <w:rPr>
              <w:b/>
              <w:sz w:val="20"/>
            </w:rPr>
            <w:t>8</w:t>
          </w:r>
          <w:r w:rsidRPr="00382217">
            <w:rPr>
              <w:b/>
              <w:sz w:val="20"/>
            </w:rPr>
            <w:t xml:space="preserve">. </w:t>
          </w:r>
        </w:p>
      </w:tc>
      <w:tc>
        <w:tcPr>
          <w:tcW w:w="6663" w:type="dxa"/>
          <w:tcBorders>
            <w:top w:val="nil"/>
            <w:left w:val="single" w:sz="2" w:space="0" w:color="000000"/>
            <w:bottom w:val="single" w:sz="2" w:space="0" w:color="000000"/>
            <w:right w:val="single" w:sz="2" w:space="0" w:color="000000"/>
          </w:tcBorders>
          <w:vAlign w:val="center"/>
          <w:hideMark/>
        </w:tcPr>
        <w:p w:rsidR="009370D1" w:rsidRPr="00382217" w:rsidRDefault="009370D1" w:rsidP="00F93403">
          <w:pPr>
            <w:pStyle w:val="TableContents"/>
            <w:spacing w:after="0"/>
            <w:jc w:val="center"/>
            <w:rPr>
              <w:b/>
              <w:sz w:val="20"/>
              <w:lang w:val="bg-BG"/>
            </w:rPr>
          </w:pPr>
          <w:r w:rsidRPr="00382217">
            <w:rPr>
              <w:b/>
              <w:sz w:val="20"/>
              <w:lang w:val="bg-BG"/>
            </w:rPr>
            <w:t xml:space="preserve">ПРОЦЕДУРИ ЗА ПРЕДОСТАВЯНЕ НА БЕЗВЪЗМЕЗДНА ФИНАНСОВА ПОМОЩ </w:t>
          </w:r>
        </w:p>
        <w:p w:rsidR="009370D1" w:rsidRPr="00382217" w:rsidRDefault="009370D1" w:rsidP="00F93403">
          <w:pPr>
            <w:pStyle w:val="TableContents"/>
            <w:spacing w:after="0"/>
            <w:jc w:val="center"/>
            <w:rPr>
              <w:b/>
              <w:sz w:val="20"/>
              <w:lang w:val="bg-BG"/>
            </w:rPr>
          </w:pPr>
        </w:p>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382217">
            <w:rPr>
              <w:b/>
              <w:sz w:val="20"/>
            </w:rPr>
            <w:t>Образец на Таблица за направените предложения и коментари в процеса на обществено обсъждане на проект на</w:t>
          </w:r>
          <w:r>
            <w:rPr>
              <w:b/>
              <w:sz w:val="20"/>
            </w:rPr>
            <w:t xml:space="preserve"> ИГРП/</w:t>
          </w:r>
          <w:r w:rsidRPr="00382217">
            <w:rPr>
              <w:b/>
              <w:sz w:val="20"/>
            </w:rPr>
            <w:t xml:space="preserve"> Насоки и пакет документи за кандидатстване </w:t>
          </w:r>
        </w:p>
      </w:tc>
      <w:tc>
        <w:tcPr>
          <w:tcW w:w="3429" w:type="dxa"/>
          <w:tcBorders>
            <w:top w:val="nil"/>
            <w:left w:val="single" w:sz="2" w:space="0" w:color="000000"/>
            <w:bottom w:val="single" w:sz="2" w:space="0" w:color="000000"/>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b/>
              <w:sz w:val="20"/>
            </w:rPr>
            <w:t xml:space="preserve">страница: </w:t>
          </w:r>
          <w:r w:rsidRPr="009370D1">
            <w:rPr>
              <w:b/>
              <w:sz w:val="20"/>
              <w:szCs w:val="20"/>
              <w:lang w:val="pl-PL" w:eastAsia="pl-PL"/>
            </w:rPr>
            <w:fldChar w:fldCharType="begin"/>
          </w:r>
          <w:r w:rsidRPr="009370D1">
            <w:rPr>
              <w:b/>
              <w:sz w:val="20"/>
              <w:szCs w:val="20"/>
              <w:lang w:val="pl-PL" w:eastAsia="pl-PL"/>
            </w:rPr>
            <w:instrText xml:space="preserve"> PAGE </w:instrText>
          </w:r>
          <w:r w:rsidRPr="009370D1">
            <w:rPr>
              <w:b/>
              <w:sz w:val="20"/>
              <w:szCs w:val="20"/>
              <w:lang w:val="pl-PL" w:eastAsia="pl-PL"/>
            </w:rPr>
            <w:fldChar w:fldCharType="separate"/>
          </w:r>
          <w:r w:rsidR="00DF3B49">
            <w:rPr>
              <w:b/>
              <w:noProof/>
              <w:sz w:val="20"/>
              <w:szCs w:val="20"/>
              <w:lang w:val="pl-PL" w:eastAsia="pl-PL"/>
            </w:rPr>
            <w:t>9</w:t>
          </w:r>
          <w:r w:rsidRPr="009370D1">
            <w:rPr>
              <w:b/>
              <w:sz w:val="20"/>
              <w:szCs w:val="20"/>
              <w:lang w:val="pl-PL" w:eastAsia="pl-PL"/>
            </w:rPr>
            <w:fldChar w:fldCharType="end"/>
          </w:r>
          <w:r w:rsidRPr="009370D1">
            <w:rPr>
              <w:b/>
              <w:sz w:val="20"/>
              <w:szCs w:val="20"/>
              <w:lang w:val="pl-PL" w:eastAsia="pl-PL"/>
            </w:rPr>
            <w:t>/</w:t>
          </w:r>
          <w:r w:rsidRPr="009370D1">
            <w:rPr>
              <w:b/>
              <w:sz w:val="20"/>
              <w:szCs w:val="20"/>
              <w:lang w:val="pl-PL" w:eastAsia="pl-PL"/>
            </w:rPr>
            <w:fldChar w:fldCharType="begin"/>
          </w:r>
          <w:r w:rsidRPr="009370D1">
            <w:rPr>
              <w:b/>
              <w:sz w:val="20"/>
              <w:szCs w:val="20"/>
              <w:lang w:val="pl-PL" w:eastAsia="pl-PL"/>
            </w:rPr>
            <w:instrText xml:space="preserve"> NUMPAGES </w:instrText>
          </w:r>
          <w:r w:rsidRPr="009370D1">
            <w:rPr>
              <w:b/>
              <w:sz w:val="20"/>
              <w:szCs w:val="20"/>
              <w:lang w:val="pl-PL" w:eastAsia="pl-PL"/>
            </w:rPr>
            <w:fldChar w:fldCharType="separate"/>
          </w:r>
          <w:r w:rsidR="00DF3B49">
            <w:rPr>
              <w:b/>
              <w:noProof/>
              <w:sz w:val="20"/>
              <w:szCs w:val="20"/>
              <w:lang w:val="pl-PL" w:eastAsia="pl-PL"/>
            </w:rPr>
            <w:t>13</w:t>
          </w:r>
          <w:r w:rsidRPr="009370D1">
            <w:rPr>
              <w:b/>
              <w:sz w:val="20"/>
              <w:szCs w:val="20"/>
              <w:lang w:val="pl-PL" w:eastAsia="pl-PL"/>
            </w:rPr>
            <w:fldChar w:fldCharType="end"/>
          </w:r>
        </w:p>
      </w:tc>
    </w:tr>
    <w:tr w:rsidR="009370D1" w:rsidRPr="009370D1" w:rsidTr="006858DB">
      <w:trPr>
        <w:trHeight w:val="550"/>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8823" w:type="dxa"/>
          <w:gridSpan w:val="2"/>
          <w:vMerge w:val="restart"/>
          <w:tcBorders>
            <w:top w:val="nil"/>
            <w:left w:val="single" w:sz="2" w:space="0" w:color="000000"/>
            <w:right w:val="nil"/>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rFonts w:eastAsia="HG Mincho Light J"/>
              <w:b/>
              <w:color w:val="000000"/>
              <w:sz w:val="20"/>
              <w:szCs w:val="22"/>
              <w:lang w:eastAsia="en-US"/>
            </w:rPr>
            <w:t>Одобрен от: Ръководител на Управляващия орган</w:t>
          </w:r>
        </w:p>
      </w:tc>
      <w:tc>
        <w:tcPr>
          <w:tcW w:w="3429" w:type="dxa"/>
          <w:tcBorders>
            <w:top w:val="nil"/>
            <w:left w:val="single" w:sz="2" w:space="0" w:color="000000"/>
            <w:bottom w:val="single" w:sz="4" w:space="0" w:color="auto"/>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Дата:</w:t>
          </w:r>
        </w:p>
        <w:p w:rsidR="009370D1" w:rsidRPr="00306CCE" w:rsidRDefault="00306CCE" w:rsidP="00306CCE">
          <w:pPr>
            <w:widowControl w:val="0"/>
            <w:suppressLineNumbers/>
            <w:suppressAutoHyphens/>
            <w:spacing w:line="276" w:lineRule="auto"/>
            <w:jc w:val="center"/>
            <w:rPr>
              <w:rFonts w:eastAsia="HG Mincho Light J"/>
              <w:b/>
              <w:color w:val="000000"/>
              <w:sz w:val="20"/>
              <w:lang w:eastAsia="en-US"/>
            </w:rPr>
          </w:pPr>
          <w:r>
            <w:rPr>
              <w:rFonts w:eastAsia="HG Mincho Light J"/>
              <w:b/>
              <w:color w:val="000000"/>
              <w:sz w:val="20"/>
              <w:szCs w:val="22"/>
              <w:lang w:eastAsia="en-US"/>
            </w:rPr>
            <w:t>а</w:t>
          </w:r>
          <w:r w:rsidR="006858DB">
            <w:rPr>
              <w:rFonts w:eastAsia="HG Mincho Light J"/>
              <w:b/>
              <w:color w:val="000000"/>
              <w:sz w:val="20"/>
              <w:szCs w:val="22"/>
              <w:lang w:eastAsia="en-US"/>
            </w:rPr>
            <w:t>вгуст</w:t>
          </w:r>
          <w:r>
            <w:rPr>
              <w:rFonts w:eastAsia="HG Mincho Light J"/>
              <w:b/>
              <w:color w:val="000000"/>
              <w:sz w:val="20"/>
              <w:szCs w:val="22"/>
              <w:lang w:eastAsia="en-US"/>
            </w:rPr>
            <w:t>,</w:t>
          </w:r>
          <w:r w:rsidR="009370D1" w:rsidRPr="009370D1">
            <w:rPr>
              <w:rFonts w:eastAsia="HG Mincho Light J"/>
              <w:b/>
              <w:color w:val="000000"/>
              <w:sz w:val="20"/>
              <w:szCs w:val="22"/>
              <w:lang w:eastAsia="en-US"/>
            </w:rPr>
            <w:t xml:space="preserve"> 201</w:t>
          </w:r>
          <w:r w:rsidR="00A90A94">
            <w:rPr>
              <w:rFonts w:eastAsia="HG Mincho Light J"/>
              <w:b/>
              <w:color w:val="000000"/>
              <w:sz w:val="20"/>
              <w:szCs w:val="22"/>
              <w:lang w:val="en-US" w:eastAsia="en-US"/>
            </w:rPr>
            <w:t>8</w:t>
          </w:r>
          <w:r>
            <w:rPr>
              <w:rFonts w:eastAsia="HG Mincho Light J"/>
              <w:b/>
              <w:color w:val="000000"/>
              <w:sz w:val="20"/>
              <w:szCs w:val="22"/>
              <w:lang w:eastAsia="en-US"/>
            </w:rPr>
            <w:t xml:space="preserve"> г.</w:t>
          </w:r>
        </w:p>
      </w:tc>
    </w:tr>
    <w:tr w:rsidR="009370D1" w:rsidRPr="009370D1" w:rsidTr="006858DB">
      <w:trPr>
        <w:trHeight w:val="550"/>
        <w:jc w:val="center"/>
      </w:trPr>
      <w:tc>
        <w:tcPr>
          <w:tcW w:w="3568" w:type="dxa"/>
          <w:vMerge/>
          <w:tcBorders>
            <w:left w:val="single" w:sz="2" w:space="0" w:color="000000"/>
            <w:bottom w:val="single" w:sz="2" w:space="0" w:color="000000"/>
            <w:right w:val="nil"/>
          </w:tcBorders>
          <w:vAlign w:val="center"/>
        </w:tcPr>
        <w:p w:rsidR="009370D1" w:rsidRPr="009370D1" w:rsidRDefault="009370D1" w:rsidP="009370D1">
          <w:pPr>
            <w:rPr>
              <w:rFonts w:eastAsia="HG Mincho Light J"/>
              <w:b/>
              <w:color w:val="000000"/>
              <w:sz w:val="20"/>
              <w:lang w:eastAsia="en-US"/>
            </w:rPr>
          </w:pPr>
        </w:p>
      </w:tc>
      <w:tc>
        <w:tcPr>
          <w:tcW w:w="8823" w:type="dxa"/>
          <w:gridSpan w:val="2"/>
          <w:vMerge/>
          <w:tcBorders>
            <w:left w:val="single" w:sz="2" w:space="0" w:color="000000"/>
            <w:bottom w:val="single" w:sz="2" w:space="0" w:color="000000"/>
            <w:right w:val="nil"/>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p>
      </w:tc>
      <w:tc>
        <w:tcPr>
          <w:tcW w:w="3429" w:type="dxa"/>
          <w:tcBorders>
            <w:top w:val="single" w:sz="4" w:space="0" w:color="auto"/>
            <w:left w:val="single" w:sz="2" w:space="0" w:color="000000"/>
            <w:bottom w:val="single" w:sz="2" w:space="0" w:color="000000"/>
            <w:right w:val="single" w:sz="2" w:space="0" w:color="000000"/>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Версия:</w:t>
          </w:r>
        </w:p>
        <w:p w:rsidR="009370D1" w:rsidRPr="00306CCE" w:rsidRDefault="00306CCE" w:rsidP="00306CCE">
          <w:pPr>
            <w:widowControl w:val="0"/>
            <w:suppressLineNumbers/>
            <w:suppressAutoHyphens/>
            <w:spacing w:line="276" w:lineRule="auto"/>
            <w:jc w:val="center"/>
            <w:rPr>
              <w:rFonts w:eastAsia="HG Mincho Light J"/>
              <w:b/>
              <w:color w:val="000000"/>
              <w:sz w:val="20"/>
              <w:szCs w:val="22"/>
              <w:lang w:eastAsia="en-US"/>
            </w:rPr>
          </w:pPr>
          <w:r>
            <w:rPr>
              <w:rFonts w:eastAsia="HG Mincho Light J"/>
              <w:b/>
              <w:color w:val="000000"/>
              <w:sz w:val="20"/>
              <w:szCs w:val="22"/>
              <w:lang w:eastAsia="en-US"/>
            </w:rPr>
            <w:t>а</w:t>
          </w:r>
          <w:r w:rsidR="006858DB">
            <w:rPr>
              <w:rFonts w:eastAsia="HG Mincho Light J"/>
              <w:b/>
              <w:color w:val="000000"/>
              <w:sz w:val="20"/>
              <w:szCs w:val="22"/>
              <w:lang w:eastAsia="en-US"/>
            </w:rPr>
            <w:t>вгуст</w:t>
          </w:r>
          <w:r>
            <w:rPr>
              <w:rFonts w:eastAsia="HG Mincho Light J"/>
              <w:b/>
              <w:color w:val="000000"/>
              <w:sz w:val="20"/>
              <w:szCs w:val="22"/>
              <w:lang w:eastAsia="en-US"/>
            </w:rPr>
            <w:t>,</w:t>
          </w:r>
          <w:r w:rsidR="006858DB">
            <w:rPr>
              <w:rFonts w:eastAsia="HG Mincho Light J"/>
              <w:b/>
              <w:color w:val="000000"/>
              <w:sz w:val="20"/>
              <w:szCs w:val="22"/>
              <w:lang w:eastAsia="en-US"/>
            </w:rPr>
            <w:t xml:space="preserve"> 201</w:t>
          </w:r>
          <w:r w:rsidR="00A90A94">
            <w:rPr>
              <w:rFonts w:eastAsia="HG Mincho Light J"/>
              <w:b/>
              <w:color w:val="000000"/>
              <w:sz w:val="20"/>
              <w:szCs w:val="22"/>
              <w:lang w:val="en-US" w:eastAsia="en-US"/>
            </w:rPr>
            <w:t>8</w:t>
          </w:r>
          <w:r>
            <w:rPr>
              <w:rFonts w:eastAsia="HG Mincho Light J"/>
              <w:b/>
              <w:color w:val="000000"/>
              <w:sz w:val="20"/>
              <w:szCs w:val="22"/>
              <w:lang w:eastAsia="en-US"/>
            </w:rPr>
            <w:t xml:space="preserve"> г.</w:t>
          </w:r>
        </w:p>
      </w:tc>
    </w:tr>
  </w:tbl>
  <w:p w:rsidR="00452B14" w:rsidRPr="00DE5492" w:rsidRDefault="00452B14" w:rsidP="002E5F1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8">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9">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1">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2"/>
  </w:num>
  <w:num w:numId="6">
    <w:abstractNumId w:val="1"/>
  </w:num>
  <w:num w:numId="7">
    <w:abstractNumId w:val="5"/>
  </w:num>
  <w:num w:numId="8">
    <w:abstractNumId w:val="11"/>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C2"/>
    <w:rsid w:val="000017A0"/>
    <w:rsid w:val="0000402A"/>
    <w:rsid w:val="00013A3C"/>
    <w:rsid w:val="00017F11"/>
    <w:rsid w:val="000226FB"/>
    <w:rsid w:val="00052A4A"/>
    <w:rsid w:val="000536CF"/>
    <w:rsid w:val="00057406"/>
    <w:rsid w:val="00057449"/>
    <w:rsid w:val="00063706"/>
    <w:rsid w:val="00063C34"/>
    <w:rsid w:val="0008378F"/>
    <w:rsid w:val="000969EE"/>
    <w:rsid w:val="000A01E6"/>
    <w:rsid w:val="000A3757"/>
    <w:rsid w:val="000C1A6A"/>
    <w:rsid w:val="000C6778"/>
    <w:rsid w:val="000F7486"/>
    <w:rsid w:val="00107ED4"/>
    <w:rsid w:val="00112269"/>
    <w:rsid w:val="0012453C"/>
    <w:rsid w:val="00130905"/>
    <w:rsid w:val="0013771B"/>
    <w:rsid w:val="00140548"/>
    <w:rsid w:val="001453BE"/>
    <w:rsid w:val="00152543"/>
    <w:rsid w:val="0015692D"/>
    <w:rsid w:val="00162A12"/>
    <w:rsid w:val="0017293A"/>
    <w:rsid w:val="0017321D"/>
    <w:rsid w:val="001767EE"/>
    <w:rsid w:val="00180BED"/>
    <w:rsid w:val="001961DC"/>
    <w:rsid w:val="00197136"/>
    <w:rsid w:val="001A4A6C"/>
    <w:rsid w:val="001B3040"/>
    <w:rsid w:val="001B4E81"/>
    <w:rsid w:val="001D3AB0"/>
    <w:rsid w:val="001D79F7"/>
    <w:rsid w:val="001E5070"/>
    <w:rsid w:val="001E55F3"/>
    <w:rsid w:val="001F23C0"/>
    <w:rsid w:val="00200C47"/>
    <w:rsid w:val="00206750"/>
    <w:rsid w:val="00210931"/>
    <w:rsid w:val="002138A1"/>
    <w:rsid w:val="00215E29"/>
    <w:rsid w:val="0022347B"/>
    <w:rsid w:val="002271CA"/>
    <w:rsid w:val="00230989"/>
    <w:rsid w:val="0023736D"/>
    <w:rsid w:val="00246EA3"/>
    <w:rsid w:val="002471AB"/>
    <w:rsid w:val="0024739B"/>
    <w:rsid w:val="002536E0"/>
    <w:rsid w:val="00271716"/>
    <w:rsid w:val="002928E7"/>
    <w:rsid w:val="002A059F"/>
    <w:rsid w:val="002B2DF9"/>
    <w:rsid w:val="002B7853"/>
    <w:rsid w:val="002C2F57"/>
    <w:rsid w:val="002C4815"/>
    <w:rsid w:val="002C6EC2"/>
    <w:rsid w:val="002C7E9D"/>
    <w:rsid w:val="002D7099"/>
    <w:rsid w:val="002E5F13"/>
    <w:rsid w:val="002F0E42"/>
    <w:rsid w:val="002F7FD2"/>
    <w:rsid w:val="00306CCE"/>
    <w:rsid w:val="00310D8B"/>
    <w:rsid w:val="003214E2"/>
    <w:rsid w:val="003237B2"/>
    <w:rsid w:val="00366601"/>
    <w:rsid w:val="00370AE2"/>
    <w:rsid w:val="00382217"/>
    <w:rsid w:val="00393DB2"/>
    <w:rsid w:val="00394352"/>
    <w:rsid w:val="00396472"/>
    <w:rsid w:val="003A51AC"/>
    <w:rsid w:val="003C2A1E"/>
    <w:rsid w:val="003C6A3A"/>
    <w:rsid w:val="003C7709"/>
    <w:rsid w:val="003D080A"/>
    <w:rsid w:val="003D1284"/>
    <w:rsid w:val="003D2BDB"/>
    <w:rsid w:val="003E0C7C"/>
    <w:rsid w:val="003E3F39"/>
    <w:rsid w:val="003E7C13"/>
    <w:rsid w:val="0041052C"/>
    <w:rsid w:val="004145C4"/>
    <w:rsid w:val="00431341"/>
    <w:rsid w:val="00431505"/>
    <w:rsid w:val="00436167"/>
    <w:rsid w:val="0044764C"/>
    <w:rsid w:val="00452B14"/>
    <w:rsid w:val="00453355"/>
    <w:rsid w:val="004542FF"/>
    <w:rsid w:val="00462B80"/>
    <w:rsid w:val="00473A37"/>
    <w:rsid w:val="0047796C"/>
    <w:rsid w:val="00486011"/>
    <w:rsid w:val="00494BEC"/>
    <w:rsid w:val="00496E57"/>
    <w:rsid w:val="004A7F39"/>
    <w:rsid w:val="004B4915"/>
    <w:rsid w:val="004C2492"/>
    <w:rsid w:val="004C3653"/>
    <w:rsid w:val="004C4BFF"/>
    <w:rsid w:val="004C5BBD"/>
    <w:rsid w:val="004F0A7B"/>
    <w:rsid w:val="004F286C"/>
    <w:rsid w:val="00501E46"/>
    <w:rsid w:val="00501F3F"/>
    <w:rsid w:val="00505169"/>
    <w:rsid w:val="005327A1"/>
    <w:rsid w:val="0054380D"/>
    <w:rsid w:val="005466CF"/>
    <w:rsid w:val="0055260D"/>
    <w:rsid w:val="00560CBF"/>
    <w:rsid w:val="00561E4C"/>
    <w:rsid w:val="00571A5F"/>
    <w:rsid w:val="00591B66"/>
    <w:rsid w:val="005C3417"/>
    <w:rsid w:val="005C798C"/>
    <w:rsid w:val="005D5913"/>
    <w:rsid w:val="005E51BF"/>
    <w:rsid w:val="006155B9"/>
    <w:rsid w:val="00636599"/>
    <w:rsid w:val="00637DC2"/>
    <w:rsid w:val="006422EA"/>
    <w:rsid w:val="00656737"/>
    <w:rsid w:val="006600BE"/>
    <w:rsid w:val="00666371"/>
    <w:rsid w:val="00672F2F"/>
    <w:rsid w:val="006777B9"/>
    <w:rsid w:val="00677E7B"/>
    <w:rsid w:val="006815DA"/>
    <w:rsid w:val="006858DB"/>
    <w:rsid w:val="00685A79"/>
    <w:rsid w:val="0069032E"/>
    <w:rsid w:val="00695A09"/>
    <w:rsid w:val="006961BB"/>
    <w:rsid w:val="006A1F2F"/>
    <w:rsid w:val="006A4EFF"/>
    <w:rsid w:val="006B20C5"/>
    <w:rsid w:val="006D0A7F"/>
    <w:rsid w:val="00720BEC"/>
    <w:rsid w:val="00726A86"/>
    <w:rsid w:val="00726D23"/>
    <w:rsid w:val="00734F84"/>
    <w:rsid w:val="00760142"/>
    <w:rsid w:val="007707EF"/>
    <w:rsid w:val="0077264B"/>
    <w:rsid w:val="00780350"/>
    <w:rsid w:val="00780A39"/>
    <w:rsid w:val="00786B8E"/>
    <w:rsid w:val="00791071"/>
    <w:rsid w:val="0079327A"/>
    <w:rsid w:val="007D7884"/>
    <w:rsid w:val="007E096B"/>
    <w:rsid w:val="007E0B23"/>
    <w:rsid w:val="007E5FFC"/>
    <w:rsid w:val="00803C81"/>
    <w:rsid w:val="008041D1"/>
    <w:rsid w:val="00825169"/>
    <w:rsid w:val="00842B5C"/>
    <w:rsid w:val="008727AF"/>
    <w:rsid w:val="00875289"/>
    <w:rsid w:val="00877530"/>
    <w:rsid w:val="0088182E"/>
    <w:rsid w:val="00884A24"/>
    <w:rsid w:val="00887561"/>
    <w:rsid w:val="0089395F"/>
    <w:rsid w:val="008B7EC8"/>
    <w:rsid w:val="008D5D8F"/>
    <w:rsid w:val="008D6783"/>
    <w:rsid w:val="00911E6C"/>
    <w:rsid w:val="009178F3"/>
    <w:rsid w:val="009368E6"/>
    <w:rsid w:val="009370D1"/>
    <w:rsid w:val="009474BC"/>
    <w:rsid w:val="00947C84"/>
    <w:rsid w:val="00960DBA"/>
    <w:rsid w:val="00966FA3"/>
    <w:rsid w:val="00967EF1"/>
    <w:rsid w:val="00967F65"/>
    <w:rsid w:val="00982B5D"/>
    <w:rsid w:val="00982D3C"/>
    <w:rsid w:val="009835EB"/>
    <w:rsid w:val="009A091B"/>
    <w:rsid w:val="009C1242"/>
    <w:rsid w:val="009C282A"/>
    <w:rsid w:val="009D0B67"/>
    <w:rsid w:val="009D2FCA"/>
    <w:rsid w:val="009D4358"/>
    <w:rsid w:val="009D4585"/>
    <w:rsid w:val="009E02E6"/>
    <w:rsid w:val="009E4C13"/>
    <w:rsid w:val="009F0361"/>
    <w:rsid w:val="009F5D56"/>
    <w:rsid w:val="00A00D23"/>
    <w:rsid w:val="00A0757A"/>
    <w:rsid w:val="00A268BE"/>
    <w:rsid w:val="00A35C73"/>
    <w:rsid w:val="00A37EE9"/>
    <w:rsid w:val="00A530D3"/>
    <w:rsid w:val="00A61D39"/>
    <w:rsid w:val="00A7140B"/>
    <w:rsid w:val="00A90A94"/>
    <w:rsid w:val="00AA52AE"/>
    <w:rsid w:val="00AC250E"/>
    <w:rsid w:val="00AF6F1C"/>
    <w:rsid w:val="00B17CAB"/>
    <w:rsid w:val="00B22313"/>
    <w:rsid w:val="00B346AF"/>
    <w:rsid w:val="00B57B46"/>
    <w:rsid w:val="00B617F0"/>
    <w:rsid w:val="00B62900"/>
    <w:rsid w:val="00B746EC"/>
    <w:rsid w:val="00B757F1"/>
    <w:rsid w:val="00B836E8"/>
    <w:rsid w:val="00B8370E"/>
    <w:rsid w:val="00B90E8D"/>
    <w:rsid w:val="00BA4C95"/>
    <w:rsid w:val="00BA576D"/>
    <w:rsid w:val="00BE2E9E"/>
    <w:rsid w:val="00C13973"/>
    <w:rsid w:val="00C3387D"/>
    <w:rsid w:val="00C53E63"/>
    <w:rsid w:val="00C65CA2"/>
    <w:rsid w:val="00C7533B"/>
    <w:rsid w:val="00CA209E"/>
    <w:rsid w:val="00CA374E"/>
    <w:rsid w:val="00CC7398"/>
    <w:rsid w:val="00CE1B17"/>
    <w:rsid w:val="00CE4453"/>
    <w:rsid w:val="00CE50B7"/>
    <w:rsid w:val="00D02D90"/>
    <w:rsid w:val="00D21C30"/>
    <w:rsid w:val="00D223AF"/>
    <w:rsid w:val="00D2290C"/>
    <w:rsid w:val="00D30DC7"/>
    <w:rsid w:val="00D32705"/>
    <w:rsid w:val="00D40651"/>
    <w:rsid w:val="00D4352A"/>
    <w:rsid w:val="00D4662E"/>
    <w:rsid w:val="00D61CA5"/>
    <w:rsid w:val="00D6702E"/>
    <w:rsid w:val="00D81812"/>
    <w:rsid w:val="00DA0192"/>
    <w:rsid w:val="00DB5633"/>
    <w:rsid w:val="00DC231F"/>
    <w:rsid w:val="00DC2FEB"/>
    <w:rsid w:val="00DC6E92"/>
    <w:rsid w:val="00DD2AAE"/>
    <w:rsid w:val="00DD7FDA"/>
    <w:rsid w:val="00DE34C1"/>
    <w:rsid w:val="00DE5492"/>
    <w:rsid w:val="00DF3B49"/>
    <w:rsid w:val="00E1683C"/>
    <w:rsid w:val="00E2302D"/>
    <w:rsid w:val="00E51D89"/>
    <w:rsid w:val="00E546EB"/>
    <w:rsid w:val="00E56A93"/>
    <w:rsid w:val="00E64965"/>
    <w:rsid w:val="00E80C74"/>
    <w:rsid w:val="00E87F60"/>
    <w:rsid w:val="00EA33C8"/>
    <w:rsid w:val="00EB348E"/>
    <w:rsid w:val="00EC03C5"/>
    <w:rsid w:val="00ED7921"/>
    <w:rsid w:val="00EE07F8"/>
    <w:rsid w:val="00EF08EE"/>
    <w:rsid w:val="00EF512E"/>
    <w:rsid w:val="00EF7BA5"/>
    <w:rsid w:val="00F0188E"/>
    <w:rsid w:val="00F145E6"/>
    <w:rsid w:val="00F353FF"/>
    <w:rsid w:val="00F418D5"/>
    <w:rsid w:val="00F45D8A"/>
    <w:rsid w:val="00F70C7E"/>
    <w:rsid w:val="00F82D2D"/>
    <w:rsid w:val="00F93403"/>
    <w:rsid w:val="00F97B45"/>
    <w:rsid w:val="00FB6AC6"/>
    <w:rsid w:val="00FC424F"/>
    <w:rsid w:val="00FC61DB"/>
    <w:rsid w:val="00FF485F"/>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link w:val="CommentTextChar"/>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 w:type="paragraph" w:styleId="CommentSubject">
    <w:name w:val="annotation subject"/>
    <w:basedOn w:val="CommentText"/>
    <w:next w:val="CommentText"/>
    <w:link w:val="CommentSubjectChar"/>
    <w:rsid w:val="004C4BFF"/>
    <w:rPr>
      <w:b/>
      <w:bCs/>
      <w:snapToGrid/>
      <w:lang w:val="bg-BG" w:eastAsia="bg-BG"/>
    </w:rPr>
  </w:style>
  <w:style w:type="character" w:customStyle="1" w:styleId="CommentTextChar">
    <w:name w:val="Comment Text Char"/>
    <w:basedOn w:val="DefaultParagraphFont"/>
    <w:link w:val="CommentText"/>
    <w:semiHidden/>
    <w:rsid w:val="004C4BFF"/>
    <w:rPr>
      <w:snapToGrid w:val="0"/>
      <w:lang w:val="en-GB"/>
    </w:rPr>
  </w:style>
  <w:style w:type="character" w:customStyle="1" w:styleId="CommentSubjectChar">
    <w:name w:val="Comment Subject Char"/>
    <w:basedOn w:val="CommentTextChar"/>
    <w:link w:val="CommentSubject"/>
    <w:rsid w:val="004C4BFF"/>
    <w:rPr>
      <w:b/>
      <w:bCs/>
      <w:snapToGrid/>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link w:val="CommentTextChar"/>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 w:type="paragraph" w:styleId="CommentSubject">
    <w:name w:val="annotation subject"/>
    <w:basedOn w:val="CommentText"/>
    <w:next w:val="CommentText"/>
    <w:link w:val="CommentSubjectChar"/>
    <w:rsid w:val="004C4BFF"/>
    <w:rPr>
      <w:b/>
      <w:bCs/>
      <w:snapToGrid/>
      <w:lang w:val="bg-BG" w:eastAsia="bg-BG"/>
    </w:rPr>
  </w:style>
  <w:style w:type="character" w:customStyle="1" w:styleId="CommentTextChar">
    <w:name w:val="Comment Text Char"/>
    <w:basedOn w:val="DefaultParagraphFont"/>
    <w:link w:val="CommentText"/>
    <w:semiHidden/>
    <w:rsid w:val="004C4BFF"/>
    <w:rPr>
      <w:snapToGrid w:val="0"/>
      <w:lang w:val="en-GB"/>
    </w:rPr>
  </w:style>
  <w:style w:type="character" w:customStyle="1" w:styleId="CommentSubjectChar">
    <w:name w:val="Comment Subject Char"/>
    <w:basedOn w:val="CommentTextChar"/>
    <w:link w:val="CommentSubject"/>
    <w:rsid w:val="004C4BFF"/>
    <w:rPr>
      <w:b/>
      <w:bCs/>
      <w:snapToGrid/>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9730">
      <w:bodyDiv w:val="1"/>
      <w:marLeft w:val="0"/>
      <w:marRight w:val="0"/>
      <w:marTop w:val="0"/>
      <w:marBottom w:val="0"/>
      <w:divBdr>
        <w:top w:val="none" w:sz="0" w:space="0" w:color="auto"/>
        <w:left w:val="none" w:sz="0" w:space="0" w:color="auto"/>
        <w:bottom w:val="none" w:sz="0" w:space="0" w:color="auto"/>
        <w:right w:val="none" w:sz="0" w:space="0" w:color="auto"/>
      </w:divBdr>
    </w:div>
    <w:div w:id="279455661">
      <w:bodyDiv w:val="1"/>
      <w:marLeft w:val="0"/>
      <w:marRight w:val="0"/>
      <w:marTop w:val="0"/>
      <w:marBottom w:val="0"/>
      <w:divBdr>
        <w:top w:val="none" w:sz="0" w:space="0" w:color="auto"/>
        <w:left w:val="none" w:sz="0" w:space="0" w:color="auto"/>
        <w:bottom w:val="none" w:sz="0" w:space="0" w:color="auto"/>
        <w:right w:val="none" w:sz="0" w:space="0" w:color="auto"/>
      </w:divBdr>
    </w:div>
    <w:div w:id="411390018">
      <w:bodyDiv w:val="1"/>
      <w:marLeft w:val="0"/>
      <w:marRight w:val="0"/>
      <w:marTop w:val="0"/>
      <w:marBottom w:val="0"/>
      <w:divBdr>
        <w:top w:val="none" w:sz="0" w:space="0" w:color="auto"/>
        <w:left w:val="none" w:sz="0" w:space="0" w:color="auto"/>
        <w:bottom w:val="none" w:sz="0" w:space="0" w:color="auto"/>
        <w:right w:val="none" w:sz="0" w:space="0" w:color="auto"/>
      </w:divBdr>
    </w:div>
    <w:div w:id="450130116">
      <w:bodyDiv w:val="1"/>
      <w:marLeft w:val="0"/>
      <w:marRight w:val="0"/>
      <w:marTop w:val="0"/>
      <w:marBottom w:val="0"/>
      <w:divBdr>
        <w:top w:val="none" w:sz="0" w:space="0" w:color="auto"/>
        <w:left w:val="none" w:sz="0" w:space="0" w:color="auto"/>
        <w:bottom w:val="none" w:sz="0" w:space="0" w:color="auto"/>
        <w:right w:val="none" w:sz="0" w:space="0" w:color="auto"/>
      </w:divBdr>
    </w:div>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066758640">
      <w:bodyDiv w:val="1"/>
      <w:marLeft w:val="0"/>
      <w:marRight w:val="0"/>
      <w:marTop w:val="0"/>
      <w:marBottom w:val="0"/>
      <w:divBdr>
        <w:top w:val="none" w:sz="0" w:space="0" w:color="auto"/>
        <w:left w:val="none" w:sz="0" w:space="0" w:color="auto"/>
        <w:bottom w:val="none" w:sz="0" w:space="0" w:color="auto"/>
        <w:right w:val="none" w:sz="0" w:space="0" w:color="auto"/>
      </w:divBdr>
    </w:div>
    <w:div w:id="1844128632">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13</Pages>
  <Words>2164</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creator>ME</dc:creator>
  <cp:lastModifiedBy>Evgeniya Cherkezova</cp:lastModifiedBy>
  <cp:revision>47</cp:revision>
  <cp:lastPrinted>2013-01-29T09:20:00Z</cp:lastPrinted>
  <dcterms:created xsi:type="dcterms:W3CDTF">2020-10-21T08:12:00Z</dcterms:created>
  <dcterms:modified xsi:type="dcterms:W3CDTF">2020-11-04T11:35:00Z</dcterms:modified>
</cp:coreProperties>
</file>