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Default="00C73F96" w:rsidP="00945900">
      <w:pPr>
        <w:spacing w:after="120" w:line="240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p w:rsidR="00945900" w:rsidRPr="003C64BD" w:rsidRDefault="00945900" w:rsidP="00945900">
      <w:pPr>
        <w:spacing w:after="120" w:line="240" w:lineRule="auto"/>
        <w:ind w:right="23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jc w:val="center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945900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945900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945900">
            <w:pPr>
              <w:spacing w:after="120" w:line="240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945900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945900">
      <w:pPr>
        <w:spacing w:after="120" w:line="240" w:lineRule="auto"/>
        <w:ind w:right="23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945900">
      <w:pPr>
        <w:spacing w:after="0" w:line="360" w:lineRule="auto"/>
        <w:ind w:right="23"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945900">
      <w:pPr>
        <w:widowControl w:val="0"/>
        <w:autoSpaceDE w:val="0"/>
        <w:autoSpaceDN w:val="0"/>
        <w:adjustRightInd w:val="0"/>
        <w:spacing w:after="0" w:line="360" w:lineRule="auto"/>
        <w:ind w:right="23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94590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23" w:firstLine="720"/>
        <w:rPr>
          <w:rFonts w:ascii="Arial" w:hAnsi="Arial" w:cs="Arial"/>
          <w:b/>
          <w:snapToGrid w:val="0"/>
          <w:sz w:val="22"/>
          <w:szCs w:val="22"/>
        </w:rPr>
      </w:pPr>
      <w:r w:rsidRPr="002050BA">
        <w:rPr>
          <w:rFonts w:ascii="Arial" w:hAnsi="Arial" w:cs="Arial"/>
          <w:b/>
          <w:snapToGrid w:val="0"/>
          <w:sz w:val="22"/>
          <w:szCs w:val="22"/>
        </w:rPr>
        <w:t xml:space="preserve">и </w:t>
      </w:r>
    </w:p>
    <w:p w:rsidR="0082485B" w:rsidRPr="003C64BD" w:rsidRDefault="0082485B" w:rsidP="00945900">
      <w:pPr>
        <w:spacing w:after="0" w:line="360" w:lineRule="auto"/>
        <w:ind w:right="23"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945900">
      <w:pPr>
        <w:spacing w:after="0" w:line="360" w:lineRule="auto"/>
        <w:ind w:right="23"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945900">
      <w:pPr>
        <w:spacing w:after="0" w:line="360" w:lineRule="auto"/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945900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945900">
      <w:pPr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.лв. (словом в лева), която представлява ...............% от общите допустими разходи за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lastRenderedPageBreak/>
        <w:t>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945900">
      <w:pPr>
        <w:spacing w:after="120" w:line="240" w:lineRule="atLeast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</w:t>
      </w:r>
      <w:r w:rsidR="00905DFD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………(посочва се BIC КОД);</w:t>
      </w:r>
    </w:p>
    <w:p w:rsidR="00164681" w:rsidRPr="003C64BD" w:rsidRDefault="002050BA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  <w:lang w:eastAsia="bg-BG"/>
        </w:rPr>
      </w:pPr>
      <w:r>
        <w:rPr>
          <w:rFonts w:ascii="Arial" w:hAnsi="Arial" w:cs="Arial"/>
          <w:sz w:val="22"/>
          <w:szCs w:val="22"/>
        </w:rPr>
        <w:tab/>
      </w:r>
      <w:r w:rsidR="00164681" w:rsidRPr="003C64BD">
        <w:rPr>
          <w:rFonts w:ascii="Arial" w:hAnsi="Arial" w:cs="Arial"/>
          <w:sz w:val="22"/>
          <w:szCs w:val="22"/>
        </w:rPr>
        <w:t>………………………</w:t>
      </w:r>
      <w:r w:rsidR="00905DFD">
        <w:rPr>
          <w:rFonts w:ascii="Arial" w:hAnsi="Arial" w:cs="Arial"/>
          <w:sz w:val="22"/>
          <w:szCs w:val="22"/>
        </w:rPr>
        <w:t>.....</w:t>
      </w:r>
      <w:r w:rsidR="00164681" w:rsidRPr="003C64BD">
        <w:rPr>
          <w:rFonts w:ascii="Arial" w:hAnsi="Arial" w:cs="Arial"/>
          <w:sz w:val="22"/>
          <w:szCs w:val="22"/>
        </w:rPr>
        <w:t>………(посочва се банковата сметка в левове - IBAN).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905DFD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1A033F">
        <w:rPr>
          <w:rFonts w:ascii="Arial" w:hAnsi="Arial" w:cs="Arial"/>
          <w:snapToGrid w:val="0"/>
          <w:sz w:val="22"/>
          <w:szCs w:val="22"/>
          <w:lang w:eastAsia="bg-BG"/>
        </w:rPr>
        <w:t xml:space="preserve"> (АДПБФП),</w:t>
      </w:r>
      <w:r w:rsidR="001A033F" w:rsidRPr="001A033F">
        <w:t xml:space="preserve"> </w:t>
      </w:r>
      <w:r w:rsidR="001A033F" w:rsidRPr="001A033F">
        <w:rPr>
          <w:rFonts w:ascii="Arial" w:hAnsi="Arial" w:cs="Arial"/>
          <w:snapToGrid w:val="0"/>
          <w:sz w:val="22"/>
          <w:szCs w:val="22"/>
          <w:lang w:eastAsia="bg-BG"/>
        </w:rPr>
        <w:t>в съответствие с раздел XI от Общите условия.</w:t>
      </w:r>
      <w:bookmarkStart w:id="2" w:name="_GoBack"/>
      <w:bookmarkEnd w:id="2"/>
    </w:p>
    <w:p w:rsidR="00380D81" w:rsidRPr="003C64BD" w:rsidRDefault="00A0465F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945900">
      <w:pPr>
        <w:spacing w:after="0" w:line="360" w:lineRule="auto"/>
        <w:ind w:right="23" w:firstLine="709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945900">
      <w:pPr>
        <w:spacing w:after="120" w:line="360" w:lineRule="auto"/>
        <w:ind w:right="23" w:firstLine="706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763FF9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B73837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9D2CF1" w:rsidRPr="009D2CF1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05DFD">
        <w:rPr>
          <w:rFonts w:ascii="Arial" w:hAnsi="Arial" w:cs="Arial"/>
          <w:snapToGrid w:val="0"/>
          <w:sz w:val="22"/>
          <w:szCs w:val="22"/>
        </w:rPr>
        <w:t>договор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</w:p>
    <w:p w:rsidR="00945900" w:rsidRPr="003C64BD" w:rsidRDefault="00945900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022E22" w:rsidRPr="003C64BD" w:rsidTr="001D548E">
        <w:trPr>
          <w:trHeight w:val="701"/>
          <w:jc w:val="center"/>
        </w:trPr>
        <w:tc>
          <w:tcPr>
            <w:tcW w:w="3226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 w:rsidR="0094590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240" w:type="dxa"/>
          </w:tcPr>
          <w:p w:rsidR="00022E22" w:rsidRPr="003C64BD" w:rsidRDefault="007628FC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022E22"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50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9D2CF1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45900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 w:firstLine="41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945900">
      <w:pPr>
        <w:shd w:val="clear" w:color="auto" w:fill="FFFFFF"/>
        <w:autoSpaceDE w:val="0"/>
        <w:autoSpaceDN w:val="0"/>
        <w:adjustRightInd w:val="0"/>
        <w:spacing w:after="0" w:line="276" w:lineRule="auto"/>
        <w:ind w:right="23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945900">
      <w:footerReference w:type="default" r:id="rId10"/>
      <w:pgSz w:w="11906" w:h="16838"/>
      <w:pgMar w:top="990" w:right="110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E70" w:rsidRDefault="00241E70" w:rsidP="004B466E">
      <w:pPr>
        <w:spacing w:after="0" w:line="240" w:lineRule="auto"/>
      </w:pPr>
      <w:r>
        <w:separator/>
      </w:r>
    </w:p>
  </w:endnote>
  <w:endnote w:type="continuationSeparator" w:id="0">
    <w:p w:rsidR="00241E70" w:rsidRDefault="00241E7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1A033F">
          <w:rPr>
            <w:rFonts w:ascii="Arial" w:hAnsi="Arial" w:cs="Arial"/>
            <w:noProof/>
            <w:sz w:val="18"/>
            <w:szCs w:val="18"/>
          </w:rPr>
          <w:t>6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E70" w:rsidRDefault="00241E70" w:rsidP="004B466E">
      <w:pPr>
        <w:spacing w:after="0" w:line="240" w:lineRule="auto"/>
      </w:pPr>
      <w:r>
        <w:separator/>
      </w:r>
    </w:p>
  </w:footnote>
  <w:footnote w:type="continuationSeparator" w:id="0">
    <w:p w:rsidR="00241E70" w:rsidRDefault="00241E70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5BB"/>
    <w:rsid w:val="00193D08"/>
    <w:rsid w:val="00196BD4"/>
    <w:rsid w:val="001A033F"/>
    <w:rsid w:val="001A06DD"/>
    <w:rsid w:val="001A0A2F"/>
    <w:rsid w:val="001A431E"/>
    <w:rsid w:val="001C7456"/>
    <w:rsid w:val="001D1909"/>
    <w:rsid w:val="001D548E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E70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5B8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49D4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0A84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79CD"/>
    <w:rsid w:val="00624486"/>
    <w:rsid w:val="0063013E"/>
    <w:rsid w:val="00636796"/>
    <w:rsid w:val="00655ECA"/>
    <w:rsid w:val="00664C08"/>
    <w:rsid w:val="00664D64"/>
    <w:rsid w:val="00667846"/>
    <w:rsid w:val="00680E9E"/>
    <w:rsid w:val="00686982"/>
    <w:rsid w:val="00687578"/>
    <w:rsid w:val="0069032B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28FC"/>
    <w:rsid w:val="00763FF9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675DB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DFD"/>
    <w:rsid w:val="00905F22"/>
    <w:rsid w:val="00906E7E"/>
    <w:rsid w:val="00910863"/>
    <w:rsid w:val="0091237D"/>
    <w:rsid w:val="00913615"/>
    <w:rsid w:val="00915F93"/>
    <w:rsid w:val="00922D42"/>
    <w:rsid w:val="00937F3C"/>
    <w:rsid w:val="00941D6C"/>
    <w:rsid w:val="00944AA4"/>
    <w:rsid w:val="00944D27"/>
    <w:rsid w:val="00945900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82D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14</cp:revision>
  <cp:lastPrinted>2019-03-11T08:21:00Z</cp:lastPrinted>
  <dcterms:created xsi:type="dcterms:W3CDTF">2020-08-25T06:46:00Z</dcterms:created>
  <dcterms:modified xsi:type="dcterms:W3CDTF">2020-11-12T13:59:00Z</dcterms:modified>
</cp:coreProperties>
</file>