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C64BED" w14:textId="77777777" w:rsidR="003439A7" w:rsidRPr="0034458F" w:rsidRDefault="003439A7" w:rsidP="003439A7">
      <w:pPr>
        <w:spacing w:before="90"/>
        <w:ind w:left="212"/>
        <w:rPr>
          <w:b/>
          <w:bCs/>
          <w:sz w:val="24"/>
          <w:szCs w:val="24"/>
          <w:u w:val="thick"/>
        </w:rPr>
      </w:pPr>
      <w:r w:rsidRPr="0034458F">
        <w:rPr>
          <w:b/>
          <w:bCs/>
          <w:sz w:val="24"/>
          <w:szCs w:val="24"/>
          <w:u w:val="thick"/>
        </w:rPr>
        <w:t>Детайли по вид операция (да се попълни за всеки вид операция)</w:t>
      </w:r>
    </w:p>
    <w:p w14:paraId="723C5BEA" w14:textId="06F7CD19" w:rsidR="00FF53FB" w:rsidRPr="0034458F" w:rsidRDefault="003439A7" w:rsidP="000D2B46">
      <w:pPr>
        <w:spacing w:before="90"/>
        <w:ind w:left="212"/>
        <w:rPr>
          <w:b/>
          <w:sz w:val="32"/>
          <w:lang w:val="bg-BG"/>
        </w:rPr>
      </w:pPr>
      <w:r w:rsidRPr="0034458F">
        <w:rPr>
          <w:b/>
          <w:bCs/>
          <w:sz w:val="24"/>
          <w:szCs w:val="24"/>
          <w:u w:val="thick"/>
        </w:rPr>
        <w:t xml:space="preserve">Вид операция: </w:t>
      </w:r>
      <w:r w:rsidR="00FF53FB" w:rsidRPr="0034458F">
        <w:rPr>
          <w:b/>
          <w:sz w:val="28"/>
          <w:lang w:val="bg-BG"/>
        </w:rPr>
        <w:t>Временно преустановяване на риболовните дейности</w:t>
      </w:r>
    </w:p>
    <w:p w14:paraId="109F0A56" w14:textId="77777777" w:rsidR="000D2B46" w:rsidRPr="0034458F" w:rsidRDefault="000D2B46" w:rsidP="000D2B46">
      <w:pPr>
        <w:pStyle w:val="BodyText"/>
        <w:spacing w:before="1"/>
        <w:rPr>
          <w:b w:val="0"/>
          <w:i w:val="0"/>
          <w:sz w:val="23"/>
          <w:u w:val="none"/>
        </w:rPr>
      </w:pPr>
    </w:p>
    <w:tbl>
      <w:tblPr>
        <w:tblW w:w="992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96"/>
        <w:gridCol w:w="7428"/>
      </w:tblGrid>
      <w:tr w:rsidR="0034458F" w:rsidRPr="0034458F" w14:paraId="2391FB54" w14:textId="77777777" w:rsidTr="006E54CF">
        <w:trPr>
          <w:trHeight w:val="592"/>
        </w:trPr>
        <w:tc>
          <w:tcPr>
            <w:tcW w:w="2496" w:type="dxa"/>
          </w:tcPr>
          <w:p w14:paraId="2B88CD12" w14:textId="77777777" w:rsidR="000D2B46" w:rsidRPr="0034458F" w:rsidRDefault="000D2B46" w:rsidP="00010906">
            <w:pPr>
              <w:pStyle w:val="TableParagraph"/>
              <w:spacing w:before="114"/>
              <w:ind w:left="527" w:right="142"/>
              <w:jc w:val="both"/>
              <w:rPr>
                <w:lang w:val="bg-BG"/>
              </w:rPr>
            </w:pPr>
            <w:r w:rsidRPr="0034458F">
              <w:rPr>
                <w:rFonts w:eastAsia="Calibri"/>
                <w:noProof/>
                <w:szCs w:val="20"/>
                <w:lang w:val="bg-BG" w:eastAsia="bg-BG" w:bidi="bg-BG"/>
              </w:rPr>
              <w:t>Описание на вида на операцията</w:t>
            </w:r>
          </w:p>
        </w:tc>
        <w:tc>
          <w:tcPr>
            <w:tcW w:w="7428" w:type="dxa"/>
          </w:tcPr>
          <w:p w14:paraId="3A2FFB57" w14:textId="77777777" w:rsidR="00B16C30" w:rsidRPr="0034458F" w:rsidRDefault="006357AC" w:rsidP="00B16C30">
            <w:pPr>
              <w:pStyle w:val="TableParagraph"/>
              <w:ind w:left="142"/>
              <w:jc w:val="both"/>
              <w:rPr>
                <w:lang w:val="bg-BG"/>
              </w:rPr>
            </w:pPr>
            <w:r w:rsidRPr="0034458F">
              <w:rPr>
                <w:b/>
              </w:rPr>
              <w:t>Подкрепата за временно преустановяване</w:t>
            </w:r>
            <w:r w:rsidRPr="0034458F">
              <w:t xml:space="preserve"> съдейства</w:t>
            </w:r>
            <w:r w:rsidR="00B16C30" w:rsidRPr="0034458F">
              <w:rPr>
                <w:lang w:val="bg-BG"/>
              </w:rPr>
              <w:t xml:space="preserve"> за:</w:t>
            </w:r>
          </w:p>
          <w:p w14:paraId="5DC9FD3D" w14:textId="77777777" w:rsidR="00B16C30" w:rsidRPr="0034458F" w:rsidRDefault="006357AC" w:rsidP="00B16C30">
            <w:pPr>
              <w:pStyle w:val="TableParagraph"/>
              <w:numPr>
                <w:ilvl w:val="0"/>
                <w:numId w:val="8"/>
              </w:numPr>
              <w:jc w:val="both"/>
              <w:rPr>
                <w:lang w:val="bg-BG"/>
              </w:rPr>
            </w:pPr>
            <w:r w:rsidRPr="0034458F">
              <w:t xml:space="preserve">подобряване на природозащитното състояние на морски типове природните местообитания. </w:t>
            </w:r>
          </w:p>
          <w:p w14:paraId="2904F5B0" w14:textId="77777777" w:rsidR="00B64920" w:rsidRPr="0034458F" w:rsidRDefault="006357AC" w:rsidP="00B16C30">
            <w:pPr>
              <w:pStyle w:val="TableParagraph"/>
              <w:numPr>
                <w:ilvl w:val="0"/>
                <w:numId w:val="8"/>
              </w:numPr>
              <w:jc w:val="both"/>
              <w:rPr>
                <w:lang w:val="bg-BG"/>
              </w:rPr>
            </w:pPr>
            <w:r w:rsidRPr="0034458F">
              <w:rPr>
                <w:lang w:val="bg-BG"/>
              </w:rPr>
              <w:t>осигур</w:t>
            </w:r>
            <w:r w:rsidR="00B16C30" w:rsidRPr="0034458F">
              <w:rPr>
                <w:lang w:val="bg-BG"/>
              </w:rPr>
              <w:t>яване на</w:t>
            </w:r>
            <w:r w:rsidRPr="0034458F">
              <w:rPr>
                <w:lang w:val="bg-BG"/>
              </w:rPr>
              <w:t xml:space="preserve"> възможност за компенсиране на икономическите загуби и подпом</w:t>
            </w:r>
            <w:r w:rsidR="00B16C30" w:rsidRPr="0034458F">
              <w:rPr>
                <w:lang w:val="bg-BG"/>
              </w:rPr>
              <w:t>а</w:t>
            </w:r>
            <w:r w:rsidRPr="0034458F">
              <w:rPr>
                <w:lang w:val="bg-BG"/>
              </w:rPr>
              <w:t>г</w:t>
            </w:r>
            <w:r w:rsidR="00B16C30" w:rsidRPr="0034458F">
              <w:rPr>
                <w:lang w:val="bg-BG"/>
              </w:rPr>
              <w:t>а</w:t>
            </w:r>
            <w:r w:rsidRPr="0034458F">
              <w:rPr>
                <w:lang w:val="bg-BG"/>
              </w:rPr>
              <w:t>н</w:t>
            </w:r>
            <w:r w:rsidR="00B16C30" w:rsidRPr="0034458F">
              <w:rPr>
                <w:lang w:val="bg-BG"/>
              </w:rPr>
              <w:t>е на</w:t>
            </w:r>
            <w:r w:rsidRPr="0034458F">
              <w:rPr>
                <w:lang w:val="bg-BG"/>
              </w:rPr>
              <w:t xml:space="preserve"> </w:t>
            </w:r>
            <w:r w:rsidR="00B16C30" w:rsidRPr="0034458F">
              <w:rPr>
                <w:lang w:val="bg-BG"/>
              </w:rPr>
              <w:t>операторите</w:t>
            </w:r>
            <w:r w:rsidRPr="0034458F">
              <w:rPr>
                <w:lang w:val="bg-BG"/>
              </w:rPr>
              <w:t xml:space="preserve"> от преустановяване на риболовни дейности, </w:t>
            </w:r>
          </w:p>
          <w:p w14:paraId="3E522353" w14:textId="77777777" w:rsidR="00B16C30" w:rsidRPr="0034458F" w:rsidRDefault="00B64920" w:rsidP="00B16C30">
            <w:pPr>
              <w:pStyle w:val="TableParagraph"/>
              <w:numPr>
                <w:ilvl w:val="0"/>
                <w:numId w:val="8"/>
              </w:numPr>
              <w:jc w:val="both"/>
              <w:rPr>
                <w:lang w:val="bg-BG"/>
              </w:rPr>
            </w:pPr>
            <w:r w:rsidRPr="0034458F">
              <w:rPr>
                <w:lang w:val="bg-BG"/>
              </w:rPr>
              <w:t>избя</w:t>
            </w:r>
            <w:r w:rsidR="006357AC" w:rsidRPr="0034458F">
              <w:rPr>
                <w:lang w:val="bg-BG"/>
              </w:rPr>
              <w:t>г</w:t>
            </w:r>
            <w:r w:rsidRPr="0034458F">
              <w:rPr>
                <w:lang w:val="bg-BG"/>
              </w:rPr>
              <w:t>ва</w:t>
            </w:r>
            <w:r w:rsidR="006357AC" w:rsidRPr="0034458F">
              <w:rPr>
                <w:lang w:val="bg-BG"/>
              </w:rPr>
              <w:t>н</w:t>
            </w:r>
            <w:r w:rsidRPr="0034458F">
              <w:rPr>
                <w:lang w:val="bg-BG"/>
              </w:rPr>
              <w:t>е на</w:t>
            </w:r>
            <w:r w:rsidR="006357AC" w:rsidRPr="0034458F">
              <w:rPr>
                <w:lang w:val="bg-BG"/>
              </w:rPr>
              <w:t xml:space="preserve"> ситуации на фалит и да се запазят работните места в сектор Рибарство.</w:t>
            </w:r>
            <w:r w:rsidR="006E54CF" w:rsidRPr="0034458F">
              <w:rPr>
                <w:lang w:val="bg-BG"/>
              </w:rPr>
              <w:t xml:space="preserve"> </w:t>
            </w:r>
          </w:p>
          <w:p w14:paraId="7021FE71" w14:textId="77777777" w:rsidR="006E54CF" w:rsidRPr="0034458F" w:rsidRDefault="006E54CF" w:rsidP="001550FD">
            <w:pPr>
              <w:pStyle w:val="TableParagraph"/>
              <w:ind w:left="142"/>
              <w:jc w:val="both"/>
              <w:rPr>
                <w:lang w:val="bg-BG"/>
              </w:rPr>
            </w:pPr>
            <w:r w:rsidRPr="0034458F">
              <w:rPr>
                <w:lang w:val="bg-BG"/>
              </w:rPr>
              <w:t>Допустими за компенсация са оператори, които са засегнати от:</w:t>
            </w:r>
          </w:p>
          <w:p w14:paraId="632B2657" w14:textId="77777777" w:rsidR="006357AC" w:rsidRPr="0034458F" w:rsidRDefault="006E54CF" w:rsidP="006E54CF">
            <w:pPr>
              <w:pStyle w:val="TableParagraph"/>
              <w:numPr>
                <w:ilvl w:val="0"/>
                <w:numId w:val="6"/>
              </w:numPr>
              <w:jc w:val="both"/>
              <w:rPr>
                <w:lang w:val="bg-BG"/>
              </w:rPr>
            </w:pPr>
            <w:r w:rsidRPr="0034458F">
              <w:t>мерки за опазване</w:t>
            </w:r>
            <w:r w:rsidRPr="0034458F">
              <w:rPr>
                <w:rStyle w:val="FootnoteReference"/>
              </w:rPr>
              <w:footnoteReference w:id="1"/>
            </w:r>
            <w:r w:rsidRPr="0034458F">
              <w:rPr>
                <w:lang w:val="bg-BG"/>
              </w:rPr>
              <w:t xml:space="preserve"> или други еквивалентни консервационни мерки;</w:t>
            </w:r>
          </w:p>
          <w:p w14:paraId="096ACA06" w14:textId="77777777" w:rsidR="006E54CF" w:rsidRPr="0034458F" w:rsidRDefault="006E54CF" w:rsidP="006E54CF">
            <w:pPr>
              <w:pStyle w:val="TableParagraph"/>
              <w:numPr>
                <w:ilvl w:val="0"/>
                <w:numId w:val="6"/>
              </w:numPr>
              <w:jc w:val="both"/>
              <w:rPr>
                <w:lang w:val="bg-BG"/>
              </w:rPr>
            </w:pPr>
            <w:r w:rsidRPr="0034458F">
              <w:t>мерки на Комисията в случай на сериозна заплаха за морските биологични ресурси</w:t>
            </w:r>
            <w:r w:rsidRPr="0034458F">
              <w:rPr>
                <w:rStyle w:val="FootnoteReference"/>
              </w:rPr>
              <w:footnoteReference w:id="2"/>
            </w:r>
            <w:r w:rsidRPr="0034458F">
              <w:rPr>
                <w:lang w:val="bg-BG"/>
              </w:rPr>
              <w:t>;</w:t>
            </w:r>
          </w:p>
          <w:p w14:paraId="60D509AA" w14:textId="77777777" w:rsidR="006E54CF" w:rsidRPr="0034458F" w:rsidRDefault="006E54CF" w:rsidP="006E54CF">
            <w:pPr>
              <w:pStyle w:val="TableParagraph"/>
              <w:numPr>
                <w:ilvl w:val="0"/>
                <w:numId w:val="6"/>
              </w:numPr>
              <w:jc w:val="both"/>
              <w:rPr>
                <w:lang w:val="bg-BG"/>
              </w:rPr>
            </w:pPr>
            <w:r w:rsidRPr="0034458F">
              <w:rPr>
                <w:lang w:val="bg-BG"/>
              </w:rPr>
              <w:t>спешни мерки на държавите-членки</w:t>
            </w:r>
            <w:r w:rsidRPr="0034458F">
              <w:rPr>
                <w:rStyle w:val="FootnoteReference"/>
                <w:lang w:val="bg-BG"/>
              </w:rPr>
              <w:footnoteReference w:id="3"/>
            </w:r>
            <w:r w:rsidRPr="0034458F">
              <w:rPr>
                <w:lang w:val="bg-BG"/>
              </w:rPr>
              <w:t>;</w:t>
            </w:r>
          </w:p>
          <w:p w14:paraId="67E0B584" w14:textId="77777777" w:rsidR="006E54CF" w:rsidRPr="0034458F" w:rsidRDefault="001168F7" w:rsidP="001168F7">
            <w:pPr>
              <w:pStyle w:val="TableParagraph"/>
              <w:numPr>
                <w:ilvl w:val="0"/>
                <w:numId w:val="6"/>
              </w:numPr>
              <w:jc w:val="both"/>
              <w:rPr>
                <w:lang w:val="bg-BG"/>
              </w:rPr>
            </w:pPr>
            <w:r w:rsidRPr="0034458F">
              <w:t>прекъсването поради непреодолима сила</w:t>
            </w:r>
            <w:r w:rsidRPr="0034458F">
              <w:rPr>
                <w:lang w:val="bg-BG"/>
              </w:rPr>
              <w:t>, природни бедствия, екологични катастрофи или здравни кризи.</w:t>
            </w:r>
          </w:p>
          <w:p w14:paraId="32A08556" w14:textId="77777777" w:rsidR="00B16C30" w:rsidRPr="0034458F" w:rsidRDefault="00B16C30" w:rsidP="00F67777">
            <w:pPr>
              <w:pStyle w:val="TableParagraph"/>
              <w:ind w:left="283"/>
              <w:jc w:val="both"/>
              <w:rPr>
                <w:b/>
                <w:bCs/>
                <w:szCs w:val="24"/>
                <w:lang w:val="bg-BG"/>
              </w:rPr>
            </w:pPr>
            <w:r w:rsidRPr="0034458F">
              <w:rPr>
                <w:b/>
                <w:bCs/>
                <w:szCs w:val="24"/>
              </w:rPr>
              <w:t>Целева група за подпомагане по мярката:</w:t>
            </w:r>
          </w:p>
          <w:p w14:paraId="5327FBCC" w14:textId="77777777" w:rsidR="00F43B5C" w:rsidRPr="0034458F" w:rsidRDefault="00F67777" w:rsidP="00F67777">
            <w:pPr>
              <w:pStyle w:val="TableParagraph"/>
              <w:ind w:left="283"/>
              <w:jc w:val="both"/>
              <w:rPr>
                <w:lang w:val="bg-BG"/>
              </w:rPr>
            </w:pPr>
            <w:r w:rsidRPr="0034458F">
              <w:rPr>
                <w:lang w:val="bg-BG"/>
              </w:rPr>
              <w:t>а) собственици или оператори</w:t>
            </w:r>
            <w:r w:rsidR="00F43B5C" w:rsidRPr="0034458F">
              <w:rPr>
                <w:lang w:val="bg-BG"/>
              </w:rPr>
              <w:t xml:space="preserve"> на риболовни кораби, които са регистрирани като активни и които са извършвали риболовни дейности в морето в продължение на поне 120 дни през последните две календарни години, предхождащи годината на подаване на заявлението за подпомагане; или</w:t>
            </w:r>
          </w:p>
          <w:p w14:paraId="3FF3ACDB" w14:textId="77777777" w:rsidR="00F67777" w:rsidRPr="0034458F" w:rsidRDefault="00F43B5C" w:rsidP="00F67777">
            <w:pPr>
              <w:pStyle w:val="TableParagraph"/>
              <w:ind w:left="283"/>
              <w:jc w:val="both"/>
              <w:rPr>
                <w:lang w:val="bg-BG"/>
              </w:rPr>
            </w:pPr>
            <w:r w:rsidRPr="0034458F">
              <w:rPr>
                <w:lang w:val="bg-BG"/>
              </w:rPr>
              <w:t>б) рибари, които са работили в морето най-малко 120 дни през последните две календарни години, предхождащи годината на подаване на заявлението за подпомагане на борда на риболовен кораб на Съюза, засегнат от пре</w:t>
            </w:r>
            <w:r w:rsidR="00F67777" w:rsidRPr="0034458F">
              <w:rPr>
                <w:lang w:val="bg-BG"/>
              </w:rPr>
              <w:t>установяването</w:t>
            </w:r>
            <w:r w:rsidRPr="0034458F">
              <w:rPr>
                <w:lang w:val="bg-BG"/>
              </w:rPr>
              <w:t xml:space="preserve">; </w:t>
            </w:r>
          </w:p>
          <w:p w14:paraId="023B2F0B" w14:textId="77777777" w:rsidR="00F43B5C" w:rsidRPr="0034458F" w:rsidRDefault="00F67777" w:rsidP="00F67777">
            <w:pPr>
              <w:pStyle w:val="TableParagraph"/>
              <w:ind w:left="283"/>
              <w:jc w:val="both"/>
              <w:rPr>
                <w:lang w:val="bg-BG"/>
              </w:rPr>
            </w:pPr>
            <w:r w:rsidRPr="0034458F">
              <w:rPr>
                <w:lang w:val="bg-BG"/>
              </w:rPr>
              <w:t>в)</w:t>
            </w:r>
            <w:r w:rsidR="00F43B5C" w:rsidRPr="0034458F">
              <w:rPr>
                <w:lang w:val="bg-BG"/>
              </w:rPr>
              <w:t xml:space="preserve"> рибари, които не използват кораби, които са извършвали риболовни дейности в продължение на най-малко 120 дни през последните две календарни години, предхождащи годината на подаване на заявлението за подпомагане.</w:t>
            </w:r>
          </w:p>
          <w:p w14:paraId="33887889" w14:textId="74755082" w:rsidR="00AF2389" w:rsidRPr="0034458F" w:rsidRDefault="00F67777" w:rsidP="00F334BE">
            <w:pPr>
              <w:ind w:left="142"/>
              <w:jc w:val="both"/>
              <w:rPr>
                <w:b/>
                <w:iCs/>
                <w:shd w:val="clear" w:color="auto" w:fill="FFFFFF"/>
                <w:lang w:val="bg-BG"/>
              </w:rPr>
            </w:pPr>
            <w:r w:rsidRPr="0034458F">
              <w:rPr>
                <w:b/>
                <w:lang w:val="bg-BG"/>
              </w:rPr>
              <w:t xml:space="preserve">Помощта може да бъде отпусната за максимална продължителност от </w:t>
            </w:r>
            <w:r w:rsidR="00967C60" w:rsidRPr="0034458F">
              <w:rPr>
                <w:b/>
                <w:lang w:val="bg-BG"/>
              </w:rPr>
              <w:t>12</w:t>
            </w:r>
            <w:bookmarkStart w:id="0" w:name="_GoBack"/>
            <w:bookmarkEnd w:id="0"/>
            <w:r w:rsidRPr="0034458F">
              <w:rPr>
                <w:b/>
                <w:lang w:val="bg-BG"/>
              </w:rPr>
              <w:t xml:space="preserve"> месеца</w:t>
            </w:r>
            <w:r w:rsidR="009B192E" w:rsidRPr="0034458F">
              <w:rPr>
                <w:rStyle w:val="FootnoteReference"/>
                <w:b/>
                <w:lang w:val="bg-BG"/>
              </w:rPr>
              <w:footnoteReference w:id="4"/>
            </w:r>
            <w:r w:rsidRPr="0034458F">
              <w:rPr>
                <w:b/>
                <w:lang w:val="bg-BG"/>
              </w:rPr>
              <w:t xml:space="preserve"> на кораб или на рибар, който не използва кораби през периода от 2021 до 2027 г.</w:t>
            </w:r>
            <w:r w:rsidRPr="0034458F">
              <w:rPr>
                <w:b/>
                <w:i/>
                <w:iCs/>
                <w:shd w:val="clear" w:color="auto" w:fill="FFFFFF"/>
              </w:rPr>
              <w:t xml:space="preserve"> </w:t>
            </w:r>
            <w:r w:rsidRPr="0034458F">
              <w:rPr>
                <w:b/>
                <w:iCs/>
                <w:shd w:val="clear" w:color="auto" w:fill="FFFFFF"/>
              </w:rPr>
              <w:t>Помощта</w:t>
            </w:r>
            <w:r w:rsidRPr="0034458F">
              <w:rPr>
                <w:b/>
                <w:iCs/>
                <w:shd w:val="clear" w:color="auto" w:fill="FFFFFF"/>
                <w:lang w:val="bg-BG"/>
              </w:rPr>
              <w:t xml:space="preserve"> </w:t>
            </w:r>
            <w:r w:rsidRPr="0034458F">
              <w:rPr>
                <w:b/>
                <w:iCs/>
                <w:shd w:val="clear" w:color="auto" w:fill="FFFFFF"/>
              </w:rPr>
              <w:t>може да бъде отпусната само</w:t>
            </w:r>
            <w:r w:rsidRPr="0034458F">
              <w:rPr>
                <w:b/>
                <w:iCs/>
                <w:shd w:val="clear" w:color="auto" w:fill="FFFFFF"/>
                <w:lang w:val="bg-BG"/>
              </w:rPr>
              <w:t>,</w:t>
            </w:r>
            <w:r w:rsidR="00AF2389" w:rsidRPr="0034458F">
              <w:rPr>
                <w:b/>
                <w:iCs/>
                <w:shd w:val="clear" w:color="auto" w:fill="FFFFFF"/>
              </w:rPr>
              <w:t xml:space="preserve"> когато риболовните дейности</w:t>
            </w:r>
            <w:r w:rsidR="00AF2389" w:rsidRPr="0034458F">
              <w:rPr>
                <w:b/>
                <w:iCs/>
                <w:shd w:val="clear" w:color="auto" w:fill="FFFFFF"/>
                <w:lang w:val="bg-BG"/>
              </w:rPr>
              <w:t xml:space="preserve"> на</w:t>
            </w:r>
            <w:r w:rsidRPr="0034458F">
              <w:rPr>
                <w:b/>
                <w:iCs/>
                <w:shd w:val="clear" w:color="auto" w:fill="FFFFFF"/>
              </w:rPr>
              <w:t xml:space="preserve"> съответния кораб или риб</w:t>
            </w:r>
            <w:r w:rsidR="00AF2389" w:rsidRPr="0034458F">
              <w:rPr>
                <w:b/>
                <w:iCs/>
                <w:shd w:val="clear" w:color="auto" w:fill="FFFFFF"/>
                <w:lang w:val="bg-BG"/>
              </w:rPr>
              <w:t>ар</w:t>
            </w:r>
            <w:r w:rsidRPr="0034458F">
              <w:rPr>
                <w:b/>
                <w:iCs/>
                <w:shd w:val="clear" w:color="auto" w:fill="FFFFFF"/>
              </w:rPr>
              <w:t xml:space="preserve"> са спрени в продължение на най-малко 30 дни през дадена календарна година</w:t>
            </w:r>
            <w:r w:rsidR="001168F7" w:rsidRPr="0034458F">
              <w:rPr>
                <w:b/>
                <w:iCs/>
                <w:shd w:val="clear" w:color="auto" w:fill="FFFFFF"/>
                <w:lang w:val="bg-BG"/>
              </w:rPr>
              <w:t>.</w:t>
            </w:r>
          </w:p>
          <w:p w14:paraId="1584FAD0" w14:textId="77777777" w:rsidR="00B27C82" w:rsidRPr="0034458F" w:rsidRDefault="00B27C82" w:rsidP="00770D60">
            <w:pPr>
              <w:ind w:left="142"/>
              <w:rPr>
                <w:lang w:val="bg-BG"/>
              </w:rPr>
            </w:pPr>
          </w:p>
          <w:p w14:paraId="2996BC47" w14:textId="77777777" w:rsidR="00770D60" w:rsidRPr="0034458F" w:rsidRDefault="00770D60" w:rsidP="00770D60">
            <w:pPr>
              <w:ind w:left="142"/>
              <w:rPr>
                <w:b/>
                <w:lang w:val="bg-BG"/>
              </w:rPr>
            </w:pPr>
            <w:r w:rsidRPr="0034458F">
              <w:rPr>
                <w:b/>
                <w:lang w:val="bg-BG"/>
              </w:rPr>
              <w:t>Индикативен интензитет на помощта:</w:t>
            </w:r>
          </w:p>
          <w:p w14:paraId="16C1CAE9" w14:textId="77777777" w:rsidR="00770D60" w:rsidRPr="0034458F" w:rsidRDefault="00770D60" w:rsidP="00770D60">
            <w:pPr>
              <w:ind w:left="142"/>
              <w:rPr>
                <w:lang w:val="bg-BG"/>
              </w:rPr>
            </w:pPr>
            <w:r w:rsidRPr="0034458F">
              <w:rPr>
                <w:lang w:val="bg-BG"/>
              </w:rPr>
              <w:t>100% БФП</w:t>
            </w:r>
          </w:p>
        </w:tc>
      </w:tr>
      <w:tr w:rsidR="00FF53FB" w:rsidRPr="00681DC9" w14:paraId="5E1E1BB1" w14:textId="77777777" w:rsidTr="00770D60">
        <w:trPr>
          <w:trHeight w:val="1196"/>
        </w:trPr>
        <w:tc>
          <w:tcPr>
            <w:tcW w:w="2496" w:type="dxa"/>
          </w:tcPr>
          <w:p w14:paraId="2E140F36" w14:textId="77777777" w:rsidR="00FF53FB" w:rsidRPr="00C3649F" w:rsidRDefault="00FF53FB" w:rsidP="00010906">
            <w:pPr>
              <w:pStyle w:val="TableParagraph"/>
              <w:ind w:left="107" w:right="184"/>
              <w:jc w:val="both"/>
              <w:rPr>
                <w:lang w:val="bg-BG"/>
              </w:rPr>
            </w:pPr>
            <w:r w:rsidRPr="00C3649F">
              <w:rPr>
                <w:lang w:val="bg-BG"/>
              </w:rPr>
              <w:t xml:space="preserve">      Специфична цел</w:t>
            </w:r>
          </w:p>
          <w:p w14:paraId="5298673A" w14:textId="77777777" w:rsidR="00FF53FB" w:rsidRPr="006E54CF" w:rsidRDefault="00FF53FB" w:rsidP="00010906">
            <w:pPr>
              <w:pStyle w:val="TableParagraph"/>
              <w:spacing w:before="8"/>
              <w:jc w:val="both"/>
            </w:pPr>
          </w:p>
        </w:tc>
        <w:tc>
          <w:tcPr>
            <w:tcW w:w="7428" w:type="dxa"/>
          </w:tcPr>
          <w:p w14:paraId="3BBD0964" w14:textId="77777777" w:rsidR="00770D60" w:rsidRPr="00516612" w:rsidRDefault="00CB0046" w:rsidP="001550FD">
            <w:pPr>
              <w:pStyle w:val="TableParagraph"/>
              <w:jc w:val="both"/>
              <w:rPr>
                <w:lang w:val="bg-BG"/>
              </w:rPr>
            </w:pPr>
            <w:r>
              <w:rPr>
                <w:lang w:val="bg-BG"/>
              </w:rPr>
              <w:t xml:space="preserve">1.3 </w:t>
            </w:r>
            <w:r w:rsidR="00FF53FB" w:rsidRPr="00FF53FB">
              <w:rPr>
                <w:lang w:val="bg-BG"/>
              </w:rPr>
              <w:t>Насърчаване на адаптирането на риболовния капацитет към възможностите за риболов в случай на окончателно преустановяване и допринасяне за постигането на справедлив жизнен стандарт в случай на временно преустановяване на риб</w:t>
            </w:r>
            <w:r w:rsidR="00516612">
              <w:rPr>
                <w:lang w:val="bg-BG"/>
              </w:rPr>
              <w:t>оловните дейности</w:t>
            </w:r>
          </w:p>
        </w:tc>
      </w:tr>
      <w:tr w:rsidR="000D2B46" w:rsidRPr="00681DC9" w14:paraId="451CAD63" w14:textId="77777777" w:rsidTr="006E54CF">
        <w:trPr>
          <w:trHeight w:val="1008"/>
        </w:trPr>
        <w:tc>
          <w:tcPr>
            <w:tcW w:w="2496" w:type="dxa"/>
          </w:tcPr>
          <w:p w14:paraId="158885E0" w14:textId="77777777" w:rsidR="000D2B46" w:rsidRPr="00C3649F" w:rsidRDefault="003435BF" w:rsidP="00010906">
            <w:pPr>
              <w:pStyle w:val="TableParagraph"/>
              <w:spacing w:before="114"/>
              <w:ind w:left="107" w:right="86"/>
              <w:jc w:val="both"/>
            </w:pPr>
            <w:r w:rsidRPr="00C3649F">
              <w:rPr>
                <w:lang w:val="bg-BG"/>
              </w:rPr>
              <w:lastRenderedPageBreak/>
              <w:t xml:space="preserve">      </w:t>
            </w:r>
            <w:r w:rsidR="000D2B46" w:rsidRPr="00C3649F">
              <w:t xml:space="preserve">Условия, които трябва да бъдат изпълнени </w:t>
            </w:r>
            <w:r w:rsidRPr="00C3649F">
              <w:rPr>
                <w:lang w:val="bg-BG"/>
              </w:rPr>
              <w:t>или</w:t>
            </w:r>
            <w:r w:rsidR="000D2B46" w:rsidRPr="00C3649F">
              <w:t xml:space="preserve"> резултати, които трябва да бъдат постигнати</w:t>
            </w:r>
          </w:p>
        </w:tc>
        <w:tc>
          <w:tcPr>
            <w:tcW w:w="7428" w:type="dxa"/>
          </w:tcPr>
          <w:p w14:paraId="31848CDC" w14:textId="77777777" w:rsidR="000D2B46" w:rsidRPr="00516612" w:rsidRDefault="00516612" w:rsidP="001550FD">
            <w:pPr>
              <w:pStyle w:val="TableParagraph"/>
              <w:jc w:val="both"/>
              <w:rPr>
                <w:lang w:val="bg-BG"/>
              </w:rPr>
            </w:pPr>
            <w:r w:rsidRPr="00516612">
              <w:t>Очакваните резултати от подкрепата по процедурата се изразяват в постигане на положителен ефект по отношение на собствениците на риболовни кораби, рибарите - ползватели на риболовни кораби и рибарите, които са преустановили риболовните си дейности</w:t>
            </w:r>
            <w:r>
              <w:rPr>
                <w:lang w:val="bg-BG"/>
              </w:rPr>
              <w:t>.</w:t>
            </w:r>
          </w:p>
        </w:tc>
      </w:tr>
      <w:tr w:rsidR="000D2B46" w:rsidRPr="00681DC9" w14:paraId="1C0EB801" w14:textId="77777777" w:rsidTr="006E54CF">
        <w:trPr>
          <w:trHeight w:val="1007"/>
        </w:trPr>
        <w:tc>
          <w:tcPr>
            <w:tcW w:w="2496" w:type="dxa"/>
          </w:tcPr>
          <w:p w14:paraId="11BEE087" w14:textId="77777777" w:rsidR="000D2B46" w:rsidRPr="00C3649F" w:rsidRDefault="003435BF" w:rsidP="00010906">
            <w:pPr>
              <w:pStyle w:val="TableParagraph"/>
              <w:spacing w:before="114"/>
              <w:ind w:left="107" w:right="153"/>
              <w:jc w:val="both"/>
            </w:pPr>
            <w:r w:rsidRPr="00C3649F">
              <w:rPr>
                <w:lang w:val="bg-BG"/>
              </w:rPr>
              <w:t xml:space="preserve">        </w:t>
            </w:r>
            <w:r w:rsidR="000D2B46" w:rsidRPr="00C3649F">
              <w:t>Краен срок за изпълнението на условията или резултатите, които следва да бъдат постигнати</w:t>
            </w:r>
          </w:p>
        </w:tc>
        <w:tc>
          <w:tcPr>
            <w:tcW w:w="7428" w:type="dxa"/>
          </w:tcPr>
          <w:p w14:paraId="62B86765" w14:textId="77777777" w:rsidR="000D2B46" w:rsidRDefault="001168F7" w:rsidP="001550FD">
            <w:pPr>
              <w:pStyle w:val="TableParagraph"/>
              <w:jc w:val="both"/>
              <w:rPr>
                <w:lang w:val="bg-BG"/>
              </w:rPr>
            </w:pPr>
            <w:r>
              <w:rPr>
                <w:lang w:val="bg-BG"/>
              </w:rPr>
              <w:t>Мярката ще се изпълнява</w:t>
            </w:r>
            <w:r w:rsidR="00B60A20">
              <w:rPr>
                <w:lang w:val="bg-BG"/>
              </w:rPr>
              <w:t xml:space="preserve"> само</w:t>
            </w:r>
            <w:r>
              <w:rPr>
                <w:lang w:val="bg-BG"/>
              </w:rPr>
              <w:t xml:space="preserve"> при възникване на някое от посочените по-горе обстоятелства през периода 2021-2027</w:t>
            </w:r>
            <w:r w:rsidR="008C0EA7">
              <w:rPr>
                <w:lang w:val="bg-BG"/>
              </w:rPr>
              <w:t xml:space="preserve"> г</w:t>
            </w:r>
            <w:r>
              <w:rPr>
                <w:lang w:val="bg-BG"/>
              </w:rPr>
              <w:t>.</w:t>
            </w:r>
          </w:p>
          <w:p w14:paraId="57636B0D" w14:textId="77777777" w:rsidR="00CB0046" w:rsidRPr="001168F7" w:rsidRDefault="00CB0046" w:rsidP="001550FD">
            <w:pPr>
              <w:pStyle w:val="TableParagraph"/>
              <w:jc w:val="both"/>
              <w:rPr>
                <w:lang w:val="bg-BG"/>
              </w:rPr>
            </w:pPr>
            <w:r w:rsidRPr="002A25D0">
              <w:rPr>
                <w:color w:val="C00000"/>
                <w:lang w:val="bg-BG"/>
              </w:rPr>
              <w:t>Р</w:t>
            </w:r>
            <w:r w:rsidRPr="002A25D0">
              <w:rPr>
                <w:color w:val="C00000"/>
              </w:rPr>
              <w:t>езултатите следва да бъдат постигнати</w:t>
            </w:r>
            <w:r w:rsidRPr="002A25D0">
              <w:rPr>
                <w:color w:val="C00000"/>
                <w:lang w:val="bg-BG"/>
              </w:rPr>
              <w:t xml:space="preserve"> до 31 декември 2029 г.</w:t>
            </w:r>
          </w:p>
        </w:tc>
      </w:tr>
      <w:tr w:rsidR="000D2B46" w:rsidRPr="00681DC9" w14:paraId="3775DA68" w14:textId="77777777" w:rsidTr="006E54CF">
        <w:trPr>
          <w:trHeight w:val="1622"/>
        </w:trPr>
        <w:tc>
          <w:tcPr>
            <w:tcW w:w="2496" w:type="dxa"/>
          </w:tcPr>
          <w:p w14:paraId="575D0C8E" w14:textId="67035414" w:rsidR="00516612" w:rsidRPr="00C3649F" w:rsidRDefault="00516612" w:rsidP="00243A3E">
            <w:pPr>
              <w:pStyle w:val="TableParagraph"/>
              <w:tabs>
                <w:tab w:val="left" w:pos="248"/>
              </w:tabs>
              <w:ind w:left="107" w:right="205"/>
              <w:jc w:val="both"/>
            </w:pPr>
            <w:r w:rsidRPr="00C3649F">
              <w:t xml:space="preserve">Проверка на постигането на резултат или условие (и когато е приложимо — на междинните </w:t>
            </w:r>
            <w:r w:rsidRPr="00C3649F">
              <w:rPr>
                <w:lang w:val="bg-BG"/>
              </w:rPr>
              <w:t>постижения</w:t>
            </w:r>
            <w:r w:rsidRPr="00C3649F">
              <w:t>)</w:t>
            </w:r>
          </w:p>
          <w:p w14:paraId="27B77675" w14:textId="77777777" w:rsidR="00516612" w:rsidRPr="00C3649F" w:rsidRDefault="00516612" w:rsidP="00243A3E">
            <w:pPr>
              <w:pStyle w:val="TableParagraph"/>
              <w:tabs>
                <w:tab w:val="left" w:pos="248"/>
              </w:tabs>
              <w:ind w:left="107" w:right="205"/>
              <w:jc w:val="both"/>
            </w:pPr>
            <w:r w:rsidRPr="00C3649F">
              <w:t>– опишете какви документи ще бъдат използвани, за да се докаже постигането на резултат или условие</w:t>
            </w:r>
          </w:p>
          <w:p w14:paraId="44483C4C" w14:textId="77777777" w:rsidR="00516612" w:rsidRPr="00C3649F" w:rsidRDefault="00516612" w:rsidP="00243A3E">
            <w:pPr>
              <w:pStyle w:val="TableParagraph"/>
              <w:tabs>
                <w:tab w:val="left" w:pos="248"/>
              </w:tabs>
              <w:ind w:left="107" w:right="205"/>
              <w:jc w:val="both"/>
            </w:pPr>
            <w:r w:rsidRPr="00C3649F">
              <w:t xml:space="preserve">– опишете какво ще бъде проверявано по време на проверките </w:t>
            </w:r>
            <w:r w:rsidRPr="00C3649F">
              <w:rPr>
                <w:lang w:val="bg-BG"/>
              </w:rPr>
              <w:t>за верификация</w:t>
            </w:r>
            <w:r w:rsidRPr="00C3649F">
              <w:t xml:space="preserve"> (включително на </w:t>
            </w:r>
            <w:r w:rsidRPr="00C3649F">
              <w:rPr>
                <w:lang w:val="bg-BG"/>
              </w:rPr>
              <w:t xml:space="preserve">проверки на </w:t>
            </w:r>
            <w:r w:rsidRPr="00C3649F">
              <w:t>място), и от кого.</w:t>
            </w:r>
          </w:p>
          <w:p w14:paraId="223E08A0" w14:textId="77777777" w:rsidR="000D2B46" w:rsidRPr="00C3649F" w:rsidRDefault="00516612" w:rsidP="00243A3E">
            <w:pPr>
              <w:pStyle w:val="TableParagraph"/>
              <w:ind w:left="107"/>
              <w:rPr>
                <w:lang w:val="bg-BG"/>
              </w:rPr>
            </w:pPr>
            <w:r w:rsidRPr="00C3649F">
              <w:t xml:space="preserve">– опишете какви са механизмите за събиране и съхраняване на данните/документите  </w:t>
            </w:r>
          </w:p>
        </w:tc>
        <w:tc>
          <w:tcPr>
            <w:tcW w:w="7428" w:type="dxa"/>
          </w:tcPr>
          <w:p w14:paraId="40DDB3DF" w14:textId="77777777" w:rsidR="00F07A78" w:rsidRPr="00F07A78" w:rsidRDefault="00F07A78" w:rsidP="00F07A78">
            <w:pPr>
              <w:pStyle w:val="TableParagraph"/>
              <w:ind w:left="57" w:right="142"/>
              <w:jc w:val="both"/>
              <w:rPr>
                <w:lang w:val="bg-BG"/>
              </w:rPr>
            </w:pPr>
            <w:r w:rsidRPr="00F07A78">
              <w:rPr>
                <w:lang w:val="bg-BG"/>
              </w:rPr>
              <w:t xml:space="preserve">Мониторинг на изпълнението на проектите, съгласно разработена Система за контрол и изпълнение на оперативната програма. </w:t>
            </w:r>
          </w:p>
          <w:p w14:paraId="144A525F" w14:textId="77777777" w:rsidR="00F07A78" w:rsidRPr="00F07A78" w:rsidRDefault="00F07A78" w:rsidP="00F07A78">
            <w:pPr>
              <w:pStyle w:val="TableParagraph"/>
              <w:ind w:left="57" w:right="142"/>
              <w:jc w:val="both"/>
              <w:rPr>
                <w:lang w:val="bg-BG"/>
              </w:rPr>
            </w:pPr>
            <w:r w:rsidRPr="00F07A78">
              <w:rPr>
                <w:lang w:val="bg-BG"/>
              </w:rPr>
              <w:t>Проверки на място/Доклади/Контролни листа.</w:t>
            </w:r>
          </w:p>
          <w:p w14:paraId="0246D09F" w14:textId="77777777" w:rsidR="00F07A78" w:rsidRPr="00F07A78" w:rsidRDefault="00F07A78" w:rsidP="00F07A78">
            <w:pPr>
              <w:pStyle w:val="TableParagraph"/>
              <w:ind w:left="57" w:right="142"/>
              <w:jc w:val="both"/>
              <w:rPr>
                <w:lang w:val="bg-BG"/>
              </w:rPr>
            </w:pPr>
            <w:r w:rsidRPr="00F07A78">
              <w:rPr>
                <w:lang w:val="bg-BG"/>
              </w:rPr>
              <w:t>Проверките на място включват документална проверка и проверка за изпълнението на проекта, вкл. постигане на заложените индикатори за резултат в проектното предложение.</w:t>
            </w:r>
          </w:p>
          <w:p w14:paraId="71BE0986" w14:textId="77777777" w:rsidR="00F07A78" w:rsidRPr="00F07A78" w:rsidRDefault="00F07A78" w:rsidP="00F07A78">
            <w:pPr>
              <w:pStyle w:val="TableParagraph"/>
              <w:ind w:left="57" w:right="142"/>
              <w:jc w:val="both"/>
              <w:rPr>
                <w:lang w:val="bg-BG"/>
              </w:rPr>
            </w:pPr>
            <w:r w:rsidRPr="00F07A78">
              <w:rPr>
                <w:lang w:val="bg-BG"/>
              </w:rPr>
              <w:t>Проверките се извършват от УО на ПМДРА.</w:t>
            </w:r>
          </w:p>
          <w:p w14:paraId="22804881" w14:textId="77777777" w:rsidR="00F07A78" w:rsidRPr="00F07A78" w:rsidRDefault="00F07A78" w:rsidP="00F07A78">
            <w:pPr>
              <w:pStyle w:val="TableParagraph"/>
              <w:ind w:left="57" w:right="142"/>
              <w:jc w:val="both"/>
              <w:rPr>
                <w:lang w:val="bg-BG"/>
              </w:rPr>
            </w:pPr>
            <w:r w:rsidRPr="00F07A78">
              <w:rPr>
                <w:lang w:val="bg-BG"/>
              </w:rPr>
              <w:t>Документите удостоверяващи извършените проверки се прилагат в информационна система за управление и наблюдение</w:t>
            </w:r>
            <w:r>
              <w:rPr>
                <w:lang w:val="bg-BG"/>
              </w:rPr>
              <w:t xml:space="preserve"> на средствата от ЕС в България (ИСУН)</w:t>
            </w:r>
            <w:r w:rsidRPr="00F07A78">
              <w:rPr>
                <w:lang w:val="bg-BG"/>
              </w:rPr>
              <w:t xml:space="preserve"> към досието на проекта.</w:t>
            </w:r>
            <w:r>
              <w:rPr>
                <w:lang w:val="bg-BG"/>
              </w:rPr>
              <w:t xml:space="preserve"> </w:t>
            </w:r>
          </w:p>
          <w:p w14:paraId="2E6A39C8" w14:textId="77777777" w:rsidR="00F07A78" w:rsidRPr="00F07A78" w:rsidRDefault="00F07A78" w:rsidP="00F07A78">
            <w:pPr>
              <w:pStyle w:val="TableParagraph"/>
              <w:ind w:left="57" w:right="142"/>
              <w:jc w:val="both"/>
              <w:rPr>
                <w:lang w:val="bg-BG"/>
              </w:rPr>
            </w:pPr>
            <w:r w:rsidRPr="00F07A78">
              <w:rPr>
                <w:lang w:val="bg-BG"/>
              </w:rPr>
              <w:t>INFOSYS докладване.</w:t>
            </w:r>
          </w:p>
          <w:p w14:paraId="3C377AFC" w14:textId="77777777" w:rsidR="00F07A78" w:rsidRPr="00010906" w:rsidRDefault="00F07A78" w:rsidP="00F07A78">
            <w:pPr>
              <w:pStyle w:val="TableParagraph"/>
              <w:ind w:left="57" w:right="142"/>
              <w:jc w:val="both"/>
              <w:rPr>
                <w:lang w:val="bg-BG"/>
              </w:rPr>
            </w:pPr>
            <w:r w:rsidRPr="00F07A78">
              <w:rPr>
                <w:lang w:val="bg-BG"/>
              </w:rPr>
              <w:t>Годишен доклад за изпълнението на програмата.</w:t>
            </w:r>
          </w:p>
        </w:tc>
      </w:tr>
      <w:tr w:rsidR="000D2B46" w:rsidRPr="00681DC9" w14:paraId="27784A4B" w14:textId="77777777" w:rsidTr="006E54CF">
        <w:trPr>
          <w:trHeight w:val="2018"/>
        </w:trPr>
        <w:tc>
          <w:tcPr>
            <w:tcW w:w="2496" w:type="dxa"/>
          </w:tcPr>
          <w:p w14:paraId="3ED746AC" w14:textId="05BD7B4E" w:rsidR="000D2B46" w:rsidRPr="00C3649F" w:rsidRDefault="000D2B46" w:rsidP="00243A3E">
            <w:pPr>
              <w:pStyle w:val="TableParagraph"/>
              <w:ind w:left="107"/>
              <w:jc w:val="both"/>
            </w:pPr>
            <w:r w:rsidRPr="00C3649F">
              <w:t xml:space="preserve">Механизми за осигуряване на одитна следа </w:t>
            </w:r>
          </w:p>
          <w:p w14:paraId="63BF0E3F" w14:textId="77777777" w:rsidR="000D2B46" w:rsidRPr="00C3649F" w:rsidRDefault="000D2B46" w:rsidP="00243A3E">
            <w:pPr>
              <w:pStyle w:val="TableParagraph"/>
              <w:ind w:left="107"/>
              <w:jc w:val="both"/>
            </w:pPr>
            <w:r w:rsidRPr="00C3649F">
              <w:t>Моля, посо</w:t>
            </w:r>
            <w:r w:rsidR="00302D4C" w:rsidRPr="00C3649F">
              <w:t>чете органа/органите, отгов</w:t>
            </w:r>
            <w:r w:rsidR="00302D4C" w:rsidRPr="00C3649F">
              <w:rPr>
                <w:lang w:val="bg-BG"/>
              </w:rPr>
              <w:t>орни</w:t>
            </w:r>
            <w:r w:rsidRPr="00C3649F">
              <w:t xml:space="preserve"> за тези механизми.</w:t>
            </w:r>
          </w:p>
        </w:tc>
        <w:tc>
          <w:tcPr>
            <w:tcW w:w="7428" w:type="dxa"/>
          </w:tcPr>
          <w:p w14:paraId="339277F4" w14:textId="77777777" w:rsidR="00F07A78" w:rsidRDefault="00F07A78" w:rsidP="00F07A78">
            <w:pPr>
              <w:pStyle w:val="TableParagraph"/>
              <w:ind w:left="57" w:right="142"/>
              <w:jc w:val="both"/>
              <w:rPr>
                <w:lang w:val="bg-BG"/>
              </w:rPr>
            </w:pPr>
            <w:r>
              <w:rPr>
                <w:lang w:val="bg-BG"/>
              </w:rPr>
              <w:t xml:space="preserve">Всички документи се съхраняват в електронен вид в </w:t>
            </w:r>
            <w:r w:rsidRPr="00F07A78">
              <w:rPr>
                <w:lang w:val="bg-BG"/>
              </w:rPr>
              <w:t>информационна система за управление и наблюдение</w:t>
            </w:r>
            <w:r>
              <w:rPr>
                <w:lang w:val="bg-BG"/>
              </w:rPr>
              <w:t xml:space="preserve"> на средствата от ЕС в България (ИСУН)</w:t>
            </w:r>
            <w:r w:rsidRPr="00F07A78">
              <w:rPr>
                <w:lang w:val="bg-BG"/>
              </w:rPr>
              <w:t xml:space="preserve"> към досието на проекта.</w:t>
            </w:r>
          </w:p>
          <w:p w14:paraId="1510A927" w14:textId="77777777" w:rsidR="00F07A78" w:rsidRDefault="00F07A78" w:rsidP="00F07A78">
            <w:pPr>
              <w:rPr>
                <w:rFonts w:eastAsia="Arial Unicode MS" w:cs="Arial Unicode MS"/>
                <w:color w:val="000000"/>
                <w:u w:color="000000"/>
                <w:lang w:val="bg-BG"/>
                <w14:textOutline w14:w="0" w14:cap="flat" w14:cmpd="sng" w14:algn="ctr">
                  <w14:noFill/>
                  <w14:prstDash w14:val="solid"/>
                  <w14:bevel/>
                </w14:textOutline>
              </w:rPr>
            </w:pPr>
            <w:r>
              <w:rPr>
                <w:rFonts w:eastAsia="Arial Unicode MS" w:cs="Arial Unicode MS"/>
                <w:color w:val="000000"/>
                <w:u w:color="000000"/>
                <w:lang w:val="bg-BG"/>
                <w14:textOutline w14:w="0" w14:cap="flat" w14:cmpd="sng" w14:algn="ctr">
                  <w14:noFill/>
                  <w14:prstDash w14:val="solid"/>
                  <w14:bevel/>
                </w14:textOutline>
              </w:rPr>
              <w:t>Отговорни институции за осигуряване на одитна следа:</w:t>
            </w:r>
          </w:p>
          <w:p w14:paraId="3B360B05" w14:textId="77777777" w:rsidR="00F07A78" w:rsidRDefault="00F07A78" w:rsidP="006203C9">
            <w:pPr>
              <w:pStyle w:val="ListParagraph"/>
              <w:numPr>
                <w:ilvl w:val="0"/>
                <w:numId w:val="7"/>
              </w:numPr>
              <w:spacing w:before="0"/>
              <w:ind w:left="482"/>
            </w:pPr>
            <w:r w:rsidRPr="00F07A78">
              <w:rPr>
                <w:rFonts w:eastAsia="Arial Unicode MS" w:cs="Arial Unicode MS"/>
                <w:color w:val="000000"/>
                <w:u w:color="000000"/>
                <w14:textOutline w14:w="0" w14:cap="flat" w14:cmpd="sng" w14:algn="ctr">
                  <w14:noFill/>
                  <w14:prstDash w14:val="solid"/>
                  <w14:bevel/>
                </w14:textOutline>
              </w:rPr>
              <w:t>УО на ПМДРА</w:t>
            </w:r>
            <w:r w:rsidR="006203C9">
              <w:rPr>
                <w:rFonts w:eastAsia="Arial Unicode MS" w:cs="Arial Unicode MS"/>
                <w:color w:val="000000"/>
                <w:u w:color="000000"/>
                <w:lang w:val="bg-BG"/>
                <w14:textOutline w14:w="0" w14:cap="flat" w14:cmpd="sng" w14:algn="ctr">
                  <w14:noFill/>
                  <w14:prstDash w14:val="solid"/>
                  <w14:bevel/>
                </w14:textOutline>
              </w:rPr>
              <w:t>;</w:t>
            </w:r>
          </w:p>
          <w:p w14:paraId="23518E18" w14:textId="77777777" w:rsidR="00F07A78" w:rsidRDefault="00F07A78" w:rsidP="006203C9">
            <w:pPr>
              <w:pStyle w:val="ListParagraph"/>
              <w:numPr>
                <w:ilvl w:val="0"/>
                <w:numId w:val="7"/>
              </w:numPr>
              <w:spacing w:before="0"/>
              <w:ind w:left="482"/>
            </w:pPr>
            <w:r w:rsidRPr="00F07A78">
              <w:rPr>
                <w:rFonts w:eastAsia="Arial Unicode MS" w:cs="Arial Unicode MS"/>
                <w:color w:val="000000"/>
                <w:u w:color="000000"/>
                <w14:textOutline w14:w="0" w14:cap="flat" w14:cmpd="sng" w14:algn="ctr">
                  <w14:noFill/>
                  <w14:prstDash w14:val="solid"/>
                  <w14:bevel/>
                </w14:textOutline>
              </w:rPr>
              <w:t>МЗ на ПМДРА</w:t>
            </w:r>
            <w:r w:rsidR="006203C9">
              <w:rPr>
                <w:rFonts w:eastAsia="Arial Unicode MS" w:cs="Arial Unicode MS"/>
                <w:color w:val="000000"/>
                <w:u w:color="000000"/>
                <w:lang w:val="bg-BG"/>
                <w14:textOutline w14:w="0" w14:cap="flat" w14:cmpd="sng" w14:algn="ctr">
                  <w14:noFill/>
                  <w14:prstDash w14:val="solid"/>
                  <w14:bevel/>
                </w14:textOutline>
              </w:rPr>
              <w:t>;</w:t>
            </w:r>
          </w:p>
          <w:p w14:paraId="0AC4E8F1" w14:textId="77777777" w:rsidR="00F07A78" w:rsidRDefault="00F07A78" w:rsidP="006203C9">
            <w:pPr>
              <w:pStyle w:val="ListParagraph"/>
              <w:numPr>
                <w:ilvl w:val="0"/>
                <w:numId w:val="7"/>
              </w:numPr>
              <w:spacing w:before="0"/>
              <w:ind w:left="482"/>
            </w:pPr>
            <w:r w:rsidRPr="00F07A78">
              <w:rPr>
                <w:rFonts w:eastAsia="Arial Unicode MS" w:cs="Arial Unicode MS"/>
                <w:color w:val="000000"/>
                <w:u w:color="000000"/>
                <w14:textOutline w14:w="0" w14:cap="flat" w14:cmpd="sng" w14:algn="ctr">
                  <w14:noFill/>
                  <w14:prstDash w14:val="solid"/>
                  <w14:bevel/>
                </w14:textOutline>
              </w:rPr>
              <w:t>Одитен орган на ПМДРА</w:t>
            </w:r>
            <w:r w:rsidR="006203C9">
              <w:rPr>
                <w:rFonts w:eastAsia="Arial Unicode MS" w:cs="Arial Unicode MS"/>
                <w:color w:val="000000"/>
                <w:u w:color="000000"/>
                <w:lang w:val="bg-BG"/>
                <w14:textOutline w14:w="0" w14:cap="flat" w14:cmpd="sng" w14:algn="ctr">
                  <w14:noFill/>
                  <w14:prstDash w14:val="solid"/>
                  <w14:bevel/>
                </w14:textOutline>
              </w:rPr>
              <w:t>;</w:t>
            </w:r>
          </w:p>
          <w:p w14:paraId="3F291E32" w14:textId="77777777" w:rsidR="000D2B46" w:rsidRPr="00681DC9" w:rsidRDefault="00D83A0D" w:rsidP="006203C9">
            <w:pPr>
              <w:pStyle w:val="TableParagraph"/>
              <w:numPr>
                <w:ilvl w:val="0"/>
                <w:numId w:val="7"/>
              </w:numPr>
              <w:ind w:left="482"/>
              <w:jc w:val="both"/>
            </w:pPr>
            <w:r w:rsidRPr="00AC267B">
              <w:rPr>
                <w:rFonts w:eastAsia="Arial Unicode MS" w:cs="Arial Unicode MS"/>
                <w:color w:val="000000"/>
                <w:u w:color="000000"/>
                <w14:textOutline w14:w="0" w14:cap="flat" w14:cmpd="sng" w14:algn="ctr">
                  <w14:noFill/>
                  <w14:prstDash w14:val="solid"/>
                  <w14:bevel/>
                </w14:textOutline>
              </w:rPr>
              <w:t>Орган на ПМДРА, изпълняващ счетоводната функция, подготвящ и изпращащ заявления за плащане до Комисията</w:t>
            </w:r>
            <w:r w:rsidR="00F07A78">
              <w:rPr>
                <w:rFonts w:eastAsia="Arial Unicode MS" w:cs="Arial Unicode MS"/>
                <w:color w:val="000000"/>
                <w:u w:color="000000"/>
                <w14:textOutline w14:w="0" w14:cap="flat" w14:cmpd="sng" w14:algn="ctr">
                  <w14:noFill/>
                  <w14:prstDash w14:val="solid"/>
                  <w14:bevel/>
                </w14:textOutline>
              </w:rPr>
              <w:t>.</w:t>
            </w:r>
          </w:p>
        </w:tc>
      </w:tr>
    </w:tbl>
    <w:p w14:paraId="4CC6E8D3" w14:textId="77777777" w:rsidR="000D2B46" w:rsidRPr="00681DC9" w:rsidRDefault="000D2B46" w:rsidP="000D2B46">
      <w:pPr>
        <w:pStyle w:val="BodyText"/>
        <w:rPr>
          <w:sz w:val="20"/>
          <w:u w:val="none"/>
        </w:rPr>
      </w:pPr>
    </w:p>
    <w:p w14:paraId="05DECEBB" w14:textId="77777777" w:rsidR="000D2B46" w:rsidRPr="00681DC9" w:rsidRDefault="000D2B46" w:rsidP="000D2B46">
      <w:pPr>
        <w:pStyle w:val="BodyText"/>
        <w:rPr>
          <w:sz w:val="20"/>
          <w:u w:val="none"/>
        </w:rPr>
      </w:pPr>
    </w:p>
    <w:p w14:paraId="4FAD9ADF" w14:textId="77777777" w:rsidR="00AE29FD" w:rsidRDefault="00AE29FD">
      <w:pPr>
        <w:rPr>
          <w:lang w:val="bg-BG"/>
        </w:rPr>
      </w:pPr>
    </w:p>
    <w:p w14:paraId="521B4D07" w14:textId="77777777" w:rsidR="00492CA2" w:rsidRDefault="00492CA2">
      <w:pPr>
        <w:rPr>
          <w:lang w:val="bg-BG"/>
        </w:rPr>
      </w:pPr>
    </w:p>
    <w:p w14:paraId="7C66F495" w14:textId="77777777" w:rsidR="00492CA2" w:rsidRDefault="00492CA2">
      <w:pPr>
        <w:rPr>
          <w:lang w:val="bg-BG"/>
        </w:rPr>
      </w:pPr>
    </w:p>
    <w:p w14:paraId="14C1FFAD" w14:textId="77777777" w:rsidR="00492CA2" w:rsidRDefault="00492CA2">
      <w:pPr>
        <w:rPr>
          <w:lang w:val="bg-BG"/>
        </w:rPr>
      </w:pPr>
    </w:p>
    <w:p w14:paraId="717A59F3" w14:textId="77777777" w:rsidR="00492CA2" w:rsidRDefault="00492CA2">
      <w:pPr>
        <w:rPr>
          <w:lang w:val="bg-BG"/>
        </w:rPr>
      </w:pPr>
    </w:p>
    <w:p w14:paraId="7DD9B1C4" w14:textId="77777777" w:rsidR="00492CA2" w:rsidRDefault="00492CA2">
      <w:pPr>
        <w:rPr>
          <w:lang w:val="bg-BG"/>
        </w:rPr>
      </w:pPr>
    </w:p>
    <w:p w14:paraId="23859B06" w14:textId="77777777" w:rsidR="00492CA2" w:rsidRDefault="00492CA2">
      <w:pPr>
        <w:rPr>
          <w:lang w:val="bg-BG"/>
        </w:rPr>
      </w:pPr>
    </w:p>
    <w:p w14:paraId="57990188" w14:textId="77777777" w:rsidR="00492CA2" w:rsidRDefault="00492CA2">
      <w:pPr>
        <w:rPr>
          <w:lang w:val="bg-BG"/>
        </w:rPr>
      </w:pPr>
    </w:p>
    <w:p w14:paraId="23DC9BC5" w14:textId="77777777" w:rsidR="00492CA2" w:rsidRDefault="00492CA2">
      <w:pPr>
        <w:rPr>
          <w:lang w:val="bg-BG"/>
        </w:rPr>
      </w:pPr>
    </w:p>
    <w:p w14:paraId="6150947B" w14:textId="77777777" w:rsidR="00492CA2" w:rsidRDefault="00492CA2">
      <w:pPr>
        <w:rPr>
          <w:lang w:val="bg-BG"/>
        </w:rPr>
      </w:pPr>
    </w:p>
    <w:p w14:paraId="6B5D0A33" w14:textId="77777777" w:rsidR="00492CA2" w:rsidRDefault="00492CA2">
      <w:pPr>
        <w:rPr>
          <w:lang w:val="bg-BG"/>
        </w:rPr>
      </w:pPr>
    </w:p>
    <w:p w14:paraId="6B5D265C" w14:textId="77777777" w:rsidR="00492CA2" w:rsidRDefault="00492CA2">
      <w:pPr>
        <w:rPr>
          <w:lang w:val="bg-BG"/>
        </w:rPr>
      </w:pPr>
    </w:p>
    <w:p w14:paraId="6F957D8C" w14:textId="77777777" w:rsidR="00492CA2" w:rsidRDefault="00492CA2">
      <w:pPr>
        <w:rPr>
          <w:lang w:val="bg-BG"/>
        </w:rPr>
      </w:pPr>
    </w:p>
    <w:p w14:paraId="54FE53E0" w14:textId="77777777" w:rsidR="00492CA2" w:rsidRDefault="00492CA2">
      <w:pPr>
        <w:rPr>
          <w:lang w:val="bg-BG"/>
        </w:rPr>
      </w:pPr>
      <w:r w:rsidRPr="00492CA2">
        <w:rPr>
          <w:b/>
          <w:lang w:val="bg-BG"/>
        </w:rPr>
        <w:t>ИНДИКАТИВНА МЕТОДИКА ЗА ОПРЕДЕЛЯНЕ НА ПРЕМИЯТА ЗА ПОСТОЯННО ПРЕКРАТЯВАНЕ НА РИБОЛОВНАТА ДЕЙНОСТ</w:t>
      </w:r>
      <w:r w:rsidRPr="009A55B8">
        <w:rPr>
          <w:rStyle w:val="FootnoteReference"/>
          <w:rFonts w:ascii="Calibri" w:hAnsi="Calibri" w:cs="Calibri"/>
          <w:b/>
          <w:lang w:val="bg-BG"/>
        </w:rPr>
        <w:t>*</w:t>
      </w:r>
    </w:p>
    <w:p w14:paraId="3BE4A77F" w14:textId="77777777" w:rsidR="00492CA2" w:rsidRDefault="00492CA2">
      <w:pPr>
        <w:rPr>
          <w:lang w:val="bg-BG"/>
        </w:rPr>
      </w:pPr>
    </w:p>
    <w:p w14:paraId="4DFA74EC" w14:textId="77777777" w:rsidR="00492CA2" w:rsidRDefault="00492CA2">
      <w:pPr>
        <w:rPr>
          <w:lang w:val="bg-BG"/>
        </w:rPr>
      </w:pPr>
    </w:p>
    <w:p w14:paraId="1C646E02" w14:textId="77777777" w:rsidR="00492CA2" w:rsidRPr="00F334BE" w:rsidRDefault="00492CA2" w:rsidP="00F334BE">
      <w:pPr>
        <w:pStyle w:val="ListParagraph"/>
        <w:numPr>
          <w:ilvl w:val="0"/>
          <w:numId w:val="9"/>
        </w:numPr>
        <w:rPr>
          <w:lang w:val="bg-BG"/>
        </w:rPr>
      </w:pPr>
      <w:r w:rsidRPr="00F334BE">
        <w:rPr>
          <w:lang w:val="bg-BG"/>
        </w:rPr>
        <w:t>Компенсация за собственици на кораби</w:t>
      </w:r>
    </w:p>
    <w:p w14:paraId="53DD0842" w14:textId="77777777" w:rsidR="00492CA2" w:rsidRPr="00492CA2" w:rsidRDefault="00492CA2" w:rsidP="00492CA2">
      <w:pPr>
        <w:rPr>
          <w:lang w:val="bg-BG"/>
        </w:rPr>
      </w:pPr>
    </w:p>
    <w:p w14:paraId="6192BB65" w14:textId="77777777" w:rsidR="00492CA2" w:rsidRPr="00492CA2" w:rsidRDefault="00492CA2" w:rsidP="00492CA2">
      <w:pPr>
        <w:rPr>
          <w:lang w:val="bg-BG"/>
        </w:rPr>
      </w:pPr>
      <w:r w:rsidRPr="00492CA2">
        <w:rPr>
          <w:lang w:val="bg-BG"/>
        </w:rPr>
        <w:t>Методът, който е най-удачен за компенсация на собственици на кораби, е базиран на опита на УО с мярката за постоянно прекратяване на риболовните дейности както и на опита на други държави-членки:</w:t>
      </w:r>
    </w:p>
    <w:p w14:paraId="552BEF5A" w14:textId="77777777" w:rsidR="00492CA2" w:rsidRPr="00492CA2" w:rsidRDefault="00492CA2" w:rsidP="00492CA2">
      <w:pPr>
        <w:rPr>
          <w:lang w:val="bg-BG"/>
        </w:rPr>
      </w:pPr>
    </w:p>
    <w:p w14:paraId="118A2B7C" w14:textId="77777777" w:rsidR="00492CA2" w:rsidRDefault="00492CA2" w:rsidP="00492CA2">
      <w:pPr>
        <w:rPr>
          <w:lang w:val="bg-BG"/>
        </w:rPr>
      </w:pPr>
      <w:r w:rsidRPr="00492CA2">
        <w:rPr>
          <w:lang w:val="bg-BG"/>
        </w:rPr>
        <w:t xml:space="preserve">Премията се изчислява със следната формула </w:t>
      </w:r>
    </w:p>
    <w:p w14:paraId="7CB2FB13" w14:textId="77777777" w:rsidR="00A019FD" w:rsidRPr="00492CA2" w:rsidRDefault="00A019FD" w:rsidP="00492CA2">
      <w:pPr>
        <w:rPr>
          <w:lang w:val="bg-BG"/>
        </w:rPr>
      </w:pPr>
    </w:p>
    <w:p w14:paraId="79570F98" w14:textId="77777777" w:rsidR="00492CA2" w:rsidRPr="00A019FD" w:rsidRDefault="00492CA2" w:rsidP="00A019FD">
      <w:pPr>
        <w:jc w:val="center"/>
        <w:rPr>
          <w:b/>
          <w:lang w:val="bg-BG"/>
        </w:rPr>
      </w:pPr>
      <w:r w:rsidRPr="00A019FD">
        <w:rPr>
          <w:b/>
          <w:lang w:val="bg-BG"/>
        </w:rPr>
        <w:t>K = ((P х GT) + R) х d</w:t>
      </w:r>
    </w:p>
    <w:p w14:paraId="1BFE38A0" w14:textId="77777777" w:rsidR="00F334BE" w:rsidRPr="00492CA2" w:rsidRDefault="00F334BE" w:rsidP="00492CA2">
      <w:pPr>
        <w:rPr>
          <w:lang w:val="bg-BG"/>
        </w:rPr>
      </w:pPr>
    </w:p>
    <w:p w14:paraId="02CF1617" w14:textId="77777777" w:rsidR="00492CA2" w:rsidRPr="00492CA2" w:rsidRDefault="00492CA2" w:rsidP="00492CA2">
      <w:pPr>
        <w:rPr>
          <w:lang w:val="bg-BG"/>
        </w:rPr>
      </w:pPr>
      <w:r w:rsidRPr="00492CA2">
        <w:rPr>
          <w:lang w:val="bg-BG"/>
        </w:rPr>
        <w:t>в която:</w:t>
      </w:r>
    </w:p>
    <w:p w14:paraId="5D8F1A2A" w14:textId="77777777" w:rsidR="00492CA2" w:rsidRPr="00492CA2" w:rsidRDefault="00492CA2" w:rsidP="00492CA2">
      <w:pPr>
        <w:rPr>
          <w:lang w:val="bg-BG"/>
        </w:rPr>
      </w:pPr>
      <w:r w:rsidRPr="00492CA2">
        <w:rPr>
          <w:lang w:val="bg-BG"/>
        </w:rPr>
        <w:t>К е общата компенсация за временно преустановяване на риболовните дейности на кораб;</w:t>
      </w:r>
    </w:p>
    <w:p w14:paraId="55EBA4BC" w14:textId="77777777" w:rsidR="00492CA2" w:rsidRPr="00492CA2" w:rsidRDefault="00492CA2" w:rsidP="00492CA2">
      <w:pPr>
        <w:rPr>
          <w:lang w:val="bg-BG"/>
        </w:rPr>
      </w:pPr>
      <w:r w:rsidRPr="00492CA2">
        <w:rPr>
          <w:lang w:val="bg-BG"/>
        </w:rPr>
        <w:t>P – дневна премия за преустановяване на риболовните дейности за 1 БТ (Бруто тон) от риболовният кораб (представена е в таблица 1);</w:t>
      </w:r>
    </w:p>
    <w:p w14:paraId="4C1BAB38" w14:textId="77777777" w:rsidR="00492CA2" w:rsidRPr="00492CA2" w:rsidRDefault="00492CA2" w:rsidP="00492CA2">
      <w:pPr>
        <w:rPr>
          <w:lang w:val="bg-BG"/>
        </w:rPr>
      </w:pPr>
      <w:r w:rsidRPr="00492CA2">
        <w:rPr>
          <w:lang w:val="bg-BG"/>
        </w:rPr>
        <w:t>GT – бруто тонаж на кораба;</w:t>
      </w:r>
    </w:p>
    <w:p w14:paraId="5C8464E6" w14:textId="77777777" w:rsidR="00492CA2" w:rsidRPr="00492CA2" w:rsidRDefault="00492CA2" w:rsidP="00492CA2">
      <w:pPr>
        <w:rPr>
          <w:lang w:val="bg-BG"/>
        </w:rPr>
      </w:pPr>
      <w:r w:rsidRPr="00492CA2">
        <w:rPr>
          <w:lang w:val="bg-BG"/>
        </w:rPr>
        <w:t>R – премия за допълнителни разходи – 5,66 лв. на ден;</w:t>
      </w:r>
    </w:p>
    <w:p w14:paraId="5E1FB86D" w14:textId="77777777" w:rsidR="00492CA2" w:rsidRPr="00492CA2" w:rsidRDefault="00492CA2" w:rsidP="00492CA2">
      <w:pPr>
        <w:rPr>
          <w:lang w:val="bg-BG"/>
        </w:rPr>
      </w:pPr>
      <w:r w:rsidRPr="00492CA2">
        <w:rPr>
          <w:lang w:val="bg-BG"/>
        </w:rPr>
        <w:t>d – брой дни на преустановяване на риболовните дейности.</w:t>
      </w:r>
    </w:p>
    <w:p w14:paraId="01F30485" w14:textId="77777777" w:rsidR="00492CA2" w:rsidRPr="00492CA2" w:rsidRDefault="00492CA2" w:rsidP="00492CA2">
      <w:pPr>
        <w:rPr>
          <w:lang w:val="bg-BG"/>
        </w:rPr>
      </w:pPr>
      <w:r w:rsidRPr="00492CA2">
        <w:rPr>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14:paraId="63010A67" w14:textId="77777777" w:rsidR="00F334BE" w:rsidRDefault="00F334BE" w:rsidP="00492CA2">
      <w:pPr>
        <w:rPr>
          <w:lang w:val="bg-BG"/>
        </w:rPr>
      </w:pPr>
    </w:p>
    <w:p w14:paraId="39F8F214" w14:textId="77777777" w:rsidR="00492CA2" w:rsidRDefault="00492CA2" w:rsidP="00492CA2">
      <w:pPr>
        <w:rPr>
          <w:lang w:val="bg-BG"/>
        </w:rPr>
      </w:pPr>
      <w:r w:rsidRPr="00492CA2">
        <w:rPr>
          <w:lang w:val="bg-BG"/>
        </w:rPr>
        <w:t>Таблица 1</w:t>
      </w:r>
    </w:p>
    <w:tbl>
      <w:tblPr>
        <w:tblStyle w:val="TableGrid"/>
        <w:tblW w:w="0" w:type="auto"/>
        <w:tblLook w:val="04A0" w:firstRow="1" w:lastRow="0" w:firstColumn="1" w:lastColumn="0" w:noHBand="0" w:noVBand="1"/>
      </w:tblPr>
      <w:tblGrid>
        <w:gridCol w:w="4811"/>
        <w:gridCol w:w="4811"/>
      </w:tblGrid>
      <w:tr w:rsidR="00F334BE" w14:paraId="59CCE2C6" w14:textId="77777777" w:rsidTr="00F334BE">
        <w:tc>
          <w:tcPr>
            <w:tcW w:w="4811" w:type="dxa"/>
          </w:tcPr>
          <w:p w14:paraId="1E6BBFE3" w14:textId="77777777" w:rsidR="00F334BE" w:rsidRDefault="00F334BE" w:rsidP="00492CA2">
            <w:pPr>
              <w:rPr>
                <w:lang w:val="bg-BG"/>
              </w:rPr>
            </w:pPr>
            <w:r w:rsidRPr="00492CA2">
              <w:rPr>
                <w:lang w:val="bg-BG"/>
              </w:rPr>
              <w:t>Категоризация по дължина на кораба (m)</w:t>
            </w:r>
          </w:p>
        </w:tc>
        <w:tc>
          <w:tcPr>
            <w:tcW w:w="4811" w:type="dxa"/>
          </w:tcPr>
          <w:p w14:paraId="26AD1A0B" w14:textId="77777777" w:rsidR="00F334BE" w:rsidRDefault="00F334BE" w:rsidP="00492CA2">
            <w:pPr>
              <w:rPr>
                <w:lang w:val="bg-BG"/>
              </w:rPr>
            </w:pPr>
            <w:r w:rsidRPr="00492CA2">
              <w:rPr>
                <w:lang w:val="bg-BG"/>
              </w:rPr>
              <w:t>Дневна премия за преустановяване за 1 БТ (лв.)</w:t>
            </w:r>
          </w:p>
        </w:tc>
      </w:tr>
      <w:tr w:rsidR="00F334BE" w14:paraId="78942C05" w14:textId="77777777" w:rsidTr="00F334BE">
        <w:tc>
          <w:tcPr>
            <w:tcW w:w="4811" w:type="dxa"/>
          </w:tcPr>
          <w:p w14:paraId="2424AA69" w14:textId="77777777" w:rsidR="00F334BE" w:rsidRDefault="00F334BE" w:rsidP="00492CA2">
            <w:pPr>
              <w:rPr>
                <w:lang w:val="bg-BG"/>
              </w:rPr>
            </w:pPr>
            <w:r w:rsidRPr="00492CA2">
              <w:rPr>
                <w:lang w:val="bg-BG"/>
              </w:rPr>
              <w:t>&lt;6</w:t>
            </w:r>
          </w:p>
        </w:tc>
        <w:tc>
          <w:tcPr>
            <w:tcW w:w="4811" w:type="dxa"/>
          </w:tcPr>
          <w:p w14:paraId="2DAA47E0" w14:textId="77777777" w:rsidR="00F334BE" w:rsidRDefault="00F334BE" w:rsidP="00492CA2">
            <w:pPr>
              <w:rPr>
                <w:lang w:val="bg-BG"/>
              </w:rPr>
            </w:pPr>
            <w:r w:rsidRPr="00492CA2">
              <w:rPr>
                <w:lang w:val="bg-BG"/>
              </w:rPr>
              <w:t>12,92</w:t>
            </w:r>
          </w:p>
        </w:tc>
      </w:tr>
      <w:tr w:rsidR="00F334BE" w14:paraId="7E3D66D6" w14:textId="77777777" w:rsidTr="00F334BE">
        <w:tc>
          <w:tcPr>
            <w:tcW w:w="4811" w:type="dxa"/>
          </w:tcPr>
          <w:p w14:paraId="6769BF3D" w14:textId="77777777" w:rsidR="00F334BE" w:rsidRDefault="00F334BE" w:rsidP="00492CA2">
            <w:pPr>
              <w:rPr>
                <w:lang w:val="bg-BG"/>
              </w:rPr>
            </w:pPr>
            <w:r w:rsidRPr="00492CA2">
              <w:rPr>
                <w:lang w:val="bg-BG"/>
              </w:rPr>
              <w:t>≥6&lt;12</w:t>
            </w:r>
          </w:p>
        </w:tc>
        <w:tc>
          <w:tcPr>
            <w:tcW w:w="4811" w:type="dxa"/>
          </w:tcPr>
          <w:p w14:paraId="5EDA7813" w14:textId="77777777" w:rsidR="00F334BE" w:rsidRDefault="00F334BE" w:rsidP="00492CA2">
            <w:pPr>
              <w:rPr>
                <w:lang w:val="bg-BG"/>
              </w:rPr>
            </w:pPr>
            <w:r w:rsidRPr="00492CA2">
              <w:rPr>
                <w:lang w:val="bg-BG"/>
              </w:rPr>
              <w:t>12,92</w:t>
            </w:r>
          </w:p>
        </w:tc>
      </w:tr>
      <w:tr w:rsidR="00F334BE" w14:paraId="072A7D39" w14:textId="77777777" w:rsidTr="00F334BE">
        <w:tc>
          <w:tcPr>
            <w:tcW w:w="4811" w:type="dxa"/>
          </w:tcPr>
          <w:p w14:paraId="149F1C33" w14:textId="77777777" w:rsidR="00F334BE" w:rsidRDefault="00F334BE" w:rsidP="00492CA2">
            <w:pPr>
              <w:rPr>
                <w:lang w:val="bg-BG"/>
              </w:rPr>
            </w:pPr>
            <w:r w:rsidRPr="00492CA2">
              <w:rPr>
                <w:lang w:val="bg-BG"/>
              </w:rPr>
              <w:t>≥12&lt;18</w:t>
            </w:r>
          </w:p>
        </w:tc>
        <w:tc>
          <w:tcPr>
            <w:tcW w:w="4811" w:type="dxa"/>
          </w:tcPr>
          <w:p w14:paraId="37099F21" w14:textId="77777777" w:rsidR="00F334BE" w:rsidRDefault="00F334BE" w:rsidP="00492CA2">
            <w:pPr>
              <w:rPr>
                <w:lang w:val="bg-BG"/>
              </w:rPr>
            </w:pPr>
            <w:r w:rsidRPr="00492CA2">
              <w:rPr>
                <w:lang w:val="bg-BG"/>
              </w:rPr>
              <w:t>12,92</w:t>
            </w:r>
          </w:p>
        </w:tc>
      </w:tr>
      <w:tr w:rsidR="00F334BE" w14:paraId="5B460617" w14:textId="77777777" w:rsidTr="00F334BE">
        <w:tc>
          <w:tcPr>
            <w:tcW w:w="4811" w:type="dxa"/>
          </w:tcPr>
          <w:p w14:paraId="0412AB15" w14:textId="77777777" w:rsidR="00F334BE" w:rsidRDefault="00F334BE" w:rsidP="00492CA2">
            <w:pPr>
              <w:rPr>
                <w:lang w:val="bg-BG"/>
              </w:rPr>
            </w:pPr>
            <w:r w:rsidRPr="00492CA2">
              <w:rPr>
                <w:lang w:val="bg-BG"/>
              </w:rPr>
              <w:t>≥18&lt;24</w:t>
            </w:r>
          </w:p>
        </w:tc>
        <w:tc>
          <w:tcPr>
            <w:tcW w:w="4811" w:type="dxa"/>
          </w:tcPr>
          <w:p w14:paraId="5B3A0105" w14:textId="77777777" w:rsidR="00F334BE" w:rsidRDefault="00F334BE" w:rsidP="00492CA2">
            <w:pPr>
              <w:rPr>
                <w:lang w:val="bg-BG"/>
              </w:rPr>
            </w:pPr>
            <w:r w:rsidRPr="00492CA2">
              <w:rPr>
                <w:lang w:val="bg-BG"/>
              </w:rPr>
              <w:t xml:space="preserve">7,75   </w:t>
            </w:r>
          </w:p>
        </w:tc>
      </w:tr>
      <w:tr w:rsidR="00F334BE" w14:paraId="1B1ED6A7" w14:textId="77777777" w:rsidTr="00F334BE">
        <w:tc>
          <w:tcPr>
            <w:tcW w:w="4811" w:type="dxa"/>
          </w:tcPr>
          <w:p w14:paraId="28648210" w14:textId="77777777" w:rsidR="00F334BE" w:rsidRDefault="00F334BE" w:rsidP="00492CA2">
            <w:pPr>
              <w:rPr>
                <w:lang w:val="bg-BG"/>
              </w:rPr>
            </w:pPr>
            <w:r w:rsidRPr="00492CA2">
              <w:rPr>
                <w:lang w:val="bg-BG"/>
              </w:rPr>
              <w:t>≥24</w:t>
            </w:r>
          </w:p>
        </w:tc>
        <w:tc>
          <w:tcPr>
            <w:tcW w:w="4811" w:type="dxa"/>
          </w:tcPr>
          <w:p w14:paraId="32DE7442" w14:textId="77777777" w:rsidR="00F334BE" w:rsidRDefault="00F334BE" w:rsidP="00492CA2">
            <w:pPr>
              <w:rPr>
                <w:lang w:val="bg-BG"/>
              </w:rPr>
            </w:pPr>
            <w:r w:rsidRPr="00492CA2">
              <w:rPr>
                <w:lang w:val="bg-BG"/>
              </w:rPr>
              <w:t xml:space="preserve">4,65    </w:t>
            </w:r>
          </w:p>
        </w:tc>
      </w:tr>
    </w:tbl>
    <w:p w14:paraId="091D93DF" w14:textId="77777777" w:rsidR="00F334BE" w:rsidRPr="00492CA2" w:rsidRDefault="00F334BE" w:rsidP="00492CA2">
      <w:pPr>
        <w:rPr>
          <w:lang w:val="bg-BG"/>
        </w:rPr>
      </w:pPr>
    </w:p>
    <w:p w14:paraId="4EBE8543" w14:textId="77777777" w:rsidR="00492CA2" w:rsidRPr="00492CA2" w:rsidRDefault="00492CA2" w:rsidP="00492CA2">
      <w:pPr>
        <w:rPr>
          <w:lang w:val="bg-BG"/>
        </w:rPr>
      </w:pPr>
      <w:r w:rsidRPr="00492CA2">
        <w:rPr>
          <w:lang w:val="bg-BG"/>
        </w:rPr>
        <w:tab/>
      </w:r>
      <w:r w:rsidRPr="00492CA2">
        <w:rPr>
          <w:lang w:val="bg-BG"/>
        </w:rPr>
        <w:tab/>
      </w:r>
    </w:p>
    <w:p w14:paraId="7E0B3E77" w14:textId="77777777" w:rsidR="00492CA2" w:rsidRPr="00492CA2" w:rsidRDefault="00492CA2" w:rsidP="00492CA2">
      <w:pPr>
        <w:rPr>
          <w:lang w:val="bg-BG"/>
        </w:rPr>
      </w:pPr>
      <w:r w:rsidRPr="00492CA2">
        <w:rPr>
          <w:lang w:val="bg-BG"/>
        </w:rPr>
        <w:t>Сумата от 12,92 лв. за 1БТ е среднодневната стойност на улова на допустимите кораби спрямо 1БТ. Тъй като нито един кораб не е бил непрекъснато на море, среднодневната стойност е изчислена като се раздели средната годишна стойност на улова на 295, защото корабът с най-много дни на море за последните две години е бил на море 590 дни или 295 средно на година. Премиите от 7,75 и 4,65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като над 30 БТ има само 3 кораба (30.06 БТ, 31БТ и 39 БТ). По-раздробена сегментация би довела до свръхкомпенсация на най-малкия сегмент с оглед официалните данни от ИАРА. Сегментът ≥18&lt;24 варира от 31.76 БТ до 86.98 БТ, а ≥24 от 76.33 БТ до 117.36 БТ. Тази методология и сегментация позволява да се предостави обективно подпомагане и да се избегне свръхкомпенсация. С ог</w:t>
      </w:r>
      <w:r w:rsidR="00D83F4B">
        <w:rPr>
          <w:lang w:val="bg-BG"/>
        </w:rPr>
        <w:t>лед практиката на други държави-</w:t>
      </w:r>
      <w:r w:rsidRPr="00492CA2">
        <w:rPr>
          <w:lang w:val="bg-BG"/>
        </w:rPr>
        <w:t>членки по тази мярка, премията за 1 БТ се намалява за по-големите риболовни кораби.</w:t>
      </w:r>
    </w:p>
    <w:p w14:paraId="1068675A" w14:textId="77777777" w:rsidR="00492CA2" w:rsidRPr="00492CA2" w:rsidRDefault="00492CA2" w:rsidP="00492CA2">
      <w:pPr>
        <w:rPr>
          <w:lang w:val="bg-BG"/>
        </w:rPr>
      </w:pPr>
    </w:p>
    <w:p w14:paraId="10518E96" w14:textId="77777777" w:rsidR="00492CA2" w:rsidRPr="00492CA2" w:rsidRDefault="00492CA2" w:rsidP="00492CA2">
      <w:pPr>
        <w:rPr>
          <w:lang w:val="bg-BG"/>
        </w:rPr>
      </w:pPr>
      <w:r w:rsidRPr="00492CA2">
        <w:rPr>
          <w:lang w:val="bg-BG"/>
        </w:rPr>
        <w:t xml:space="preserve">За определяне на стойността на А – Допълнителна премия за административни разходи на собствениците на риболовни кораби са ползвани официални данни от „Рибни ресурси” ЕООД. </w:t>
      </w:r>
    </w:p>
    <w:p w14:paraId="23D7CE63" w14:textId="77777777" w:rsidR="00492CA2" w:rsidRPr="00492CA2" w:rsidRDefault="00492CA2" w:rsidP="00492CA2">
      <w:pPr>
        <w:rPr>
          <w:lang w:val="bg-BG"/>
        </w:rPr>
      </w:pPr>
      <w:r w:rsidRPr="00492CA2">
        <w:rPr>
          <w:lang w:val="bg-BG"/>
        </w:rPr>
        <w:t>За определяне на стойността на P -  Дневна премия за преустанвяване за 1 БТ са ползвани официални данни от ИАРА.</w:t>
      </w:r>
    </w:p>
    <w:p w14:paraId="291560CB" w14:textId="77777777" w:rsidR="00492CA2" w:rsidRPr="00492CA2" w:rsidRDefault="00492CA2" w:rsidP="00492CA2">
      <w:pPr>
        <w:rPr>
          <w:lang w:val="bg-BG"/>
        </w:rPr>
      </w:pPr>
      <w:r w:rsidRPr="00492CA2">
        <w:rPr>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14:paraId="342F0165" w14:textId="77777777" w:rsidR="00D83F4B" w:rsidRDefault="00D83F4B" w:rsidP="00492CA2">
      <w:pPr>
        <w:rPr>
          <w:lang w:val="bg-BG"/>
        </w:rPr>
      </w:pPr>
    </w:p>
    <w:p w14:paraId="0A555BA2" w14:textId="77777777" w:rsidR="00D83F4B" w:rsidRDefault="00D83F4B" w:rsidP="005B77E6">
      <w:pPr>
        <w:pStyle w:val="ListParagraph"/>
        <w:numPr>
          <w:ilvl w:val="0"/>
          <w:numId w:val="9"/>
        </w:numPr>
        <w:rPr>
          <w:lang w:val="bg-BG"/>
        </w:rPr>
      </w:pPr>
      <w:r w:rsidRPr="005B77E6">
        <w:rPr>
          <w:lang w:val="bg-BG"/>
        </w:rPr>
        <w:t xml:space="preserve">Определяне на компенсациите за </w:t>
      </w:r>
      <w:r w:rsidR="005B77E6" w:rsidRPr="005B77E6">
        <w:rPr>
          <w:lang w:val="bg-BG"/>
        </w:rPr>
        <w:t xml:space="preserve">рибари, включително и такива, които не използват кораби </w:t>
      </w:r>
      <w:r w:rsidRPr="005B77E6">
        <w:rPr>
          <w:lang w:val="bg-BG"/>
        </w:rPr>
        <w:t>поради временно преустан</w:t>
      </w:r>
      <w:r w:rsidR="005B77E6">
        <w:rPr>
          <w:lang w:val="bg-BG"/>
        </w:rPr>
        <w:t>овяване на риболовните дейности.</w:t>
      </w:r>
    </w:p>
    <w:p w14:paraId="07A90476" w14:textId="77777777" w:rsidR="005B77E6" w:rsidRPr="005B77E6" w:rsidRDefault="005B77E6" w:rsidP="005B77E6">
      <w:pPr>
        <w:ind w:left="360"/>
        <w:rPr>
          <w:lang w:val="bg-BG"/>
        </w:rPr>
      </w:pPr>
    </w:p>
    <w:p w14:paraId="7A1CD597" w14:textId="77777777" w:rsidR="00D83F4B" w:rsidRDefault="00D83F4B" w:rsidP="00D83F4B">
      <w:pPr>
        <w:rPr>
          <w:lang w:val="bg-BG"/>
        </w:rPr>
      </w:pPr>
      <w:r w:rsidRPr="00D83F4B">
        <w:rPr>
          <w:lang w:val="bg-BG"/>
        </w:rPr>
        <w:t xml:space="preserve">Компенсацията за рибарите е изчислена като е взет предвид минималния осигурителен доход за 2020 г. за членовете на екипажа и на тази база е изчислено среднодневното възнаграждение. Въз основа на този подход бенефициентите ще получават компенсация за ден прекъсване на риболовните дейности. Сумата определена по този начин се равнява на 29,05 лв. на ден. Дните по време на временно спиране, при което </w:t>
      </w:r>
      <w:r w:rsidR="005B77E6">
        <w:rPr>
          <w:lang w:val="bg-BG"/>
        </w:rPr>
        <w:t>операторът</w:t>
      </w:r>
      <w:r w:rsidRPr="00D83F4B">
        <w:rPr>
          <w:lang w:val="bg-BG"/>
        </w:rPr>
        <w:t xml:space="preserve"> използва отпуск по болест или платен/неплатен отпуск, не се включват в изчислението на премията за времето на преустановяване на дейността.</w:t>
      </w:r>
    </w:p>
    <w:p w14:paraId="3F3B00EF" w14:textId="77777777" w:rsidR="00D83F4B" w:rsidRDefault="00D83F4B" w:rsidP="00492CA2">
      <w:pPr>
        <w:rPr>
          <w:lang w:val="bg-BG"/>
        </w:rPr>
      </w:pPr>
    </w:p>
    <w:p w14:paraId="559FAD0F" w14:textId="77777777" w:rsidR="00492CA2" w:rsidRDefault="00492CA2" w:rsidP="00492CA2">
      <w:pPr>
        <w:rPr>
          <w:lang w:val="bg-BG"/>
        </w:rPr>
      </w:pPr>
    </w:p>
    <w:p w14:paraId="69BF094A" w14:textId="77777777" w:rsidR="005B77E6" w:rsidRDefault="005B77E6" w:rsidP="00492CA2">
      <w:pPr>
        <w:rPr>
          <w:lang w:val="bg-BG"/>
        </w:rPr>
      </w:pPr>
    </w:p>
    <w:p w14:paraId="60D44ADA" w14:textId="77777777" w:rsidR="005B77E6" w:rsidRDefault="005B77E6" w:rsidP="00492CA2">
      <w:pPr>
        <w:rPr>
          <w:lang w:val="bg-BG"/>
        </w:rPr>
      </w:pPr>
    </w:p>
    <w:p w14:paraId="4B486769" w14:textId="77777777" w:rsidR="005B77E6" w:rsidRDefault="005B77E6" w:rsidP="00492CA2">
      <w:pPr>
        <w:rPr>
          <w:lang w:val="bg-BG"/>
        </w:rPr>
      </w:pPr>
    </w:p>
    <w:p w14:paraId="33B3F54C" w14:textId="77777777" w:rsidR="005B77E6" w:rsidRDefault="005B77E6" w:rsidP="00492CA2">
      <w:pPr>
        <w:rPr>
          <w:lang w:val="bg-BG"/>
        </w:rPr>
      </w:pPr>
    </w:p>
    <w:p w14:paraId="19D62965" w14:textId="77777777" w:rsidR="005B77E6" w:rsidRDefault="005B77E6" w:rsidP="00492CA2">
      <w:pPr>
        <w:rPr>
          <w:lang w:val="bg-BG"/>
        </w:rPr>
      </w:pPr>
    </w:p>
    <w:p w14:paraId="47FED7CA" w14:textId="77777777" w:rsidR="005B77E6" w:rsidRPr="00492CA2" w:rsidRDefault="005B77E6" w:rsidP="00492CA2">
      <w:pPr>
        <w:rPr>
          <w:lang w:val="bg-BG"/>
        </w:rPr>
      </w:pPr>
    </w:p>
    <w:p w14:paraId="16A940E5" w14:textId="77777777" w:rsidR="00492CA2" w:rsidRDefault="00492CA2">
      <w:pPr>
        <w:rPr>
          <w:lang w:val="bg-BG"/>
        </w:rPr>
      </w:pPr>
    </w:p>
    <w:p w14:paraId="762B42DE" w14:textId="77777777" w:rsidR="00492CA2" w:rsidRDefault="00492CA2">
      <w:pPr>
        <w:rPr>
          <w:lang w:val="bg-BG"/>
        </w:rPr>
      </w:pPr>
    </w:p>
    <w:p w14:paraId="74B128E5" w14:textId="77777777" w:rsidR="00492CA2" w:rsidRDefault="00492CA2">
      <w:pPr>
        <w:rPr>
          <w:lang w:val="bg-BG"/>
        </w:rPr>
      </w:pPr>
    </w:p>
    <w:p w14:paraId="4B7AC8E9" w14:textId="77777777" w:rsidR="00492CA2" w:rsidRDefault="00492CA2">
      <w:pPr>
        <w:rPr>
          <w:lang w:val="bg-BG"/>
        </w:rPr>
      </w:pPr>
    </w:p>
    <w:p w14:paraId="407A65E4" w14:textId="77777777" w:rsidR="00492CA2" w:rsidRDefault="00492CA2" w:rsidP="00492CA2">
      <w:pPr>
        <w:pBdr>
          <w:top w:val="single" w:sz="4" w:space="1" w:color="auto"/>
        </w:pBdr>
        <w:jc w:val="center"/>
        <w:rPr>
          <w:lang w:val="bg-BG"/>
        </w:rPr>
      </w:pPr>
    </w:p>
    <w:p w14:paraId="32A3AE1A" w14:textId="77777777" w:rsidR="00492CA2" w:rsidRPr="00492CA2" w:rsidRDefault="007F00BF">
      <w:pPr>
        <w:rPr>
          <w:b/>
          <w:lang w:val="bg-BG"/>
        </w:rPr>
      </w:pPr>
      <w:r w:rsidRPr="00DF635B">
        <w:rPr>
          <w:b/>
          <w:lang w:val="bg-BG"/>
        </w:rPr>
        <w:t xml:space="preserve">Текстът на предложената методика за изчисление на премията не е окончателен. След </w:t>
      </w:r>
      <w:r>
        <w:rPr>
          <w:b/>
          <w:lang w:val="bg-BG"/>
        </w:rPr>
        <w:t>фина</w:t>
      </w:r>
      <w:r w:rsidRPr="00DF635B">
        <w:rPr>
          <w:b/>
          <w:lang w:val="bg-BG"/>
        </w:rPr>
        <w:t>лното приемане на текстовете на регламента и неговото официално публикуване, ще бъде предоставена за преглед и одобрение от Европейската комисия</w:t>
      </w:r>
      <w:r>
        <w:rPr>
          <w:b/>
          <w:lang w:val="bg-BG"/>
        </w:rPr>
        <w:t xml:space="preserve"> (ЕК)</w:t>
      </w:r>
      <w:r w:rsidRPr="00DF635B">
        <w:rPr>
          <w:b/>
          <w:lang w:val="bg-BG"/>
        </w:rPr>
        <w:t>.</w:t>
      </w:r>
      <w:r>
        <w:rPr>
          <w:b/>
          <w:lang w:val="bg-BG"/>
        </w:rPr>
        <w:t xml:space="preserve"> Към настоящия момент ЕК отказва да изразява мнение по методиките, поради липсата на окончателни разпоредби.</w:t>
      </w:r>
    </w:p>
    <w:sectPr w:rsidR="00492CA2" w:rsidRPr="00492CA2">
      <w:footerReference w:type="default" r:id="rId9"/>
      <w:pgSz w:w="12240" w:h="15840"/>
      <w:pgMar w:top="1417" w:right="1417" w:bottom="1417" w:left="1417"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4AA8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F34A7" w14:textId="77777777" w:rsidR="00A023AB" w:rsidRDefault="00A023AB">
      <w:r>
        <w:separator/>
      </w:r>
    </w:p>
  </w:endnote>
  <w:endnote w:type="continuationSeparator" w:id="0">
    <w:p w14:paraId="456297B7" w14:textId="77777777" w:rsidR="00A023AB" w:rsidRDefault="00A02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9C929" w14:textId="77777777" w:rsidR="00511412" w:rsidRDefault="00655FF2">
    <w:pPr>
      <w:pStyle w:val="BodyText"/>
      <w:spacing w:line="14" w:lineRule="auto"/>
      <w:rPr>
        <w:b w:val="0"/>
        <w:i w:val="0"/>
        <w:sz w:val="20"/>
        <w:u w:val="none"/>
      </w:rPr>
    </w:pPr>
    <w:r>
      <w:rPr>
        <w:noProof/>
      </w:rPr>
      <mc:AlternateContent>
        <mc:Choice Requires="wps">
          <w:drawing>
            <wp:anchor distT="0" distB="0" distL="114300" distR="114300" simplePos="0" relativeHeight="251659264" behindDoc="1" locked="0" layoutInCell="1" allowOverlap="1" wp14:anchorId="779D4EE8" wp14:editId="68E91BC1">
              <wp:simplePos x="0" y="0"/>
              <wp:positionH relativeFrom="page">
                <wp:posOffset>719455</wp:posOffset>
              </wp:positionH>
              <wp:positionV relativeFrom="page">
                <wp:posOffset>9847580</wp:posOffset>
              </wp:positionV>
              <wp:extent cx="6123305" cy="635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330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61FE7FB" id="Rectangle 5" o:spid="_x0000_s1026" style="position:absolute;margin-left:56.65pt;margin-top:775.4pt;width:482.1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" fillcolor="black" stroked="f">
              <w10:wrap anchorx="page" anchory="page"/>
            </v:rect>
          </w:pict>
        </mc:Fallback>
      </mc:AlternateContent>
    </w:r>
    <w:r>
      <w:rPr>
        <w:noProof/>
      </w:rPr>
      <mc:AlternateContent>
        <mc:Choice Requires="wps">
          <w:drawing>
            <wp:anchor distT="0" distB="0" distL="114300" distR="114300" simplePos="0" relativeHeight="251660288" behindDoc="1" locked="0" layoutInCell="1" allowOverlap="1" wp14:anchorId="51DAB685" wp14:editId="4E98EC60">
              <wp:simplePos x="0" y="0"/>
              <wp:positionH relativeFrom="page">
                <wp:posOffset>706755</wp:posOffset>
              </wp:positionH>
              <wp:positionV relativeFrom="page">
                <wp:posOffset>9871710</wp:posOffset>
              </wp:positionV>
              <wp:extent cx="1083945" cy="395605"/>
              <wp:effectExtent l="0" t="0" r="1905"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DE59E" w14:textId="77777777" w:rsidR="00511412" w:rsidRDefault="00655FF2">
                          <w:pPr>
                            <w:spacing w:before="10" w:line="276" w:lineRule="auto"/>
                            <w:ind w:left="20"/>
                            <w:rPr>
                              <w:sz w:val="24"/>
                            </w:rPr>
                          </w:pPr>
                          <w:r>
                            <w:rPr>
                              <w:sz w:val="24"/>
                            </w:rPr>
                            <w:t>14962/19 ADD 1 ANNEX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1DAB685" id="_x0000_t202" coordsize="21600,21600" o:spt="202" path="m,l,21600r21600,l21600,xe">
              <v:stroke joinstyle="miter"/>
              <v:path gradientshapeok="t" o:connecttype="rect"/>
            </v:shapetype>
            <v:shape id="Text Box 4" o:spid="_x0000_s1026" type="#_x0000_t202" style="position:absolute;margin-left:55.65pt;margin-top:777.3pt;width:85.35pt;height:31.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" filled="f" stroked="f">
              <v:textbox inset="0,0,0,0">
                <w:txbxContent>
                  <w:p w14:paraId="752DE59E" w14:textId="77777777" w:rsidR="00511412" w:rsidRDefault="00655FF2">
                    <w:pPr>
                      <w:spacing w:before="10" w:line="276" w:lineRule="auto"/>
                      <w:ind w:left="20"/>
                      <w:rPr>
                        <w:sz w:val="24"/>
                      </w:rPr>
                    </w:pPr>
                    <w:r>
                      <w:rPr>
                        <w:sz w:val="24"/>
                      </w:rPr>
                      <w:t>14962/19 ADD 1 ANNEX</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5BB0F378" wp14:editId="2E791F35">
              <wp:simplePos x="0" y="0"/>
              <wp:positionH relativeFrom="page">
                <wp:posOffset>4909185</wp:posOffset>
              </wp:positionH>
              <wp:positionV relativeFrom="page">
                <wp:posOffset>9871710</wp:posOffset>
              </wp:positionV>
              <wp:extent cx="845820" cy="194310"/>
              <wp:effectExtent l="0" t="0" r="11430" b="152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2CBF9" w14:textId="77777777" w:rsidR="00511412" w:rsidRDefault="00655FF2">
                          <w:pPr>
                            <w:spacing w:before="10"/>
                            <w:ind w:left="20"/>
                            <w:rPr>
                              <w:sz w:val="24"/>
                            </w:rPr>
                          </w:pPr>
                          <w:r>
                            <w:rPr>
                              <w:sz w:val="24"/>
                            </w:rPr>
                            <w:t>AFG/NTC/cs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BB0F378" id="Text Box 3" o:spid="_x0000_s1027" type="#_x0000_t202" style="position:absolute;margin-left:386.55pt;margin-top:777.3pt;width:66.6pt;height:15.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" filled="f" stroked="f">
              <v:textbox inset="0,0,0,0">
                <w:txbxContent>
                  <w:p w14:paraId="2472CBF9" w14:textId="77777777" w:rsidR="00511412" w:rsidRDefault="00655FF2">
                    <w:pPr>
                      <w:spacing w:before="10"/>
                      <w:ind w:left="20"/>
                      <w:rPr>
                        <w:sz w:val="24"/>
                      </w:rPr>
                    </w:pPr>
                    <w:r>
                      <w:rPr>
                        <w:sz w:val="24"/>
                      </w:rPr>
                      <w:t>AFG/NTC/cs</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77AEFB35" wp14:editId="0EE820FC">
              <wp:simplePos x="0" y="0"/>
              <wp:positionH relativeFrom="page">
                <wp:posOffset>6537325</wp:posOffset>
              </wp:positionH>
              <wp:positionV relativeFrom="page">
                <wp:posOffset>9871710</wp:posOffset>
              </wp:positionV>
              <wp:extent cx="343535" cy="459105"/>
              <wp:effectExtent l="0" t="0" r="18415" b="171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395C6" w14:textId="191FA159" w:rsidR="00511412" w:rsidRDefault="00655FF2">
                          <w:pPr>
                            <w:spacing w:before="10"/>
                            <w:ind w:left="240"/>
                            <w:rPr>
                              <w:sz w:val="24"/>
                            </w:rPr>
                          </w:pPr>
                          <w:r>
                            <w:fldChar w:fldCharType="begin"/>
                          </w:r>
                          <w:r>
                            <w:rPr>
                              <w:sz w:val="24"/>
                            </w:rPr>
                            <w:instrText xml:space="preserve"> PAGE </w:instrText>
                          </w:r>
                          <w:r>
                            <w:fldChar w:fldCharType="separate"/>
                          </w:r>
                          <w:r w:rsidR="00AD5A87">
                            <w:rPr>
                              <w:noProof/>
                              <w:sz w:val="24"/>
                            </w:rPr>
                            <w:t>2</w:t>
                          </w:r>
                          <w:r>
                            <w:fldChar w:fldCharType="end"/>
                          </w:r>
                        </w:p>
                        <w:p w14:paraId="53758FD7" w14:textId="77777777" w:rsidR="00511412" w:rsidRDefault="00655FF2">
                          <w:pPr>
                            <w:spacing w:before="3"/>
                            <w:ind w:left="20"/>
                            <w:rPr>
                              <w:b/>
                              <w:sz w:val="36"/>
                            </w:rPr>
                          </w:pPr>
                          <w:r>
                            <w:rPr>
                              <w:b/>
                              <w:spacing w:val="-20"/>
                              <w:sz w:val="36"/>
                            </w:rPr>
                            <w:t>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14.75pt;margin-top:777.3pt;width:27.05pt;height:36.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" filled="f" stroked="f">
              <v:textbox inset="0,0,0,0">
                <w:txbxContent>
                  <w:p w14:paraId="3C6395C6" w14:textId="191FA159" w:rsidR="00511412" w:rsidRDefault="00655FF2">
                    <w:pPr>
                      <w:spacing w:before="10"/>
                      <w:ind w:left="240"/>
                      <w:rPr>
                        <w:sz w:val="24"/>
                      </w:rPr>
                    </w:pPr>
                    <w:r>
                      <w:fldChar w:fldCharType="begin"/>
                    </w:r>
                    <w:r>
                      <w:rPr>
                        <w:sz w:val="24"/>
                      </w:rPr>
                      <w:instrText xml:space="preserve"> PAGE </w:instrText>
                    </w:r>
                    <w:r>
                      <w:fldChar w:fldCharType="separate"/>
                    </w:r>
                    <w:r w:rsidR="00AD5A87">
                      <w:rPr>
                        <w:noProof/>
                        <w:sz w:val="24"/>
                      </w:rPr>
                      <w:t>2</w:t>
                    </w:r>
                    <w:r>
                      <w:fldChar w:fldCharType="end"/>
                    </w:r>
                  </w:p>
                  <w:p w14:paraId="53758FD7" w14:textId="77777777" w:rsidR="00511412" w:rsidRDefault="00655FF2">
                    <w:pPr>
                      <w:spacing w:before="3"/>
                      <w:ind w:left="20"/>
                      <w:rPr>
                        <w:b/>
                        <w:sz w:val="36"/>
                      </w:rPr>
                    </w:pPr>
                    <w:r>
                      <w:rPr>
                        <w:b/>
                        <w:spacing w:val="-20"/>
                        <w:sz w:val="36"/>
                      </w:rPr>
                      <w:t>EN</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7A46196B" wp14:editId="6E4A0EB6">
              <wp:simplePos x="0" y="0"/>
              <wp:positionH relativeFrom="page">
                <wp:posOffset>3450590</wp:posOffset>
              </wp:positionH>
              <wp:positionV relativeFrom="page">
                <wp:posOffset>10072370</wp:posOffset>
              </wp:positionV>
              <wp:extent cx="665480" cy="194310"/>
              <wp:effectExtent l="0" t="0" r="1270"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C02" w14:textId="77777777" w:rsidR="00511412" w:rsidRDefault="00655FF2">
                          <w:pPr>
                            <w:spacing w:before="10"/>
                            <w:ind w:left="20"/>
                            <w:rPr>
                              <w:sz w:val="24"/>
                            </w:rPr>
                          </w:pPr>
                          <w:r>
                            <w:rPr>
                              <w:sz w:val="24"/>
                            </w:rPr>
                            <w:t>ECOMP.2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A46196B" id="Text Box 1" o:spid="_x0000_s1029" type="#_x0000_t202" style="position:absolute;margin-left:271.7pt;margin-top:793.1pt;width:52.4pt;height:15.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" filled="f" stroked="f">
              <v:textbox inset="0,0,0,0">
                <w:txbxContent>
                  <w:p w14:paraId="2F245C02" w14:textId="77777777" w:rsidR="00511412" w:rsidRDefault="00655FF2">
                    <w:pPr>
                      <w:spacing w:before="10"/>
                      <w:ind w:left="20"/>
                      <w:rPr>
                        <w:sz w:val="24"/>
                      </w:rPr>
                    </w:pPr>
                    <w:r>
                      <w:rPr>
                        <w:sz w:val="24"/>
                      </w:rPr>
                      <w:t>ECOMP.2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5E04D" w14:textId="77777777" w:rsidR="00A023AB" w:rsidRDefault="00A023AB">
      <w:r>
        <w:separator/>
      </w:r>
    </w:p>
  </w:footnote>
  <w:footnote w:type="continuationSeparator" w:id="0">
    <w:p w14:paraId="4D9DA370" w14:textId="77777777" w:rsidR="00A023AB" w:rsidRDefault="00A023AB">
      <w:r>
        <w:continuationSeparator/>
      </w:r>
    </w:p>
  </w:footnote>
  <w:footnote w:id="1">
    <w:p w14:paraId="2A234B3D" w14:textId="77777777" w:rsidR="006E54CF" w:rsidRPr="006E54CF" w:rsidRDefault="006E54CF">
      <w:pPr>
        <w:pStyle w:val="FootnoteText"/>
        <w:rPr>
          <w:lang w:val="bg-BG"/>
        </w:rPr>
      </w:pPr>
      <w:r>
        <w:rPr>
          <w:rStyle w:val="FootnoteReference"/>
        </w:rPr>
        <w:footnoteRef/>
      </w:r>
      <w:r>
        <w:t xml:space="preserve"> </w:t>
      </w:r>
      <w:r w:rsidRPr="006E54CF">
        <w:t>член 7, параграф 1, букви а), б), в), и) и й) от Регламент (ЕС) № 1380/2013</w:t>
      </w:r>
    </w:p>
  </w:footnote>
  <w:footnote w:id="2">
    <w:p w14:paraId="270A2506" w14:textId="77777777" w:rsidR="006E54CF" w:rsidRPr="006E54CF" w:rsidRDefault="006E54CF">
      <w:pPr>
        <w:pStyle w:val="FootnoteText"/>
        <w:rPr>
          <w:lang w:val="bg-BG"/>
        </w:rPr>
      </w:pPr>
      <w:r>
        <w:rPr>
          <w:rStyle w:val="FootnoteReference"/>
        </w:rPr>
        <w:footnoteRef/>
      </w:r>
      <w:r>
        <w:t xml:space="preserve"> </w:t>
      </w:r>
      <w:r w:rsidRPr="006E54CF">
        <w:t>член 12 от Регламент (ЕС) № 1380/2013</w:t>
      </w:r>
    </w:p>
  </w:footnote>
  <w:footnote w:id="3">
    <w:p w14:paraId="4B3B240E" w14:textId="77777777" w:rsidR="006E54CF" w:rsidRPr="006E54CF" w:rsidRDefault="006E54CF">
      <w:pPr>
        <w:pStyle w:val="FootnoteText"/>
        <w:rPr>
          <w:lang w:val="bg-BG"/>
        </w:rPr>
      </w:pPr>
      <w:r>
        <w:rPr>
          <w:rStyle w:val="FootnoteReference"/>
        </w:rPr>
        <w:footnoteRef/>
      </w:r>
      <w:r>
        <w:t xml:space="preserve"> </w:t>
      </w:r>
      <w:r w:rsidRPr="006E54CF">
        <w:t>член 13 от Регламент (ЕС) 1380/2013</w:t>
      </w:r>
    </w:p>
  </w:footnote>
  <w:footnote w:id="4">
    <w:p w14:paraId="36E314DD" w14:textId="77777777" w:rsidR="009B192E" w:rsidRPr="009B192E" w:rsidRDefault="009B192E">
      <w:pPr>
        <w:pStyle w:val="FootnoteText"/>
        <w:rPr>
          <w:lang w:val="bg-BG"/>
        </w:rPr>
      </w:pPr>
      <w:r>
        <w:rPr>
          <w:rStyle w:val="FootnoteReference"/>
        </w:rPr>
        <w:footnoteRef/>
      </w:r>
      <w:r>
        <w:t xml:space="preserve"> </w:t>
      </w:r>
      <w:r w:rsidR="00181AB5">
        <w:rPr>
          <w:lang w:val="bg-BG"/>
        </w:rPr>
        <w:t>Водят се преговори за увеличение на максималната продължителност от 6 месеца на 12 месеца.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369DB"/>
    <w:multiLevelType w:val="hybridMultilevel"/>
    <w:tmpl w:val="A3184730"/>
    <w:lvl w:ilvl="0" w:tplc="8CC0459A">
      <w:start w:val="1"/>
      <w:numFmt w:val="upperLetter"/>
      <w:lvlText w:val="%1."/>
      <w:lvlJc w:val="left"/>
      <w:pPr>
        <w:ind w:left="779" w:hanging="567"/>
      </w:pPr>
      <w:rPr>
        <w:rFonts w:ascii="Times New Roman" w:eastAsia="Times New Roman" w:hAnsi="Times New Roman" w:cs="Times New Roman" w:hint="default"/>
        <w:b/>
        <w:bCs/>
        <w:spacing w:val="-4"/>
        <w:w w:val="99"/>
        <w:sz w:val="24"/>
        <w:szCs w:val="24"/>
        <w:u w:val="thick" w:color="000000"/>
        <w:lang w:val="en-US" w:eastAsia="en-US" w:bidi="ar-SA"/>
      </w:rPr>
    </w:lvl>
    <w:lvl w:ilvl="1" w:tplc="A400255A">
      <w:numFmt w:val="bullet"/>
      <w:lvlText w:val="•"/>
      <w:lvlJc w:val="left"/>
      <w:pPr>
        <w:ind w:left="2203" w:hanging="567"/>
      </w:pPr>
      <w:rPr>
        <w:rFonts w:hint="default"/>
        <w:lang w:val="en-US" w:eastAsia="en-US" w:bidi="ar-SA"/>
      </w:rPr>
    </w:lvl>
    <w:lvl w:ilvl="2" w:tplc="644C5068">
      <w:numFmt w:val="bullet"/>
      <w:lvlText w:val="•"/>
      <w:lvlJc w:val="left"/>
      <w:pPr>
        <w:ind w:left="3627" w:hanging="567"/>
      </w:pPr>
      <w:rPr>
        <w:rFonts w:hint="default"/>
        <w:lang w:val="en-US" w:eastAsia="en-US" w:bidi="ar-SA"/>
      </w:rPr>
    </w:lvl>
    <w:lvl w:ilvl="3" w:tplc="24C88D7C">
      <w:numFmt w:val="bullet"/>
      <w:lvlText w:val="•"/>
      <w:lvlJc w:val="left"/>
      <w:pPr>
        <w:ind w:left="5051" w:hanging="567"/>
      </w:pPr>
      <w:rPr>
        <w:rFonts w:hint="default"/>
        <w:lang w:val="en-US" w:eastAsia="en-US" w:bidi="ar-SA"/>
      </w:rPr>
    </w:lvl>
    <w:lvl w:ilvl="4" w:tplc="411AD31E">
      <w:numFmt w:val="bullet"/>
      <w:lvlText w:val="•"/>
      <w:lvlJc w:val="left"/>
      <w:pPr>
        <w:ind w:left="6475" w:hanging="567"/>
      </w:pPr>
      <w:rPr>
        <w:rFonts w:hint="default"/>
        <w:lang w:val="en-US" w:eastAsia="en-US" w:bidi="ar-SA"/>
      </w:rPr>
    </w:lvl>
    <w:lvl w:ilvl="5" w:tplc="DC764CB4">
      <w:numFmt w:val="bullet"/>
      <w:lvlText w:val="•"/>
      <w:lvlJc w:val="left"/>
      <w:pPr>
        <w:ind w:left="7899" w:hanging="567"/>
      </w:pPr>
      <w:rPr>
        <w:rFonts w:hint="default"/>
        <w:lang w:val="en-US" w:eastAsia="en-US" w:bidi="ar-SA"/>
      </w:rPr>
    </w:lvl>
    <w:lvl w:ilvl="6" w:tplc="11901BB4">
      <w:numFmt w:val="bullet"/>
      <w:lvlText w:val="•"/>
      <w:lvlJc w:val="left"/>
      <w:pPr>
        <w:ind w:left="9323" w:hanging="567"/>
      </w:pPr>
      <w:rPr>
        <w:rFonts w:hint="default"/>
        <w:lang w:val="en-US" w:eastAsia="en-US" w:bidi="ar-SA"/>
      </w:rPr>
    </w:lvl>
    <w:lvl w:ilvl="7" w:tplc="2C1A27EE">
      <w:numFmt w:val="bullet"/>
      <w:lvlText w:val="•"/>
      <w:lvlJc w:val="left"/>
      <w:pPr>
        <w:ind w:left="10746" w:hanging="567"/>
      </w:pPr>
      <w:rPr>
        <w:rFonts w:hint="default"/>
        <w:lang w:val="en-US" w:eastAsia="en-US" w:bidi="ar-SA"/>
      </w:rPr>
    </w:lvl>
    <w:lvl w:ilvl="8" w:tplc="4F587CDC">
      <w:numFmt w:val="bullet"/>
      <w:lvlText w:val="•"/>
      <w:lvlJc w:val="left"/>
      <w:pPr>
        <w:ind w:left="12170" w:hanging="567"/>
      </w:pPr>
      <w:rPr>
        <w:rFonts w:hint="default"/>
        <w:lang w:val="en-US" w:eastAsia="en-US" w:bidi="ar-SA"/>
      </w:rPr>
    </w:lvl>
  </w:abstractNum>
  <w:abstractNum w:abstractNumId="1">
    <w:nsid w:val="0DB17EDC"/>
    <w:multiLevelType w:val="hybridMultilevel"/>
    <w:tmpl w:val="376C8378"/>
    <w:lvl w:ilvl="0" w:tplc="CDAE3120">
      <w:numFmt w:val="bullet"/>
      <w:lvlText w:val="-"/>
      <w:lvlJc w:val="left"/>
      <w:pPr>
        <w:ind w:left="920" w:hanging="360"/>
      </w:pPr>
      <w:rPr>
        <w:rFonts w:ascii="Times New Roman" w:eastAsia="Times New Roman" w:hAnsi="Times New Roman" w:cs="Times New Roman" w:hint="default"/>
        <w:w w:val="99"/>
        <w:sz w:val="24"/>
        <w:szCs w:val="24"/>
        <w:lang w:val="en-US" w:eastAsia="en-US" w:bidi="ar-SA"/>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
    <w:nsid w:val="18DC693A"/>
    <w:multiLevelType w:val="hybridMultilevel"/>
    <w:tmpl w:val="14767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A130E2"/>
    <w:multiLevelType w:val="multilevel"/>
    <w:tmpl w:val="0290CC24"/>
    <w:lvl w:ilvl="0">
      <w:start w:val="1"/>
      <w:numFmt w:val="decimal"/>
      <w:lvlText w:val="%1."/>
      <w:lvlJc w:val="left"/>
      <w:pPr>
        <w:ind w:left="420" w:hanging="420"/>
      </w:pPr>
      <w:rPr>
        <w:rFonts w:hint="default"/>
      </w:rPr>
    </w:lvl>
    <w:lvl w:ilvl="1">
      <w:start w:val="1"/>
      <w:numFmt w:val="decimal"/>
      <w:lvlText w:val="%1.%2."/>
      <w:lvlJc w:val="left"/>
      <w:pPr>
        <w:ind w:left="527" w:hanging="420"/>
      </w:pPr>
      <w:rPr>
        <w:rFonts w:hint="default"/>
      </w:rPr>
    </w:lvl>
    <w:lvl w:ilvl="2">
      <w:start w:val="1"/>
      <w:numFmt w:val="decimal"/>
      <w:lvlText w:val="%1.%2.%3."/>
      <w:lvlJc w:val="left"/>
      <w:pPr>
        <w:ind w:left="934" w:hanging="720"/>
      </w:pPr>
      <w:rPr>
        <w:rFonts w:hint="default"/>
      </w:rPr>
    </w:lvl>
    <w:lvl w:ilvl="3">
      <w:start w:val="1"/>
      <w:numFmt w:val="decimal"/>
      <w:lvlText w:val="%1.%2.%3.%4."/>
      <w:lvlJc w:val="left"/>
      <w:pPr>
        <w:ind w:left="1041" w:hanging="720"/>
      </w:pPr>
      <w:rPr>
        <w:rFonts w:hint="default"/>
      </w:rPr>
    </w:lvl>
    <w:lvl w:ilvl="4">
      <w:start w:val="1"/>
      <w:numFmt w:val="decimal"/>
      <w:lvlText w:val="%1.%2.%3.%4.%5."/>
      <w:lvlJc w:val="left"/>
      <w:pPr>
        <w:ind w:left="1508" w:hanging="1080"/>
      </w:pPr>
      <w:rPr>
        <w:rFonts w:hint="default"/>
      </w:rPr>
    </w:lvl>
    <w:lvl w:ilvl="5">
      <w:start w:val="1"/>
      <w:numFmt w:val="decimal"/>
      <w:lvlText w:val="%1.%2.%3.%4.%5.%6."/>
      <w:lvlJc w:val="left"/>
      <w:pPr>
        <w:ind w:left="1615" w:hanging="1080"/>
      </w:pPr>
      <w:rPr>
        <w:rFonts w:hint="default"/>
      </w:rPr>
    </w:lvl>
    <w:lvl w:ilvl="6">
      <w:start w:val="1"/>
      <w:numFmt w:val="decimal"/>
      <w:lvlText w:val="%1.%2.%3.%4.%5.%6.%7."/>
      <w:lvlJc w:val="left"/>
      <w:pPr>
        <w:ind w:left="2082" w:hanging="1440"/>
      </w:pPr>
      <w:rPr>
        <w:rFonts w:hint="default"/>
      </w:rPr>
    </w:lvl>
    <w:lvl w:ilvl="7">
      <w:start w:val="1"/>
      <w:numFmt w:val="decimal"/>
      <w:lvlText w:val="%1.%2.%3.%4.%5.%6.%7.%8."/>
      <w:lvlJc w:val="left"/>
      <w:pPr>
        <w:ind w:left="2189" w:hanging="1440"/>
      </w:pPr>
      <w:rPr>
        <w:rFonts w:hint="default"/>
      </w:rPr>
    </w:lvl>
    <w:lvl w:ilvl="8">
      <w:start w:val="1"/>
      <w:numFmt w:val="decimal"/>
      <w:lvlText w:val="%1.%2.%3.%4.%5.%6.%7.%8.%9."/>
      <w:lvlJc w:val="left"/>
      <w:pPr>
        <w:ind w:left="2656" w:hanging="1800"/>
      </w:pPr>
      <w:rPr>
        <w:rFonts w:hint="default"/>
      </w:rPr>
    </w:lvl>
  </w:abstractNum>
  <w:abstractNum w:abstractNumId="4">
    <w:nsid w:val="2E5061F3"/>
    <w:multiLevelType w:val="hybridMultilevel"/>
    <w:tmpl w:val="07C8DB0A"/>
    <w:lvl w:ilvl="0" w:tplc="A54CCA0A">
      <w:start w:val="25"/>
      <w:numFmt w:val="decimal"/>
      <w:lvlText w:val="%1"/>
      <w:lvlJc w:val="left"/>
      <w:pPr>
        <w:ind w:left="436" w:hanging="224"/>
      </w:pPr>
      <w:rPr>
        <w:rFonts w:ascii="Times New Roman" w:eastAsia="Times New Roman" w:hAnsi="Times New Roman" w:cs="Times New Roman" w:hint="default"/>
        <w:i/>
        <w:spacing w:val="0"/>
        <w:w w:val="94"/>
        <w:sz w:val="22"/>
        <w:szCs w:val="22"/>
        <w:lang w:val="en-US" w:eastAsia="en-US" w:bidi="ar-SA"/>
      </w:rPr>
    </w:lvl>
    <w:lvl w:ilvl="1" w:tplc="6EEA6236">
      <w:numFmt w:val="bullet"/>
      <w:lvlText w:val="•"/>
      <w:lvlJc w:val="left"/>
      <w:pPr>
        <w:ind w:left="1897" w:hanging="224"/>
      </w:pPr>
      <w:rPr>
        <w:rFonts w:hint="default"/>
        <w:lang w:val="en-US" w:eastAsia="en-US" w:bidi="ar-SA"/>
      </w:rPr>
    </w:lvl>
    <w:lvl w:ilvl="2" w:tplc="22E656A8">
      <w:numFmt w:val="bullet"/>
      <w:lvlText w:val="•"/>
      <w:lvlJc w:val="left"/>
      <w:pPr>
        <w:ind w:left="3355" w:hanging="224"/>
      </w:pPr>
      <w:rPr>
        <w:rFonts w:hint="default"/>
        <w:lang w:val="en-US" w:eastAsia="en-US" w:bidi="ar-SA"/>
      </w:rPr>
    </w:lvl>
    <w:lvl w:ilvl="3" w:tplc="CB065A4E">
      <w:numFmt w:val="bullet"/>
      <w:lvlText w:val="•"/>
      <w:lvlJc w:val="left"/>
      <w:pPr>
        <w:ind w:left="4813" w:hanging="224"/>
      </w:pPr>
      <w:rPr>
        <w:rFonts w:hint="default"/>
        <w:lang w:val="en-US" w:eastAsia="en-US" w:bidi="ar-SA"/>
      </w:rPr>
    </w:lvl>
    <w:lvl w:ilvl="4" w:tplc="D924CC30">
      <w:numFmt w:val="bullet"/>
      <w:lvlText w:val="•"/>
      <w:lvlJc w:val="left"/>
      <w:pPr>
        <w:ind w:left="6271" w:hanging="224"/>
      </w:pPr>
      <w:rPr>
        <w:rFonts w:hint="default"/>
        <w:lang w:val="en-US" w:eastAsia="en-US" w:bidi="ar-SA"/>
      </w:rPr>
    </w:lvl>
    <w:lvl w:ilvl="5" w:tplc="F4AC2878">
      <w:numFmt w:val="bullet"/>
      <w:lvlText w:val="•"/>
      <w:lvlJc w:val="left"/>
      <w:pPr>
        <w:ind w:left="7729" w:hanging="224"/>
      </w:pPr>
      <w:rPr>
        <w:rFonts w:hint="default"/>
        <w:lang w:val="en-US" w:eastAsia="en-US" w:bidi="ar-SA"/>
      </w:rPr>
    </w:lvl>
    <w:lvl w:ilvl="6" w:tplc="ECEEF0D8">
      <w:numFmt w:val="bullet"/>
      <w:lvlText w:val="•"/>
      <w:lvlJc w:val="left"/>
      <w:pPr>
        <w:ind w:left="9187" w:hanging="224"/>
      </w:pPr>
      <w:rPr>
        <w:rFonts w:hint="default"/>
        <w:lang w:val="en-US" w:eastAsia="en-US" w:bidi="ar-SA"/>
      </w:rPr>
    </w:lvl>
    <w:lvl w:ilvl="7" w:tplc="425AC94A">
      <w:numFmt w:val="bullet"/>
      <w:lvlText w:val="•"/>
      <w:lvlJc w:val="left"/>
      <w:pPr>
        <w:ind w:left="10644" w:hanging="224"/>
      </w:pPr>
      <w:rPr>
        <w:rFonts w:hint="default"/>
        <w:lang w:val="en-US" w:eastAsia="en-US" w:bidi="ar-SA"/>
      </w:rPr>
    </w:lvl>
    <w:lvl w:ilvl="8" w:tplc="9AAC503A">
      <w:numFmt w:val="bullet"/>
      <w:lvlText w:val="•"/>
      <w:lvlJc w:val="left"/>
      <w:pPr>
        <w:ind w:left="12102" w:hanging="224"/>
      </w:pPr>
      <w:rPr>
        <w:rFonts w:hint="default"/>
        <w:lang w:val="en-US" w:eastAsia="en-US" w:bidi="ar-SA"/>
      </w:rPr>
    </w:lvl>
  </w:abstractNum>
  <w:abstractNum w:abstractNumId="5">
    <w:nsid w:val="44FC479A"/>
    <w:multiLevelType w:val="hybridMultilevel"/>
    <w:tmpl w:val="32AE8A1C"/>
    <w:lvl w:ilvl="0" w:tplc="CDAE3120">
      <w:numFmt w:val="bullet"/>
      <w:lvlText w:val="-"/>
      <w:lvlJc w:val="left"/>
      <w:pPr>
        <w:ind w:left="920" w:hanging="360"/>
      </w:pPr>
      <w:rPr>
        <w:rFonts w:ascii="Times New Roman" w:eastAsia="Times New Roman" w:hAnsi="Times New Roman" w:cs="Times New Roman" w:hint="default"/>
        <w:w w:val="99"/>
        <w:sz w:val="24"/>
        <w:szCs w:val="24"/>
        <w:lang w:val="en-US" w:eastAsia="en-US" w:bidi="ar-SA"/>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6">
    <w:nsid w:val="520603FB"/>
    <w:multiLevelType w:val="hybridMultilevel"/>
    <w:tmpl w:val="E9701072"/>
    <w:lvl w:ilvl="0" w:tplc="CDAE3120">
      <w:numFmt w:val="bullet"/>
      <w:lvlText w:val="-"/>
      <w:lvlJc w:val="left"/>
      <w:pPr>
        <w:ind w:left="720" w:hanging="360"/>
      </w:pPr>
      <w:rPr>
        <w:rFonts w:ascii="Times New Roman" w:eastAsia="Times New Roman" w:hAnsi="Times New Roman" w:cs="Times New Roman" w:hint="default"/>
        <w:w w:val="99"/>
        <w:sz w:val="24"/>
        <w:szCs w:val="24"/>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A31EFC"/>
    <w:multiLevelType w:val="hybridMultilevel"/>
    <w:tmpl w:val="8660B4EC"/>
    <w:lvl w:ilvl="0" w:tplc="CDAE3120">
      <w:numFmt w:val="bullet"/>
      <w:lvlText w:val="-"/>
      <w:lvlJc w:val="left"/>
      <w:pPr>
        <w:ind w:left="862" w:hanging="360"/>
      </w:pPr>
      <w:rPr>
        <w:rFonts w:ascii="Times New Roman" w:eastAsia="Times New Roman" w:hAnsi="Times New Roman" w:cs="Times New Roman" w:hint="default"/>
        <w:w w:val="99"/>
        <w:sz w:val="24"/>
        <w:szCs w:val="24"/>
        <w:lang w:val="en-US" w:eastAsia="en-US" w:bidi="ar-SA"/>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8">
    <w:nsid w:val="58F27C67"/>
    <w:multiLevelType w:val="hybridMultilevel"/>
    <w:tmpl w:val="A502AB44"/>
    <w:lvl w:ilvl="0" w:tplc="CC485E96">
      <w:numFmt w:val="bullet"/>
      <w:lvlText w:val="-"/>
      <w:lvlJc w:val="left"/>
      <w:pPr>
        <w:ind w:left="107" w:hanging="140"/>
      </w:pPr>
      <w:rPr>
        <w:rFonts w:ascii="Times New Roman" w:eastAsia="Times New Roman" w:hAnsi="Times New Roman" w:cs="Times New Roman" w:hint="default"/>
        <w:w w:val="99"/>
        <w:sz w:val="24"/>
        <w:szCs w:val="24"/>
        <w:lang w:val="en-US" w:eastAsia="en-US" w:bidi="ar-SA"/>
      </w:rPr>
    </w:lvl>
    <w:lvl w:ilvl="1" w:tplc="26888174">
      <w:numFmt w:val="bullet"/>
      <w:lvlText w:val="•"/>
      <w:lvlJc w:val="left"/>
      <w:pPr>
        <w:ind w:left="498" w:hanging="140"/>
      </w:pPr>
      <w:rPr>
        <w:rFonts w:hint="default"/>
        <w:lang w:val="en-US" w:eastAsia="en-US" w:bidi="ar-SA"/>
      </w:rPr>
    </w:lvl>
    <w:lvl w:ilvl="2" w:tplc="E66667D6">
      <w:numFmt w:val="bullet"/>
      <w:lvlText w:val="•"/>
      <w:lvlJc w:val="left"/>
      <w:pPr>
        <w:ind w:left="897" w:hanging="140"/>
      </w:pPr>
      <w:rPr>
        <w:rFonts w:hint="default"/>
        <w:lang w:val="en-US" w:eastAsia="en-US" w:bidi="ar-SA"/>
      </w:rPr>
    </w:lvl>
    <w:lvl w:ilvl="3" w:tplc="F67C8644">
      <w:numFmt w:val="bullet"/>
      <w:lvlText w:val="•"/>
      <w:lvlJc w:val="left"/>
      <w:pPr>
        <w:ind w:left="1295" w:hanging="140"/>
      </w:pPr>
      <w:rPr>
        <w:rFonts w:hint="default"/>
        <w:lang w:val="en-US" w:eastAsia="en-US" w:bidi="ar-SA"/>
      </w:rPr>
    </w:lvl>
    <w:lvl w:ilvl="4" w:tplc="693EC828">
      <w:numFmt w:val="bullet"/>
      <w:lvlText w:val="•"/>
      <w:lvlJc w:val="left"/>
      <w:pPr>
        <w:ind w:left="1694" w:hanging="140"/>
      </w:pPr>
      <w:rPr>
        <w:rFonts w:hint="default"/>
        <w:lang w:val="en-US" w:eastAsia="en-US" w:bidi="ar-SA"/>
      </w:rPr>
    </w:lvl>
    <w:lvl w:ilvl="5" w:tplc="3EB8A5C8">
      <w:numFmt w:val="bullet"/>
      <w:lvlText w:val="•"/>
      <w:lvlJc w:val="left"/>
      <w:pPr>
        <w:ind w:left="2092" w:hanging="140"/>
      </w:pPr>
      <w:rPr>
        <w:rFonts w:hint="default"/>
        <w:lang w:val="en-US" w:eastAsia="en-US" w:bidi="ar-SA"/>
      </w:rPr>
    </w:lvl>
    <w:lvl w:ilvl="6" w:tplc="95C2AE44">
      <w:numFmt w:val="bullet"/>
      <w:lvlText w:val="•"/>
      <w:lvlJc w:val="left"/>
      <w:pPr>
        <w:ind w:left="2491" w:hanging="140"/>
      </w:pPr>
      <w:rPr>
        <w:rFonts w:hint="default"/>
        <w:lang w:val="en-US" w:eastAsia="en-US" w:bidi="ar-SA"/>
      </w:rPr>
    </w:lvl>
    <w:lvl w:ilvl="7" w:tplc="F3D281BE">
      <w:numFmt w:val="bullet"/>
      <w:lvlText w:val="•"/>
      <w:lvlJc w:val="left"/>
      <w:pPr>
        <w:ind w:left="2889" w:hanging="140"/>
      </w:pPr>
      <w:rPr>
        <w:rFonts w:hint="default"/>
        <w:lang w:val="en-US" w:eastAsia="en-US" w:bidi="ar-SA"/>
      </w:rPr>
    </w:lvl>
    <w:lvl w:ilvl="8" w:tplc="B7D4C2BC">
      <w:numFmt w:val="bullet"/>
      <w:lvlText w:val="•"/>
      <w:lvlJc w:val="left"/>
      <w:pPr>
        <w:ind w:left="3288" w:hanging="140"/>
      </w:pPr>
      <w:rPr>
        <w:rFonts w:hint="default"/>
        <w:lang w:val="en-US" w:eastAsia="en-US" w:bidi="ar-SA"/>
      </w:rPr>
    </w:lvl>
  </w:abstractNum>
  <w:num w:numId="1">
    <w:abstractNumId w:val="8"/>
  </w:num>
  <w:num w:numId="2">
    <w:abstractNumId w:val="4"/>
  </w:num>
  <w:num w:numId="3">
    <w:abstractNumId w:val="0"/>
  </w:num>
  <w:num w:numId="4">
    <w:abstractNumId w:val="3"/>
  </w:num>
  <w:num w:numId="5">
    <w:abstractNumId w:val="7"/>
  </w:num>
  <w:num w:numId="6">
    <w:abstractNumId w:val="5"/>
  </w:num>
  <w:num w:numId="7">
    <w:abstractNumId w:val="6"/>
  </w:num>
  <w:num w:numId="8">
    <w:abstractNumId w:val="1"/>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haela I. Velinova">
    <w15:presenceInfo w15:providerId="AD" w15:userId="S-1-5-21-3673932534-3318588094-701912851-46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B46"/>
    <w:rsid w:val="00010906"/>
    <w:rsid w:val="000D2B46"/>
    <w:rsid w:val="001168F7"/>
    <w:rsid w:val="001550FD"/>
    <w:rsid w:val="00181AB5"/>
    <w:rsid w:val="00185F3C"/>
    <w:rsid w:val="00243A3E"/>
    <w:rsid w:val="002C3B65"/>
    <w:rsid w:val="00302D4C"/>
    <w:rsid w:val="003435BF"/>
    <w:rsid w:val="003439A7"/>
    <w:rsid w:val="0034458F"/>
    <w:rsid w:val="003F2CC0"/>
    <w:rsid w:val="00492CA2"/>
    <w:rsid w:val="004B4B81"/>
    <w:rsid w:val="004D5818"/>
    <w:rsid w:val="00516612"/>
    <w:rsid w:val="0054381D"/>
    <w:rsid w:val="005B77E6"/>
    <w:rsid w:val="006203C9"/>
    <w:rsid w:val="006357AC"/>
    <w:rsid w:val="00655FF2"/>
    <w:rsid w:val="006E54CF"/>
    <w:rsid w:val="00770D60"/>
    <w:rsid w:val="007D5AFF"/>
    <w:rsid w:val="007D75AB"/>
    <w:rsid w:val="007E41CC"/>
    <w:rsid w:val="007F00BF"/>
    <w:rsid w:val="00892F92"/>
    <w:rsid w:val="008C0EA7"/>
    <w:rsid w:val="00967C60"/>
    <w:rsid w:val="009B192E"/>
    <w:rsid w:val="00A019FD"/>
    <w:rsid w:val="00A023AB"/>
    <w:rsid w:val="00A20AFA"/>
    <w:rsid w:val="00A33CE6"/>
    <w:rsid w:val="00AD5A87"/>
    <w:rsid w:val="00AE29FD"/>
    <w:rsid w:val="00AE3986"/>
    <w:rsid w:val="00AF2389"/>
    <w:rsid w:val="00B16C30"/>
    <w:rsid w:val="00B27C82"/>
    <w:rsid w:val="00B60A20"/>
    <w:rsid w:val="00B64920"/>
    <w:rsid w:val="00BE2C5C"/>
    <w:rsid w:val="00C3649F"/>
    <w:rsid w:val="00CB0046"/>
    <w:rsid w:val="00D13E23"/>
    <w:rsid w:val="00D83A0D"/>
    <w:rsid w:val="00D83F4B"/>
    <w:rsid w:val="00DC567B"/>
    <w:rsid w:val="00E444D9"/>
    <w:rsid w:val="00E76DB6"/>
    <w:rsid w:val="00F07A78"/>
    <w:rsid w:val="00F334BE"/>
    <w:rsid w:val="00F43B5C"/>
    <w:rsid w:val="00F67777"/>
    <w:rsid w:val="00FC4560"/>
    <w:rsid w:val="00FF5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B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D2B46"/>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0D2B46"/>
    <w:pPr>
      <w:spacing w:before="90"/>
      <w:ind w:left="212"/>
      <w:outlineLvl w:val="0"/>
    </w:pPr>
    <w:rPr>
      <w:b/>
      <w:bCs/>
      <w:sz w:val="24"/>
      <w:szCs w:val="24"/>
    </w:rPr>
  </w:style>
  <w:style w:type="paragraph" w:styleId="Heading2">
    <w:name w:val="heading 2"/>
    <w:basedOn w:val="Normal"/>
    <w:next w:val="Normal"/>
    <w:link w:val="Heading2Char"/>
    <w:uiPriority w:val="9"/>
    <w:semiHidden/>
    <w:unhideWhenUsed/>
    <w:qFormat/>
    <w:rsid w:val="00492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D2B46"/>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0D2B46"/>
    <w:rPr>
      <w:b/>
      <w:bCs/>
      <w:i/>
      <w:sz w:val="24"/>
      <w:szCs w:val="24"/>
      <w:u w:val="single" w:color="000000"/>
    </w:rPr>
  </w:style>
  <w:style w:type="character" w:customStyle="1" w:styleId="BodyTextChar">
    <w:name w:val="Body Text Char"/>
    <w:basedOn w:val="DefaultParagraphFont"/>
    <w:link w:val="BodyText"/>
    <w:uiPriority w:val="1"/>
    <w:rsid w:val="000D2B46"/>
    <w:rPr>
      <w:rFonts w:ascii="Times New Roman" w:eastAsia="Times New Roman" w:hAnsi="Times New Roman" w:cs="Times New Roman"/>
      <w:b/>
      <w:bCs/>
      <w:i/>
      <w:sz w:val="24"/>
      <w:szCs w:val="24"/>
      <w:u w:val="single" w:color="000000"/>
    </w:rPr>
  </w:style>
  <w:style w:type="paragraph" w:styleId="ListParagraph">
    <w:name w:val="List Paragraph"/>
    <w:basedOn w:val="Normal"/>
    <w:uiPriority w:val="34"/>
    <w:qFormat/>
    <w:rsid w:val="000D2B46"/>
    <w:pPr>
      <w:spacing w:before="90"/>
      <w:ind w:left="779" w:hanging="568"/>
    </w:pPr>
  </w:style>
  <w:style w:type="paragraph" w:customStyle="1" w:styleId="TableParagraph">
    <w:name w:val="Table Paragraph"/>
    <w:basedOn w:val="Normal"/>
    <w:uiPriority w:val="1"/>
    <w:qFormat/>
    <w:rsid w:val="000D2B46"/>
  </w:style>
  <w:style w:type="paragraph" w:styleId="FootnoteText">
    <w:name w:val="footnote text"/>
    <w:basedOn w:val="Normal"/>
    <w:link w:val="FootnoteTextChar"/>
    <w:uiPriority w:val="99"/>
    <w:semiHidden/>
    <w:unhideWhenUsed/>
    <w:rsid w:val="006E54CF"/>
    <w:rPr>
      <w:sz w:val="20"/>
      <w:szCs w:val="20"/>
    </w:rPr>
  </w:style>
  <w:style w:type="character" w:customStyle="1" w:styleId="FootnoteTextChar">
    <w:name w:val="Footnote Text Char"/>
    <w:basedOn w:val="DefaultParagraphFont"/>
    <w:link w:val="FootnoteText"/>
    <w:uiPriority w:val="99"/>
    <w:semiHidden/>
    <w:rsid w:val="006E54C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E54CF"/>
    <w:rPr>
      <w:vertAlign w:val="superscript"/>
    </w:rPr>
  </w:style>
  <w:style w:type="paragraph" w:customStyle="1" w:styleId="Heading">
    <w:name w:val="Heading"/>
    <w:rsid w:val="00243A3E"/>
    <w:pPr>
      <w:widowControl w:val="0"/>
      <w:pBdr>
        <w:top w:val="nil"/>
        <w:left w:val="nil"/>
        <w:bottom w:val="nil"/>
        <w:right w:val="nil"/>
        <w:between w:val="nil"/>
        <w:bar w:val="nil"/>
      </w:pBdr>
      <w:spacing w:before="90" w:after="0" w:line="240" w:lineRule="auto"/>
      <w:ind w:left="212"/>
      <w:outlineLvl w:val="0"/>
    </w:pPr>
    <w:rPr>
      <w:rFonts w:ascii="Times New Roman" w:eastAsia="Arial Unicode MS" w:hAnsi="Times New Roman" w:cs="Arial Unicode MS"/>
      <w:b/>
      <w:bCs/>
      <w:color w:val="000000"/>
      <w:sz w:val="24"/>
      <w:szCs w:val="24"/>
      <w:u w:color="000000"/>
      <w:bdr w:val="nil"/>
      <w14:textOutline w14:w="0" w14:cap="flat" w14:cmpd="sng" w14:algn="ctr">
        <w14:noFill/>
        <w14:prstDash w14:val="solid"/>
        <w14:bevel/>
      </w14:textOutline>
    </w:rPr>
  </w:style>
  <w:style w:type="character" w:customStyle="1" w:styleId="Heading2Char">
    <w:name w:val="Heading 2 Char"/>
    <w:basedOn w:val="DefaultParagraphFont"/>
    <w:link w:val="Heading2"/>
    <w:uiPriority w:val="9"/>
    <w:semiHidden/>
    <w:rsid w:val="00492CA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33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77E6"/>
    <w:pPr>
      <w:tabs>
        <w:tab w:val="center" w:pos="4703"/>
        <w:tab w:val="right" w:pos="9406"/>
      </w:tabs>
    </w:pPr>
  </w:style>
  <w:style w:type="character" w:customStyle="1" w:styleId="HeaderChar">
    <w:name w:val="Header Char"/>
    <w:basedOn w:val="DefaultParagraphFont"/>
    <w:link w:val="Header"/>
    <w:uiPriority w:val="99"/>
    <w:rsid w:val="005B77E6"/>
    <w:rPr>
      <w:rFonts w:ascii="Times New Roman" w:eastAsia="Times New Roman" w:hAnsi="Times New Roman" w:cs="Times New Roman"/>
    </w:rPr>
  </w:style>
  <w:style w:type="paragraph" w:styleId="Footer">
    <w:name w:val="footer"/>
    <w:basedOn w:val="Normal"/>
    <w:link w:val="FooterChar"/>
    <w:uiPriority w:val="99"/>
    <w:unhideWhenUsed/>
    <w:rsid w:val="005B77E6"/>
    <w:pPr>
      <w:tabs>
        <w:tab w:val="center" w:pos="4703"/>
        <w:tab w:val="right" w:pos="9406"/>
      </w:tabs>
    </w:pPr>
  </w:style>
  <w:style w:type="character" w:customStyle="1" w:styleId="FooterChar">
    <w:name w:val="Footer Char"/>
    <w:basedOn w:val="DefaultParagraphFont"/>
    <w:link w:val="Footer"/>
    <w:uiPriority w:val="99"/>
    <w:rsid w:val="005B77E6"/>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67C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C6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67C60"/>
    <w:rPr>
      <w:sz w:val="16"/>
      <w:szCs w:val="16"/>
    </w:rPr>
  </w:style>
  <w:style w:type="paragraph" w:styleId="CommentText">
    <w:name w:val="annotation text"/>
    <w:basedOn w:val="Normal"/>
    <w:link w:val="CommentTextChar"/>
    <w:uiPriority w:val="99"/>
    <w:semiHidden/>
    <w:unhideWhenUsed/>
    <w:rsid w:val="00967C60"/>
    <w:rPr>
      <w:sz w:val="20"/>
      <w:szCs w:val="20"/>
    </w:rPr>
  </w:style>
  <w:style w:type="character" w:customStyle="1" w:styleId="CommentTextChar">
    <w:name w:val="Comment Text Char"/>
    <w:basedOn w:val="DefaultParagraphFont"/>
    <w:link w:val="CommentText"/>
    <w:uiPriority w:val="99"/>
    <w:semiHidden/>
    <w:rsid w:val="00967C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67C60"/>
    <w:rPr>
      <w:b/>
      <w:bCs/>
    </w:rPr>
  </w:style>
  <w:style w:type="character" w:customStyle="1" w:styleId="CommentSubjectChar">
    <w:name w:val="Comment Subject Char"/>
    <w:basedOn w:val="CommentTextChar"/>
    <w:link w:val="CommentSubject"/>
    <w:uiPriority w:val="99"/>
    <w:semiHidden/>
    <w:rsid w:val="00967C60"/>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D2B46"/>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0D2B46"/>
    <w:pPr>
      <w:spacing w:before="90"/>
      <w:ind w:left="212"/>
      <w:outlineLvl w:val="0"/>
    </w:pPr>
    <w:rPr>
      <w:b/>
      <w:bCs/>
      <w:sz w:val="24"/>
      <w:szCs w:val="24"/>
    </w:rPr>
  </w:style>
  <w:style w:type="paragraph" w:styleId="Heading2">
    <w:name w:val="heading 2"/>
    <w:basedOn w:val="Normal"/>
    <w:next w:val="Normal"/>
    <w:link w:val="Heading2Char"/>
    <w:uiPriority w:val="9"/>
    <w:semiHidden/>
    <w:unhideWhenUsed/>
    <w:qFormat/>
    <w:rsid w:val="00492CA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D2B46"/>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0D2B46"/>
    <w:rPr>
      <w:b/>
      <w:bCs/>
      <w:i/>
      <w:sz w:val="24"/>
      <w:szCs w:val="24"/>
      <w:u w:val="single" w:color="000000"/>
    </w:rPr>
  </w:style>
  <w:style w:type="character" w:customStyle="1" w:styleId="BodyTextChar">
    <w:name w:val="Body Text Char"/>
    <w:basedOn w:val="DefaultParagraphFont"/>
    <w:link w:val="BodyText"/>
    <w:uiPriority w:val="1"/>
    <w:rsid w:val="000D2B46"/>
    <w:rPr>
      <w:rFonts w:ascii="Times New Roman" w:eastAsia="Times New Roman" w:hAnsi="Times New Roman" w:cs="Times New Roman"/>
      <w:b/>
      <w:bCs/>
      <w:i/>
      <w:sz w:val="24"/>
      <w:szCs w:val="24"/>
      <w:u w:val="single" w:color="000000"/>
    </w:rPr>
  </w:style>
  <w:style w:type="paragraph" w:styleId="ListParagraph">
    <w:name w:val="List Paragraph"/>
    <w:basedOn w:val="Normal"/>
    <w:uiPriority w:val="34"/>
    <w:qFormat/>
    <w:rsid w:val="000D2B46"/>
    <w:pPr>
      <w:spacing w:before="90"/>
      <w:ind w:left="779" w:hanging="568"/>
    </w:pPr>
  </w:style>
  <w:style w:type="paragraph" w:customStyle="1" w:styleId="TableParagraph">
    <w:name w:val="Table Paragraph"/>
    <w:basedOn w:val="Normal"/>
    <w:uiPriority w:val="1"/>
    <w:qFormat/>
    <w:rsid w:val="000D2B46"/>
  </w:style>
  <w:style w:type="paragraph" w:styleId="FootnoteText">
    <w:name w:val="footnote text"/>
    <w:basedOn w:val="Normal"/>
    <w:link w:val="FootnoteTextChar"/>
    <w:uiPriority w:val="99"/>
    <w:semiHidden/>
    <w:unhideWhenUsed/>
    <w:rsid w:val="006E54CF"/>
    <w:rPr>
      <w:sz w:val="20"/>
      <w:szCs w:val="20"/>
    </w:rPr>
  </w:style>
  <w:style w:type="character" w:customStyle="1" w:styleId="FootnoteTextChar">
    <w:name w:val="Footnote Text Char"/>
    <w:basedOn w:val="DefaultParagraphFont"/>
    <w:link w:val="FootnoteText"/>
    <w:uiPriority w:val="99"/>
    <w:semiHidden/>
    <w:rsid w:val="006E54C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6E54CF"/>
    <w:rPr>
      <w:vertAlign w:val="superscript"/>
    </w:rPr>
  </w:style>
  <w:style w:type="paragraph" w:customStyle="1" w:styleId="Heading">
    <w:name w:val="Heading"/>
    <w:rsid w:val="00243A3E"/>
    <w:pPr>
      <w:widowControl w:val="0"/>
      <w:pBdr>
        <w:top w:val="nil"/>
        <w:left w:val="nil"/>
        <w:bottom w:val="nil"/>
        <w:right w:val="nil"/>
        <w:between w:val="nil"/>
        <w:bar w:val="nil"/>
      </w:pBdr>
      <w:spacing w:before="90" w:after="0" w:line="240" w:lineRule="auto"/>
      <w:ind w:left="212"/>
      <w:outlineLvl w:val="0"/>
    </w:pPr>
    <w:rPr>
      <w:rFonts w:ascii="Times New Roman" w:eastAsia="Arial Unicode MS" w:hAnsi="Times New Roman" w:cs="Arial Unicode MS"/>
      <w:b/>
      <w:bCs/>
      <w:color w:val="000000"/>
      <w:sz w:val="24"/>
      <w:szCs w:val="24"/>
      <w:u w:color="000000"/>
      <w:bdr w:val="nil"/>
      <w14:textOutline w14:w="0" w14:cap="flat" w14:cmpd="sng" w14:algn="ctr">
        <w14:noFill/>
        <w14:prstDash w14:val="solid"/>
        <w14:bevel/>
      </w14:textOutline>
    </w:rPr>
  </w:style>
  <w:style w:type="character" w:customStyle="1" w:styleId="Heading2Char">
    <w:name w:val="Heading 2 Char"/>
    <w:basedOn w:val="DefaultParagraphFont"/>
    <w:link w:val="Heading2"/>
    <w:uiPriority w:val="9"/>
    <w:semiHidden/>
    <w:rsid w:val="00492CA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F33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77E6"/>
    <w:pPr>
      <w:tabs>
        <w:tab w:val="center" w:pos="4703"/>
        <w:tab w:val="right" w:pos="9406"/>
      </w:tabs>
    </w:pPr>
  </w:style>
  <w:style w:type="character" w:customStyle="1" w:styleId="HeaderChar">
    <w:name w:val="Header Char"/>
    <w:basedOn w:val="DefaultParagraphFont"/>
    <w:link w:val="Header"/>
    <w:uiPriority w:val="99"/>
    <w:rsid w:val="005B77E6"/>
    <w:rPr>
      <w:rFonts w:ascii="Times New Roman" w:eastAsia="Times New Roman" w:hAnsi="Times New Roman" w:cs="Times New Roman"/>
    </w:rPr>
  </w:style>
  <w:style w:type="paragraph" w:styleId="Footer">
    <w:name w:val="footer"/>
    <w:basedOn w:val="Normal"/>
    <w:link w:val="FooterChar"/>
    <w:uiPriority w:val="99"/>
    <w:unhideWhenUsed/>
    <w:rsid w:val="005B77E6"/>
    <w:pPr>
      <w:tabs>
        <w:tab w:val="center" w:pos="4703"/>
        <w:tab w:val="right" w:pos="9406"/>
      </w:tabs>
    </w:pPr>
  </w:style>
  <w:style w:type="character" w:customStyle="1" w:styleId="FooterChar">
    <w:name w:val="Footer Char"/>
    <w:basedOn w:val="DefaultParagraphFont"/>
    <w:link w:val="Footer"/>
    <w:uiPriority w:val="99"/>
    <w:rsid w:val="005B77E6"/>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67C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C6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67C60"/>
    <w:rPr>
      <w:sz w:val="16"/>
      <w:szCs w:val="16"/>
    </w:rPr>
  </w:style>
  <w:style w:type="paragraph" w:styleId="CommentText">
    <w:name w:val="annotation text"/>
    <w:basedOn w:val="Normal"/>
    <w:link w:val="CommentTextChar"/>
    <w:uiPriority w:val="99"/>
    <w:semiHidden/>
    <w:unhideWhenUsed/>
    <w:rsid w:val="00967C60"/>
    <w:rPr>
      <w:sz w:val="20"/>
      <w:szCs w:val="20"/>
    </w:rPr>
  </w:style>
  <w:style w:type="character" w:customStyle="1" w:styleId="CommentTextChar">
    <w:name w:val="Comment Text Char"/>
    <w:basedOn w:val="DefaultParagraphFont"/>
    <w:link w:val="CommentText"/>
    <w:uiPriority w:val="99"/>
    <w:semiHidden/>
    <w:rsid w:val="00967C6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67C60"/>
    <w:rPr>
      <w:b/>
      <w:bCs/>
    </w:rPr>
  </w:style>
  <w:style w:type="character" w:customStyle="1" w:styleId="CommentSubjectChar">
    <w:name w:val="Comment Subject Char"/>
    <w:basedOn w:val="CommentTextChar"/>
    <w:link w:val="CommentSubject"/>
    <w:uiPriority w:val="99"/>
    <w:semiHidden/>
    <w:rsid w:val="00967C6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55892-A367-42CD-A1D4-309CDFFC6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Todorova</dc:creator>
  <cp:lastModifiedBy>Boryana Vodenicharska</cp:lastModifiedBy>
  <cp:revision>2</cp:revision>
  <dcterms:created xsi:type="dcterms:W3CDTF">2020-12-17T19:03:00Z</dcterms:created>
  <dcterms:modified xsi:type="dcterms:W3CDTF">2020-12-17T19:03:00Z</dcterms:modified>
</cp:coreProperties>
</file>