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A1E67" w14:textId="77777777" w:rsidR="00F2190C" w:rsidRPr="001B1F93" w:rsidRDefault="00F2190C" w:rsidP="00F2190C">
      <w:pPr>
        <w:spacing w:before="90"/>
        <w:ind w:left="212"/>
        <w:rPr>
          <w:b/>
          <w:bCs/>
          <w:sz w:val="24"/>
          <w:szCs w:val="24"/>
          <w:u w:val="thick"/>
        </w:rPr>
      </w:pPr>
      <w:r w:rsidRPr="001B1F93">
        <w:rPr>
          <w:b/>
          <w:bCs/>
          <w:sz w:val="24"/>
          <w:szCs w:val="24"/>
          <w:u w:val="thick"/>
        </w:rPr>
        <w:t>Детайли по вид операция (да се попълни за всеки вид операция)</w:t>
      </w:r>
    </w:p>
    <w:p w14:paraId="44FD5366" w14:textId="2F23D1BC" w:rsidR="00FF53FB" w:rsidRPr="00FF53FB" w:rsidRDefault="00F2190C" w:rsidP="000D2B46">
      <w:pPr>
        <w:spacing w:before="90"/>
        <w:ind w:left="212"/>
        <w:rPr>
          <w:b/>
          <w:sz w:val="32"/>
          <w:lang w:val="bg-BG"/>
        </w:rPr>
      </w:pPr>
      <w:r w:rsidRPr="001B1F93">
        <w:rPr>
          <w:b/>
          <w:bCs/>
          <w:sz w:val="24"/>
          <w:szCs w:val="24"/>
          <w:u w:val="thick"/>
        </w:rPr>
        <w:t xml:space="preserve">Вид операция: </w:t>
      </w:r>
      <w:r w:rsidR="005452F6" w:rsidRPr="001B1F93">
        <w:rPr>
          <w:b/>
          <w:sz w:val="28"/>
          <w:lang w:val="bg-BG"/>
        </w:rPr>
        <w:t>Окончателно</w:t>
      </w:r>
      <w:r w:rsidR="00FF53FB" w:rsidRPr="001B1F93">
        <w:rPr>
          <w:b/>
          <w:sz w:val="28"/>
          <w:lang w:val="bg-BG"/>
        </w:rPr>
        <w:t xml:space="preserve"> преустановяване </w:t>
      </w:r>
      <w:r w:rsidR="00FF53FB" w:rsidRPr="00FF53FB">
        <w:rPr>
          <w:b/>
          <w:sz w:val="28"/>
          <w:lang w:val="bg-BG"/>
        </w:rPr>
        <w:t>на риболовните дейности</w:t>
      </w:r>
    </w:p>
    <w:p w14:paraId="45754CE4" w14:textId="77777777" w:rsidR="000D2B46" w:rsidRPr="00681DC9" w:rsidRDefault="000D2B46" w:rsidP="000D2B46">
      <w:pPr>
        <w:pStyle w:val="BodyText"/>
        <w:spacing w:before="1"/>
        <w:rPr>
          <w:b w:val="0"/>
          <w:i w:val="0"/>
          <w:sz w:val="23"/>
          <w:u w:val="none"/>
        </w:rPr>
      </w:pPr>
    </w:p>
    <w:tbl>
      <w:tblPr>
        <w:tblW w:w="992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428"/>
      </w:tblGrid>
      <w:tr w:rsidR="000D2B46" w:rsidRPr="00681DC9" w14:paraId="6D80E549" w14:textId="77777777" w:rsidTr="006E54CF">
        <w:trPr>
          <w:trHeight w:val="592"/>
        </w:trPr>
        <w:tc>
          <w:tcPr>
            <w:tcW w:w="2496" w:type="dxa"/>
          </w:tcPr>
          <w:p w14:paraId="4C552E4D" w14:textId="77777777" w:rsidR="000D2B46" w:rsidRPr="006E54CF" w:rsidRDefault="000D2B46" w:rsidP="00010906">
            <w:pPr>
              <w:pStyle w:val="TableParagraph"/>
              <w:spacing w:before="114"/>
              <w:ind w:left="527" w:right="142"/>
              <w:jc w:val="both"/>
              <w:rPr>
                <w:lang w:val="bg-BG"/>
              </w:rPr>
            </w:pPr>
            <w:r w:rsidRPr="001B1F93">
              <w:rPr>
                <w:rFonts w:eastAsia="Calibri"/>
                <w:noProof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7428" w:type="dxa"/>
          </w:tcPr>
          <w:p w14:paraId="7ADE1D2E" w14:textId="20383450" w:rsidR="005452F6" w:rsidRDefault="006357AC" w:rsidP="005452F6">
            <w:pPr>
              <w:pStyle w:val="TableParagraph"/>
              <w:ind w:left="142"/>
              <w:jc w:val="both"/>
              <w:rPr>
                <w:lang w:val="bg-BG"/>
              </w:rPr>
            </w:pPr>
            <w:r w:rsidRPr="00B16C30">
              <w:rPr>
                <w:b/>
              </w:rPr>
              <w:t xml:space="preserve">Подкрепата за </w:t>
            </w:r>
            <w:r w:rsidR="005452F6">
              <w:rPr>
                <w:b/>
                <w:lang w:val="bg-BG"/>
              </w:rPr>
              <w:t>окончателно</w:t>
            </w:r>
            <w:r w:rsidRPr="00B16C30">
              <w:rPr>
                <w:b/>
              </w:rPr>
              <w:t xml:space="preserve"> преустановяване</w:t>
            </w:r>
            <w:r w:rsidRPr="00FF53FB">
              <w:t xml:space="preserve"> </w:t>
            </w:r>
            <w:r w:rsidR="00146244" w:rsidRPr="00403AA5">
              <w:rPr>
                <w:b/>
                <w:lang w:val="bg-BG"/>
              </w:rPr>
              <w:t>на риболовните дейности</w:t>
            </w:r>
            <w:r w:rsidR="00146244">
              <w:rPr>
                <w:lang w:val="bg-BG"/>
              </w:rPr>
              <w:t xml:space="preserve"> </w:t>
            </w:r>
            <w:r w:rsidR="005452F6">
              <w:rPr>
                <w:lang w:val="bg-BG"/>
              </w:rPr>
              <w:t>щ</w:t>
            </w:r>
            <w:r w:rsidR="005452F6" w:rsidRPr="005452F6">
              <w:t xml:space="preserve">е допринесе за адаптирането на риболовния флот към рибните запаси. Целта е да се постигне балансиран флот, който да експлоатира устойчиво наличните ресурси. </w:t>
            </w:r>
          </w:p>
          <w:p w14:paraId="36126C6A" w14:textId="35ACB25B" w:rsidR="005452F6" w:rsidRPr="005452F6" w:rsidRDefault="005452F6" w:rsidP="005452F6">
            <w:pPr>
              <w:pStyle w:val="TableParagraph"/>
              <w:ind w:left="142"/>
              <w:jc w:val="both"/>
              <w:rPr>
                <w:lang w:val="bg-BG"/>
              </w:rPr>
            </w:pPr>
            <w:r w:rsidRPr="005452F6">
              <w:rPr>
                <w:lang w:val="bg-BG"/>
              </w:rPr>
              <w:t xml:space="preserve">Подкрепата за окончателно </w:t>
            </w:r>
            <w:r w:rsidR="00146244">
              <w:rPr>
                <w:lang w:val="bg-BG"/>
              </w:rPr>
              <w:t>преустановяване</w:t>
            </w:r>
            <w:r w:rsidR="00146244" w:rsidRPr="005452F6">
              <w:rPr>
                <w:lang w:val="bg-BG"/>
              </w:rPr>
              <w:t xml:space="preserve"> </w:t>
            </w:r>
            <w:r w:rsidRPr="005452F6">
              <w:rPr>
                <w:lang w:val="bg-BG"/>
              </w:rPr>
              <w:t xml:space="preserve">трябва </w:t>
            </w:r>
            <w:r w:rsidR="00F2190C">
              <w:rPr>
                <w:lang w:val="bg-BG"/>
              </w:rPr>
              <w:t>да отговаря на следните условия</w:t>
            </w:r>
            <w:r w:rsidRPr="005452F6">
              <w:rPr>
                <w:lang w:val="bg-BG"/>
              </w:rPr>
              <w:t>:</w:t>
            </w:r>
          </w:p>
          <w:p w14:paraId="7BD5FE56" w14:textId="3D4312BE" w:rsidR="005452F6" w:rsidRDefault="005452F6" w:rsidP="00943A94">
            <w:pPr>
              <w:pStyle w:val="TableParagraph"/>
              <w:numPr>
                <w:ilvl w:val="0"/>
                <w:numId w:val="9"/>
              </w:numPr>
              <w:ind w:left="624"/>
              <w:jc w:val="both"/>
              <w:rPr>
                <w:bCs/>
                <w:szCs w:val="24"/>
                <w:lang w:val="bg-BG"/>
              </w:rPr>
            </w:pPr>
            <w:r w:rsidRPr="005452F6">
              <w:rPr>
                <w:bCs/>
                <w:szCs w:val="24"/>
                <w:lang w:val="bg-BG"/>
              </w:rPr>
              <w:t>прекратяването се предвижда като инструмент</w:t>
            </w:r>
            <w:r w:rsidR="00943A94">
              <w:rPr>
                <w:bCs/>
                <w:szCs w:val="24"/>
                <w:lang w:val="bg-BG"/>
              </w:rPr>
              <w:t xml:space="preserve"> </w:t>
            </w:r>
            <w:r w:rsidR="008A6D46">
              <w:rPr>
                <w:bCs/>
                <w:szCs w:val="24"/>
                <w:lang w:val="bg-BG"/>
              </w:rPr>
              <w:t>з</w:t>
            </w:r>
            <w:r w:rsidR="00943A94">
              <w:rPr>
                <w:bCs/>
                <w:szCs w:val="24"/>
                <w:lang w:val="bg-BG"/>
              </w:rPr>
              <w:t>а изпълнение</w:t>
            </w:r>
            <w:r w:rsidRPr="005452F6">
              <w:rPr>
                <w:bCs/>
                <w:szCs w:val="24"/>
                <w:lang w:val="bg-BG"/>
              </w:rPr>
              <w:t xml:space="preserve"> на план за действие</w:t>
            </w:r>
            <w:r>
              <w:rPr>
                <w:rStyle w:val="FootnoteReference"/>
                <w:bCs/>
                <w:szCs w:val="24"/>
                <w:lang w:val="bg-BG"/>
              </w:rPr>
              <w:footnoteReference w:id="1"/>
            </w:r>
            <w:r>
              <w:t xml:space="preserve"> </w:t>
            </w:r>
            <w:r w:rsidR="00943A94">
              <w:rPr>
                <w:lang w:val="bg-BG"/>
              </w:rPr>
              <w:t>з</w:t>
            </w:r>
            <w:r w:rsidRPr="005452F6">
              <w:rPr>
                <w:bCs/>
                <w:szCs w:val="24"/>
                <w:lang w:val="bg-BG"/>
              </w:rPr>
              <w:t>а сегментите на флота, при които е установен структурен излишък на капацитет</w:t>
            </w:r>
            <w:r>
              <w:rPr>
                <w:bCs/>
                <w:szCs w:val="24"/>
                <w:lang w:val="bg-BG"/>
              </w:rPr>
              <w:t>;</w:t>
            </w:r>
          </w:p>
          <w:p w14:paraId="5B8B35A8" w14:textId="77777777" w:rsidR="005452F6" w:rsidRDefault="005452F6" w:rsidP="00943A94">
            <w:pPr>
              <w:pStyle w:val="TableParagraph"/>
              <w:numPr>
                <w:ilvl w:val="0"/>
                <w:numId w:val="9"/>
              </w:numPr>
              <w:ind w:left="624"/>
              <w:jc w:val="both"/>
              <w:rPr>
                <w:bCs/>
                <w:szCs w:val="24"/>
                <w:lang w:val="bg-BG"/>
              </w:rPr>
            </w:pPr>
            <w:r w:rsidRPr="005452F6">
              <w:rPr>
                <w:bCs/>
                <w:szCs w:val="24"/>
                <w:lang w:val="bg-BG"/>
              </w:rPr>
              <w:t>прекратяването се постига чрез бракуване на риболовния кораб или чрез неговото извеждане от експлоатация и преоборудване за дейности, различни от търговския риболов</w:t>
            </w:r>
            <w:r w:rsidR="00943A94">
              <w:rPr>
                <w:rStyle w:val="FootnoteReference"/>
                <w:bCs/>
                <w:szCs w:val="24"/>
                <w:lang w:val="bg-BG"/>
              </w:rPr>
              <w:footnoteReference w:id="2"/>
            </w:r>
            <w:r>
              <w:rPr>
                <w:bCs/>
                <w:szCs w:val="24"/>
                <w:lang w:val="bg-BG"/>
              </w:rPr>
              <w:t>;</w:t>
            </w:r>
          </w:p>
          <w:p w14:paraId="06965729" w14:textId="77777777" w:rsidR="005452F6" w:rsidRPr="005452F6" w:rsidRDefault="005452F6" w:rsidP="00F67777">
            <w:pPr>
              <w:pStyle w:val="TableParagraph"/>
              <w:ind w:left="283"/>
              <w:jc w:val="both"/>
              <w:rPr>
                <w:bCs/>
                <w:szCs w:val="24"/>
                <w:lang w:val="bg-BG"/>
              </w:rPr>
            </w:pPr>
          </w:p>
          <w:p w14:paraId="509A6D4D" w14:textId="77777777" w:rsidR="00B16C30" w:rsidRPr="00B16C30" w:rsidRDefault="00B16C30" w:rsidP="00F67777">
            <w:pPr>
              <w:pStyle w:val="TableParagraph"/>
              <w:ind w:left="283"/>
              <w:jc w:val="both"/>
              <w:rPr>
                <w:b/>
                <w:bCs/>
                <w:szCs w:val="24"/>
                <w:lang w:val="bg-BG"/>
              </w:rPr>
            </w:pPr>
            <w:r w:rsidRPr="00B16C30">
              <w:rPr>
                <w:b/>
                <w:bCs/>
                <w:szCs w:val="24"/>
              </w:rPr>
              <w:t>Целева група за подпомагане по мярката:</w:t>
            </w:r>
          </w:p>
          <w:p w14:paraId="4F5FFFA9" w14:textId="77777777" w:rsidR="00943A94" w:rsidRDefault="003F62B5" w:rsidP="00943A94">
            <w:pPr>
              <w:pStyle w:val="TableParagraph"/>
              <w:ind w:left="283"/>
              <w:jc w:val="both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F67777">
              <w:rPr>
                <w:lang w:val="bg-BG"/>
              </w:rPr>
              <w:t xml:space="preserve">обственици </w:t>
            </w:r>
            <w:r w:rsidR="00F43B5C" w:rsidRPr="00F43B5C">
              <w:rPr>
                <w:lang w:val="bg-BG"/>
              </w:rPr>
              <w:t xml:space="preserve">на риболовни кораби, които са регистрирани като активни и които са извършвали риболовни дейности в морето в продължение на </w:t>
            </w:r>
            <w:r w:rsidR="00943A94" w:rsidRPr="005452F6">
              <w:rPr>
                <w:lang w:val="bg-BG"/>
              </w:rPr>
              <w:t>90 дни през всяка от последните две календарни години, предхождащи годината на подаване на заявлението за подпомагане</w:t>
            </w:r>
            <w:r>
              <w:rPr>
                <w:lang w:val="bg-BG"/>
              </w:rPr>
              <w:t>.</w:t>
            </w:r>
          </w:p>
          <w:p w14:paraId="30DFC452" w14:textId="77777777" w:rsidR="00943A94" w:rsidRDefault="00943A94" w:rsidP="00F67777">
            <w:pPr>
              <w:pStyle w:val="TableParagraph"/>
              <w:ind w:left="283"/>
              <w:jc w:val="both"/>
              <w:rPr>
                <w:lang w:val="bg-BG"/>
              </w:rPr>
            </w:pPr>
          </w:p>
          <w:p w14:paraId="137B5409" w14:textId="77777777" w:rsidR="00462F24" w:rsidRPr="00462F24" w:rsidRDefault="00462F24" w:rsidP="00F67777">
            <w:pPr>
              <w:pStyle w:val="TableParagraph"/>
              <w:ind w:left="283"/>
              <w:jc w:val="both"/>
              <w:rPr>
                <w:b/>
                <w:lang w:val="bg-BG"/>
              </w:rPr>
            </w:pPr>
            <w:r w:rsidRPr="00462F24">
              <w:rPr>
                <w:b/>
                <w:lang w:val="bg-BG"/>
              </w:rPr>
              <w:t>С</w:t>
            </w:r>
            <w:r w:rsidR="003F62B5" w:rsidRPr="00462F24">
              <w:rPr>
                <w:b/>
                <w:lang w:val="bg-BG"/>
              </w:rPr>
              <w:t>лед изпълнение на дейностите</w:t>
            </w:r>
            <w:r w:rsidRPr="00462F24">
              <w:rPr>
                <w:b/>
                <w:lang w:val="bg-BG"/>
              </w:rPr>
              <w:t>:</w:t>
            </w:r>
          </w:p>
          <w:p w14:paraId="7D53935D" w14:textId="77777777" w:rsidR="005452F6" w:rsidRDefault="005452F6" w:rsidP="00462F24">
            <w:pPr>
              <w:pStyle w:val="TableParagraph"/>
              <w:numPr>
                <w:ilvl w:val="0"/>
                <w:numId w:val="10"/>
              </w:numPr>
              <w:ind w:left="624"/>
              <w:jc w:val="both"/>
              <w:rPr>
                <w:lang w:val="bg-BG"/>
              </w:rPr>
            </w:pPr>
            <w:r w:rsidRPr="005452F6">
              <w:rPr>
                <w:lang w:val="bg-BG"/>
              </w:rPr>
              <w:t>еквивалентният риболовен капацитет</w:t>
            </w:r>
            <w:r w:rsidR="00462F24">
              <w:rPr>
                <w:lang w:val="bg-BG"/>
              </w:rPr>
              <w:t xml:space="preserve"> на кораба</w:t>
            </w:r>
            <w:r w:rsidRPr="005452F6">
              <w:rPr>
                <w:lang w:val="bg-BG"/>
              </w:rPr>
              <w:t xml:space="preserve"> </w:t>
            </w:r>
            <w:r w:rsidR="00462F24">
              <w:rPr>
                <w:lang w:val="bg-BG"/>
              </w:rPr>
              <w:t xml:space="preserve">се </w:t>
            </w:r>
            <w:r w:rsidRPr="005452F6">
              <w:rPr>
                <w:lang w:val="bg-BG"/>
              </w:rPr>
              <w:t>премах</w:t>
            </w:r>
            <w:r w:rsidR="00462F24">
              <w:rPr>
                <w:lang w:val="bg-BG"/>
              </w:rPr>
              <w:t>в</w:t>
            </w:r>
            <w:r w:rsidRPr="005452F6">
              <w:rPr>
                <w:lang w:val="bg-BG"/>
              </w:rPr>
              <w:t xml:space="preserve">а </w:t>
            </w:r>
            <w:r w:rsidR="00462F24" w:rsidRPr="005452F6">
              <w:rPr>
                <w:lang w:val="bg-BG"/>
              </w:rPr>
              <w:t xml:space="preserve">окончателно </w:t>
            </w:r>
            <w:r w:rsidRPr="005452F6">
              <w:rPr>
                <w:lang w:val="bg-BG"/>
              </w:rPr>
              <w:t xml:space="preserve">от регистъра на риболовния флот на Съюза и лицензите и разрешенията за риболов </w:t>
            </w:r>
            <w:r w:rsidR="00462F24">
              <w:rPr>
                <w:lang w:val="bg-BG"/>
              </w:rPr>
              <w:t>се</w:t>
            </w:r>
            <w:r w:rsidRPr="005452F6">
              <w:rPr>
                <w:lang w:val="bg-BG"/>
              </w:rPr>
              <w:t xml:space="preserve"> отне</w:t>
            </w:r>
            <w:r w:rsidR="00462F24">
              <w:rPr>
                <w:lang w:val="bg-BG"/>
              </w:rPr>
              <w:t>мат.</w:t>
            </w:r>
            <w:r w:rsidR="003F62B5">
              <w:rPr>
                <w:rStyle w:val="FootnoteReference"/>
                <w:lang w:val="bg-BG"/>
              </w:rPr>
              <w:footnoteReference w:id="3"/>
            </w:r>
            <w:r w:rsidRPr="005452F6">
              <w:rPr>
                <w:lang w:val="bg-BG"/>
              </w:rPr>
              <w:t xml:space="preserve"> </w:t>
            </w:r>
          </w:p>
          <w:p w14:paraId="0A495C89" w14:textId="77777777" w:rsidR="005452F6" w:rsidRPr="009A55EE" w:rsidRDefault="005452F6" w:rsidP="00462F24">
            <w:pPr>
              <w:pStyle w:val="TableParagraph"/>
              <w:numPr>
                <w:ilvl w:val="0"/>
                <w:numId w:val="10"/>
              </w:numPr>
              <w:ind w:left="624"/>
              <w:jc w:val="both"/>
              <w:rPr>
                <w:lang w:val="bg-BG"/>
              </w:rPr>
            </w:pPr>
            <w:r w:rsidRPr="00A73EBF">
              <w:t>на бенефицие</w:t>
            </w:r>
            <w:r w:rsidR="00462F24">
              <w:rPr>
                <w:lang w:val="bg-BG"/>
              </w:rPr>
              <w:t>нт</w:t>
            </w:r>
            <w:r w:rsidRPr="00A73EBF">
              <w:t>а е забранено да регистрира риболовен кораб в рамките</w:t>
            </w:r>
            <w:r w:rsidR="00F2190C">
              <w:t xml:space="preserve"> на пет години след получаване</w:t>
            </w:r>
            <w:r w:rsidRPr="00A73EBF">
              <w:t xml:space="preserve"> на подкрепата</w:t>
            </w:r>
            <w:r w:rsidR="009A55EE">
              <w:rPr>
                <w:sz w:val="18"/>
                <w:lang w:val="bg-BG"/>
              </w:rPr>
              <w:t>;</w:t>
            </w:r>
          </w:p>
          <w:p w14:paraId="3B6FB016" w14:textId="77777777" w:rsidR="005452F6" w:rsidRPr="00DF635B" w:rsidRDefault="00DF635B" w:rsidP="00DF635B">
            <w:pPr>
              <w:pStyle w:val="TableParagraph"/>
              <w:numPr>
                <w:ilvl w:val="0"/>
                <w:numId w:val="10"/>
              </w:numPr>
              <w:ind w:left="630"/>
              <w:jc w:val="both"/>
              <w:rPr>
                <w:lang w:val="bg-BG"/>
              </w:rPr>
            </w:pPr>
            <w:r w:rsidRPr="00DF635B">
              <w:rPr>
                <w:lang w:val="bg-BG"/>
              </w:rPr>
              <w:t>бенефициентът може да се върне към риболовни дейности в рамките на този срок, изплатените суми за операцията се възстановяват в размер, пропорционален на периода.</w:t>
            </w:r>
          </w:p>
          <w:p w14:paraId="46C31E4C" w14:textId="77777777" w:rsidR="003F62B5" w:rsidRDefault="00516612" w:rsidP="00AF2389">
            <w:pPr>
              <w:ind w:left="142"/>
              <w:rPr>
                <w:lang w:val="bg-BG"/>
              </w:rPr>
            </w:pPr>
            <w:r w:rsidRPr="00516612">
              <w:rPr>
                <w:lang w:val="bg-BG"/>
              </w:rPr>
              <w:t>Минимал</w:t>
            </w:r>
            <w:r>
              <w:rPr>
                <w:lang w:val="bg-BG"/>
              </w:rPr>
              <w:t>ен</w:t>
            </w:r>
            <w:r w:rsidRPr="00516612">
              <w:rPr>
                <w:lang w:val="bg-BG"/>
              </w:rPr>
              <w:t xml:space="preserve"> размер на допустимата безвъзмездна финансова помощ (БФП) </w:t>
            </w:r>
            <w:r>
              <w:rPr>
                <w:lang w:val="bg-BG"/>
              </w:rPr>
              <w:t>–</w:t>
            </w:r>
            <w:r w:rsidRPr="00516612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не се прилага. </w:t>
            </w:r>
          </w:p>
          <w:p w14:paraId="466E2F70" w14:textId="77777777" w:rsidR="007D5AFF" w:rsidRDefault="00516612" w:rsidP="003F62B5">
            <w:pPr>
              <w:ind w:left="142"/>
              <w:rPr>
                <w:lang w:val="bg-BG"/>
              </w:rPr>
            </w:pPr>
            <w:r w:rsidRPr="00516612">
              <w:rPr>
                <w:lang w:val="bg-BG"/>
              </w:rPr>
              <w:t>Максимал</w:t>
            </w:r>
            <w:r>
              <w:rPr>
                <w:lang w:val="bg-BG"/>
              </w:rPr>
              <w:t>ен</w:t>
            </w:r>
            <w:r w:rsidRPr="00516612">
              <w:rPr>
                <w:lang w:val="bg-BG"/>
              </w:rPr>
              <w:t xml:space="preserve"> размер на допустимата БФП </w:t>
            </w:r>
            <w:r w:rsidR="003F62B5">
              <w:rPr>
                <w:lang w:val="bg-BG"/>
              </w:rPr>
              <w:t>–</w:t>
            </w:r>
            <w:r w:rsidRPr="00516612">
              <w:rPr>
                <w:lang w:val="bg-BG"/>
              </w:rPr>
              <w:t xml:space="preserve"> </w:t>
            </w:r>
            <w:r w:rsidR="003F62B5">
              <w:rPr>
                <w:lang w:val="bg-BG"/>
              </w:rPr>
              <w:t>ще се определя съгласно приложена методика</w:t>
            </w:r>
          </w:p>
          <w:p w14:paraId="0C1EAFC3" w14:textId="77777777" w:rsidR="00F73333" w:rsidRPr="00F73333" w:rsidRDefault="00F73333" w:rsidP="003F62B5">
            <w:pPr>
              <w:ind w:left="142"/>
              <w:rPr>
                <w:b/>
                <w:lang w:val="bg-BG"/>
              </w:rPr>
            </w:pPr>
            <w:r w:rsidRPr="00F73333">
              <w:rPr>
                <w:b/>
                <w:lang w:val="bg-BG"/>
              </w:rPr>
              <w:t>Индикативен интензитет на помощта:</w:t>
            </w:r>
          </w:p>
          <w:p w14:paraId="104977AD" w14:textId="77777777" w:rsidR="00F73333" w:rsidRPr="007D5AFF" w:rsidRDefault="00F73333" w:rsidP="003F62B5">
            <w:pPr>
              <w:ind w:left="142"/>
              <w:rPr>
                <w:lang w:val="bg-BG"/>
              </w:rPr>
            </w:pPr>
            <w:r>
              <w:rPr>
                <w:lang w:val="bg-BG"/>
              </w:rPr>
              <w:t>100% БФП</w:t>
            </w:r>
          </w:p>
        </w:tc>
      </w:tr>
      <w:tr w:rsidR="00FF53FB" w:rsidRPr="00681DC9" w14:paraId="2494C759" w14:textId="77777777" w:rsidTr="006E54CF">
        <w:trPr>
          <w:trHeight w:val="1322"/>
        </w:trPr>
        <w:tc>
          <w:tcPr>
            <w:tcW w:w="2496" w:type="dxa"/>
          </w:tcPr>
          <w:p w14:paraId="04E91FA1" w14:textId="3F514657" w:rsidR="00FF53FB" w:rsidRPr="001B1F93" w:rsidRDefault="00FF53FB" w:rsidP="001B1F93">
            <w:pPr>
              <w:pStyle w:val="TableParagraph"/>
              <w:tabs>
                <w:tab w:val="right" w:pos="3901"/>
              </w:tabs>
              <w:ind w:right="184"/>
              <w:jc w:val="both"/>
              <w:rPr>
                <w:lang w:val="bg-BG"/>
              </w:rPr>
            </w:pPr>
          </w:p>
          <w:p w14:paraId="7E6F0B92" w14:textId="77777777" w:rsidR="00FF53FB" w:rsidRPr="001B1F93" w:rsidRDefault="00FF53FB" w:rsidP="00010906">
            <w:pPr>
              <w:pStyle w:val="TableParagraph"/>
              <w:ind w:left="107" w:right="184"/>
              <w:jc w:val="both"/>
              <w:rPr>
                <w:lang w:val="bg-BG"/>
              </w:rPr>
            </w:pPr>
            <w:r w:rsidRPr="001B1F93">
              <w:rPr>
                <w:lang w:val="bg-BG"/>
              </w:rPr>
              <w:t xml:space="preserve">      Специфична цел</w:t>
            </w:r>
          </w:p>
          <w:p w14:paraId="051BE710" w14:textId="77777777" w:rsidR="00FF53FB" w:rsidRPr="006E54CF" w:rsidRDefault="00FF53FB" w:rsidP="00010906">
            <w:pPr>
              <w:pStyle w:val="TableParagraph"/>
              <w:spacing w:before="8"/>
              <w:jc w:val="both"/>
            </w:pPr>
          </w:p>
        </w:tc>
        <w:tc>
          <w:tcPr>
            <w:tcW w:w="7428" w:type="dxa"/>
          </w:tcPr>
          <w:p w14:paraId="1A7C1094" w14:textId="77777777" w:rsidR="00FF53FB" w:rsidRPr="00516612" w:rsidRDefault="009A55EE" w:rsidP="001550FD">
            <w:pPr>
              <w:pStyle w:val="TableParagraph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1.3 </w:t>
            </w:r>
            <w:r w:rsidR="00FF53FB" w:rsidRPr="00FF53FB">
              <w:rPr>
                <w:lang w:val="bg-BG"/>
              </w:rPr>
              <w:t>Насърчаване на адаптирането на риболовния капацитет към възможностите за риболов в случай на окончателно преустановяване и допринасяне за постигането на справедлив жизнен стандарт в случай на временно преустановяване на риб</w:t>
            </w:r>
            <w:r w:rsidR="00516612">
              <w:rPr>
                <w:lang w:val="bg-BG"/>
              </w:rPr>
              <w:t>оловните дейности</w:t>
            </w:r>
          </w:p>
        </w:tc>
      </w:tr>
      <w:tr w:rsidR="000D2B46" w:rsidRPr="00681DC9" w14:paraId="0B21222C" w14:textId="77777777" w:rsidTr="006E54CF">
        <w:trPr>
          <w:trHeight w:val="1008"/>
        </w:trPr>
        <w:tc>
          <w:tcPr>
            <w:tcW w:w="2496" w:type="dxa"/>
          </w:tcPr>
          <w:p w14:paraId="5BD4824C" w14:textId="7E3F1339" w:rsidR="000D2B46" w:rsidRPr="006E54CF" w:rsidRDefault="003435BF" w:rsidP="00010906">
            <w:pPr>
              <w:pStyle w:val="TableParagraph"/>
              <w:spacing w:before="114"/>
              <w:ind w:left="107" w:right="86"/>
              <w:jc w:val="both"/>
            </w:pPr>
            <w:r w:rsidRPr="006E54CF">
              <w:rPr>
                <w:color w:val="FF0000"/>
                <w:lang w:val="bg-BG"/>
              </w:rPr>
              <w:lastRenderedPageBreak/>
              <w:t xml:space="preserve"> </w:t>
            </w:r>
            <w:r w:rsidR="000D2B46" w:rsidRPr="001B1F93">
              <w:t xml:space="preserve">Условия, които трябва да бъдат изпълнени </w:t>
            </w:r>
            <w:r w:rsidRPr="001B1F93">
              <w:rPr>
                <w:lang w:val="bg-BG"/>
              </w:rPr>
              <w:t>или</w:t>
            </w:r>
            <w:r w:rsidR="000D2B46" w:rsidRPr="001B1F93">
              <w:t xml:space="preserve"> резултати, които трябва да бъдат постигнати</w:t>
            </w:r>
          </w:p>
        </w:tc>
        <w:tc>
          <w:tcPr>
            <w:tcW w:w="7428" w:type="dxa"/>
          </w:tcPr>
          <w:p w14:paraId="02978DA2" w14:textId="77777777" w:rsidR="000D2B46" w:rsidRPr="00516612" w:rsidRDefault="001F6A24" w:rsidP="001F6A24">
            <w:pPr>
              <w:pStyle w:val="TableParagraph"/>
              <w:jc w:val="both"/>
              <w:rPr>
                <w:lang w:val="bg-BG"/>
              </w:rPr>
            </w:pPr>
            <w:r>
              <w:rPr>
                <w:lang w:val="bg-BG"/>
              </w:rPr>
              <w:t>С о</w:t>
            </w:r>
            <w:r w:rsidRPr="001F6A24">
              <w:t>кончателно</w:t>
            </w:r>
            <w:r>
              <w:rPr>
                <w:lang w:val="bg-BG"/>
              </w:rPr>
              <w:t>то</w:t>
            </w:r>
            <w:r w:rsidRPr="001F6A24">
              <w:t xml:space="preserve"> преустановяване на риболовните дейности ще се постигне приспособяване на риболовното усилие на българския риболовен флот в съответствие с наличните и достъпни ресурси и съобразно капацитета на риболовния флот на ниво сегмент, като се скрапират част от старите и неефективни плавателни съдове в небалансираните по отношение на въ</w:t>
            </w:r>
            <w:r>
              <w:t>зможностите за риболов сегменти</w:t>
            </w:r>
            <w:r w:rsidRPr="001F6A24">
              <w:t>. Така ще се намали вредното въздействие на флота като цяло върху морската среда и ще се допринесе за балансирането на флота към възможностите за риболов.</w:t>
            </w:r>
          </w:p>
        </w:tc>
      </w:tr>
      <w:tr w:rsidR="000D2B46" w:rsidRPr="00681DC9" w14:paraId="324D3198" w14:textId="77777777" w:rsidTr="006E54CF">
        <w:trPr>
          <w:trHeight w:val="1007"/>
        </w:trPr>
        <w:tc>
          <w:tcPr>
            <w:tcW w:w="2496" w:type="dxa"/>
          </w:tcPr>
          <w:p w14:paraId="607A3BDB" w14:textId="2ED743EC" w:rsidR="000D2B46" w:rsidRPr="006E54CF" w:rsidRDefault="000D2B46" w:rsidP="00010906">
            <w:pPr>
              <w:pStyle w:val="TableParagraph"/>
              <w:spacing w:before="114"/>
              <w:ind w:left="107" w:right="153"/>
              <w:jc w:val="both"/>
            </w:pPr>
            <w:r w:rsidRPr="001B1F93"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7428" w:type="dxa"/>
          </w:tcPr>
          <w:p w14:paraId="4C573A21" w14:textId="77777777" w:rsidR="000D2B46" w:rsidRDefault="001168F7" w:rsidP="00F73333">
            <w:pPr>
              <w:pStyle w:val="TableParagraph"/>
              <w:jc w:val="both"/>
              <w:rPr>
                <w:lang w:val="bg-BG"/>
              </w:rPr>
            </w:pPr>
            <w:r>
              <w:rPr>
                <w:lang w:val="bg-BG"/>
              </w:rPr>
              <w:t>Мярката ще се изпълнява</w:t>
            </w:r>
            <w:r w:rsidR="00B60A20">
              <w:rPr>
                <w:lang w:val="bg-BG"/>
              </w:rPr>
              <w:t xml:space="preserve"> </w:t>
            </w:r>
            <w:r w:rsidR="00F73333">
              <w:rPr>
                <w:lang w:val="bg-BG"/>
              </w:rPr>
              <w:t xml:space="preserve">при одобрен </w:t>
            </w:r>
            <w:bookmarkStart w:id="0" w:name="_GoBack"/>
            <w:bookmarkEnd w:id="0"/>
            <w:r w:rsidR="00F73333">
              <w:rPr>
                <w:lang w:val="bg-BG"/>
              </w:rPr>
              <w:t>план за действие за сегментите на флота за периода 2021-2027 г.</w:t>
            </w:r>
          </w:p>
          <w:p w14:paraId="495DE5FF" w14:textId="77777777" w:rsidR="00163FB4" w:rsidRPr="001168F7" w:rsidRDefault="00163FB4" w:rsidP="00F73333">
            <w:pPr>
              <w:pStyle w:val="TableParagraph"/>
              <w:jc w:val="both"/>
              <w:rPr>
                <w:lang w:val="bg-BG"/>
              </w:rPr>
            </w:pPr>
            <w:r w:rsidRPr="002A25D0">
              <w:rPr>
                <w:color w:val="C00000"/>
                <w:lang w:val="bg-BG"/>
              </w:rPr>
              <w:t>Р</w:t>
            </w:r>
            <w:r w:rsidRPr="002A25D0">
              <w:rPr>
                <w:color w:val="C00000"/>
              </w:rPr>
              <w:t>езултатите следва да бъдат постигнати</w:t>
            </w:r>
            <w:r w:rsidRPr="002A25D0">
              <w:rPr>
                <w:color w:val="C00000"/>
                <w:lang w:val="bg-BG"/>
              </w:rPr>
              <w:t xml:space="preserve"> до 31 декември 2029 г.</w:t>
            </w:r>
          </w:p>
        </w:tc>
      </w:tr>
      <w:tr w:rsidR="000D2B46" w:rsidRPr="00681DC9" w14:paraId="1EB3B754" w14:textId="77777777" w:rsidTr="006E54CF">
        <w:trPr>
          <w:trHeight w:val="1622"/>
        </w:trPr>
        <w:tc>
          <w:tcPr>
            <w:tcW w:w="2496" w:type="dxa"/>
          </w:tcPr>
          <w:p w14:paraId="6C63BE0A" w14:textId="674182A3" w:rsidR="00516612" w:rsidRPr="001B1F93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1B1F93">
              <w:t xml:space="preserve">Проверка на постигането на резултат или условие (и когато е приложимо — на междинните </w:t>
            </w:r>
            <w:r w:rsidRPr="001B1F93">
              <w:rPr>
                <w:lang w:val="bg-BG"/>
              </w:rPr>
              <w:t>постижения</w:t>
            </w:r>
            <w:r w:rsidRPr="001B1F93">
              <w:t>)</w:t>
            </w:r>
          </w:p>
          <w:p w14:paraId="497E72BA" w14:textId="77777777" w:rsidR="00516612" w:rsidRPr="001B1F93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1B1F93">
              <w:t>– опишете какви документи ще бъдат използвани, за да се докаже постигането на резултат или условие</w:t>
            </w:r>
          </w:p>
          <w:p w14:paraId="13043565" w14:textId="77777777" w:rsidR="00516612" w:rsidRPr="001B1F93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1B1F93">
              <w:t xml:space="preserve">– опишете какво ще бъде проверявано по време на проверките </w:t>
            </w:r>
            <w:r w:rsidRPr="001B1F93">
              <w:rPr>
                <w:lang w:val="bg-BG"/>
              </w:rPr>
              <w:t>за верификация</w:t>
            </w:r>
            <w:r w:rsidRPr="001B1F93">
              <w:t xml:space="preserve"> (включително на </w:t>
            </w:r>
            <w:r w:rsidRPr="001B1F93">
              <w:rPr>
                <w:lang w:val="bg-BG"/>
              </w:rPr>
              <w:t xml:space="preserve">проверки на </w:t>
            </w:r>
            <w:r w:rsidRPr="001B1F93">
              <w:t>място), и от кого.</w:t>
            </w:r>
          </w:p>
          <w:p w14:paraId="238125C8" w14:textId="77777777" w:rsidR="000D2B46" w:rsidRPr="001B1F93" w:rsidRDefault="00516612" w:rsidP="00243A3E">
            <w:pPr>
              <w:pStyle w:val="TableParagraph"/>
              <w:ind w:left="107"/>
              <w:rPr>
                <w:lang w:val="bg-BG"/>
              </w:rPr>
            </w:pPr>
            <w:r w:rsidRPr="001B1F93">
              <w:t xml:space="preserve">– опишете какви са механизмите за събиране и съхраняване на данните/документите  </w:t>
            </w:r>
          </w:p>
        </w:tc>
        <w:tc>
          <w:tcPr>
            <w:tcW w:w="7428" w:type="dxa"/>
          </w:tcPr>
          <w:p w14:paraId="2C932513" w14:textId="77777777"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 xml:space="preserve">Мониторинг на изпълнението на проектите, съгласно разработена Система за контрол и изпълнение на оперативната програма. </w:t>
            </w:r>
          </w:p>
          <w:p w14:paraId="24022551" w14:textId="77777777"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 на място/Доклади/Контролни листа.</w:t>
            </w:r>
          </w:p>
          <w:p w14:paraId="015E5EFC" w14:textId="77777777"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1C6E92C3" w14:textId="77777777"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се извършват от УО на ПМДРА.</w:t>
            </w:r>
          </w:p>
          <w:p w14:paraId="5900F292" w14:textId="77777777"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Документите удостоверяващи извършените проверки се прилагат в 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  <w:r>
              <w:rPr>
                <w:lang w:val="bg-BG"/>
              </w:rPr>
              <w:t xml:space="preserve"> </w:t>
            </w:r>
          </w:p>
          <w:p w14:paraId="1466A512" w14:textId="77777777" w:rsidR="00F07A78" w:rsidRP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INFOSYS докладване.</w:t>
            </w:r>
          </w:p>
          <w:p w14:paraId="40D74D0D" w14:textId="77777777" w:rsidR="00F07A78" w:rsidRPr="00010906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0D2B46" w:rsidRPr="00681DC9" w14:paraId="6E53F57E" w14:textId="77777777" w:rsidTr="006E54CF">
        <w:trPr>
          <w:trHeight w:val="2018"/>
        </w:trPr>
        <w:tc>
          <w:tcPr>
            <w:tcW w:w="2496" w:type="dxa"/>
          </w:tcPr>
          <w:p w14:paraId="01A55234" w14:textId="769257DC" w:rsidR="000D2B46" w:rsidRPr="001B1F93" w:rsidRDefault="000D2B46" w:rsidP="00243A3E">
            <w:pPr>
              <w:pStyle w:val="TableParagraph"/>
              <w:ind w:left="107"/>
              <w:jc w:val="both"/>
            </w:pPr>
            <w:r w:rsidRPr="001B1F93">
              <w:t xml:space="preserve">Механизми за осигуряване на одитна следа </w:t>
            </w:r>
          </w:p>
          <w:p w14:paraId="3E4F394E" w14:textId="77777777" w:rsidR="000D2B46" w:rsidRPr="001B1F93" w:rsidRDefault="000D2B46" w:rsidP="00243A3E">
            <w:pPr>
              <w:pStyle w:val="TableParagraph"/>
              <w:ind w:left="107"/>
              <w:jc w:val="both"/>
            </w:pPr>
            <w:r w:rsidRPr="001B1F93">
              <w:t>Моля, посо</w:t>
            </w:r>
            <w:r w:rsidR="00302D4C" w:rsidRPr="001B1F93">
              <w:t>чете органа/органите, отгов</w:t>
            </w:r>
            <w:r w:rsidR="00302D4C" w:rsidRPr="001B1F93">
              <w:rPr>
                <w:lang w:val="bg-BG"/>
              </w:rPr>
              <w:t>орни</w:t>
            </w:r>
            <w:r w:rsidRPr="001B1F93">
              <w:t xml:space="preserve"> за тези механизми.</w:t>
            </w:r>
          </w:p>
        </w:tc>
        <w:tc>
          <w:tcPr>
            <w:tcW w:w="7428" w:type="dxa"/>
          </w:tcPr>
          <w:p w14:paraId="005649D2" w14:textId="77777777" w:rsidR="00F07A78" w:rsidRDefault="00F07A78" w:rsidP="00F07A78">
            <w:pPr>
              <w:pStyle w:val="TableParagraph"/>
              <w:ind w:left="57" w:right="142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Всички документи се съхраняват в електронен вид в </w:t>
            </w:r>
            <w:r w:rsidRPr="00F07A78">
              <w:rPr>
                <w:lang w:val="bg-BG"/>
              </w:rPr>
              <w:t>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</w:p>
          <w:p w14:paraId="095AAC1F" w14:textId="77777777" w:rsidR="00F07A78" w:rsidRDefault="00F07A78" w:rsidP="00F07A78">
            <w:pP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Отговорни институции за осигуряване на одитна следа:</w:t>
            </w:r>
          </w:p>
          <w:p w14:paraId="7689E8E4" w14:textId="77777777" w:rsidR="00F07A78" w:rsidRDefault="00F07A78" w:rsidP="006203C9">
            <w:pPr>
              <w:pStyle w:val="ListParagraph"/>
              <w:numPr>
                <w:ilvl w:val="0"/>
                <w:numId w:val="7"/>
              </w:numPr>
              <w:spacing w:before="0"/>
              <w:ind w:left="482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23B873EC" w14:textId="77777777" w:rsidR="00F07A78" w:rsidRDefault="00F07A78" w:rsidP="006203C9">
            <w:pPr>
              <w:pStyle w:val="ListParagraph"/>
              <w:numPr>
                <w:ilvl w:val="0"/>
                <w:numId w:val="7"/>
              </w:numPr>
              <w:spacing w:before="0"/>
              <w:ind w:left="482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7643EE16" w14:textId="77777777" w:rsidR="00F07A78" w:rsidRDefault="00F07A78" w:rsidP="006203C9">
            <w:pPr>
              <w:pStyle w:val="ListParagraph"/>
              <w:numPr>
                <w:ilvl w:val="0"/>
                <w:numId w:val="7"/>
              </w:numPr>
              <w:spacing w:before="0"/>
              <w:ind w:left="482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 орган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2711BB87" w14:textId="77777777" w:rsidR="000D2B46" w:rsidRPr="00681DC9" w:rsidRDefault="00516AAE" w:rsidP="00516AAE">
            <w:pPr>
              <w:pStyle w:val="ListParagraph"/>
              <w:numPr>
                <w:ilvl w:val="0"/>
                <w:numId w:val="7"/>
              </w:numPr>
              <w:spacing w:before="0"/>
              <w:ind w:left="482"/>
            </w:pPr>
            <w:r w:rsidRPr="00516AAE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 на ПМДРА, изпълняващ счетоводната функция, подготвящ и изпращащ заявления за плащане до Комисията</w:t>
            </w:r>
            <w:r w:rsid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14:paraId="25FDDF9B" w14:textId="77777777" w:rsidR="000D2B46" w:rsidRPr="00681DC9" w:rsidRDefault="000D2B46" w:rsidP="000D2B46">
      <w:pPr>
        <w:pStyle w:val="BodyText"/>
        <w:rPr>
          <w:sz w:val="20"/>
          <w:u w:val="none"/>
        </w:rPr>
      </w:pPr>
    </w:p>
    <w:p w14:paraId="17780877" w14:textId="77777777" w:rsidR="000D2B46" w:rsidRPr="00681DC9" w:rsidRDefault="000D2B46" w:rsidP="000D2B46">
      <w:pPr>
        <w:pStyle w:val="BodyText"/>
        <w:rPr>
          <w:sz w:val="20"/>
          <w:u w:val="none"/>
        </w:rPr>
      </w:pPr>
    </w:p>
    <w:p w14:paraId="72E977D2" w14:textId="77777777" w:rsidR="00C26E02" w:rsidRDefault="00C26E02" w:rsidP="002113FD">
      <w:pPr>
        <w:jc w:val="center"/>
        <w:rPr>
          <w:lang w:val="bg-BG"/>
        </w:rPr>
      </w:pPr>
    </w:p>
    <w:p w14:paraId="01A6B525" w14:textId="77777777" w:rsidR="00C26E02" w:rsidRDefault="00C26E02" w:rsidP="002113FD">
      <w:pPr>
        <w:jc w:val="center"/>
        <w:rPr>
          <w:lang w:val="bg-BG"/>
        </w:rPr>
      </w:pPr>
    </w:p>
    <w:p w14:paraId="737FF7AC" w14:textId="77777777" w:rsidR="00C26E02" w:rsidRDefault="00C26E02" w:rsidP="002113FD">
      <w:pPr>
        <w:jc w:val="center"/>
        <w:rPr>
          <w:lang w:val="bg-BG"/>
        </w:rPr>
      </w:pPr>
    </w:p>
    <w:p w14:paraId="0F4D7A46" w14:textId="77777777" w:rsidR="00C26E02" w:rsidRDefault="00C26E02" w:rsidP="002113FD">
      <w:pPr>
        <w:jc w:val="center"/>
        <w:rPr>
          <w:lang w:val="bg-BG"/>
        </w:rPr>
      </w:pPr>
    </w:p>
    <w:p w14:paraId="2A5886F4" w14:textId="77777777" w:rsidR="00C26E02" w:rsidRDefault="00C26E02" w:rsidP="002113FD">
      <w:pPr>
        <w:jc w:val="center"/>
        <w:rPr>
          <w:lang w:val="bg-BG"/>
        </w:rPr>
      </w:pPr>
    </w:p>
    <w:p w14:paraId="213E08F9" w14:textId="77777777" w:rsidR="00C26E02" w:rsidRDefault="00C26E02" w:rsidP="002113FD">
      <w:pPr>
        <w:jc w:val="center"/>
        <w:rPr>
          <w:lang w:val="bg-BG"/>
        </w:rPr>
      </w:pPr>
    </w:p>
    <w:p w14:paraId="63EAF320" w14:textId="77777777" w:rsidR="00C26E02" w:rsidRDefault="00C26E02" w:rsidP="002113FD">
      <w:pPr>
        <w:jc w:val="center"/>
        <w:rPr>
          <w:lang w:val="bg-BG"/>
        </w:rPr>
      </w:pPr>
    </w:p>
    <w:p w14:paraId="14E6FC4A" w14:textId="77777777" w:rsidR="00C26E02" w:rsidRDefault="00C26E02" w:rsidP="002113FD">
      <w:pPr>
        <w:jc w:val="center"/>
        <w:rPr>
          <w:lang w:val="bg-BG"/>
        </w:rPr>
      </w:pPr>
    </w:p>
    <w:p w14:paraId="7C695169" w14:textId="77777777" w:rsidR="00C26E02" w:rsidRDefault="00C26E02" w:rsidP="002113FD">
      <w:pPr>
        <w:jc w:val="center"/>
        <w:rPr>
          <w:lang w:val="bg-BG"/>
        </w:rPr>
      </w:pPr>
    </w:p>
    <w:p w14:paraId="6F6521A0" w14:textId="77777777" w:rsidR="00C26E02" w:rsidRDefault="00C26E02" w:rsidP="002113FD">
      <w:pPr>
        <w:jc w:val="center"/>
        <w:rPr>
          <w:lang w:val="bg-BG"/>
        </w:rPr>
      </w:pPr>
    </w:p>
    <w:p w14:paraId="15C7FA54" w14:textId="77777777" w:rsidR="00C26E02" w:rsidRDefault="00C26E02" w:rsidP="002113FD">
      <w:pPr>
        <w:jc w:val="center"/>
        <w:rPr>
          <w:lang w:val="bg-BG"/>
        </w:rPr>
      </w:pPr>
    </w:p>
    <w:p w14:paraId="33DB1E17" w14:textId="77777777" w:rsidR="00C26E02" w:rsidRDefault="00C26E02" w:rsidP="002113FD">
      <w:pPr>
        <w:jc w:val="center"/>
        <w:rPr>
          <w:lang w:val="bg-BG"/>
        </w:rPr>
      </w:pPr>
    </w:p>
    <w:p w14:paraId="781E2D52" w14:textId="77777777" w:rsidR="00C26E02" w:rsidRDefault="00C26E02" w:rsidP="002113FD">
      <w:pPr>
        <w:jc w:val="center"/>
        <w:rPr>
          <w:lang w:val="bg-BG"/>
        </w:rPr>
      </w:pPr>
    </w:p>
    <w:p w14:paraId="38BDA23E" w14:textId="77777777" w:rsidR="00AE29FD" w:rsidRPr="009A55B8" w:rsidRDefault="002113FD" w:rsidP="002113FD">
      <w:pPr>
        <w:jc w:val="center"/>
        <w:rPr>
          <w:b/>
          <w:lang w:val="bg-BG"/>
        </w:rPr>
      </w:pPr>
      <w:r w:rsidRPr="009A55B8">
        <w:rPr>
          <w:b/>
          <w:lang w:val="bg-BG"/>
        </w:rPr>
        <w:t>ИНДИКАТИВНА МЕТОДИКА ЗА ОПРЕДЕЛЯНЕ НА ПРЕМИЯТА ЗА ПОСТОЯННО ПРЕКРАТЯВАНЕ НА РИБОЛОВНАТА ДЕЙНОСТ</w:t>
      </w:r>
      <w:r w:rsidR="009A55B8">
        <w:rPr>
          <w:rStyle w:val="FootnoteReference"/>
          <w:rFonts w:ascii="Calibri" w:hAnsi="Calibri" w:cs="Calibri"/>
          <w:b/>
          <w:lang w:val="bg-BG"/>
        </w:rPr>
        <w:t>*</w:t>
      </w:r>
    </w:p>
    <w:p w14:paraId="5E05FD50" w14:textId="77777777" w:rsidR="002113FD" w:rsidRDefault="002113FD" w:rsidP="002113FD">
      <w:pPr>
        <w:jc w:val="center"/>
        <w:rPr>
          <w:lang w:val="bg-BG"/>
        </w:rPr>
      </w:pPr>
    </w:p>
    <w:p w14:paraId="26D3C945" w14:textId="77777777" w:rsidR="002113FD" w:rsidRDefault="002113FD" w:rsidP="002113FD">
      <w:pPr>
        <w:jc w:val="both"/>
        <w:rPr>
          <w:lang w:val="bg-BG"/>
        </w:rPr>
      </w:pPr>
      <w:r w:rsidRPr="002113FD">
        <w:rPr>
          <w:lang w:val="bg-BG"/>
        </w:rPr>
        <w:t xml:space="preserve">За всеки отделен кораб, за който се кандидатства, се определя размер на премията в евро на база неговия капацитет (БТ), по следният начин: </w:t>
      </w:r>
    </w:p>
    <w:p w14:paraId="25DD226D" w14:textId="77777777" w:rsidR="002113FD" w:rsidRPr="002113FD" w:rsidRDefault="002113FD" w:rsidP="002113FD">
      <w:pPr>
        <w:jc w:val="both"/>
        <w:rPr>
          <w:lang w:val="bg-BG"/>
        </w:rPr>
      </w:pPr>
      <w:r w:rsidRPr="002113FD">
        <w:rPr>
          <w:lang w:val="bg-BG"/>
        </w:rPr>
        <w:t>Определен коефициент за различните капацитети се умножава по капацитета на кораба в (БТ), след което към получената сума се прибавя коефициент за различните капацитети. Получената сума на помощта е в евро.</w:t>
      </w:r>
    </w:p>
    <w:p w14:paraId="2F7E7894" w14:textId="77777777" w:rsidR="002113FD" w:rsidRDefault="002113FD" w:rsidP="002113FD">
      <w:pPr>
        <w:jc w:val="both"/>
        <w:rPr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113FD" w14:paraId="4042ED2A" w14:textId="77777777" w:rsidTr="002113FD">
        <w:tc>
          <w:tcPr>
            <w:tcW w:w="4811" w:type="dxa"/>
          </w:tcPr>
          <w:p w14:paraId="21E49C76" w14:textId="77777777" w:rsidR="002113FD" w:rsidRPr="00AC5C89" w:rsidRDefault="002113FD" w:rsidP="002113FD">
            <w:pPr>
              <w:jc w:val="both"/>
              <w:rPr>
                <w:b/>
              </w:rPr>
            </w:pPr>
            <w:r w:rsidRPr="00AC5C89">
              <w:rPr>
                <w:b/>
              </w:rPr>
              <w:t>Категория на риболовния кораб по капацитет (БТ)</w:t>
            </w:r>
          </w:p>
        </w:tc>
        <w:tc>
          <w:tcPr>
            <w:tcW w:w="4811" w:type="dxa"/>
          </w:tcPr>
          <w:p w14:paraId="5A531469" w14:textId="77777777" w:rsidR="002113FD" w:rsidRPr="00AC5C89" w:rsidRDefault="002113FD" w:rsidP="002113FD">
            <w:pPr>
              <w:jc w:val="both"/>
              <w:rPr>
                <w:b/>
              </w:rPr>
            </w:pPr>
            <w:r w:rsidRPr="00AC5C89">
              <w:rPr>
                <w:b/>
              </w:rPr>
              <w:t>евро</w:t>
            </w:r>
          </w:p>
        </w:tc>
      </w:tr>
      <w:tr w:rsidR="002113FD" w14:paraId="18CC916F" w14:textId="77777777" w:rsidTr="002113FD">
        <w:tc>
          <w:tcPr>
            <w:tcW w:w="4811" w:type="dxa"/>
          </w:tcPr>
          <w:p w14:paraId="6291491C" w14:textId="77777777" w:rsidR="002113FD" w:rsidRDefault="002113FD" w:rsidP="002113FD">
            <w:pPr>
              <w:jc w:val="both"/>
            </w:pPr>
            <w:r w:rsidRPr="002113FD">
              <w:t>0&lt;10</w:t>
            </w:r>
          </w:p>
        </w:tc>
        <w:tc>
          <w:tcPr>
            <w:tcW w:w="4811" w:type="dxa"/>
          </w:tcPr>
          <w:p w14:paraId="7AAEA3BD" w14:textId="77777777" w:rsidR="002113FD" w:rsidRDefault="002113FD" w:rsidP="002113FD">
            <w:pPr>
              <w:jc w:val="both"/>
            </w:pPr>
            <w:r w:rsidRPr="002113FD">
              <w:t>11000 x БТ + 4000</w:t>
            </w:r>
          </w:p>
        </w:tc>
      </w:tr>
      <w:tr w:rsidR="002113FD" w14:paraId="6823398B" w14:textId="77777777" w:rsidTr="002113FD">
        <w:tc>
          <w:tcPr>
            <w:tcW w:w="4811" w:type="dxa"/>
          </w:tcPr>
          <w:p w14:paraId="7AF407E4" w14:textId="3AA16893" w:rsidR="002113FD" w:rsidRDefault="008B26CF" w:rsidP="002113FD">
            <w:pPr>
              <w:jc w:val="both"/>
            </w:pPr>
            <w:r w:rsidRPr="008B26CF">
              <w:t>≥</w:t>
            </w:r>
            <w:r w:rsidR="002113FD" w:rsidRPr="002113FD">
              <w:t>10&lt;25</w:t>
            </w:r>
          </w:p>
        </w:tc>
        <w:tc>
          <w:tcPr>
            <w:tcW w:w="4811" w:type="dxa"/>
          </w:tcPr>
          <w:p w14:paraId="7EDFBB59" w14:textId="77777777" w:rsidR="002113FD" w:rsidRDefault="002113FD" w:rsidP="002113FD">
            <w:pPr>
              <w:jc w:val="both"/>
            </w:pPr>
            <w:r w:rsidRPr="002113FD">
              <w:t>5000 x БТ + 64 000</w:t>
            </w:r>
          </w:p>
        </w:tc>
      </w:tr>
      <w:tr w:rsidR="002113FD" w14:paraId="07AFE8BA" w14:textId="77777777" w:rsidTr="002113FD">
        <w:tc>
          <w:tcPr>
            <w:tcW w:w="4811" w:type="dxa"/>
          </w:tcPr>
          <w:p w14:paraId="2A637F36" w14:textId="5CB9A03E" w:rsidR="002113FD" w:rsidRDefault="008B26CF" w:rsidP="002113FD">
            <w:pPr>
              <w:jc w:val="both"/>
            </w:pPr>
            <w:r w:rsidRPr="008B26CF">
              <w:t>≥</w:t>
            </w:r>
            <w:r w:rsidR="002113FD" w:rsidRPr="002113FD">
              <w:t>25&lt;100</w:t>
            </w:r>
          </w:p>
        </w:tc>
        <w:tc>
          <w:tcPr>
            <w:tcW w:w="4811" w:type="dxa"/>
          </w:tcPr>
          <w:p w14:paraId="4613FBCE" w14:textId="77777777" w:rsidR="002113FD" w:rsidRDefault="002113FD" w:rsidP="002113FD">
            <w:pPr>
              <w:jc w:val="both"/>
            </w:pPr>
            <w:r w:rsidRPr="002113FD">
              <w:t>4200 x БТ + 84 000</w:t>
            </w:r>
          </w:p>
        </w:tc>
      </w:tr>
      <w:tr w:rsidR="002113FD" w14:paraId="275F4CD2" w14:textId="77777777" w:rsidTr="002113FD">
        <w:tc>
          <w:tcPr>
            <w:tcW w:w="4811" w:type="dxa"/>
          </w:tcPr>
          <w:p w14:paraId="027FE7B7" w14:textId="17356BA0" w:rsidR="002113FD" w:rsidRDefault="008B26CF" w:rsidP="002113FD">
            <w:pPr>
              <w:jc w:val="both"/>
            </w:pPr>
            <w:r w:rsidRPr="008B26CF">
              <w:t>≥</w:t>
            </w:r>
            <w:r w:rsidR="002113FD" w:rsidRPr="002113FD">
              <w:t>100&lt;300</w:t>
            </w:r>
          </w:p>
        </w:tc>
        <w:tc>
          <w:tcPr>
            <w:tcW w:w="4811" w:type="dxa"/>
          </w:tcPr>
          <w:p w14:paraId="7FE8F72C" w14:textId="77777777" w:rsidR="002113FD" w:rsidRDefault="002113FD" w:rsidP="002113FD">
            <w:pPr>
              <w:jc w:val="both"/>
            </w:pPr>
            <w:r w:rsidRPr="002113FD">
              <w:t>2700 x БТ + 234 000</w:t>
            </w:r>
          </w:p>
        </w:tc>
      </w:tr>
    </w:tbl>
    <w:p w14:paraId="0E12EC2F" w14:textId="77777777" w:rsidR="002113FD" w:rsidRPr="002113FD" w:rsidRDefault="002113FD" w:rsidP="002113FD">
      <w:pPr>
        <w:jc w:val="both"/>
        <w:rPr>
          <w:lang w:val="bg-BG"/>
        </w:rPr>
      </w:pPr>
    </w:p>
    <w:p w14:paraId="06FB7D07" w14:textId="77777777" w:rsidR="002113FD" w:rsidRPr="002113FD" w:rsidRDefault="002113FD" w:rsidP="002113FD">
      <w:pPr>
        <w:jc w:val="both"/>
        <w:rPr>
          <w:lang w:val="bg-BG"/>
        </w:rPr>
      </w:pPr>
      <w:r>
        <w:rPr>
          <w:lang w:val="bg-BG"/>
        </w:rPr>
        <w:tab/>
      </w:r>
      <w:r w:rsidRPr="002113FD">
        <w:rPr>
          <w:lang w:val="bg-BG"/>
        </w:rPr>
        <w:tab/>
      </w:r>
    </w:p>
    <w:p w14:paraId="78F820A0" w14:textId="77777777" w:rsidR="002113FD" w:rsidRPr="002113FD" w:rsidRDefault="002113FD" w:rsidP="002113FD">
      <w:pPr>
        <w:jc w:val="both"/>
        <w:rPr>
          <w:lang w:val="bg-BG"/>
        </w:rPr>
      </w:pPr>
      <w:r w:rsidRPr="002113FD">
        <w:rPr>
          <w:lang w:val="bg-BG"/>
        </w:rPr>
        <w:t>Формули за окончателно изчисление на премиите, предоставяни на собственици на риболовни кораби за постоянно прекратяване на риболовни дейности:</w:t>
      </w:r>
    </w:p>
    <w:p w14:paraId="620884F9" w14:textId="77777777" w:rsidR="002113FD" w:rsidRPr="00C26E02" w:rsidRDefault="002113FD" w:rsidP="00C26E02">
      <w:pPr>
        <w:pStyle w:val="ListParagraph"/>
        <w:numPr>
          <w:ilvl w:val="0"/>
          <w:numId w:val="12"/>
        </w:numPr>
        <w:ind w:left="567"/>
        <w:jc w:val="both"/>
        <w:rPr>
          <w:lang w:val="bg-BG"/>
        </w:rPr>
      </w:pPr>
      <w:r w:rsidRPr="00C26E02">
        <w:rPr>
          <w:lang w:val="bg-BG"/>
        </w:rPr>
        <w:t>За риболовни кораби на възраст от 10 до 15 години: стойността съобразно таблицата</w:t>
      </w:r>
      <w:r w:rsidR="00C26E02" w:rsidRPr="00C26E02">
        <w:rPr>
          <w:lang w:val="bg-BG"/>
        </w:rPr>
        <w:t xml:space="preserve"> не</w:t>
      </w:r>
      <w:r w:rsidRPr="00C26E02">
        <w:rPr>
          <w:lang w:val="bg-BG"/>
        </w:rPr>
        <w:t xml:space="preserve"> се </w:t>
      </w:r>
      <w:r w:rsidR="00C26E02" w:rsidRPr="00C26E02">
        <w:rPr>
          <w:lang w:val="bg-BG"/>
        </w:rPr>
        <w:t>променя</w:t>
      </w:r>
      <w:r w:rsidRPr="00C26E02">
        <w:rPr>
          <w:lang w:val="bg-BG"/>
        </w:rPr>
        <w:t>.</w:t>
      </w:r>
    </w:p>
    <w:p w14:paraId="7BE21F31" w14:textId="77777777" w:rsidR="002113FD" w:rsidRPr="00C26E02" w:rsidRDefault="002113FD" w:rsidP="00C26E02">
      <w:pPr>
        <w:pStyle w:val="ListParagraph"/>
        <w:numPr>
          <w:ilvl w:val="0"/>
          <w:numId w:val="12"/>
        </w:numPr>
        <w:ind w:left="567"/>
        <w:jc w:val="both"/>
        <w:rPr>
          <w:lang w:val="bg-BG"/>
        </w:rPr>
      </w:pPr>
      <w:r w:rsidRPr="00C26E02">
        <w:rPr>
          <w:lang w:val="bg-BG"/>
        </w:rPr>
        <w:t>За риболовни кораби на възраст от 16 до 29 години: стойността по таблица се намалява за всяка една от годините над 15 с 1,5%;</w:t>
      </w:r>
    </w:p>
    <w:p w14:paraId="2CD399BB" w14:textId="77777777" w:rsidR="002113FD" w:rsidRPr="00C26E02" w:rsidRDefault="002113FD" w:rsidP="00C26E02">
      <w:pPr>
        <w:pStyle w:val="ListParagraph"/>
        <w:numPr>
          <w:ilvl w:val="0"/>
          <w:numId w:val="12"/>
        </w:numPr>
        <w:ind w:left="567"/>
        <w:jc w:val="both"/>
        <w:rPr>
          <w:lang w:val="bg-BG"/>
        </w:rPr>
      </w:pPr>
      <w:r w:rsidRPr="00C26E02">
        <w:rPr>
          <w:lang w:val="bg-BG"/>
        </w:rPr>
        <w:t>За риболовни кораби на възраст от 30 и повече години: стойността по таблица се намалява с твърда ставка от 22,5%.</w:t>
      </w:r>
    </w:p>
    <w:p w14:paraId="4CBD6962" w14:textId="77777777" w:rsidR="002113FD" w:rsidRPr="002113FD" w:rsidRDefault="002113FD" w:rsidP="002113FD">
      <w:pPr>
        <w:jc w:val="both"/>
        <w:rPr>
          <w:lang w:val="bg-BG"/>
        </w:rPr>
      </w:pPr>
      <w:r w:rsidRPr="002113FD">
        <w:rPr>
          <w:lang w:val="bg-BG"/>
        </w:rPr>
        <w:t>Размерът на премията се изчислява в лева по централния курс на БНБ</w:t>
      </w:r>
      <w:r w:rsidR="00C26E02">
        <w:rPr>
          <w:lang w:val="bg-BG"/>
        </w:rPr>
        <w:t xml:space="preserve"> (1 евро = 1,95583 лева)</w:t>
      </w:r>
      <w:r w:rsidRPr="002113FD">
        <w:rPr>
          <w:lang w:val="bg-BG"/>
        </w:rPr>
        <w:t>.</w:t>
      </w:r>
      <w:r w:rsidR="00C26E02">
        <w:rPr>
          <w:lang w:val="bg-BG"/>
        </w:rPr>
        <w:t xml:space="preserve"> </w:t>
      </w:r>
      <w:r w:rsidRPr="002113FD">
        <w:rPr>
          <w:lang w:val="bg-BG"/>
        </w:rPr>
        <w:t xml:space="preserve">Безвъзмездната финансова омощ се изчислява като от размера на индивидуалната премия се извади стойността на скрапта по договора с лицензирана компания за покупко-продажба на кораба за скрап или предварителен договор за нарязване на кораба за скрап и покупко-продажба на отпадъците, произтичащи от скрапирането. </w:t>
      </w:r>
    </w:p>
    <w:p w14:paraId="1980B543" w14:textId="77777777" w:rsidR="002113FD" w:rsidRPr="00C26E02" w:rsidRDefault="002113FD" w:rsidP="002113FD">
      <w:pPr>
        <w:jc w:val="both"/>
        <w:rPr>
          <w:color w:val="FF0000"/>
          <w:lang w:val="bg-BG"/>
        </w:rPr>
      </w:pPr>
      <w:r w:rsidRPr="00C26E02">
        <w:rPr>
          <w:color w:val="FF0000"/>
          <w:lang w:val="bg-BG"/>
        </w:rPr>
        <w:t>Безвъзмездната финансова помощ не се отпуска за риболовни кораби на възраст под 10 години.</w:t>
      </w:r>
    </w:p>
    <w:p w14:paraId="79B68AF3" w14:textId="77777777" w:rsidR="002113FD" w:rsidRDefault="002113FD" w:rsidP="002113FD">
      <w:pPr>
        <w:jc w:val="center"/>
        <w:rPr>
          <w:lang w:val="bg-BG"/>
        </w:rPr>
      </w:pPr>
    </w:p>
    <w:p w14:paraId="127B993B" w14:textId="77777777" w:rsidR="009A55B8" w:rsidRDefault="009A55B8" w:rsidP="002113FD">
      <w:pPr>
        <w:jc w:val="center"/>
        <w:rPr>
          <w:lang w:val="bg-BG"/>
        </w:rPr>
      </w:pPr>
    </w:p>
    <w:p w14:paraId="2AB223F5" w14:textId="77777777" w:rsidR="009A55B8" w:rsidRDefault="009A55B8" w:rsidP="009A55B8">
      <w:pPr>
        <w:pBdr>
          <w:top w:val="single" w:sz="4" w:space="1" w:color="auto"/>
        </w:pBdr>
        <w:jc w:val="center"/>
        <w:rPr>
          <w:lang w:val="bg-BG"/>
        </w:rPr>
      </w:pPr>
    </w:p>
    <w:p w14:paraId="0F1A3856" w14:textId="77777777" w:rsidR="009A55B8" w:rsidRPr="009A55B8" w:rsidRDefault="009A55B8" w:rsidP="00A85B28">
      <w:pPr>
        <w:pBdr>
          <w:top w:val="single" w:sz="4" w:space="1" w:color="auto"/>
        </w:pBdr>
        <w:jc w:val="both"/>
        <w:rPr>
          <w:lang w:val="bg-BG"/>
        </w:rPr>
      </w:pPr>
      <w:r w:rsidRPr="00DF635B">
        <w:rPr>
          <w:rStyle w:val="FootnoteReference"/>
          <w:rFonts w:ascii="Calibri" w:hAnsi="Calibri" w:cs="Calibri"/>
          <w:b/>
          <w:lang w:val="bg-BG"/>
        </w:rPr>
        <w:t>*</w:t>
      </w:r>
      <w:r w:rsidRPr="00DF635B">
        <w:rPr>
          <w:lang w:val="bg-BG"/>
        </w:rPr>
        <w:t xml:space="preserve"> </w:t>
      </w:r>
      <w:r w:rsidRPr="00DF635B">
        <w:rPr>
          <w:b/>
          <w:lang w:val="bg-BG"/>
        </w:rPr>
        <w:t xml:space="preserve">Текстът на предложената методика за изчисление на премията не е окончателен. След </w:t>
      </w:r>
      <w:r w:rsidR="00DF635B">
        <w:rPr>
          <w:b/>
          <w:lang w:val="bg-BG"/>
        </w:rPr>
        <w:t>фина</w:t>
      </w:r>
      <w:r w:rsidRPr="00DF635B">
        <w:rPr>
          <w:b/>
          <w:lang w:val="bg-BG"/>
        </w:rPr>
        <w:t>лното приемане на текстовете на регламента и неговото официално публикуване, ще бъде предоставена за преглед и одобрение от Европейската комисия</w:t>
      </w:r>
      <w:r w:rsidR="00DF635B">
        <w:rPr>
          <w:b/>
          <w:lang w:val="bg-BG"/>
        </w:rPr>
        <w:t xml:space="preserve"> (ЕК)</w:t>
      </w:r>
      <w:r w:rsidRPr="00DF635B">
        <w:rPr>
          <w:b/>
          <w:lang w:val="bg-BG"/>
        </w:rPr>
        <w:t>.</w:t>
      </w:r>
      <w:r w:rsidR="003558E3">
        <w:rPr>
          <w:b/>
          <w:lang w:val="bg-BG"/>
        </w:rPr>
        <w:t xml:space="preserve"> </w:t>
      </w:r>
      <w:r w:rsidR="00DF635B">
        <w:rPr>
          <w:b/>
          <w:lang w:val="bg-BG"/>
        </w:rPr>
        <w:t>Към настоящия момент ЕК отказва да изразява мнение по методиките, поради липсата на окончателни разпоредби.</w:t>
      </w:r>
    </w:p>
    <w:sectPr w:rsidR="009A55B8" w:rsidRPr="009A55B8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FB9CE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3084D" w14:textId="77777777" w:rsidR="00C20614" w:rsidRDefault="00C20614">
      <w:r>
        <w:separator/>
      </w:r>
    </w:p>
  </w:endnote>
  <w:endnote w:type="continuationSeparator" w:id="0">
    <w:p w14:paraId="63AF16FD" w14:textId="77777777" w:rsidR="00C20614" w:rsidRDefault="00C20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36AB9" w14:textId="77777777"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A43C697" wp14:editId="55266399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0D5FF67E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CC7CF21" wp14:editId="58620A11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FBA36E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CC7CF2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14:paraId="12FBA36E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429094A" wp14:editId="755630EC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8706BD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AFG/NTC/cs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4429094A"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14:paraId="188706BD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</w:t>
                    </w:r>
                    <w:proofErr w:type="spellStart"/>
                    <w:r>
                      <w:rPr>
                        <w:sz w:val="24"/>
                      </w:rPr>
                      <w:t>cs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69FD429" wp14:editId="3C9AD747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53081" w14:textId="05971F9E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03AA5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0B42BC14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14:paraId="7BA53081" w14:textId="05971F9E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03AA5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  <w:p w14:paraId="0B42BC14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B4182FB" wp14:editId="3B4A95E6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6F1137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B4182FB"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14:paraId="246F1137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8D0FB" w14:textId="77777777" w:rsidR="00C20614" w:rsidRDefault="00C20614">
      <w:r>
        <w:separator/>
      </w:r>
    </w:p>
  </w:footnote>
  <w:footnote w:type="continuationSeparator" w:id="0">
    <w:p w14:paraId="2E889E20" w14:textId="77777777" w:rsidR="00C20614" w:rsidRDefault="00C20614">
      <w:r>
        <w:continuationSeparator/>
      </w:r>
    </w:p>
  </w:footnote>
  <w:footnote w:id="1">
    <w:p w14:paraId="376573AB" w14:textId="77777777" w:rsidR="005452F6" w:rsidRPr="005452F6" w:rsidRDefault="005452F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5452F6">
        <w:t xml:space="preserve">член 22, параграф </w:t>
      </w:r>
      <w:r>
        <w:t>4 от Регламент (ЕС) № 1380/2013</w:t>
      </w:r>
    </w:p>
  </w:footnote>
  <w:footnote w:id="2">
    <w:p w14:paraId="4A133C2A" w14:textId="77777777" w:rsidR="00943A94" w:rsidRPr="00943A94" w:rsidRDefault="00943A9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5452F6">
        <w:t xml:space="preserve">член 22, параграф </w:t>
      </w:r>
      <w:r>
        <w:rPr>
          <w:lang w:val="bg-BG"/>
        </w:rPr>
        <w:t>7</w:t>
      </w:r>
      <w:r>
        <w:t xml:space="preserve"> от Регламент (ЕС) № 1380/2013</w:t>
      </w:r>
    </w:p>
  </w:footnote>
  <w:footnote w:id="3">
    <w:p w14:paraId="5EF7F750" w14:textId="77777777" w:rsidR="003F62B5" w:rsidRPr="003F62B5" w:rsidRDefault="003F62B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F62B5">
        <w:t>член 22, параграфи 5 и 6 от Регламент (ЕС) № 1380/2013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3A7D"/>
    <w:multiLevelType w:val="hybridMultilevel"/>
    <w:tmpl w:val="6BC61358"/>
    <w:lvl w:ilvl="0" w:tplc="A12CAC6E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2">
    <w:nsid w:val="0CBE06E8"/>
    <w:multiLevelType w:val="hybridMultilevel"/>
    <w:tmpl w:val="6B0C106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17EDC"/>
    <w:multiLevelType w:val="hybridMultilevel"/>
    <w:tmpl w:val="376C8378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5">
    <w:nsid w:val="233E2826"/>
    <w:multiLevelType w:val="hybridMultilevel"/>
    <w:tmpl w:val="EE46A1E6"/>
    <w:lvl w:ilvl="0" w:tplc="A2447528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F5CA4"/>
    <w:multiLevelType w:val="hybridMultilevel"/>
    <w:tmpl w:val="839670AC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8">
    <w:nsid w:val="40A25440"/>
    <w:multiLevelType w:val="hybridMultilevel"/>
    <w:tmpl w:val="A162C81A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43A719BA"/>
    <w:multiLevelType w:val="hybridMultilevel"/>
    <w:tmpl w:val="379E23DA"/>
    <w:lvl w:ilvl="0" w:tplc="CC485E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C479A"/>
    <w:multiLevelType w:val="hybridMultilevel"/>
    <w:tmpl w:val="32AE8A1C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1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A31EFC"/>
    <w:multiLevelType w:val="hybridMultilevel"/>
    <w:tmpl w:val="8660B4EC"/>
    <w:lvl w:ilvl="0" w:tplc="CDAE312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4"/>
  </w:num>
  <w:num w:numId="5">
    <w:abstractNumId w:val="12"/>
  </w:num>
  <w:num w:numId="6">
    <w:abstractNumId w:val="10"/>
  </w:num>
  <w:num w:numId="7">
    <w:abstractNumId w:val="11"/>
  </w:num>
  <w:num w:numId="8">
    <w:abstractNumId w:val="3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0"/>
  </w:num>
  <w:num w:numId="1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haela I. Velinova">
    <w15:presenceInfo w15:providerId="AD" w15:userId="S-1-5-21-3673932534-3318588094-701912851-4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10906"/>
    <w:rsid w:val="00025B33"/>
    <w:rsid w:val="000D2B46"/>
    <w:rsid w:val="001168F7"/>
    <w:rsid w:val="00146244"/>
    <w:rsid w:val="001550FD"/>
    <w:rsid w:val="00163FB4"/>
    <w:rsid w:val="00185F3C"/>
    <w:rsid w:val="001B1F93"/>
    <w:rsid w:val="001F6A24"/>
    <w:rsid w:val="002113FD"/>
    <w:rsid w:val="00243A3E"/>
    <w:rsid w:val="002F6936"/>
    <w:rsid w:val="00302D4C"/>
    <w:rsid w:val="003435BF"/>
    <w:rsid w:val="003558E3"/>
    <w:rsid w:val="003F2CC0"/>
    <w:rsid w:val="003F62B5"/>
    <w:rsid w:val="00403AA5"/>
    <w:rsid w:val="00462F24"/>
    <w:rsid w:val="00486BFF"/>
    <w:rsid w:val="004D5818"/>
    <w:rsid w:val="00516612"/>
    <w:rsid w:val="00516AAE"/>
    <w:rsid w:val="0054381D"/>
    <w:rsid w:val="005452F6"/>
    <w:rsid w:val="006203C9"/>
    <w:rsid w:val="006357AC"/>
    <w:rsid w:val="00655FF2"/>
    <w:rsid w:val="006E54CF"/>
    <w:rsid w:val="007D5AFF"/>
    <w:rsid w:val="007E41CC"/>
    <w:rsid w:val="00892F92"/>
    <w:rsid w:val="008A6D46"/>
    <w:rsid w:val="008B26CF"/>
    <w:rsid w:val="00943A94"/>
    <w:rsid w:val="009A55B8"/>
    <w:rsid w:val="009A55EE"/>
    <w:rsid w:val="009F4C9F"/>
    <w:rsid w:val="00A20AFA"/>
    <w:rsid w:val="00A33CE6"/>
    <w:rsid w:val="00A85B28"/>
    <w:rsid w:val="00AC5C89"/>
    <w:rsid w:val="00AE29FD"/>
    <w:rsid w:val="00AE3986"/>
    <w:rsid w:val="00AF2389"/>
    <w:rsid w:val="00B16C30"/>
    <w:rsid w:val="00B60A20"/>
    <w:rsid w:val="00B64920"/>
    <w:rsid w:val="00BE2C5C"/>
    <w:rsid w:val="00C20614"/>
    <w:rsid w:val="00C26E02"/>
    <w:rsid w:val="00C5229D"/>
    <w:rsid w:val="00DC567B"/>
    <w:rsid w:val="00DD47FF"/>
    <w:rsid w:val="00DF635B"/>
    <w:rsid w:val="00E444D9"/>
    <w:rsid w:val="00E76DB6"/>
    <w:rsid w:val="00EA0211"/>
    <w:rsid w:val="00F02249"/>
    <w:rsid w:val="00F07A78"/>
    <w:rsid w:val="00F2190C"/>
    <w:rsid w:val="00F43B5C"/>
    <w:rsid w:val="00F67777"/>
    <w:rsid w:val="00F73333"/>
    <w:rsid w:val="00FC4560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747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D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D4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22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2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224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24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D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D4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22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2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224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24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90A41-1EC9-47ED-A87F-18205BAD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2</cp:revision>
  <dcterms:created xsi:type="dcterms:W3CDTF">2020-12-17T19:02:00Z</dcterms:created>
  <dcterms:modified xsi:type="dcterms:W3CDTF">2020-12-17T19:02:00Z</dcterms:modified>
</cp:coreProperties>
</file>