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1AD9" w14:textId="3CD47C18" w:rsidR="00482C33" w:rsidRDefault="00482C33" w:rsidP="005B14DF">
      <w:pPr>
        <w:spacing w:after="0" w:line="240" w:lineRule="auto"/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89"/>
        <w:gridCol w:w="1404"/>
        <w:gridCol w:w="6959"/>
        <w:gridCol w:w="4948"/>
      </w:tblGrid>
      <w:tr w:rsidR="005B14DF" w:rsidRPr="008B716E" w14:paraId="0F471A49" w14:textId="77777777" w:rsidTr="00CE6C9B">
        <w:trPr>
          <w:trHeight w:val="323"/>
        </w:trPr>
        <w:tc>
          <w:tcPr>
            <w:tcW w:w="14992" w:type="dxa"/>
            <w:gridSpan w:val="5"/>
            <w:shd w:val="clear" w:color="auto" w:fill="auto"/>
          </w:tcPr>
          <w:p w14:paraId="5190AF50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24"/>
                <w:szCs w:val="24"/>
                <w:lang w:eastAsia="bg-BG"/>
              </w:rPr>
              <w:t>Таблица</w:t>
            </w:r>
          </w:p>
          <w:p w14:paraId="36A2669B" w14:textId="37C0DC03" w:rsidR="005B14DF" w:rsidRPr="008B716E" w:rsidRDefault="005B14DF" w:rsidP="00CE6C9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 xml:space="preserve">за направените предложения и коментари в процеса на обществено обсъждане на проект на условия за кандидатстване, условия за изпълнение и приложенията към тях по процедура 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en-GB"/>
              </w:rPr>
              <w:t>чрез подбор на проекти</w:t>
            </w:r>
            <w:r w:rsidRPr="00330294">
              <w:rPr>
                <w:sz w:val="18"/>
                <w:szCs w:val="18"/>
              </w:rPr>
              <w:t xml:space="preserve"> </w:t>
            </w:r>
            <w:r w:rsidRPr="00330294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>BG14MFOP001-1.019 „Рибарски пристанища, кейове за разт</w:t>
            </w:r>
            <w:r w:rsidR="0072352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 xml:space="preserve">оварване, рибни борси и </w:t>
            </w:r>
            <w:r w:rsidRPr="00330294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>лодкостоянки“, мярка 1.8. „Рибарски пристанища, кейове за разт</w:t>
            </w:r>
            <w:r w:rsidR="0072352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 xml:space="preserve">оварване, рибни борси и </w:t>
            </w:r>
            <w:r w:rsidRPr="00330294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>лодкостоянки”, сектор „Инвестиции насочени към изграждане и/или модернизация на лодкостоянки“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en-US" w:eastAsia="bg-BG"/>
              </w:rPr>
              <w:t xml:space="preserve"> </w:t>
            </w:r>
            <w:r w:rsidRPr="008B716E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>по Програма за морско дело и рибарство (ПМДР) 2014-2020 г.,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en-US" w:eastAsia="bg-BG"/>
              </w:rPr>
              <w:t xml:space="preserve"> </w:t>
            </w:r>
            <w:r w:rsidRPr="008B716E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bg-BG"/>
              </w:rPr>
              <w:t xml:space="preserve">одобрена с докладна записка № </w:t>
            </w:r>
            <w:r w:rsidRPr="00330294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val="en-US" w:eastAsia="bg-BG"/>
              </w:rPr>
              <w:t>…………………………..</w:t>
            </w:r>
          </w:p>
        </w:tc>
      </w:tr>
      <w:tr w:rsidR="005B14DF" w:rsidRPr="008B716E" w14:paraId="7FBF6DBC" w14:textId="77777777" w:rsidTr="00CE6C9B">
        <w:trPr>
          <w:trHeight w:val="323"/>
        </w:trPr>
        <w:tc>
          <w:tcPr>
            <w:tcW w:w="392" w:type="dxa"/>
            <w:shd w:val="clear" w:color="auto" w:fill="D9D9D9"/>
          </w:tcPr>
          <w:p w14:paraId="35C80B0F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289" w:type="dxa"/>
            <w:shd w:val="clear" w:color="auto" w:fill="D9D9D9"/>
          </w:tcPr>
          <w:p w14:paraId="565CFC30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Данни на подателя</w:t>
            </w:r>
          </w:p>
        </w:tc>
        <w:tc>
          <w:tcPr>
            <w:tcW w:w="1404" w:type="dxa"/>
            <w:shd w:val="clear" w:color="auto" w:fill="D9D9D9"/>
          </w:tcPr>
          <w:p w14:paraId="4843B10D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Дата на получаване</w:t>
            </w:r>
          </w:p>
        </w:tc>
        <w:tc>
          <w:tcPr>
            <w:tcW w:w="6959" w:type="dxa"/>
            <w:shd w:val="clear" w:color="auto" w:fill="D9D9D9"/>
          </w:tcPr>
          <w:p w14:paraId="67EC23F9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Коментар/Предложение</w:t>
            </w:r>
          </w:p>
        </w:tc>
        <w:tc>
          <w:tcPr>
            <w:tcW w:w="4948" w:type="dxa"/>
            <w:shd w:val="clear" w:color="auto" w:fill="D9D9D9"/>
          </w:tcPr>
          <w:p w14:paraId="692D0901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 w:rsidRPr="008B716E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Становище на УО на ПМДР</w:t>
            </w:r>
          </w:p>
        </w:tc>
      </w:tr>
      <w:tr w:rsidR="005B14DF" w:rsidRPr="008B716E" w14:paraId="30E037B5" w14:textId="77777777" w:rsidTr="00CE6C9B">
        <w:trPr>
          <w:trHeight w:val="323"/>
        </w:trPr>
        <w:tc>
          <w:tcPr>
            <w:tcW w:w="392" w:type="dxa"/>
            <w:shd w:val="clear" w:color="auto" w:fill="auto"/>
          </w:tcPr>
          <w:p w14:paraId="6DE1C798" w14:textId="77777777" w:rsidR="005B14DF" w:rsidRPr="008B716E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en-US" w:eastAsia="bg-BG"/>
              </w:rPr>
            </w:pPr>
            <w:r w:rsidRPr="00C07A9C"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val="en-US" w:eastAsia="bg-BG"/>
              </w:rPr>
              <w:t>1.</w:t>
            </w:r>
          </w:p>
        </w:tc>
        <w:tc>
          <w:tcPr>
            <w:tcW w:w="1289" w:type="dxa"/>
            <w:shd w:val="clear" w:color="auto" w:fill="auto"/>
          </w:tcPr>
          <w:p w14:paraId="09B30DA1" w14:textId="08101496" w:rsidR="005B14DF" w:rsidRDefault="005B14DF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5B14D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Община Шабла</w:t>
            </w:r>
            <w:r w:rsid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351E9342" w14:textId="5D6C2664" w:rsidR="005B14DF" w:rsidRPr="005B14DF" w:rsidRDefault="005B14DF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5B14D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Петър Атанасов</w:t>
            </w:r>
            <w:r w:rsid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71042689" w14:textId="77777777" w:rsidR="005B14DF" w:rsidRPr="008B716E" w:rsidRDefault="005B14DF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5B14DF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Зам. кмет „Финанси“</w:t>
            </w:r>
          </w:p>
        </w:tc>
        <w:tc>
          <w:tcPr>
            <w:tcW w:w="1404" w:type="dxa"/>
            <w:shd w:val="clear" w:color="auto" w:fill="auto"/>
          </w:tcPr>
          <w:p w14:paraId="4747549F" w14:textId="77777777" w:rsidR="005B14DF" w:rsidRPr="005B14DF" w:rsidRDefault="005B14DF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  <w:t>06.01.2021 г.</w:t>
            </w:r>
          </w:p>
        </w:tc>
        <w:tc>
          <w:tcPr>
            <w:tcW w:w="6959" w:type="dxa"/>
            <w:shd w:val="clear" w:color="auto" w:fill="auto"/>
          </w:tcPr>
          <w:p w14:paraId="4C2C6760" w14:textId="6EA5E469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Уважаеми дами и господа,</w:t>
            </w:r>
          </w:p>
          <w:p w14:paraId="5E86ACF5" w14:textId="7A6AF3E1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Във връзка с провеждане на обществено обсъждане на документите за кандидатстване по мярка 1.8 "Рибарски пристанища, кейове за разтоварване, рибни борси и </w:t>
            </w:r>
            <w:r w:rsidR="00723526"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лодкостоянки", Сектор „Инвестиции насочени към изграждане и/или модернизация на лодкостоянки“, приложено изпращаме Ви нашите възражения, предложения и коментари, както следва:</w:t>
            </w:r>
          </w:p>
          <w:p w14:paraId="6FA62019" w14:textId="5AFFF3B3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1.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 точка 11.1 „Критерии за допустимост на кандидатите“ от Условията за кандидатстване по мярката е записано, че кандидатите трябва да бъдат собственици или да имат учредени права на ползване за обекти, регистрирани като лодкостоянки с валидно Удостоверение за експлоатационна годност, издадено от Изпълнителна агенция "Морска администрация" (ИАМА). Също така е записано в точка 24 „Списък на документите, които се подават на етап кандидатстване“, че един от изискуемите документи е валидно удостоверение за експлоатационна годност, издадено от Изпълнителна агенция "Морска администрация" (ИАМА), прикачено в ИСУН 2020. Режимът на регистрация на лодкостоянка в Изпълнителна агенция "Морска администрация", предполага тя да бъде изградена преди това. При положение, че проектното предложение е за изграждане на нова лодкостоянка, е невъзможно да бъде представен този документ на етап кандидатстване. Също така следва да се вземе предвид, че е невъзможно представянето му и поради факта, че не е направена промяна в Наредба № 9 от 17 октомври 2013 г. за изискванията за експлоатационна годност на пристанищата и специализираните пристанищни обекти. Затова предлагаме удостоверението за експлоатационна годност, издадено от Изпълнителна агенция "Морска администрация" (ИАМА), да бъде изискуем документ на етап отчитане на проекта (към искането за окончателно плащане).</w:t>
            </w:r>
          </w:p>
          <w:p w14:paraId="532A4AE7" w14:textId="2F7959AE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2.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В точка 24 „Списък на документите, които се подават на етап кандидатстване“, документ № 13 е „Отчет за заетите лица за последните три години, считано от датата на кандидатстване или от датата на регистрация за нови за - прикачен в ИСУН 2020 (документът е задължителен за всички проектни предложения)“. Бихме искали да ви уведомим, че не е изписано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lastRenderedPageBreak/>
              <w:t>докрай наименованието на документа. Също така предлагаме да се уточни дали този документ въобще да бъде изискуем за кандидати общини.</w:t>
            </w:r>
          </w:p>
          <w:p w14:paraId="18886872" w14:textId="739B898C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3.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 точка 22 „Критерии и методика за оценка на проектните предложения“ е записано:</w:t>
            </w:r>
          </w:p>
          <w:p w14:paraId="441B9FCD" w14:textId="0994A1BB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-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По критерий 1 „Капацитет“: Критерият се доказва с документ № 5 от списъка с документи, които се подават на етап кандидатстване по т. 24 от настоящите условия – Документ № 5 от списъка е представянето на най-малко две независими съпоставими оферти с цел определяне основателността на предложените разходи.</w:t>
            </w:r>
          </w:p>
          <w:p w14:paraId="72CE52C3" w14:textId="6F26E0DD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- </w:t>
            </w: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По критерий 4 „Проектът се изпълнява в акваторията на Черно море“: Критерият се доказва с документ № 6 от списъка с документи, които се подават на етап кандидатстване по т. 24 от настоящите условия – Документ № 6 от списъка е Решение на Общинския съвет за кандидатстване по настоящата процедура.</w:t>
            </w:r>
          </w:p>
          <w:p w14:paraId="16864589" w14:textId="7049F421" w:rsidR="005B14DF" w:rsidRPr="005B14DF" w:rsidRDefault="005B14DF" w:rsidP="005B14DF">
            <w:pPr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5B14D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Бихме искали да попитаме дали тези документи доказват съответствието на проектното предложение по гореизброените два критерия.</w:t>
            </w:r>
          </w:p>
        </w:tc>
        <w:tc>
          <w:tcPr>
            <w:tcW w:w="4948" w:type="dxa"/>
            <w:shd w:val="clear" w:color="auto" w:fill="auto"/>
          </w:tcPr>
          <w:p w14:paraId="3D23AD15" w14:textId="62F554A3" w:rsidR="005B14DF" w:rsidRDefault="00A135A0" w:rsidP="00CE6C9B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>Прием</w:t>
            </w:r>
            <w:r w:rsidR="00264F2A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а се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.</w:t>
            </w:r>
          </w:p>
          <w:p w14:paraId="38265038" w14:textId="33083AB6" w:rsidR="00A135A0" w:rsidRPr="008B716E" w:rsidRDefault="00A135A0" w:rsidP="00CE6C9B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В УК по</w:t>
            </w:r>
            <w:r>
              <w:t xml:space="preserve"> </w:t>
            </w:r>
            <w:r w:rsidRPr="00A135A0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процедура чрез подбор на проекти BG14MFOP001-1.019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 са внесени необходимите корекции.</w:t>
            </w:r>
          </w:p>
        </w:tc>
      </w:tr>
      <w:tr w:rsidR="005B14DF" w:rsidRPr="008B716E" w14:paraId="075AAC81" w14:textId="77777777" w:rsidTr="00CE6C9B">
        <w:trPr>
          <w:trHeight w:val="323"/>
        </w:trPr>
        <w:tc>
          <w:tcPr>
            <w:tcW w:w="392" w:type="dxa"/>
            <w:shd w:val="clear" w:color="auto" w:fill="auto"/>
          </w:tcPr>
          <w:p w14:paraId="24C5D98C" w14:textId="45BDE0F3" w:rsidR="005B14DF" w:rsidRPr="008B716E" w:rsidRDefault="00A135A0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lastRenderedPageBreak/>
              <w:t>2.</w:t>
            </w:r>
          </w:p>
        </w:tc>
        <w:tc>
          <w:tcPr>
            <w:tcW w:w="1289" w:type="dxa"/>
            <w:shd w:val="clear" w:color="auto" w:fill="auto"/>
          </w:tcPr>
          <w:p w14:paraId="0F0B0416" w14:textId="43421B06" w:rsidR="005B14DF" w:rsidRDefault="00A135A0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A135A0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Община Бургас</w:t>
            </w:r>
            <w:r w:rsid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5CB72B01" w14:textId="6A7F9A8E" w:rsidR="00A135A0" w:rsidRPr="00A135A0" w:rsidRDefault="00A135A0" w:rsidP="00A135A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A135A0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Малина Стоянова</w:t>
            </w:r>
            <w:r w:rsid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79F99FA6" w14:textId="77777777" w:rsidR="00A135A0" w:rsidRPr="00A135A0" w:rsidRDefault="00A135A0" w:rsidP="00A135A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A135A0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Главен експерт</w:t>
            </w:r>
          </w:p>
          <w:p w14:paraId="55378B94" w14:textId="786E9EC9" w:rsidR="00A135A0" w:rsidRPr="008B716E" w:rsidRDefault="00A135A0" w:rsidP="00A135A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A135A0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Дирекция „Стратегическо развитие“</w:t>
            </w:r>
          </w:p>
        </w:tc>
        <w:tc>
          <w:tcPr>
            <w:tcW w:w="1404" w:type="dxa"/>
            <w:shd w:val="clear" w:color="auto" w:fill="auto"/>
          </w:tcPr>
          <w:p w14:paraId="4EF27DB0" w14:textId="1FC940CF" w:rsidR="005B14DF" w:rsidRPr="008B716E" w:rsidRDefault="00A135A0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  <w:t>11.01.2021 г.</w:t>
            </w:r>
          </w:p>
        </w:tc>
        <w:tc>
          <w:tcPr>
            <w:tcW w:w="6959" w:type="dxa"/>
            <w:shd w:val="clear" w:color="auto" w:fill="auto"/>
          </w:tcPr>
          <w:p w14:paraId="1BD89193" w14:textId="77777777" w:rsidR="00A135A0" w:rsidRPr="00A135A0" w:rsidRDefault="00A135A0" w:rsidP="00A135A0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Уважаема госпожо/господине,</w:t>
            </w:r>
          </w:p>
          <w:p w14:paraId="5E558240" w14:textId="7B3EF291" w:rsidR="00A135A0" w:rsidRPr="00A135A0" w:rsidRDefault="00A135A0" w:rsidP="00A135A0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Във връзка с публикуваните за обществено обсъждане от  Управляващият орган на Програмата за морско дело и рибарство 2014-2020 г., проекти на Условия за кандидатстване, Условия за изпълнение и приложенията към тях по процедура чрез подбор на проекти BG14MFOP001-1.019 „Рибарски пристанища, кейове за разтоварване, рибни борси и лодкостоянки“, Мярка 1.8. „Рибарски пристанища, кейове за разтоварване, рибни борси и лодкостоянки”, Сектор „Инвестиции насочени към изграждане и/или модернизация на лодкостоянки“, бихме желали да направим, следния коментар:</w:t>
            </w:r>
          </w:p>
          <w:p w14:paraId="1172C6E4" w14:textId="2C061CF8" w:rsidR="00A135A0" w:rsidRPr="00A135A0" w:rsidRDefault="002E6A6B" w:rsidP="00A135A0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1. </w:t>
            </w:r>
            <w:r w:rsidR="00A135A0"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 Условията за кандидатстване като допустими за финансиране в т. 13.1. Допустими дейности са  „Инвестиции, свързани с изграждането и/или осъвременяването на лодкостоянки“. В същото време в т. 24. „Списък на документите, които се подават на етап кандидатстване“, като задължителен документ при подаването на проектното предложение в т. 7 се изисква „Валидно Удостоверение за експлоатационна годност, издадено от Изпълнителна агенция "Морска администрация" (ИАМА)“.</w:t>
            </w:r>
          </w:p>
          <w:p w14:paraId="7B44D30B" w14:textId="5C298905" w:rsidR="00A135A0" w:rsidRPr="00A135A0" w:rsidRDefault="00A135A0" w:rsidP="00A135A0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При положение, че се кандидатства с проектно предложение свързано с  изграждането на лодкостоянка, при подаването канд</w:t>
            </w:r>
            <w:r w:rsid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идатът не би могъл да представи</w:t>
            </w:r>
            <w:r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 документа описан по-горе, който се издава от ИАМА след завършване изграждането на лодкостоянка и издаване на Разрешение за ползване на същата.</w:t>
            </w:r>
          </w:p>
          <w:p w14:paraId="47CCA95F" w14:textId="1A61525F" w:rsidR="005B14DF" w:rsidRPr="008B716E" w:rsidRDefault="00A135A0" w:rsidP="00A135A0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A135A0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Моля да се уточни, в случай на кандидатстване с проект за изграждане на лодкостоянка, какви документи би следвало да бъдат представени.</w:t>
            </w:r>
          </w:p>
        </w:tc>
        <w:tc>
          <w:tcPr>
            <w:tcW w:w="4948" w:type="dxa"/>
            <w:shd w:val="clear" w:color="auto" w:fill="auto"/>
          </w:tcPr>
          <w:p w14:paraId="70DF8470" w14:textId="009FC01A" w:rsidR="002E6A6B" w:rsidRPr="002E6A6B" w:rsidRDefault="00264F2A" w:rsidP="002E6A6B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Приема се</w:t>
            </w:r>
            <w:r w:rsidR="002E6A6B"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.</w:t>
            </w:r>
          </w:p>
          <w:p w14:paraId="118A7296" w14:textId="49E8BF4A" w:rsidR="005B14DF" w:rsidRPr="008B716E" w:rsidRDefault="002E6A6B" w:rsidP="002E6A6B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В УК по процедура чрез подбор на проекти BG14MFOP001-1.019 са внесени необходимите корекции.</w:t>
            </w:r>
          </w:p>
        </w:tc>
      </w:tr>
      <w:tr w:rsidR="00A135A0" w:rsidRPr="008B716E" w14:paraId="00108988" w14:textId="77777777" w:rsidTr="00CE6C9B">
        <w:trPr>
          <w:trHeight w:val="323"/>
        </w:trPr>
        <w:tc>
          <w:tcPr>
            <w:tcW w:w="392" w:type="dxa"/>
            <w:shd w:val="clear" w:color="auto" w:fill="auto"/>
          </w:tcPr>
          <w:p w14:paraId="5866104F" w14:textId="722EBA89" w:rsidR="00A135A0" w:rsidRDefault="002E6A6B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t>3.</w:t>
            </w:r>
          </w:p>
        </w:tc>
        <w:tc>
          <w:tcPr>
            <w:tcW w:w="1289" w:type="dxa"/>
            <w:shd w:val="clear" w:color="auto" w:fill="auto"/>
          </w:tcPr>
          <w:p w14:paraId="6ADF1C76" w14:textId="77777777" w:rsidR="00A135A0" w:rsidRDefault="002E6A6B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Община Свищов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346862BB" w14:textId="2DF05B71" w:rsidR="002E6A6B" w:rsidRPr="002E6A6B" w:rsidRDefault="002E6A6B" w:rsidP="002E6A6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Генчо Генчев,</w:t>
            </w:r>
          </w:p>
          <w:p w14:paraId="5E8C95E4" w14:textId="23A05F66" w:rsidR="002E6A6B" w:rsidRPr="008B716E" w:rsidRDefault="002E6A6B" w:rsidP="002E6A6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Кмет</w:t>
            </w:r>
          </w:p>
        </w:tc>
        <w:tc>
          <w:tcPr>
            <w:tcW w:w="1404" w:type="dxa"/>
            <w:shd w:val="clear" w:color="auto" w:fill="auto"/>
          </w:tcPr>
          <w:p w14:paraId="525F3AF2" w14:textId="684139BF" w:rsidR="00A135A0" w:rsidRPr="008B716E" w:rsidRDefault="002E6A6B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  <w:t>11.01.2021 г.</w:t>
            </w:r>
          </w:p>
        </w:tc>
        <w:tc>
          <w:tcPr>
            <w:tcW w:w="6959" w:type="dxa"/>
            <w:shd w:val="clear" w:color="auto" w:fill="auto"/>
          </w:tcPr>
          <w:p w14:paraId="79A54E52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УВАЖАЕМИ ГОСПОЖИ И ГОСПОДА,</w:t>
            </w:r>
          </w:p>
          <w:p w14:paraId="55BA9C9E" w14:textId="432C9BDC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Във връзка със стартирало обществено обсъждане на документация за процедура за финансиране на проекти „Рибарски пристанища, кейове за разтоварване, рибни борси и лодкостоянки" по Програмата за морско</w:t>
            </w: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 дело и рибарство 2014-2020г., </w:t>
            </w: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изразявам следното становище:</w:t>
            </w:r>
          </w:p>
          <w:p w14:paraId="73174AE9" w14:textId="3C8F2FB5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lastRenderedPageBreak/>
              <w:t>При оценката на проектни предложения за сектор „Инвестиции насочени към изграждане и/или модернизация на лодкостоянки“ е включен критерий за оценка: „4. Проектът се изпълнява в акваторията на Черно море” с тежест 20 точки Този критерий очевидно осигурява предимство при класиране на проекти предназ</w:t>
            </w:r>
            <w:r w:rsidR="00B42364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начени за черноморския регион.</w:t>
            </w:r>
          </w:p>
          <w:p w14:paraId="5FA1D3F7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Освен упоменатия по-горе критерий, дискриминационен е и критерий „1. Капацитет“, които при оценяването осигурява значително предимство в класирането на проектни предложения, според броя на предвидените корабни места. Напр. оценката на ПП започва с 40 точки, ако проектът осигурява над 30 корабни места. Този начин на оценка осигурява предимство при оценяването не според качеството на проектното предложение, а според мащаба на предвидената инвестиция, с което отново се дава предимство на проекти предназначени за черноморския регион. Този начин на оценка ще стимулира кандидатстващите да включват брой корабни места не според реалната необходимост.</w:t>
            </w:r>
          </w:p>
          <w:p w14:paraId="5E4D865E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Считам също, че оценяването на проекти по тази мярка с подобни критерии ще компрометира усилията, които се полагат от централната власт и от местните власти за съживяване и стимулиране на икономическата активност в Дунавския регион – особено в северозападната и централната част на северна България. Трябва да се има предвид, че рибарството по поречието на река Дунав има потенциал за развитие, тъй като е основен поминък на немалка част от населението в този регион, а към настоящия момент инвестиции в инфраструктура не са правени.</w:t>
            </w:r>
          </w:p>
          <w:p w14:paraId="5F28A39B" w14:textId="191AE601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Ето защо при определянето на критериите за оценка на проектни предложения сектор „Инвестиции насочени към изграждане и/или модернизация на лодкостоянки“,  ПРЕДЛАГАМ:</w:t>
            </w:r>
          </w:p>
          <w:p w14:paraId="35195AE2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1. критерият за оценка: „Проектът се изпълнява в акваторията на Черно море” с тежест 20 точки и </w:t>
            </w:r>
          </w:p>
          <w:p w14:paraId="28C06752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2. критерият за оценка: „Капацитет” с тежест до 40 точки да отпаднат, тъй като са дискриминационни по отношение на нечерноморските региони и по отношение на проектните предложения с предвидени инвестиции и за лодкостоянки с предвидени по-малко корабни места.</w:t>
            </w:r>
          </w:p>
          <w:p w14:paraId="784878BF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Считам за справедливо обстоятелството, че критериите за оценка на проектни предложения в този сектор следва да осигуряват предимство единствено на проектите, с реализирането на които:</w:t>
            </w:r>
          </w:p>
          <w:p w14:paraId="0F4D2DED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ще се създаде и/или ще се модернизира инфраструктурата;</w:t>
            </w:r>
          </w:p>
          <w:p w14:paraId="1EE79E5D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ще се подобрят условията на труд на работещите в бранша;</w:t>
            </w:r>
          </w:p>
          <w:p w14:paraId="36B31147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ще се създадат условия за подпомагане и развитие на бранша и т.н.</w:t>
            </w:r>
          </w:p>
          <w:p w14:paraId="0EAAB32D" w14:textId="77777777" w:rsidR="002E6A6B" w:rsidRPr="002E6A6B" w:rsidRDefault="002E6A6B" w:rsidP="002E6A6B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2A653E11" w14:textId="1D3443EA" w:rsidR="00A135A0" w:rsidRPr="008B716E" w:rsidRDefault="002E6A6B" w:rsidP="00723526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2E6A6B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Предвид гореизложеното искрено се надявам при решението Ви за окончателен избор на критерии за оценка на проектни предложения по мярка 1.8 "Инвестиции в рибарски пристанища, кейове за разтоварване, рибни борси и лодкостоянки" да се съобразите със становището на Община Свищов по въпроса.</w:t>
            </w:r>
          </w:p>
        </w:tc>
        <w:tc>
          <w:tcPr>
            <w:tcW w:w="4948" w:type="dxa"/>
            <w:shd w:val="clear" w:color="auto" w:fill="auto"/>
          </w:tcPr>
          <w:p w14:paraId="1B42E62F" w14:textId="77777777" w:rsidR="00A135A0" w:rsidRDefault="00B42364" w:rsidP="00CE6C9B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>Приема се по принцип.</w:t>
            </w:r>
          </w:p>
          <w:p w14:paraId="090AD816" w14:textId="48E1F34C" w:rsidR="00B42364" w:rsidRPr="008B716E" w:rsidRDefault="00B42364" w:rsidP="00723526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УО на ПМДР ще има предвид становището на община Свищов при следващи приеми по мярка </w:t>
            </w:r>
            <w:r w:rsidRPr="00B423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1.8. „Рибарски пристанища, кейове за разтоварване, рибни борси и лодкостоянки”, сектор „Инвестиции насочени към изграждане и/или модернизация на лодкостоянки“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. За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 xml:space="preserve">предлаганите промени е необходимо технологично време </w:t>
            </w:r>
            <w:r w:rsidR="00BE604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за да може КН на ПМДР да вземе необходимото решение и да промени критериите</w:t>
            </w:r>
            <w:r w:rsidR="00BE6041">
              <w:t xml:space="preserve"> </w:t>
            </w:r>
            <w:r w:rsidR="00BE6041" w:rsidRPr="00BE604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за подбор в сектор „Инвестиции насочени към изграждане и/или модернизация на лодкостоянки“</w:t>
            </w:r>
            <w:r w:rsidR="00BE604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 което ще забави значително откриването на приеми по мярка 1.</w:t>
            </w:r>
            <w:r w:rsidR="00E82DE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8, а</w:t>
            </w:r>
            <w:r w:rsidR="00BE6041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 този подход не е целесъобразен в края на програмния период. </w:t>
            </w:r>
            <w:r w:rsidR="00E82DE2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Въпреки, че общините имат представител в КН на ПМДР в лицето на НСОРБ до настоящият момент чрез тях не е имало предложения за промени в критериите за подбор, имайки предвид, че това е трети прием по мярката</w:t>
            </w:r>
            <w:r w:rsidR="00FC3D68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 и е имало достатъчно възможности за реализацията на направените предложения.</w:t>
            </w:r>
          </w:p>
        </w:tc>
      </w:tr>
      <w:tr w:rsidR="00A135A0" w:rsidRPr="008B716E" w14:paraId="11AE3BE0" w14:textId="77777777" w:rsidTr="00CE6C9B">
        <w:trPr>
          <w:trHeight w:val="323"/>
        </w:trPr>
        <w:tc>
          <w:tcPr>
            <w:tcW w:w="392" w:type="dxa"/>
            <w:shd w:val="clear" w:color="auto" w:fill="auto"/>
          </w:tcPr>
          <w:p w14:paraId="31127C84" w14:textId="1A2EB09D" w:rsidR="00A135A0" w:rsidRDefault="002E6A6B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18"/>
                <w:szCs w:val="18"/>
                <w:lang w:eastAsia="bg-BG"/>
              </w:rPr>
              <w:lastRenderedPageBreak/>
              <w:t>4.</w:t>
            </w:r>
          </w:p>
        </w:tc>
        <w:tc>
          <w:tcPr>
            <w:tcW w:w="1289" w:type="dxa"/>
            <w:shd w:val="clear" w:color="auto" w:fill="auto"/>
          </w:tcPr>
          <w:p w14:paraId="0EC2822B" w14:textId="77777777" w:rsidR="00A135A0" w:rsidRDefault="002E6A6B" w:rsidP="00CE6C9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Община Лом,</w:t>
            </w:r>
          </w:p>
          <w:p w14:paraId="2AD5E252" w14:textId="18380BD3" w:rsidR="002E6A6B" w:rsidRPr="002E6A6B" w:rsidRDefault="002E6A6B" w:rsidP="002E6A6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Георги </w:t>
            </w: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>Георгиев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,</w:t>
            </w:r>
          </w:p>
          <w:p w14:paraId="2D3F9AFD" w14:textId="2BF0CF34" w:rsidR="002E6A6B" w:rsidRPr="008B716E" w:rsidRDefault="002E6A6B" w:rsidP="002E6A6B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2E6A6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Кмет</w:t>
            </w:r>
          </w:p>
        </w:tc>
        <w:tc>
          <w:tcPr>
            <w:tcW w:w="1404" w:type="dxa"/>
            <w:shd w:val="clear" w:color="auto" w:fill="auto"/>
          </w:tcPr>
          <w:p w14:paraId="7C29A260" w14:textId="4DA28663" w:rsidR="00A135A0" w:rsidRPr="008B716E" w:rsidRDefault="002E6A6B" w:rsidP="00CE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bg-BG"/>
              </w:rPr>
              <w:lastRenderedPageBreak/>
              <w:t>21.01.2021 г.</w:t>
            </w:r>
          </w:p>
        </w:tc>
        <w:tc>
          <w:tcPr>
            <w:tcW w:w="6959" w:type="dxa"/>
            <w:shd w:val="clear" w:color="auto" w:fill="auto"/>
          </w:tcPr>
          <w:p w14:paraId="37DC6B38" w14:textId="5938765D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Прилагането на мярката ще допринесе за постигане на специфична цел „Подобряване на конкурентоспособното и жизнеспособността на предприятията в сектора на рибарството, включително на дребномащабния </w:t>
            </w: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lastRenderedPageBreak/>
              <w:t>крайбрежен флот, и подобряване на безопасността и условията на труд". Предвид важността на риболовните пристанища и лодкостоянки, ПМДР следва да подпомага съответните инвестиции, целящи по-специално повишаване на енергийната ефективност, опазването на околната среда и качеството на разтоварваните на сушата продукти, подобряване на безопасността и условията на труд.</w:t>
            </w:r>
          </w:p>
          <w:p w14:paraId="1E0A17DE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ПМДР ще подпомага съответните инвестиции в лодкостоянки, целящи по-специално:</w:t>
            </w:r>
          </w:p>
          <w:p w14:paraId="04424EEF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подобрявана на тяхната инфраструктура;</w:t>
            </w:r>
          </w:p>
          <w:p w14:paraId="7EDACB89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повишаване на енергийната ефективност;</w:t>
            </w:r>
          </w:p>
          <w:p w14:paraId="2ABF4720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- опазването на околната среда и качеството на разтоварваните на сушата продукти; </w:t>
            </w:r>
          </w:p>
          <w:p w14:paraId="07184FF3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подобряване на безопасността и условията на труд</w:t>
            </w:r>
          </w:p>
          <w:p w14:paraId="4ABFCF08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3B7630C3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40396DED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Идеите за промени, касаят Условията за кандидатстване с проектни предложения за предоставяне на безвъзмездна финансова помощ по Програма за морско дело и рибарство 2014-2020, финансирана от Европейския фонд за морско дело и рибарство </w:t>
            </w:r>
          </w:p>
          <w:p w14:paraId="763AE2B4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т. 11.1 Критерии за допустимост на кандидатите: </w:t>
            </w:r>
          </w:p>
          <w:p w14:paraId="4C1809C7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т.1. Юридически лица или еднолични търговци (ЕТ), регистрирани по Търговския закон или Закона за кооперациите;</w:t>
            </w:r>
          </w:p>
          <w:p w14:paraId="513BF0D5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Клонове на юридически лица, регистрирани в България, не могат да участват в процедурата чрез подбор на проекти поради липсата на самостоятелна правосубектност.</w:t>
            </w:r>
          </w:p>
          <w:p w14:paraId="0392F78B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т. 2. Общини или държавни учреждения.</w:t>
            </w:r>
          </w:p>
          <w:p w14:paraId="382F5302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Кандидатите по т. 1 и т. 2 трябва да отговарят на следните изисквания:</w:t>
            </w:r>
          </w:p>
          <w:p w14:paraId="0A904075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- да бъдат собственици или да имат учредени права на ползване за обекти, регистрирани като лодкодтоянки с валидно Удостоверение за експлоатационна годност, издадено от Изпълнителна агенция "Морска администрация" (ИАМА);</w:t>
            </w:r>
          </w:p>
          <w:p w14:paraId="5B057BFA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7C721DDA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Поставеното изискване за лодкостоянките да бъдат с валидно Удостоверение за експлоатационна годност Изпълнителна агенция "Морска администрация" (ИАМА) е изцяло дискриминационно изискване за кандидатите от Българското крайбрежие на р.Дунав. </w:t>
            </w:r>
          </w:p>
          <w:p w14:paraId="40F033F3" w14:textId="25F49B56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Според данните от публичния регистър на пристанищата, поддържан от ИАМА, в целия български участък на р. Дунав няма нито едно регистрирано „Рибарско пристанище“ по смисъла на чл. 107 от „Закона за морските пространства, вътрешните водни пътища и пристанищата в Република България“ /ЗМПВВППРБ/ , както и нито един регистриран специализиран пристанищен обект по смисъла на чл.111а и чл.111б от ЗМПВВППРБ, с вид и/или предназначение за приставане , престой и разтоварване на прясна риба от рибарски кораби /лодки/.</w:t>
            </w:r>
          </w:p>
          <w:p w14:paraId="5A05BF93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2993637D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Справка – „Регистър на пристанищата в района на Дирекция „Речен надзор- </w:t>
            </w: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lastRenderedPageBreak/>
              <w:t>Русе“  „Регистър на пристанищата в района на Дирекция „Речен надзор- Лом“ при ИАМА.</w:t>
            </w:r>
          </w:p>
          <w:p w14:paraId="165C7A45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74CB63F5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Горното обстоятелство предпоставя изцяло липсата на потенциални бенефициенти по  Българското крайбрежие на р.Дунав, въпреки, че риболовните кораби и лодки са атрибути на традиционен поминък в тези райони.</w:t>
            </w:r>
          </w:p>
          <w:p w14:paraId="39C6A55E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14C2C844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Не е обяснимо  и логически взаимно изключващи се са обстоятелствата, как съществуващите лодкостоянки вече са получили УЕГ, т.е. вече са изградени и функционират, съгласно ЗМПВВППРБ, а според  т. 14.1.4. Допустими за финансиране по настоящата процедура са следните разходи за:</w:t>
            </w:r>
          </w:p>
          <w:p w14:paraId="0F898643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1. Строително-монтажни работи за модернизиране на лодкостоянки.</w:t>
            </w:r>
          </w:p>
          <w:p w14:paraId="29F07C9A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2. Строително-монтажни работи за изграждане на лодкостоянки.</w:t>
            </w:r>
          </w:p>
          <w:p w14:paraId="09E8E5A2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3. Разходи за независим строителен и авторски надзор и инвеститорски контрол до 2% от СМР.</w:t>
            </w:r>
          </w:p>
          <w:p w14:paraId="46BE287B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0823CC1B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За Съюза е от съществена важност да се постигне устойчив баланс между сладководните ресурси и тяхната експлоатация. Ето защо, следва да се предвидят подходящи мерки за подпомагане на риболова във вътрешни водоеми и по поречието на р. Дунав, като надлежно се отчита въздействието върху околната среда и се запазва икономическата жизнеспособност на тези сектори. </w:t>
            </w:r>
          </w:p>
          <w:p w14:paraId="6059DDFB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72A5CC88" w14:textId="724BE56A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От друга страна следва да се има предвид, че безвъзмездната финансова помощ се предоставя за дейности Инвестиции, свързани с изграждането и/или осъвременяването на лодкостоянки по мярката заложена в Програмата за морско дело и рибарство  в съответствие с чл. 43 - Рибарски пристанища, кейове </w:t>
            </w:r>
            <w:r w:rsidR="00723526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за разтоварване, рибни борси и</w:t>
            </w: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 лодкостоянки, параграф 1, 2 и 3 от Регламент (ЕС) № 508/2014. Подпомагането по настоящата мярка не обхваща изграждането на нови Рибарски пристанища или нови рибни борси, но допуска изграждане на лодкостоянки и тук е понятийното противоречие със разпоредбите на ЗМПВВППРБ , където, като специализиран пристанищен обект по смисъла на чл.111а и чл.111б, с възможност да бъде регистриран в Регистъра на Българските пристанища и да получи Удостоверение за експлоатационна годност /УЕГ/ e финален етап, а не първоначален в изграждането на лодкостоянки.</w:t>
            </w:r>
          </w:p>
          <w:p w14:paraId="5DA48241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0B25D367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Предложението на Община Лом е да отпадне изискването за представяне на валидно Удостоверение за експлоатационна годност, издадено от Изпълнителна агенция "Морска администрация" (ИАМА) в Условията за кандидатстване по настоящата процедура.</w:t>
            </w:r>
          </w:p>
          <w:p w14:paraId="452BDD73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01E91824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Относно т. 22. Критерии и методика за оценка на проектните предложения:</w:t>
            </w:r>
          </w:p>
          <w:p w14:paraId="664FD9FE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 xml:space="preserve">Според Критерии за подбор в сектор „Инвестиции насочени към изграждане </w:t>
            </w: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lastRenderedPageBreak/>
              <w:t>и/или модернизация на лодкостоянки: „критериите за подбор са изготвени от УО и одобрени от Комитета за наблюдение (КН) на ПМДР. По този начин се гарантира, че УО на ПМДР има ясни насоки зададени от КН и извършвания подбор на проектни предложения за финансиране от ЕФМДР е в съответствие с целите на Програмата.“</w:t>
            </w:r>
          </w:p>
          <w:p w14:paraId="206AD8F8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Недоумение тогава буди  критерий 4. Проектът се изпълнява в акваторията на Черно море и получава 20 точки.</w:t>
            </w:r>
          </w:p>
          <w:p w14:paraId="3E125798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60B73038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Явно в сектор „Инвестиции насочени към изграждане и/или модернизация на лодкостоянки“  не е приоритет тези инвестиции да бъдат насочени за стимулиране на дребномащабния крайбрежен риболов, какъвто е този по р. Дунав.</w:t>
            </w:r>
          </w:p>
          <w:p w14:paraId="6EC1B18D" w14:textId="6B0F3BDD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В Сектор „Инвестиции насочени към изграждане и/или модернизация на лодкостоянки" няма регламентиран финансов ресурс за кандидатите от районите от поречието на р. Дунав. Това ще доведе до диспропорции в разпределението на БПФ, като се има пред вид стимулирането на крайморския регион в предишния програмен период и активността на потенциалните бенефициенти. Предложението е да отпадне посочения дискриминационен критерий 4. Една от целите на ЕК е стимулиране на дребномащабния крайбрежен риболов, какъвто е този по р. Дунав. В плана за действие за развитието, конкурентоспособността и устойчивостта на дребномащабния крайбрежен риболов заложен в ПМДР са посочени редица мерки, чието изпълнение на този етап от прилагане на програмата дори не е стартирало.</w:t>
            </w:r>
          </w:p>
          <w:p w14:paraId="17C56CEE" w14:textId="77777777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</w:p>
          <w:p w14:paraId="0BF09FEF" w14:textId="416AFF76" w:rsidR="0034000F" w:rsidRPr="0034000F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Относно т 7. Индикатори  Прави впечатление, че има индикатори, които трудно биха постигнати и доказвани от бенефициентите. Такива са 2. Промяна в стойността на продукцията; 5. Създадена заетост (ЕПРВ) в сектора на рибарството или допълнителните дейности; Механизма за отчитане е неясен, а последиците - сериозни. Още повече, че в случай на неизпълнение на индикаторите за резултат, заложени в проектното предложение, на кандидата ще бъдат наложени финансови корекции съгласно разпоредбите на Наредба за посочване на нередности, представляващи основания за извършване на финансови корекции, и процентните показатели за определяне размера на финансовите корекции по реда на ЗУСЕСИФ, приет</w:t>
            </w:r>
            <w:r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а с ПМС № 57 от 28 март 2017 г.</w:t>
            </w:r>
          </w:p>
          <w:p w14:paraId="644749DA" w14:textId="5774B190" w:rsidR="00A135A0" w:rsidRPr="008B716E" w:rsidRDefault="0034000F" w:rsidP="0034000F">
            <w:pPr>
              <w:tabs>
                <w:tab w:val="left" w:pos="2575"/>
              </w:tabs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</w:pPr>
            <w:r w:rsidRPr="0034000F">
              <w:rPr>
                <w:rFonts w:ascii="Arial" w:eastAsia="Calibri" w:hAnsi="Arial" w:cs="Arial"/>
                <w:bCs/>
                <w:noProof w:val="0"/>
                <w:color w:val="000000"/>
                <w:sz w:val="18"/>
                <w:szCs w:val="18"/>
              </w:rPr>
              <w:t>Надявам се становището на Община Лом да бъде взето под внимание от УО на ПМДР.</w:t>
            </w:r>
          </w:p>
        </w:tc>
        <w:tc>
          <w:tcPr>
            <w:tcW w:w="4948" w:type="dxa"/>
            <w:shd w:val="clear" w:color="auto" w:fill="auto"/>
          </w:tcPr>
          <w:p w14:paraId="1A2F87D0" w14:textId="77777777" w:rsidR="00FC3D68" w:rsidRPr="00FC3D68" w:rsidRDefault="00FC3D68" w:rsidP="00FC3D68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FC3D68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>Приема се по принцип.</w:t>
            </w:r>
          </w:p>
          <w:p w14:paraId="1DE913ED" w14:textId="282359D2" w:rsidR="00A135A0" w:rsidRPr="008B716E" w:rsidRDefault="00FC3D68" w:rsidP="00723526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</w:pPr>
            <w:r w:rsidRPr="00FC3D68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УО на ПМДР ще има пред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>вид становището на община Лом</w:t>
            </w:r>
            <w:r w:rsidRPr="00FC3D68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t xml:space="preserve"> при следващи приеми по мярка 1.8. „Рибарски </w:t>
            </w:r>
            <w:r w:rsidRPr="00FC3D68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bg-BG"/>
              </w:rPr>
              <w:lastRenderedPageBreak/>
              <w:t>пристанища, кейове за разтоварване, рибни борси и лодкостоянки”, сектор „Инвестиции насочени към изграждане и/или модернизация на лодкостоянки“. За предлаганите промени е необходимо технологично време за да може КН на ПМДР да вземе необходимото решение и да промени критериите за подбор в сектор „Инвестиции насочени към изграждане и/или модернизация на лодкостоянки“, което ще забави значително откриването на приеми по мярка 1.8, а този подход не е целесъобразен в края на програмния период. Въпреки, че общините имат представител в КН на ПМДР в лицето на НСОРБ до настоящият момент чрез тях не е имало предложения за промени в критериите за подбор, имайки предвид, че това е трети прием по мярката и е имало достатъчно възможности за реализацията на направените предложения.</w:t>
            </w:r>
          </w:p>
        </w:tc>
      </w:tr>
    </w:tbl>
    <w:p w14:paraId="3EA981B5" w14:textId="77777777" w:rsidR="005B14DF" w:rsidRPr="008B716E" w:rsidRDefault="005B14DF" w:rsidP="005B14DF">
      <w:pPr>
        <w:spacing w:after="0" w:line="240" w:lineRule="auto"/>
      </w:pPr>
    </w:p>
    <w:sectPr w:rsidR="005B14DF" w:rsidRPr="008B716E" w:rsidSect="00330294">
      <w:footerReference w:type="default" r:id="rId8"/>
      <w:headerReference w:type="first" r:id="rId9"/>
      <w:pgSz w:w="15840" w:h="12240" w:orient="landscape"/>
      <w:pgMar w:top="1418" w:right="391" w:bottom="1327" w:left="426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8531" w14:textId="77777777" w:rsidR="00EC67C1" w:rsidRDefault="00EC67C1" w:rsidP="00BE1440">
      <w:pPr>
        <w:spacing w:after="0" w:line="240" w:lineRule="auto"/>
      </w:pPr>
      <w:r>
        <w:separator/>
      </w:r>
    </w:p>
  </w:endnote>
  <w:endnote w:type="continuationSeparator" w:id="0">
    <w:p w14:paraId="0A967F41" w14:textId="77777777" w:rsidR="00EC67C1" w:rsidRDefault="00EC67C1" w:rsidP="00BE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lang w:val="en-US"/>
      </w:rPr>
      <w:id w:val="73794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lang w:val="en-US"/>
          </w:rPr>
          <w:id w:val="1098680883"/>
          <w:docPartObj>
            <w:docPartGallery w:val="Page Numbers (Top of Page)"/>
            <w:docPartUnique/>
          </w:docPartObj>
        </w:sdtPr>
        <w:sdtEndPr/>
        <w:sdtContent>
          <w:p w14:paraId="0384A8FF" w14:textId="4BD179CE" w:rsidR="008B175D" w:rsidRPr="002A648C" w:rsidRDefault="008B175D" w:rsidP="00295FCA">
            <w:pPr>
              <w:pStyle w:val="Footer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A648C">
              <w:rPr>
                <w:rFonts w:ascii="Arial" w:hAnsi="Arial" w:cs="Arial"/>
                <w:sz w:val="12"/>
                <w:szCs w:val="12"/>
                <w:lang w:val="en-US"/>
              </w:rPr>
              <w:t xml:space="preserve">Page </w: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begin"/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instrText xml:space="preserve"> PAGE </w:instrTex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separate"/>
            </w:r>
            <w:r w:rsidR="00387BF9">
              <w:rPr>
                <w:rFonts w:ascii="Arial" w:hAnsi="Arial" w:cs="Arial"/>
                <w:bCs/>
                <w:noProof/>
                <w:sz w:val="12"/>
                <w:szCs w:val="12"/>
                <w:lang w:val="en-US"/>
              </w:rPr>
              <w:t>2</w: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end"/>
            </w:r>
            <w:r w:rsidRPr="002A648C">
              <w:rPr>
                <w:rFonts w:ascii="Arial" w:hAnsi="Arial" w:cs="Arial"/>
                <w:sz w:val="12"/>
                <w:szCs w:val="12"/>
                <w:lang w:val="en-US"/>
              </w:rPr>
              <w:t xml:space="preserve"> of </w: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begin"/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instrText xml:space="preserve"> NUMPAGES  </w:instrTex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separate"/>
            </w:r>
            <w:r w:rsidR="00387BF9">
              <w:rPr>
                <w:rFonts w:ascii="Arial" w:hAnsi="Arial" w:cs="Arial"/>
                <w:bCs/>
                <w:noProof/>
                <w:sz w:val="12"/>
                <w:szCs w:val="12"/>
                <w:lang w:val="en-US"/>
              </w:rPr>
              <w:t>6</w:t>
            </w:r>
            <w:r w:rsidRPr="002A648C">
              <w:rPr>
                <w:rFonts w:ascii="Arial" w:hAnsi="Arial" w:cs="Arial"/>
                <w:bCs/>
                <w:sz w:val="12"/>
                <w:szCs w:val="12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DCD1" w14:textId="77777777" w:rsidR="00EC67C1" w:rsidRDefault="00EC67C1" w:rsidP="00BE1440">
      <w:pPr>
        <w:spacing w:after="0" w:line="240" w:lineRule="auto"/>
      </w:pPr>
      <w:r>
        <w:separator/>
      </w:r>
    </w:p>
  </w:footnote>
  <w:footnote w:type="continuationSeparator" w:id="0">
    <w:p w14:paraId="721A3D04" w14:textId="77777777" w:rsidR="00EC67C1" w:rsidRDefault="00EC67C1" w:rsidP="00BE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C154" w14:textId="77777777" w:rsidR="008B175D" w:rsidRPr="002A648C" w:rsidRDefault="008B175D" w:rsidP="00BE1440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lang w:val="en-US"/>
      </w:rPr>
    </w:pPr>
    <w:r>
      <w:rPr>
        <w:noProof/>
        <w:lang w:val="en-US"/>
      </w:rPr>
      <w:drawing>
        <wp:inline distT="0" distB="0" distL="0" distR="0" wp14:anchorId="00217740" wp14:editId="1EE88E32">
          <wp:extent cx="6225540" cy="1287780"/>
          <wp:effectExtent l="0" t="0" r="3810" b="762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E38"/>
    <w:multiLevelType w:val="hybridMultilevel"/>
    <w:tmpl w:val="8CA86E68"/>
    <w:lvl w:ilvl="0" w:tplc="00029D7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43363361"/>
    <w:multiLevelType w:val="hybridMultilevel"/>
    <w:tmpl w:val="2C1A4052"/>
    <w:lvl w:ilvl="0" w:tplc="172AEF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97470"/>
    <w:multiLevelType w:val="multilevel"/>
    <w:tmpl w:val="A496B5A2"/>
    <w:lvl w:ilvl="0">
      <w:start w:val="1"/>
      <w:numFmt w:val="decimal"/>
      <w:suff w:val="nothing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0D6286"/>
    <w:multiLevelType w:val="singleLevel"/>
    <w:tmpl w:val="73F059BE"/>
    <w:lvl w:ilvl="0">
      <w:start w:val="1"/>
      <w:numFmt w:val="bullet"/>
      <w:pStyle w:val="ListDash2"/>
      <w:lvlText w:val="–"/>
      <w:lvlJc w:val="left"/>
      <w:pPr>
        <w:tabs>
          <w:tab w:val="num" w:pos="1243"/>
        </w:tabs>
        <w:ind w:left="1243" w:hanging="283"/>
      </w:pPr>
      <w:rPr>
        <w:rFonts w:ascii="Times New Roman" w:hAnsi="Times New Roman"/>
        <w:lang w:val="bg-BG"/>
      </w:rPr>
    </w:lvl>
  </w:abstractNum>
  <w:abstractNum w:abstractNumId="4" w15:restartNumberingAfterBreak="0">
    <w:nsid w:val="633E7D0C"/>
    <w:multiLevelType w:val="hybridMultilevel"/>
    <w:tmpl w:val="220A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67E5B"/>
    <w:multiLevelType w:val="hybridMultilevel"/>
    <w:tmpl w:val="896EB1B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7B"/>
    <w:rsid w:val="00004BE8"/>
    <w:rsid w:val="00020B63"/>
    <w:rsid w:val="000229C0"/>
    <w:rsid w:val="00035081"/>
    <w:rsid w:val="000355CB"/>
    <w:rsid w:val="000508AF"/>
    <w:rsid w:val="0005199E"/>
    <w:rsid w:val="00054D39"/>
    <w:rsid w:val="00055ACE"/>
    <w:rsid w:val="00081238"/>
    <w:rsid w:val="0008198B"/>
    <w:rsid w:val="00084A4D"/>
    <w:rsid w:val="000C6D46"/>
    <w:rsid w:val="000E0D7B"/>
    <w:rsid w:val="000E719C"/>
    <w:rsid w:val="00106AA2"/>
    <w:rsid w:val="001124D7"/>
    <w:rsid w:val="00126D29"/>
    <w:rsid w:val="0013464E"/>
    <w:rsid w:val="001366D8"/>
    <w:rsid w:val="0014282C"/>
    <w:rsid w:val="00150B86"/>
    <w:rsid w:val="00157289"/>
    <w:rsid w:val="001669A6"/>
    <w:rsid w:val="00171577"/>
    <w:rsid w:val="001922EC"/>
    <w:rsid w:val="001941F2"/>
    <w:rsid w:val="00195049"/>
    <w:rsid w:val="001C1D9B"/>
    <w:rsid w:val="001C4690"/>
    <w:rsid w:val="001E4E80"/>
    <w:rsid w:val="00207619"/>
    <w:rsid w:val="00213E5F"/>
    <w:rsid w:val="00217993"/>
    <w:rsid w:val="00236F07"/>
    <w:rsid w:val="002413EB"/>
    <w:rsid w:val="00251B7A"/>
    <w:rsid w:val="0025284B"/>
    <w:rsid w:val="00264F2A"/>
    <w:rsid w:val="00265587"/>
    <w:rsid w:val="00273502"/>
    <w:rsid w:val="00295FCA"/>
    <w:rsid w:val="002A175F"/>
    <w:rsid w:val="002A35E0"/>
    <w:rsid w:val="002A648C"/>
    <w:rsid w:val="002E19C7"/>
    <w:rsid w:val="002E6A6B"/>
    <w:rsid w:val="002F410B"/>
    <w:rsid w:val="002F4123"/>
    <w:rsid w:val="00306C19"/>
    <w:rsid w:val="003255D6"/>
    <w:rsid w:val="00330294"/>
    <w:rsid w:val="0034000F"/>
    <w:rsid w:val="003426A7"/>
    <w:rsid w:val="0034633B"/>
    <w:rsid w:val="00353194"/>
    <w:rsid w:val="00370D87"/>
    <w:rsid w:val="003827C4"/>
    <w:rsid w:val="00387BF9"/>
    <w:rsid w:val="00391FD0"/>
    <w:rsid w:val="00396A57"/>
    <w:rsid w:val="003B70AA"/>
    <w:rsid w:val="003C0E6A"/>
    <w:rsid w:val="003C150F"/>
    <w:rsid w:val="003D172B"/>
    <w:rsid w:val="003D6A4D"/>
    <w:rsid w:val="003F015C"/>
    <w:rsid w:val="003F22CF"/>
    <w:rsid w:val="00403FD5"/>
    <w:rsid w:val="00404AAD"/>
    <w:rsid w:val="0040774C"/>
    <w:rsid w:val="0041727E"/>
    <w:rsid w:val="00471E98"/>
    <w:rsid w:val="0047509F"/>
    <w:rsid w:val="00482C33"/>
    <w:rsid w:val="004872FC"/>
    <w:rsid w:val="00493522"/>
    <w:rsid w:val="00493C00"/>
    <w:rsid w:val="00494690"/>
    <w:rsid w:val="004B3B8D"/>
    <w:rsid w:val="004C0884"/>
    <w:rsid w:val="004D1773"/>
    <w:rsid w:val="004E0512"/>
    <w:rsid w:val="004F4FB8"/>
    <w:rsid w:val="0050285F"/>
    <w:rsid w:val="005158AC"/>
    <w:rsid w:val="00536F07"/>
    <w:rsid w:val="00540097"/>
    <w:rsid w:val="0054119A"/>
    <w:rsid w:val="005422A6"/>
    <w:rsid w:val="0054361C"/>
    <w:rsid w:val="00544EC2"/>
    <w:rsid w:val="00582F1D"/>
    <w:rsid w:val="00583D2C"/>
    <w:rsid w:val="005B14DF"/>
    <w:rsid w:val="005B5793"/>
    <w:rsid w:val="005F16AB"/>
    <w:rsid w:val="006047D2"/>
    <w:rsid w:val="00605FC7"/>
    <w:rsid w:val="006121B2"/>
    <w:rsid w:val="006247BE"/>
    <w:rsid w:val="006406EB"/>
    <w:rsid w:val="0065301A"/>
    <w:rsid w:val="0065586C"/>
    <w:rsid w:val="0067406C"/>
    <w:rsid w:val="0067522C"/>
    <w:rsid w:val="0068418C"/>
    <w:rsid w:val="006A7BDE"/>
    <w:rsid w:val="006A7FA2"/>
    <w:rsid w:val="006F1CD0"/>
    <w:rsid w:val="00716F01"/>
    <w:rsid w:val="00723526"/>
    <w:rsid w:val="00725950"/>
    <w:rsid w:val="00731808"/>
    <w:rsid w:val="00747BCF"/>
    <w:rsid w:val="00781B16"/>
    <w:rsid w:val="007A06F5"/>
    <w:rsid w:val="007A4097"/>
    <w:rsid w:val="007E5400"/>
    <w:rsid w:val="007F03C4"/>
    <w:rsid w:val="00823030"/>
    <w:rsid w:val="00850BA4"/>
    <w:rsid w:val="00851A0D"/>
    <w:rsid w:val="00886C84"/>
    <w:rsid w:val="00895422"/>
    <w:rsid w:val="008B175D"/>
    <w:rsid w:val="008B3A0F"/>
    <w:rsid w:val="008B716E"/>
    <w:rsid w:val="008C5380"/>
    <w:rsid w:val="008F36AA"/>
    <w:rsid w:val="008F62E7"/>
    <w:rsid w:val="00920654"/>
    <w:rsid w:val="00921927"/>
    <w:rsid w:val="0094028D"/>
    <w:rsid w:val="009556C3"/>
    <w:rsid w:val="00956394"/>
    <w:rsid w:val="009C6819"/>
    <w:rsid w:val="009D0D08"/>
    <w:rsid w:val="009E3C67"/>
    <w:rsid w:val="009E666F"/>
    <w:rsid w:val="00A135A0"/>
    <w:rsid w:val="00A23C55"/>
    <w:rsid w:val="00A33C26"/>
    <w:rsid w:val="00A3480C"/>
    <w:rsid w:val="00A523D3"/>
    <w:rsid w:val="00A572D2"/>
    <w:rsid w:val="00A75130"/>
    <w:rsid w:val="00A93052"/>
    <w:rsid w:val="00AA22E4"/>
    <w:rsid w:val="00AB0250"/>
    <w:rsid w:val="00AB4F8F"/>
    <w:rsid w:val="00AC2460"/>
    <w:rsid w:val="00AD6C09"/>
    <w:rsid w:val="00AE028C"/>
    <w:rsid w:val="00B2600A"/>
    <w:rsid w:val="00B33385"/>
    <w:rsid w:val="00B42364"/>
    <w:rsid w:val="00B42F2F"/>
    <w:rsid w:val="00B439BD"/>
    <w:rsid w:val="00B83EF6"/>
    <w:rsid w:val="00B85B16"/>
    <w:rsid w:val="00BC1887"/>
    <w:rsid w:val="00BC1DE6"/>
    <w:rsid w:val="00BE1440"/>
    <w:rsid w:val="00BE3174"/>
    <w:rsid w:val="00BE6041"/>
    <w:rsid w:val="00BF3F1D"/>
    <w:rsid w:val="00C00585"/>
    <w:rsid w:val="00C07A9C"/>
    <w:rsid w:val="00C2560D"/>
    <w:rsid w:val="00C329DC"/>
    <w:rsid w:val="00C358EA"/>
    <w:rsid w:val="00C626B3"/>
    <w:rsid w:val="00C7211D"/>
    <w:rsid w:val="00C8194A"/>
    <w:rsid w:val="00C83712"/>
    <w:rsid w:val="00C95187"/>
    <w:rsid w:val="00C95C85"/>
    <w:rsid w:val="00CA7CA0"/>
    <w:rsid w:val="00CB0AAD"/>
    <w:rsid w:val="00CD3722"/>
    <w:rsid w:val="00CE3E57"/>
    <w:rsid w:val="00D01147"/>
    <w:rsid w:val="00D868C5"/>
    <w:rsid w:val="00DA1EE5"/>
    <w:rsid w:val="00DA5150"/>
    <w:rsid w:val="00DA5963"/>
    <w:rsid w:val="00DC3A13"/>
    <w:rsid w:val="00DD7B5F"/>
    <w:rsid w:val="00DF7F77"/>
    <w:rsid w:val="00E06D33"/>
    <w:rsid w:val="00E336D4"/>
    <w:rsid w:val="00E34E97"/>
    <w:rsid w:val="00E36734"/>
    <w:rsid w:val="00E40087"/>
    <w:rsid w:val="00E4176B"/>
    <w:rsid w:val="00E461A2"/>
    <w:rsid w:val="00E62A3E"/>
    <w:rsid w:val="00E62B11"/>
    <w:rsid w:val="00E73210"/>
    <w:rsid w:val="00E80D2B"/>
    <w:rsid w:val="00E82DE2"/>
    <w:rsid w:val="00E84813"/>
    <w:rsid w:val="00E92704"/>
    <w:rsid w:val="00E96916"/>
    <w:rsid w:val="00EA4830"/>
    <w:rsid w:val="00EB1E14"/>
    <w:rsid w:val="00EC67C1"/>
    <w:rsid w:val="00ED764F"/>
    <w:rsid w:val="00EE64DB"/>
    <w:rsid w:val="00F36118"/>
    <w:rsid w:val="00F41FFC"/>
    <w:rsid w:val="00F44E5A"/>
    <w:rsid w:val="00F51E67"/>
    <w:rsid w:val="00F56CCF"/>
    <w:rsid w:val="00F7057B"/>
    <w:rsid w:val="00F84096"/>
    <w:rsid w:val="00F84C59"/>
    <w:rsid w:val="00F95C3B"/>
    <w:rsid w:val="00FA08EE"/>
    <w:rsid w:val="00FA6AEA"/>
    <w:rsid w:val="00FB6BF1"/>
    <w:rsid w:val="00FC2EA3"/>
    <w:rsid w:val="00FC3D68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5CD42"/>
  <w15:docId w15:val="{4B814C06-E2EC-42D2-B82E-BE7C083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AAD"/>
    <w:rPr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BE1440"/>
    <w:pPr>
      <w:keepNext/>
      <w:spacing w:before="240" w:after="60" w:line="256" w:lineRule="auto"/>
      <w:outlineLvl w:val="0"/>
    </w:pPr>
    <w:rPr>
      <w:rFonts w:ascii="Cambria" w:eastAsia="Times New Roman" w:hAnsi="Cambria" w:cs="Cambria"/>
      <w:b/>
      <w:bCs/>
      <w:noProof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E1440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Calibri Light"/>
      <w:b/>
      <w:bCs/>
      <w:noProof w:val="0"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1440"/>
    <w:pPr>
      <w:keepNext/>
      <w:spacing w:before="240" w:after="60" w:line="256" w:lineRule="auto"/>
      <w:outlineLvl w:val="2"/>
    </w:pPr>
    <w:rPr>
      <w:rFonts w:ascii="Cambria" w:eastAsia="Times New Roman" w:hAnsi="Cambria" w:cs="Cambria"/>
      <w:b/>
      <w:bCs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E1440"/>
    <w:pPr>
      <w:keepNext/>
      <w:keepLines/>
      <w:spacing w:before="200" w:after="0" w:line="256" w:lineRule="auto"/>
      <w:outlineLvl w:val="3"/>
    </w:pPr>
    <w:rPr>
      <w:rFonts w:ascii="Cambria" w:eastAsia="Times New Roman" w:hAnsi="Cambria" w:cs="Cambria"/>
      <w:b/>
      <w:bCs/>
      <w:i/>
      <w:iCs/>
      <w:noProof w:val="0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1440"/>
    <w:rPr>
      <w:rFonts w:ascii="Cambria" w:eastAsia="Times New Roman" w:hAnsi="Cambria" w:cs="Cambria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E1440"/>
    <w:rPr>
      <w:rFonts w:ascii="Calibri Light" w:eastAsia="Times New Roman" w:hAnsi="Calibri Light" w:cs="Calibri Light"/>
      <w:b/>
      <w:bCs/>
      <w:color w:val="5B9BD5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E1440"/>
    <w:rPr>
      <w:rFonts w:ascii="Cambria" w:eastAsia="Times New Roman" w:hAnsi="Cambria" w:cs="Cambria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E1440"/>
    <w:rPr>
      <w:rFonts w:ascii="Cambria" w:eastAsia="Times New Roman" w:hAnsi="Cambria" w:cs="Cambria"/>
      <w:b/>
      <w:bCs/>
      <w:i/>
      <w:iCs/>
      <w:color w:val="4F81BD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BE1440"/>
  </w:style>
  <w:style w:type="character" w:styleId="Hyperlink">
    <w:name w:val="Hyperlink"/>
    <w:basedOn w:val="DefaultParagraphFont"/>
    <w:uiPriority w:val="99"/>
    <w:unhideWhenUsed/>
    <w:rsid w:val="00BE1440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E144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E144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1440"/>
    <w:pPr>
      <w:spacing w:after="100" w:line="256" w:lineRule="auto"/>
    </w:pPr>
    <w:rPr>
      <w:rFonts w:ascii="Calibri" w:eastAsia="Calibri" w:hAnsi="Calibri" w:cs="Calibri"/>
      <w:noProof w:val="0"/>
    </w:rPr>
  </w:style>
  <w:style w:type="paragraph" w:styleId="TOC2">
    <w:name w:val="toc 2"/>
    <w:basedOn w:val="Normal"/>
    <w:next w:val="Normal"/>
    <w:autoRedefine/>
    <w:uiPriority w:val="39"/>
    <w:unhideWhenUsed/>
    <w:rsid w:val="00BE1440"/>
    <w:pPr>
      <w:spacing w:after="100" w:line="256" w:lineRule="auto"/>
      <w:ind w:left="220"/>
    </w:pPr>
    <w:rPr>
      <w:rFonts w:ascii="Calibri" w:eastAsia="Calibri" w:hAnsi="Calibri" w:cs="Calibri"/>
      <w:noProof w:val="0"/>
    </w:rPr>
  </w:style>
  <w:style w:type="paragraph" w:styleId="TOC3">
    <w:name w:val="toc 3"/>
    <w:basedOn w:val="Normal"/>
    <w:next w:val="Normal"/>
    <w:autoRedefine/>
    <w:uiPriority w:val="39"/>
    <w:unhideWhenUsed/>
    <w:rsid w:val="00BE1440"/>
    <w:pPr>
      <w:spacing w:after="100" w:line="256" w:lineRule="auto"/>
      <w:ind w:left="440"/>
    </w:pPr>
    <w:rPr>
      <w:rFonts w:ascii="Calibri" w:eastAsia="Calibri" w:hAnsi="Calibri" w:cs="Calibri"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440"/>
    <w:rPr>
      <w:rFonts w:ascii="Calibri" w:hAnsi="Calibri" w:cs="Calibri"/>
      <w:sz w:val="20"/>
      <w:szCs w:val="20"/>
    </w:rPr>
  </w:style>
  <w:style w:type="paragraph" w:customStyle="1" w:styleId="singlespa1">
    <w:name w:val="single spa1"/>
    <w:basedOn w:val="Normal"/>
    <w:next w:val="FootnoteText"/>
    <w:uiPriority w:val="99"/>
    <w:semiHidden/>
    <w:unhideWhenUsed/>
    <w:rsid w:val="00BE1440"/>
    <w:pPr>
      <w:spacing w:after="0" w:line="240" w:lineRule="auto"/>
    </w:pPr>
    <w:rPr>
      <w:rFonts w:ascii="Calibri" w:hAnsi="Calibri" w:cs="Calibri"/>
      <w:noProof w:val="0"/>
      <w:sz w:val="20"/>
      <w:szCs w:val="20"/>
      <w:lang w:val="en-US"/>
    </w:rPr>
  </w:style>
  <w:style w:type="character" w:customStyle="1" w:styleId="FootnoteTextChar1">
    <w:name w:val="Footnote Text Char1"/>
    <w:aliases w:val="Podrozdział Char1,stile 1 Char1,Footnote1 Char1,Footnote2 Char1,Footnote3 Char1,Footnote4 Char1,Footnote5 Char1,Footnote6 Char1,Footnote7 Char1,Footnote8 Char1,Footnote9 Char1,Footnote10 Char1,Footnote11 Char1,Footnote21 Char1"/>
    <w:basedOn w:val="DefaultParagraphFont"/>
    <w:uiPriority w:val="99"/>
    <w:semiHidden/>
    <w:rsid w:val="00BE1440"/>
    <w:rPr>
      <w:rFonts w:ascii="Calibri" w:eastAsia="Calibri" w:hAnsi="Calibri" w:cs="Calibri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440"/>
    <w:pPr>
      <w:spacing w:after="160" w:line="240" w:lineRule="auto"/>
    </w:pPr>
    <w:rPr>
      <w:rFonts w:ascii="Calibri" w:eastAsia="Calibri" w:hAnsi="Calibri" w:cs="Calibri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440"/>
    <w:rPr>
      <w:rFonts w:ascii="Calibri" w:eastAsia="Calibri" w:hAnsi="Calibri" w:cs="Calibri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14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BE1440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14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BE1440"/>
    <w:rPr>
      <w:rFonts w:ascii="Calibri" w:eastAsia="Calibri" w:hAnsi="Calibri"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40"/>
    <w:rPr>
      <w:rFonts w:ascii="Calibri" w:eastAsia="Calibri" w:hAnsi="Calibri" w:cs="Calibri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440"/>
    <w:pPr>
      <w:spacing w:after="0" w:line="240" w:lineRule="auto"/>
    </w:pPr>
    <w:rPr>
      <w:rFonts w:ascii="Segoe UI" w:eastAsia="Calibr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40"/>
    <w:rPr>
      <w:rFonts w:ascii="Segoe UI" w:eastAsia="Calibri" w:hAnsi="Segoe UI" w:cs="Segoe UI"/>
      <w:sz w:val="18"/>
      <w:szCs w:val="18"/>
      <w:lang w:val="bg-BG"/>
    </w:rPr>
  </w:style>
  <w:style w:type="character" w:customStyle="1" w:styleId="ListParagraphChar">
    <w:name w:val="List Paragraph Char"/>
    <w:link w:val="ListParagraph"/>
    <w:uiPriority w:val="99"/>
    <w:locked/>
    <w:rsid w:val="00BE1440"/>
    <w:rPr>
      <w:rFonts w:ascii="Calibri" w:hAnsi="Calibri" w:cs="Calibri"/>
    </w:rPr>
  </w:style>
  <w:style w:type="paragraph" w:customStyle="1" w:styleId="ListParagraph1111">
    <w:name w:val="List Paragraph1111"/>
    <w:basedOn w:val="Normal"/>
    <w:next w:val="ListParagraph"/>
    <w:uiPriority w:val="99"/>
    <w:qFormat/>
    <w:rsid w:val="00BE1440"/>
    <w:pPr>
      <w:spacing w:after="160" w:line="256" w:lineRule="auto"/>
      <w:ind w:left="720"/>
    </w:pPr>
    <w:rPr>
      <w:rFonts w:ascii="Calibri" w:hAnsi="Calibri" w:cs="Calibri"/>
      <w:noProof w:val="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1440"/>
    <w:pPr>
      <w:keepLines/>
      <w:spacing w:before="480" w:after="0" w:line="276" w:lineRule="auto"/>
      <w:outlineLvl w:val="9"/>
    </w:pPr>
    <w:rPr>
      <w:rFonts w:ascii="Calibri Light" w:hAnsi="Calibri Light" w:cs="Calibri Light"/>
      <w:color w:val="2E74B5"/>
      <w:kern w:val="0"/>
      <w:sz w:val="28"/>
      <w:szCs w:val="28"/>
      <w:lang w:eastAsia="bg-BG"/>
    </w:rPr>
  </w:style>
  <w:style w:type="paragraph" w:customStyle="1" w:styleId="Default">
    <w:name w:val="Default"/>
    <w:rsid w:val="00BE14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basedOn w:val="DefaultParagraphFont"/>
    <w:unhideWhenUsed/>
    <w:rsid w:val="00BE14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1440"/>
    <w:rPr>
      <w:sz w:val="16"/>
      <w:szCs w:val="16"/>
    </w:rPr>
  </w:style>
  <w:style w:type="character" w:customStyle="1" w:styleId="SubtleReference1">
    <w:name w:val="Subtle Reference1"/>
    <w:basedOn w:val="DefaultParagraphFont"/>
    <w:uiPriority w:val="31"/>
    <w:qFormat/>
    <w:rsid w:val="00BE1440"/>
    <w:rPr>
      <w:smallCaps/>
      <w:color w:val="C0504D"/>
      <w:u w:val="single"/>
    </w:rPr>
  </w:style>
  <w:style w:type="character" w:customStyle="1" w:styleId="samedocreference1">
    <w:name w:val="samedocreference1"/>
    <w:basedOn w:val="DefaultParagraphFont"/>
    <w:uiPriority w:val="99"/>
    <w:rsid w:val="00BE1440"/>
    <w:rPr>
      <w:color w:val="auto"/>
      <w:u w:val="single"/>
    </w:rPr>
  </w:style>
  <w:style w:type="character" w:customStyle="1" w:styleId="hps">
    <w:name w:val="hps"/>
    <w:uiPriority w:val="99"/>
    <w:rsid w:val="00BE1440"/>
  </w:style>
  <w:style w:type="character" w:customStyle="1" w:styleId="indented">
    <w:name w:val="indented"/>
    <w:basedOn w:val="DefaultParagraphFont"/>
    <w:uiPriority w:val="99"/>
    <w:rsid w:val="00BE1440"/>
  </w:style>
  <w:style w:type="table" w:styleId="TableGrid">
    <w:name w:val="Table Grid"/>
    <w:basedOn w:val="TableNormal"/>
    <w:uiPriority w:val="99"/>
    <w:rsid w:val="00BE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144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440"/>
    <w:pPr>
      <w:spacing w:after="0" w:line="240" w:lineRule="auto"/>
    </w:pPr>
    <w:rPr>
      <w:rFonts w:ascii="Calibri" w:hAnsi="Calibri" w:cs="Calibri"/>
      <w:noProof w:val="0"/>
      <w:sz w:val="20"/>
      <w:szCs w:val="20"/>
      <w:lang w:val="en-US"/>
    </w:rPr>
  </w:style>
  <w:style w:type="character" w:customStyle="1" w:styleId="FootnoteTextChar2">
    <w:name w:val="Footnote Text Char2"/>
    <w:basedOn w:val="DefaultParagraphFont"/>
    <w:uiPriority w:val="99"/>
    <w:semiHidden/>
    <w:rsid w:val="00BE1440"/>
    <w:rPr>
      <w:noProof/>
      <w:sz w:val="20"/>
      <w:szCs w:val="20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BE1440"/>
    <w:pPr>
      <w:ind w:left="720"/>
      <w:contextualSpacing/>
    </w:pPr>
    <w:rPr>
      <w:rFonts w:ascii="Calibri" w:hAnsi="Calibri" w:cs="Calibri"/>
      <w:noProof w:val="0"/>
      <w:lang w:val="en-US"/>
    </w:rPr>
  </w:style>
  <w:style w:type="character" w:styleId="SubtleReference">
    <w:name w:val="Subtle Reference"/>
    <w:basedOn w:val="DefaultParagraphFont"/>
    <w:uiPriority w:val="31"/>
    <w:qFormat/>
    <w:rsid w:val="00BE1440"/>
    <w:rPr>
      <w:smallCaps/>
      <w:color w:val="C0504D" w:themeColor="accent2"/>
      <w:u w:val="single"/>
    </w:rPr>
  </w:style>
  <w:style w:type="paragraph" w:customStyle="1" w:styleId="NumPar2">
    <w:name w:val="NumPar 2"/>
    <w:basedOn w:val="Heading2"/>
    <w:next w:val="Text2"/>
    <w:rsid w:val="0047509F"/>
    <w:pPr>
      <w:keepNext w:val="0"/>
      <w:keepLines w:val="0"/>
      <w:numPr>
        <w:ilvl w:val="1"/>
      </w:numPr>
      <w:tabs>
        <w:tab w:val="num" w:pos="2847"/>
      </w:tabs>
      <w:spacing w:before="0" w:after="240" w:line="240" w:lineRule="auto"/>
      <w:ind w:left="2847" w:hanging="720"/>
      <w:jc w:val="both"/>
      <w:outlineLvl w:val="9"/>
    </w:pPr>
    <w:rPr>
      <w:rFonts w:ascii="Times New Roman" w:hAnsi="Times New Roman" w:cs="Times New Roman"/>
      <w:b w:val="0"/>
      <w:bCs w:val="0"/>
      <w:color w:val="auto"/>
      <w:sz w:val="24"/>
      <w:szCs w:val="20"/>
      <w:lang w:val="en-GB" w:eastAsia="en-GB"/>
    </w:rPr>
  </w:style>
  <w:style w:type="paragraph" w:customStyle="1" w:styleId="Text1">
    <w:name w:val="Text 1"/>
    <w:basedOn w:val="Normal"/>
    <w:rsid w:val="0047509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47509F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 w:eastAsia="en-GB"/>
    </w:rPr>
  </w:style>
  <w:style w:type="paragraph" w:customStyle="1" w:styleId="Text3">
    <w:name w:val="Text 3"/>
    <w:basedOn w:val="Normal"/>
    <w:rsid w:val="0047509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 w:eastAsia="en-GB"/>
    </w:rPr>
  </w:style>
  <w:style w:type="paragraph" w:customStyle="1" w:styleId="ListDash2">
    <w:name w:val="List Dash 2"/>
    <w:basedOn w:val="Text2"/>
    <w:rsid w:val="0047509F"/>
    <w:pPr>
      <w:numPr>
        <w:numId w:val="5"/>
      </w:numPr>
      <w:tabs>
        <w:tab w:val="clear" w:pos="2161"/>
      </w:tabs>
    </w:pPr>
    <w:rPr>
      <w:lang w:eastAsia="en-US"/>
    </w:rPr>
  </w:style>
  <w:style w:type="paragraph" w:customStyle="1" w:styleId="msolistparagraph0">
    <w:name w:val="msolistparagraph"/>
    <w:basedOn w:val="Normal"/>
    <w:rsid w:val="0047509F"/>
    <w:pPr>
      <w:spacing w:after="0" w:line="240" w:lineRule="auto"/>
      <w:ind w:left="720"/>
    </w:pPr>
    <w:rPr>
      <w:rFonts w:ascii="Calibri" w:eastAsia="Times New Roman" w:hAnsi="Calibri" w:cs="Times New Roman"/>
      <w:noProof w:val="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039D-E18E-4BD5-A47D-A39867FF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Stoimen Yochev</dc:creator>
  <cp:lastModifiedBy>Zaharincho</cp:lastModifiedBy>
  <cp:revision>2</cp:revision>
  <cp:lastPrinted>2021-01-20T10:25:00Z</cp:lastPrinted>
  <dcterms:created xsi:type="dcterms:W3CDTF">2021-02-08T14:01:00Z</dcterms:created>
  <dcterms:modified xsi:type="dcterms:W3CDTF">2021-02-08T14:01:00Z</dcterms:modified>
</cp:coreProperties>
</file>