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EA" w:rsidRPr="00687873" w:rsidRDefault="000732EA" w:rsidP="007F4E6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  <w:lang w:val="en-US"/>
        </w:rPr>
      </w:pPr>
      <w:r w:rsidRPr="00687873">
        <w:rPr>
          <w:rFonts w:ascii="Arial" w:hAnsi="Arial" w:cs="Arial"/>
          <w:b/>
          <w:bCs/>
        </w:rPr>
        <w:t>Приложение №</w:t>
      </w:r>
      <w:r w:rsidR="006265C1" w:rsidRPr="00687873">
        <w:rPr>
          <w:rFonts w:ascii="Arial" w:hAnsi="Arial" w:cs="Arial"/>
          <w:b/>
          <w:bCs/>
        </w:rPr>
        <w:t xml:space="preserve"> </w:t>
      </w:r>
      <w:r w:rsidRPr="00687873">
        <w:rPr>
          <w:rFonts w:ascii="Arial" w:hAnsi="Arial" w:cs="Arial"/>
          <w:b/>
          <w:bCs/>
          <w:lang w:val="en-US"/>
        </w:rPr>
        <w:t>5</w:t>
      </w:r>
    </w:p>
    <w:p w:rsidR="000732EA" w:rsidRPr="00687873" w:rsidRDefault="000732EA" w:rsidP="00C1144B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</w:p>
    <w:p w:rsidR="000732EA" w:rsidRPr="00687873" w:rsidRDefault="000732EA" w:rsidP="00C1144B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  <w:r w:rsidRPr="00687873">
        <w:rPr>
          <w:rFonts w:ascii="Arial" w:hAnsi="Arial" w:cs="Arial"/>
          <w:b/>
          <w:bCs/>
          <w:snapToGrid w:val="0"/>
          <w:kern w:val="28"/>
          <w:lang w:val="en-US"/>
        </w:rPr>
        <w:t xml:space="preserve">I. </w:t>
      </w:r>
      <w:r w:rsidRPr="00687873">
        <w:rPr>
          <w:rFonts w:ascii="Arial" w:hAnsi="Arial" w:cs="Arial"/>
          <w:b/>
          <w:bCs/>
          <w:snapToGrid w:val="0"/>
          <w:kern w:val="28"/>
        </w:rPr>
        <w:t>ИЗПОЛЗВАНИ СЪКРАЩЕНИЯ</w:t>
      </w:r>
    </w:p>
    <w:p w:rsidR="000732EA" w:rsidRPr="00687873" w:rsidRDefault="000732EA" w:rsidP="00C1144B">
      <w:pPr>
        <w:spacing w:after="0" w:line="240" w:lineRule="auto"/>
        <w:rPr>
          <w:rFonts w:ascii="Arial" w:hAnsi="Arial" w:cs="Arial"/>
          <w:b/>
          <w:bCs/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200"/>
      </w:tblGrid>
      <w:tr w:rsidR="00F16330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F16330" w:rsidRPr="00687873" w:rsidRDefault="00F16330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F16330" w:rsidRPr="00687873" w:rsidRDefault="00F16330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Възобновяеми енергийни източници</w:t>
            </w:r>
          </w:p>
        </w:tc>
      </w:tr>
      <w:tr w:rsidR="00F16330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F16330" w:rsidRPr="00687873" w:rsidRDefault="00F16330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F16330" w:rsidRPr="00687873" w:rsidRDefault="00F16330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Данък добавена стойност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Дълготрайни материални активи</w:t>
            </w:r>
          </w:p>
        </w:tc>
      </w:tr>
      <w:tr w:rsidR="000732EA" w:rsidRPr="00687873" w:rsidTr="00687873">
        <w:trPr>
          <w:trHeight w:val="463"/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  <w:lang w:val="en-US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  <w:lang w:val="en-US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Дълготрайни нематериални активи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Del="00C47DC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Del="00C47DC3" w:rsidRDefault="000732EA" w:rsidP="00687873">
            <w:pPr>
              <w:spacing w:before="120" w:after="0" w:line="24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Държавен фонд „Земеделие”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Държавен фонд „Земеделие”</w:t>
            </w:r>
            <w:r w:rsidR="00206E1E" w:rsidRPr="00687873">
              <w:rPr>
                <w:rFonts w:ascii="Arial" w:hAnsi="Arial" w:cs="Arial"/>
                <w:b/>
                <w:bCs/>
                <w:snapToGrid w:val="0"/>
                <w:lang w:val="en-US"/>
              </w:rPr>
              <w:t xml:space="preserve"> 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>-</w:t>
            </w:r>
            <w:r w:rsidR="00206E1E" w:rsidRPr="00687873">
              <w:rPr>
                <w:rFonts w:ascii="Arial" w:hAnsi="Arial" w:cs="Arial"/>
                <w:b/>
                <w:bCs/>
                <w:snapToGrid w:val="0"/>
                <w:lang w:val="en-US"/>
              </w:rPr>
              <w:t xml:space="preserve"> 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>Разплащателна агенция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Данъчно-осигурител</w:t>
            </w:r>
            <w:r w:rsidR="0081327D" w:rsidRPr="00687873">
              <w:rPr>
                <w:rFonts w:ascii="Arial" w:hAnsi="Arial" w:cs="Arial"/>
                <w:b/>
                <w:bCs/>
                <w:snapToGrid w:val="0"/>
                <w:lang w:val="en-US"/>
              </w:rPr>
              <w:t>e</w:t>
            </w:r>
            <w:r w:rsidR="0081327D" w:rsidRPr="00687873">
              <w:rPr>
                <w:rFonts w:ascii="Arial" w:hAnsi="Arial" w:cs="Arial"/>
                <w:b/>
                <w:bCs/>
                <w:snapToGrid w:val="0"/>
              </w:rPr>
              <w:t>н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 процесуален кодекс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Европейска комисия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Европейска общност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Европейски съюз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Европейски структурни и инвестиционни фондове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Европейски фонд за морско дело и рибарство</w:t>
            </w:r>
          </w:p>
        </w:tc>
      </w:tr>
      <w:tr w:rsidR="000732EA" w:rsidRPr="00687873" w:rsidTr="00687873">
        <w:trPr>
          <w:trHeight w:val="418"/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Закон за задълженията и договорите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Закон за корпоративното подоходно облагане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Закон за малките и средните предприятия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Закон за обществените поръчки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ЗТР</w:t>
            </w:r>
            <w:r w:rsidR="007764BF" w:rsidRPr="00687873">
              <w:rPr>
                <w:rFonts w:ascii="Arial" w:hAnsi="Arial" w:cs="Arial"/>
                <w:b/>
                <w:bCs/>
                <w:snapToGrid w:val="0"/>
              </w:rPr>
              <w:t>РЮЛНЦ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Закон за търговския регистър</w:t>
            </w:r>
            <w:r w:rsidR="007764BF" w:rsidRPr="00687873">
              <w:rPr>
                <w:rFonts w:ascii="Arial" w:hAnsi="Arial" w:cs="Arial"/>
                <w:b/>
                <w:bCs/>
                <w:snapToGrid w:val="0"/>
              </w:rPr>
              <w:t xml:space="preserve"> и регистъра на юридическите лица с нестопанска цел</w:t>
            </w:r>
          </w:p>
        </w:tc>
      </w:tr>
      <w:tr w:rsidR="000732EA" w:rsidRPr="00687873" w:rsidTr="00687873">
        <w:trPr>
          <w:trHeight w:val="695"/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Информационна система за управление и наблюдение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Изпълнителна агенция по рибарство и аквакултури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Квалифициран електронен подпис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Комитет за наблюдение</w:t>
            </w:r>
          </w:p>
        </w:tc>
      </w:tr>
      <w:tr w:rsidR="000732EA" w:rsidRPr="00687873" w:rsidTr="00687873">
        <w:trPr>
          <w:trHeight w:val="370"/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Междинн</w:t>
            </w:r>
            <w:r w:rsidR="00832D8A" w:rsidRPr="00687873">
              <w:rPr>
                <w:rFonts w:ascii="Arial" w:hAnsi="Arial" w:cs="Arial"/>
                <w:b/>
                <w:bCs/>
                <w:snapToGrid w:val="0"/>
              </w:rPr>
              <w:t>о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 звен</w:t>
            </w:r>
            <w:r w:rsidR="00832D8A" w:rsidRPr="00687873">
              <w:rPr>
                <w:rFonts w:ascii="Arial" w:hAnsi="Arial" w:cs="Arial"/>
                <w:b/>
                <w:bCs/>
                <w:snapToGrid w:val="0"/>
              </w:rPr>
              <w:t>о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Del="00215B67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МЗХ</w:t>
            </w:r>
            <w:r w:rsidR="007764BF" w:rsidRPr="00687873">
              <w:rPr>
                <w:rFonts w:ascii="Arial" w:hAnsi="Arial" w:cs="Arial"/>
                <w:b/>
                <w:bCs/>
                <w:snapToGrid w:val="0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Del="00215B67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Министерство на земеделието</w:t>
            </w:r>
            <w:r w:rsidR="007764BF" w:rsidRPr="00687873">
              <w:rPr>
                <w:rFonts w:ascii="Arial" w:hAnsi="Arial" w:cs="Arial"/>
                <w:b/>
                <w:bCs/>
                <w:snapToGrid w:val="0"/>
              </w:rPr>
              <w:t>,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 храните</w:t>
            </w:r>
            <w:r w:rsidR="007764BF" w:rsidRPr="00687873">
              <w:rPr>
                <w:rFonts w:ascii="Arial" w:hAnsi="Arial" w:cs="Arial"/>
                <w:b/>
                <w:bCs/>
                <w:snapToGrid w:val="0"/>
              </w:rPr>
              <w:t xml:space="preserve"> и горите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Министерски съвет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Малки и средни предприятия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Многогодишен национален стратегически план за </w:t>
            </w:r>
          </w:p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аквакултурите в Република България 2014-2020 г.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НСИ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Национален статистически институт</w:t>
            </w:r>
          </w:p>
        </w:tc>
      </w:tr>
      <w:tr w:rsidR="000732EA" w:rsidRPr="00687873" w:rsidTr="00687873">
        <w:trPr>
          <w:trHeight w:val="353"/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  <w:lang w:val="en-US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lastRenderedPageBreak/>
              <w:t>ПМС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  <w:lang w:val="en-US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Постановление на Министерски съвет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Програма за морско дело и рибарство 2014 - 2020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Строително-монтажни работи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Сертифициращ орган</w:t>
            </w:r>
          </w:p>
        </w:tc>
      </w:tr>
      <w:tr w:rsidR="000732EA" w:rsidRPr="00687873" w:rsidTr="00687873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Управляващ орган</w:t>
            </w:r>
          </w:p>
        </w:tc>
      </w:tr>
      <w:tr w:rsidR="000732EA" w:rsidRPr="00687873" w:rsidTr="00687873">
        <w:trPr>
          <w:trHeight w:val="418"/>
          <w:jc w:val="center"/>
        </w:trPr>
        <w:tc>
          <w:tcPr>
            <w:tcW w:w="1124" w:type="pct"/>
            <w:shd w:val="clear" w:color="auto" w:fill="D9D9D9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0732EA" w:rsidRPr="00687873" w:rsidRDefault="000732EA" w:rsidP="00687873">
            <w:pPr>
              <w:spacing w:before="120" w:after="0" w:line="24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Формуляр за кандидатстване</w:t>
            </w:r>
          </w:p>
        </w:tc>
      </w:tr>
    </w:tbl>
    <w:p w:rsidR="000732EA" w:rsidRPr="00687873" w:rsidRDefault="000732EA">
      <w:pPr>
        <w:rPr>
          <w:rFonts w:ascii="Arial" w:hAnsi="Arial" w:cs="Arial"/>
        </w:rPr>
      </w:pPr>
    </w:p>
    <w:p w:rsidR="000732EA" w:rsidRDefault="000732EA" w:rsidP="00687873">
      <w:pPr>
        <w:tabs>
          <w:tab w:val="right" w:pos="9072"/>
        </w:tabs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  <w:r w:rsidRPr="00687873">
        <w:rPr>
          <w:rFonts w:ascii="Arial" w:hAnsi="Arial" w:cs="Arial"/>
          <w:b/>
          <w:bCs/>
          <w:snapToGrid w:val="0"/>
          <w:kern w:val="28"/>
          <w:lang w:val="en-US"/>
        </w:rPr>
        <w:t xml:space="preserve">II. </w:t>
      </w:r>
      <w:r w:rsidRPr="00687873">
        <w:rPr>
          <w:rFonts w:ascii="Arial" w:hAnsi="Arial" w:cs="Arial"/>
          <w:b/>
          <w:bCs/>
          <w:snapToGrid w:val="0"/>
          <w:kern w:val="28"/>
        </w:rPr>
        <w:t>ОСНОВНИ ДЕФИНИЦИИ</w:t>
      </w:r>
    </w:p>
    <w:p w:rsidR="00687873" w:rsidRDefault="00687873" w:rsidP="00F56BC0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1B7152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snapToGrid w:val="0"/>
              </w:rPr>
              <w:t>Бенеф</w:t>
            </w:r>
            <w:bookmarkEnd w:id="0"/>
            <w:r>
              <w:rPr>
                <w:rFonts w:ascii="Arial" w:hAnsi="Arial" w:cs="Arial"/>
                <w:b/>
                <w:bCs/>
                <w:snapToGrid w:val="0"/>
              </w:rPr>
              <w:t>ициер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764B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Лицата, посочени в чл. 2, параграф 10 от Регламент (ЕО) № 1303/2013 - публ</w:t>
            </w:r>
            <w:r>
              <w:rPr>
                <w:rFonts w:ascii="Arial" w:hAnsi="Arial" w:cs="Arial"/>
                <w:snapToGrid w:val="0"/>
              </w:rPr>
              <w:t>ична или частна организация, и -</w:t>
            </w:r>
            <w:r w:rsidRPr="00687873">
              <w:rPr>
                <w:rFonts w:ascii="Arial" w:hAnsi="Arial" w:cs="Arial"/>
                <w:snapToGrid w:val="0"/>
              </w:rPr>
              <w:t xml:space="preserve"> само за целите на Регламента з</w:t>
            </w:r>
            <w:r>
              <w:rPr>
                <w:rFonts w:ascii="Arial" w:hAnsi="Arial" w:cs="Arial"/>
                <w:snapToGrid w:val="0"/>
              </w:rPr>
              <w:t>а ЕЗФРСР и Регламента за ЕФМДР -</w:t>
            </w:r>
            <w:r w:rsidRPr="00687873">
              <w:rPr>
                <w:rFonts w:ascii="Arial" w:hAnsi="Arial" w:cs="Arial"/>
                <w:snapToGrid w:val="0"/>
              </w:rPr>
              <w:t xml:space="preserve"> физическо лице, които отговарят за започването или за започването и изпълнението на операции. В рамките на схемите за помощ по член 107 от Договора за функционирането на Европейския съюз (предишен член 87 от Договора з</w:t>
            </w:r>
            <w:r>
              <w:rPr>
                <w:rFonts w:ascii="Arial" w:hAnsi="Arial" w:cs="Arial"/>
                <w:snapToGrid w:val="0"/>
              </w:rPr>
              <w:t>а създаване на ЕО), бенефициер</w:t>
            </w:r>
            <w:r w:rsidRPr="00687873">
              <w:rPr>
                <w:rFonts w:ascii="Arial" w:hAnsi="Arial" w:cs="Arial"/>
                <w:snapToGrid w:val="0"/>
              </w:rPr>
              <w:t xml:space="preserve">ите са публични или частни предприятия, които изпълняват отделен проект и получават публична помощ. 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6C1B2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П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687873">
              <w:rPr>
                <w:rFonts w:ascii="Arial" w:hAnsi="Arial" w:cs="Arial"/>
                <w:snapToGrid w:val="0"/>
              </w:rPr>
              <w:t>и на Съюза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 xml:space="preserve">, които да бъдат постигнати с помощта от </w:t>
            </w:r>
            <w:r w:rsidRPr="00687873">
              <w:rPr>
                <w:rFonts w:ascii="Arial" w:hAnsi="Arial" w:cs="Arial"/>
                <w:snapToGrid w:val="0"/>
              </w:rPr>
              <w:t>ЕФМДР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>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6C1B2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Приоритет</w:t>
            </w:r>
            <w:r w:rsidRPr="00687873">
              <w:rPr>
                <w:rFonts w:ascii="Arial" w:hAnsi="Arial" w:cs="Arial"/>
                <w:snapToGrid w:val="0"/>
              </w:rPr>
              <w:t xml:space="preserve"> на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 xml:space="preserve"> </w:t>
            </w:r>
            <w:r w:rsidRPr="00687873">
              <w:rPr>
                <w:rFonts w:ascii="Arial" w:hAnsi="Arial" w:cs="Arial"/>
                <w:snapToGrid w:val="0"/>
              </w:rPr>
              <w:t>Съюза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 xml:space="preserve">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  <w:lang w:val="en-US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E0F2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 xml:space="preserve">Мярка е набор от сектори, насочени към изпълнение на даден </w:t>
            </w:r>
            <w:r w:rsidRPr="00687873">
              <w:rPr>
                <w:rFonts w:ascii="Arial" w:hAnsi="Arial" w:cs="Arial"/>
                <w:snapToGrid w:val="0"/>
              </w:rPr>
              <w:t>приоритет на Съюза</w:t>
            </w:r>
          </w:p>
        </w:tc>
      </w:tr>
      <w:tr w:rsidR="00687873" w:rsidRPr="00687873" w:rsidTr="00687873">
        <w:trPr>
          <w:trHeight w:val="643"/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  <w:lang w:val="en-US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  <w:lang w:val="en-US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E0F2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  <w:lang w:val="ru-RU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Сектор е набор от дейности, насочени към изпълнение на дадена мярка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655AB9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 xml:space="preserve"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</w:t>
            </w:r>
            <w:r w:rsidRPr="00687873">
              <w:rPr>
                <w:rFonts w:ascii="Arial" w:hAnsi="Arial" w:cs="Arial"/>
                <w:snapToGrid w:val="0"/>
              </w:rPr>
              <w:lastRenderedPageBreak/>
              <w:t>„започване на работите по проекта“ означава момента на придобиване на активите, пряко свързани с придобития стопански обект.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lastRenderedPageBreak/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Административен договор за 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предоставяне на 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1B57E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</w:t>
            </w:r>
            <w:r w:rsidR="00E451F7">
              <w:rPr>
                <w:rFonts w:ascii="Arial" w:hAnsi="Arial" w:cs="Arial"/>
                <w:snapToGrid w:val="0"/>
              </w:rPr>
              <w:t xml:space="preserve"> и със съгласието на бенефициер</w:t>
            </w:r>
            <w:r w:rsidRPr="00687873">
              <w:rPr>
                <w:rFonts w:ascii="Arial" w:hAnsi="Arial" w:cs="Arial"/>
                <w:snapToGrid w:val="0"/>
              </w:rPr>
              <w:t>а се създават з</w:t>
            </w:r>
            <w:r w:rsidR="00E451F7">
              <w:rPr>
                <w:rFonts w:ascii="Arial" w:hAnsi="Arial" w:cs="Arial"/>
                <w:snapToGrid w:val="0"/>
              </w:rPr>
              <w:t>а бенефициер</w:t>
            </w:r>
            <w:r w:rsidRPr="00687873">
              <w:rPr>
                <w:rFonts w:ascii="Arial" w:hAnsi="Arial" w:cs="Arial"/>
                <w:snapToGrid w:val="0"/>
              </w:rPr>
              <w:t xml:space="preserve">а права и задължения по изпълнението на одобрения проект. Административният договор се оформя в писмено споразумение между ръководителя на </w:t>
            </w:r>
            <w:r w:rsidR="00E451F7">
              <w:rPr>
                <w:rFonts w:ascii="Arial" w:hAnsi="Arial" w:cs="Arial"/>
                <w:snapToGrid w:val="0"/>
              </w:rPr>
              <w:t>Управляващия орган и бенефициер</w:t>
            </w:r>
            <w:r w:rsidRPr="00687873">
              <w:rPr>
                <w:rFonts w:ascii="Arial" w:hAnsi="Arial" w:cs="Arial"/>
                <w:snapToGrid w:val="0"/>
              </w:rPr>
              <w:t>а, заместващо издаването на административен акт.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Изпълнител, оп</w:t>
            </w:r>
            <w:r>
              <w:rPr>
                <w:rFonts w:ascii="Arial" w:hAnsi="Arial" w:cs="Arial"/>
                <w:b/>
                <w:bCs/>
                <w:snapToGrid w:val="0"/>
              </w:rPr>
              <w:t>ределен от страна на бенефициер</w:t>
            </w: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а 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E106D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Изпълнители на дейности по прое</w:t>
            </w:r>
            <w:r w:rsidR="00E451F7">
              <w:rPr>
                <w:rFonts w:ascii="Arial" w:hAnsi="Arial" w:cs="Arial"/>
                <w:snapToGrid w:val="0"/>
              </w:rPr>
              <w:t>кта, възложени им от бенефициер</w:t>
            </w:r>
            <w:r w:rsidRPr="00687873">
              <w:rPr>
                <w:rFonts w:ascii="Arial" w:hAnsi="Arial" w:cs="Arial"/>
                <w:snapToGrid w:val="0"/>
              </w:rPr>
              <w:t>ите на безвъзмездна финансова помощ. Изпълн</w:t>
            </w:r>
            <w:r>
              <w:rPr>
                <w:rFonts w:ascii="Arial" w:hAnsi="Arial" w:cs="Arial"/>
                <w:snapToGrid w:val="0"/>
              </w:rPr>
              <w:t>ителите от страна на бенефициер</w:t>
            </w:r>
            <w:r w:rsidRPr="00687873">
              <w:rPr>
                <w:rFonts w:ascii="Arial" w:hAnsi="Arial" w:cs="Arial"/>
                <w:snapToGrid w:val="0"/>
              </w:rPr>
              <w:t>а не са партньори и се определят в съответствие с реда за определяне на изп</w:t>
            </w:r>
            <w:r>
              <w:rPr>
                <w:rFonts w:ascii="Arial" w:hAnsi="Arial" w:cs="Arial"/>
                <w:snapToGrid w:val="0"/>
              </w:rPr>
              <w:t>ълнител от страна на бенефициер</w:t>
            </w:r>
            <w:r w:rsidRPr="00687873">
              <w:rPr>
                <w:rFonts w:ascii="Arial" w:hAnsi="Arial" w:cs="Arial"/>
                <w:snapToGrid w:val="0"/>
              </w:rPr>
              <w:t xml:space="preserve">и на договорена безвъзмездна финансова помощ от ЕСИФ, както и по реда на Закона за обществените поръчки и подзаконовите актове по прилагането му, включително и на указанията на УО, заложени в Ръководството за изпълнение на договори за </w:t>
            </w:r>
            <w:r>
              <w:rPr>
                <w:rFonts w:ascii="Arial" w:hAnsi="Arial" w:cs="Arial"/>
                <w:snapToGrid w:val="0"/>
              </w:rPr>
              <w:t xml:space="preserve">предоставяне на </w:t>
            </w:r>
            <w:r w:rsidRPr="00687873">
              <w:rPr>
                <w:rFonts w:ascii="Arial" w:hAnsi="Arial" w:cs="Arial"/>
                <w:snapToGrid w:val="0"/>
              </w:rPr>
              <w:t>безвъзмездна финансова помощ по ПМДР 2014-2020.</w:t>
            </w:r>
          </w:p>
        </w:tc>
      </w:tr>
      <w:tr w:rsidR="00687873" w:rsidRPr="00687873" w:rsidTr="00687873">
        <w:trPr>
          <w:trHeight w:val="895"/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764B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По смисъла на чл. 2, параграф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022A2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022A25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Мястото на физическото осъществяване на инвестицията.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F75C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764B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Съгласно чл. 2, параграф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687873" w:rsidRPr="00687873" w:rsidTr="00687873">
        <w:trPr>
          <w:trHeight w:val="1345"/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lastRenderedPageBreak/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A32D97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8B2FD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>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764BF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  <w:lang w:val="ru-RU"/>
              </w:rPr>
            </w:pPr>
            <w:r w:rsidRPr="00687873">
              <w:rPr>
                <w:rFonts w:ascii="Arial" w:hAnsi="Arial" w:cs="Arial"/>
                <w:snapToGrid w:val="0"/>
              </w:rPr>
              <w:t xml:space="preserve"> Свързани лица са лицата съгласно </w:t>
            </w:r>
            <w:r w:rsidRPr="00687873">
              <w:rPr>
                <w:rFonts w:ascii="Arial" w:hAnsi="Arial" w:cs="Arial"/>
              </w:rPr>
              <w:t>параграф 1, т.13 и 14 от допълнителните разпоредби на Закона за публичното предлагане на ценни книжа.</w:t>
            </w:r>
          </w:p>
        </w:tc>
      </w:tr>
      <w:tr w:rsidR="00687873" w:rsidRPr="00687873" w:rsidTr="00687873">
        <w:trPr>
          <w:trHeight w:val="965"/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B5FF0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Допустими за финансиране разходи е общата сума от всички плаща</w:t>
            </w:r>
            <w:r w:rsidR="00E451F7">
              <w:rPr>
                <w:rFonts w:ascii="Arial" w:hAnsi="Arial" w:cs="Arial"/>
                <w:snapToGrid w:val="0"/>
                <w:lang w:val="ru-RU"/>
              </w:rPr>
              <w:t>ния за одобрените на бенефициер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>а инвестиции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687873">
              <w:rPr>
                <w:rFonts w:ascii="Arial" w:hAnsi="Arial" w:cs="Arial"/>
                <w:snapToGrid w:val="0"/>
              </w:rPr>
              <w:t>МД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t>Р, с изключение на държавата при изпълнение на нейните правомощия на публична власт.</w:t>
            </w:r>
          </w:p>
        </w:tc>
      </w:tr>
      <w:tr w:rsidR="00687873" w:rsidRPr="00687873" w:rsidTr="00687873">
        <w:trPr>
          <w:trHeight w:val="593"/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Плащане след одобрение на проекта и преди извършване на инвестиционните разходи.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FA620A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Плащане за обособена част от одобрената и извършена инвестиция.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  <w:lang w:val="ru-RU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Рибарско пристанище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  <w:lang w:val="ru-RU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Рибарско е всяко пристанище, предназначено за домуване или приставане на риболовни кораби с цел разтоварване на прясна риба, което не извършва обработка на други товари и поща и обслужване на пътници по смисъла на чл. 116 от Закона за морските пространства, вътрешните водни пътища и пристанищата на Република България.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  <w:lang w:val="ru-RU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  <w:lang w:val="ru-RU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  <w:lang w:val="ru-RU"/>
              </w:rPr>
              <w:t>Кейово място за разтоварване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4B0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687873">
              <w:rPr>
                <w:rFonts w:ascii="Arial" w:hAnsi="Arial" w:cs="Arial"/>
                <w:snapToGrid w:val="0"/>
                <w:lang w:val="ru-RU"/>
              </w:rPr>
              <w:t xml:space="preserve">„Кейово място за разтоварване” е пристан за разтоварване на уловите от прясна риба или други водни организми е стационарно или плаващо съоръжение, или комплекс от такива съоръжения на брега и/или в акваторията на Черно море или р. Дунав, позволяващ безопасното приставане и швартоване на риболовни кораби и служещ единствено за разтоварване на </w:t>
            </w:r>
            <w:r w:rsidRPr="00687873">
              <w:rPr>
                <w:rFonts w:ascii="Arial" w:hAnsi="Arial" w:cs="Arial"/>
                <w:snapToGrid w:val="0"/>
                <w:lang w:val="ru-RU"/>
              </w:rPr>
              <w:lastRenderedPageBreak/>
              <w:t>уловите, разпределянето им по видове и за осъществяване на първа продажба.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lastRenderedPageBreak/>
              <w:t>Лодкостоянка</w:t>
            </w:r>
          </w:p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6932" w:type="dxa"/>
            <w:shd w:val="clear" w:color="auto" w:fill="F3F3F3"/>
          </w:tcPr>
          <w:p w:rsidR="00687873" w:rsidRPr="00687873" w:rsidRDefault="00075AB6" w:rsidP="0030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075AB6">
              <w:rPr>
                <w:rFonts w:ascii="Arial" w:hAnsi="Arial" w:cs="Arial"/>
                <w:snapToGrid w:val="0"/>
              </w:rPr>
              <w:t>Съгласно чл. 111а, ал. 3 от Закона за морските пространства, вътрешните водни пътища и пристанищата на Република България, лодкостоянка е стационарно или плаващо съоръжение или комплекс от такива съоръжения на брега и/или в акваторията на Черно море, река Дунав или в устията на вливащите се в тях реки, използвани за корабоплаване, което позволява заставането на котва или приставането, престояването, изтеглянето на брега и обслужването, в т.ч. разтоварване на уловите, зареждане с гориво, вода или хранителни продукти, извършване на дребни ремонти, на малки риболовни кораби с дължина до 12 метра за дребномащабен крайбрежен риболов.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Непреодолима сила (форсмажор)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D7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>Обстоятелство (събитие) от извънреден характер, което е възникнало след сключване на договора, не е могло да бъде предвидено или предотвратено и не зависи от волята на страните, като: пожар, производствени аварии, военни действия, природни бедствия - бури, проливни дъждове, наводнения, градушки, земетресения, заледявания, суша, свличане на земни маси и др. природни стихии, ембарго, правителствени забрани, бунтове, безредици и др.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6D243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а) едното участва в управлението на дружеството на другото; </w:t>
            </w:r>
          </w:p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б) съдружници; </w:t>
            </w:r>
          </w:p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в) съвместно контролират пряко трето лице; </w:t>
            </w:r>
          </w:p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687873" w:rsidRPr="00687873" w:rsidRDefault="00687873" w:rsidP="007527D6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687873" w:rsidRPr="00687873" w:rsidRDefault="00687873" w:rsidP="006D243B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>ж) лицата, едното от които е търговски представител на другото.</w:t>
            </w:r>
          </w:p>
        </w:tc>
      </w:tr>
      <w:tr w:rsidR="00687873" w:rsidRPr="00687873" w:rsidTr="00687873">
        <w:trPr>
          <w:jc w:val="center"/>
        </w:trPr>
        <w:tc>
          <w:tcPr>
            <w:tcW w:w="2248" w:type="dxa"/>
            <w:shd w:val="clear" w:color="auto" w:fill="E6E6E6"/>
          </w:tcPr>
          <w:p w:rsidR="00687873" w:rsidRPr="00687873" w:rsidRDefault="00687873" w:rsidP="006D243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687873">
              <w:rPr>
                <w:rFonts w:ascii="Arial" w:hAnsi="Arial" w:cs="Arial"/>
                <w:b/>
                <w:bCs/>
                <w:snapToGrid w:val="0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687873" w:rsidRPr="00687873" w:rsidRDefault="00687873" w:rsidP="00F80B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>Оферти, които се сравняват на базата на:</w:t>
            </w:r>
          </w:p>
          <w:p w:rsidR="00687873" w:rsidRPr="00687873" w:rsidRDefault="00687873" w:rsidP="00F80B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а) еднотипни основни технически характеристики; </w:t>
            </w:r>
          </w:p>
          <w:p w:rsidR="00687873" w:rsidRPr="00687873" w:rsidRDefault="00687873" w:rsidP="00F80B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 xml:space="preserve">б) общ капацитет на оборудването; </w:t>
            </w:r>
          </w:p>
          <w:p w:rsidR="00687873" w:rsidRPr="00687873" w:rsidRDefault="00687873" w:rsidP="00133768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687873">
              <w:rPr>
                <w:rFonts w:ascii="Arial" w:hAnsi="Arial" w:cs="Arial"/>
                <w:bCs/>
                <w:snapToGrid w:val="0"/>
              </w:rPr>
              <w:t>в) количествено-стойностни сметки.</w:t>
            </w:r>
          </w:p>
        </w:tc>
      </w:tr>
    </w:tbl>
    <w:p w:rsidR="000732EA" w:rsidRPr="00687873" w:rsidRDefault="0088279D" w:rsidP="004B7EB9">
      <w:pPr>
        <w:rPr>
          <w:rFonts w:ascii="Arial" w:hAnsi="Arial" w:cs="Arial"/>
          <w:lang w:val="ru-RU"/>
        </w:rPr>
      </w:pPr>
      <w:r w:rsidRPr="00687873">
        <w:rPr>
          <w:rFonts w:ascii="Arial" w:hAnsi="Arial" w:cs="Arial"/>
          <w:lang w:val="ru-RU"/>
        </w:rPr>
        <w:t xml:space="preserve"> </w:t>
      </w:r>
    </w:p>
    <w:sectPr w:rsidR="000732EA" w:rsidRPr="00687873" w:rsidSect="00FB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7D6" w:rsidRDefault="00E457D6" w:rsidP="00364204">
      <w:pPr>
        <w:spacing w:after="0" w:line="240" w:lineRule="auto"/>
      </w:pPr>
      <w:r>
        <w:separator/>
      </w:r>
    </w:p>
  </w:endnote>
  <w:endnote w:type="continuationSeparator" w:id="0">
    <w:p w:rsidR="00E457D6" w:rsidRDefault="00E457D6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8A" w:rsidRDefault="000D5A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8A" w:rsidRDefault="000D5A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8A" w:rsidRDefault="000D5A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7D6" w:rsidRDefault="00E457D6" w:rsidP="00364204">
      <w:pPr>
        <w:spacing w:after="0" w:line="240" w:lineRule="auto"/>
      </w:pPr>
      <w:r>
        <w:separator/>
      </w:r>
    </w:p>
  </w:footnote>
  <w:footnote w:type="continuationSeparator" w:id="0">
    <w:p w:rsidR="00E457D6" w:rsidRDefault="00E457D6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8A" w:rsidRDefault="000D5A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0732EA" w:rsidP="00F96072">
          <w:pPr>
            <w:pStyle w:val="NormalWeb"/>
            <w:spacing w:before="0" w:beforeAutospacing="0" w:after="0" w:afterAutospacing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E457D6" w:rsidP="00072438">
          <w:pPr>
            <w:spacing w:after="160" w:line="259" w:lineRule="auto"/>
            <w:jc w:val="center"/>
          </w:pPr>
          <w:r>
            <w:rPr>
              <w:noProof/>
              <w:lang w:eastAsia="bg-BG"/>
            </w:rPr>
            <w:pict>
              <v:group id="Group 2" o:spid="_x0000_s2049" style="position:absolute;left:0;text-align:left;margin-left:-213.85pt;margin-top:-9.9pt;width:539.25pt;height:84.75pt;z-index:1;mso-position-horizontal-relative:text;mso-position-vertical-relative:text" coordsize="68484,1076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2050" type="#_x0000_t202" style="position:absolute;width:19716;height:10668;visibility:visible" stroked="f">
                  <v:textbox style="mso-next-textbox:#Text Box 6">
                    <w:txbxContent>
                      <w:p w:rsidR="000732EA" w:rsidRDefault="00E457D6" w:rsidP="00F96072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eastAsia="bg-BG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7" o:spid="_x0000_i1025" type="#_x0000_t75" style="width:80.15pt;height:53.85pt;visibility:visible">
                              <v:imagedata r:id="rId1" o:title=""/>
                            </v:shape>
                          </w:pict>
                        </w:r>
                      </w:p>
                      <w:p w:rsidR="000732EA" w:rsidRPr="005C0D98" w:rsidRDefault="000732EA" w:rsidP="00F96072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 id="Picture 9" o:spid="_x0000_s2051" type="#_x0000_t75" style="position:absolute;left:46291;top:762;width:22193;height:8953;visibility:visible">
                  <v:imagedata r:id="rId2" o:title="" croptop="9288f" cropbottom="7225f" cropleft="4122f" cropright="11523f"/>
                  <v:path arrowok="t"/>
                </v:shape>
                <v:group id="Group 1" o:spid="_x0000_s2052" style="position:absolute;left:21431;top:381;width:23241;height:10382" coordsize="23241,10382">
                  <v:shape id="Picture 8" o:spid="_x0000_s2053" type="#_x0000_t75" style="position:absolute;left:4953;width:13811;height:6381;visibility:visible">
                    <v:imagedata r:id="rId3" o:title=""/>
                    <v:path arrowok="t"/>
                  </v:shape>
                  <v:shape id="TextBox 5" o:spid="_x0000_s2054" type="#_x0000_t202" style="position:absolute;top:6667;width:23241;height:3715;visibility:visible;v-text-anchor:bottom" filled="f" stroked="f">
                    <v:textbox style="mso-next-textbox:#TextBox 5">
                      <w:txbxContent>
                        <w:p w:rsidR="000732EA" w:rsidRPr="00F2146C" w:rsidRDefault="000732EA" w:rsidP="00F9607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0D5A8A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0732EA" w:rsidRPr="00F2146C" w:rsidRDefault="000732EA" w:rsidP="00F9607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ХРАНИТЕ</w:t>
                          </w:r>
                          <w:r w:rsidR="000D5A8A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0732EA" w:rsidRDefault="000732EA" w:rsidP="00F96072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w:r>
        </w:p>
        <w:p w:rsidR="000732EA" w:rsidRPr="00AF1339" w:rsidRDefault="000732EA" w:rsidP="00072438">
          <w:pPr>
            <w:spacing w:after="160" w:line="259" w:lineRule="auto"/>
            <w:jc w:val="center"/>
          </w:pPr>
        </w:p>
        <w:p w:rsidR="000732EA" w:rsidRPr="00AF1339" w:rsidRDefault="000732EA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0732EA" w:rsidP="00072438">
          <w:pPr>
            <w:spacing w:after="160" w:line="259" w:lineRule="auto"/>
            <w:jc w:val="center"/>
          </w:pPr>
        </w:p>
      </w:tc>
    </w:tr>
  </w:tbl>
  <w:p w:rsidR="000732EA" w:rsidRDefault="000732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8A" w:rsidRDefault="000D5A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44B"/>
    <w:rsid w:val="0000057D"/>
    <w:rsid w:val="0000173C"/>
    <w:rsid w:val="00002F2A"/>
    <w:rsid w:val="000138C4"/>
    <w:rsid w:val="00015702"/>
    <w:rsid w:val="00015CD3"/>
    <w:rsid w:val="00020E0B"/>
    <w:rsid w:val="00021DCF"/>
    <w:rsid w:val="00022A25"/>
    <w:rsid w:val="0003699C"/>
    <w:rsid w:val="0004005C"/>
    <w:rsid w:val="00045584"/>
    <w:rsid w:val="00055646"/>
    <w:rsid w:val="000568E4"/>
    <w:rsid w:val="000612A3"/>
    <w:rsid w:val="00062143"/>
    <w:rsid w:val="00063E6D"/>
    <w:rsid w:val="00064021"/>
    <w:rsid w:val="00072438"/>
    <w:rsid w:val="00072F3A"/>
    <w:rsid w:val="000732EA"/>
    <w:rsid w:val="000739F3"/>
    <w:rsid w:val="00073FB3"/>
    <w:rsid w:val="00075AB6"/>
    <w:rsid w:val="00076331"/>
    <w:rsid w:val="00076E97"/>
    <w:rsid w:val="00086031"/>
    <w:rsid w:val="000918DC"/>
    <w:rsid w:val="000972C6"/>
    <w:rsid w:val="000A0132"/>
    <w:rsid w:val="000A31A3"/>
    <w:rsid w:val="000A41D7"/>
    <w:rsid w:val="000B38AD"/>
    <w:rsid w:val="000B5B48"/>
    <w:rsid w:val="000B6360"/>
    <w:rsid w:val="000C2069"/>
    <w:rsid w:val="000C2624"/>
    <w:rsid w:val="000C2A46"/>
    <w:rsid w:val="000C6413"/>
    <w:rsid w:val="000C731A"/>
    <w:rsid w:val="000D040C"/>
    <w:rsid w:val="000D418B"/>
    <w:rsid w:val="000D54FB"/>
    <w:rsid w:val="000D5A8A"/>
    <w:rsid w:val="000D635B"/>
    <w:rsid w:val="000D7708"/>
    <w:rsid w:val="000D7F0D"/>
    <w:rsid w:val="000E43C4"/>
    <w:rsid w:val="000E4FFF"/>
    <w:rsid w:val="000F630F"/>
    <w:rsid w:val="000F70C0"/>
    <w:rsid w:val="00111530"/>
    <w:rsid w:val="00112DD2"/>
    <w:rsid w:val="001200E5"/>
    <w:rsid w:val="001252BD"/>
    <w:rsid w:val="0012614C"/>
    <w:rsid w:val="001316E7"/>
    <w:rsid w:val="001334BA"/>
    <w:rsid w:val="00133768"/>
    <w:rsid w:val="00133FCD"/>
    <w:rsid w:val="001375DA"/>
    <w:rsid w:val="00145E84"/>
    <w:rsid w:val="00147A80"/>
    <w:rsid w:val="00151B68"/>
    <w:rsid w:val="001520E9"/>
    <w:rsid w:val="00152AAB"/>
    <w:rsid w:val="001566B9"/>
    <w:rsid w:val="001637DA"/>
    <w:rsid w:val="00164729"/>
    <w:rsid w:val="00166ACE"/>
    <w:rsid w:val="001675DC"/>
    <w:rsid w:val="00175B92"/>
    <w:rsid w:val="00176AD2"/>
    <w:rsid w:val="00177AF4"/>
    <w:rsid w:val="00181746"/>
    <w:rsid w:val="001826B1"/>
    <w:rsid w:val="00182A02"/>
    <w:rsid w:val="001838B7"/>
    <w:rsid w:val="0019069B"/>
    <w:rsid w:val="001A28D8"/>
    <w:rsid w:val="001A5EA5"/>
    <w:rsid w:val="001B57E3"/>
    <w:rsid w:val="001B61A7"/>
    <w:rsid w:val="001B7152"/>
    <w:rsid w:val="001B7529"/>
    <w:rsid w:val="001C0946"/>
    <w:rsid w:val="001C4B67"/>
    <w:rsid w:val="001C6A0D"/>
    <w:rsid w:val="001C72A5"/>
    <w:rsid w:val="001D15AA"/>
    <w:rsid w:val="001D5A23"/>
    <w:rsid w:val="001E4B67"/>
    <w:rsid w:val="001F5359"/>
    <w:rsid w:val="001F600E"/>
    <w:rsid w:val="0020136B"/>
    <w:rsid w:val="0020486D"/>
    <w:rsid w:val="00206E1E"/>
    <w:rsid w:val="00207A2E"/>
    <w:rsid w:val="00211133"/>
    <w:rsid w:val="00212D53"/>
    <w:rsid w:val="00215B67"/>
    <w:rsid w:val="0021679D"/>
    <w:rsid w:val="00222EA7"/>
    <w:rsid w:val="00226267"/>
    <w:rsid w:val="00227E3D"/>
    <w:rsid w:val="00235B58"/>
    <w:rsid w:val="002368DE"/>
    <w:rsid w:val="002407B4"/>
    <w:rsid w:val="00240CE7"/>
    <w:rsid w:val="00244AB1"/>
    <w:rsid w:val="00251980"/>
    <w:rsid w:val="0025551B"/>
    <w:rsid w:val="00262C14"/>
    <w:rsid w:val="00263978"/>
    <w:rsid w:val="002678DC"/>
    <w:rsid w:val="002678EC"/>
    <w:rsid w:val="00267C70"/>
    <w:rsid w:val="00282397"/>
    <w:rsid w:val="0028583C"/>
    <w:rsid w:val="0029063D"/>
    <w:rsid w:val="002938F6"/>
    <w:rsid w:val="00294A6E"/>
    <w:rsid w:val="002A463F"/>
    <w:rsid w:val="002A570D"/>
    <w:rsid w:val="002A6026"/>
    <w:rsid w:val="002A756D"/>
    <w:rsid w:val="002B20F2"/>
    <w:rsid w:val="002D1D65"/>
    <w:rsid w:val="002D3C81"/>
    <w:rsid w:val="002D690B"/>
    <w:rsid w:val="002E1645"/>
    <w:rsid w:val="002E2BA2"/>
    <w:rsid w:val="002F1DE4"/>
    <w:rsid w:val="003009F4"/>
    <w:rsid w:val="00307722"/>
    <w:rsid w:val="00307E87"/>
    <w:rsid w:val="00311B06"/>
    <w:rsid w:val="00311D57"/>
    <w:rsid w:val="003148CA"/>
    <w:rsid w:val="00322E2E"/>
    <w:rsid w:val="003234D8"/>
    <w:rsid w:val="0032781F"/>
    <w:rsid w:val="003279C8"/>
    <w:rsid w:val="00330698"/>
    <w:rsid w:val="00347A65"/>
    <w:rsid w:val="00350A75"/>
    <w:rsid w:val="0035728A"/>
    <w:rsid w:val="00362DF7"/>
    <w:rsid w:val="00364204"/>
    <w:rsid w:val="003724BA"/>
    <w:rsid w:val="00380C77"/>
    <w:rsid w:val="00384049"/>
    <w:rsid w:val="003874FA"/>
    <w:rsid w:val="00392471"/>
    <w:rsid w:val="003B215B"/>
    <w:rsid w:val="003C0505"/>
    <w:rsid w:val="003C61FF"/>
    <w:rsid w:val="003D5F84"/>
    <w:rsid w:val="003E2225"/>
    <w:rsid w:val="003E7DFA"/>
    <w:rsid w:val="003F1B63"/>
    <w:rsid w:val="00403D6C"/>
    <w:rsid w:val="00413F4A"/>
    <w:rsid w:val="004178C8"/>
    <w:rsid w:val="004239C6"/>
    <w:rsid w:val="00425D7E"/>
    <w:rsid w:val="00425E58"/>
    <w:rsid w:val="00434D2A"/>
    <w:rsid w:val="00443FF4"/>
    <w:rsid w:val="00447512"/>
    <w:rsid w:val="00462DB5"/>
    <w:rsid w:val="00474DD5"/>
    <w:rsid w:val="0048123E"/>
    <w:rsid w:val="00481A7A"/>
    <w:rsid w:val="00487B87"/>
    <w:rsid w:val="00493731"/>
    <w:rsid w:val="004A4EDF"/>
    <w:rsid w:val="004A70AC"/>
    <w:rsid w:val="004B0A5F"/>
    <w:rsid w:val="004B2CDE"/>
    <w:rsid w:val="004B7A91"/>
    <w:rsid w:val="004B7EB9"/>
    <w:rsid w:val="004C7293"/>
    <w:rsid w:val="004D1F8F"/>
    <w:rsid w:val="004E15B4"/>
    <w:rsid w:val="004E56CF"/>
    <w:rsid w:val="004E6D9F"/>
    <w:rsid w:val="004F0EBC"/>
    <w:rsid w:val="004F4FD4"/>
    <w:rsid w:val="00502F9C"/>
    <w:rsid w:val="005061BC"/>
    <w:rsid w:val="005155E4"/>
    <w:rsid w:val="005164BE"/>
    <w:rsid w:val="00524720"/>
    <w:rsid w:val="005262C5"/>
    <w:rsid w:val="00535B80"/>
    <w:rsid w:val="005625D2"/>
    <w:rsid w:val="00562CDD"/>
    <w:rsid w:val="0058618B"/>
    <w:rsid w:val="00590097"/>
    <w:rsid w:val="00592CBE"/>
    <w:rsid w:val="00594151"/>
    <w:rsid w:val="005A1E22"/>
    <w:rsid w:val="005B109C"/>
    <w:rsid w:val="005C0D98"/>
    <w:rsid w:val="005C3A6A"/>
    <w:rsid w:val="005D31D2"/>
    <w:rsid w:val="005D5D2C"/>
    <w:rsid w:val="005E04B9"/>
    <w:rsid w:val="005E3ADC"/>
    <w:rsid w:val="005F60BA"/>
    <w:rsid w:val="006049DC"/>
    <w:rsid w:val="00607779"/>
    <w:rsid w:val="00614F74"/>
    <w:rsid w:val="00617FB1"/>
    <w:rsid w:val="00621A1D"/>
    <w:rsid w:val="00624B99"/>
    <w:rsid w:val="006265C1"/>
    <w:rsid w:val="0062729B"/>
    <w:rsid w:val="006331C5"/>
    <w:rsid w:val="0063446A"/>
    <w:rsid w:val="006351CD"/>
    <w:rsid w:val="00655AB9"/>
    <w:rsid w:val="00656EF9"/>
    <w:rsid w:val="00666644"/>
    <w:rsid w:val="006675E7"/>
    <w:rsid w:val="006724EB"/>
    <w:rsid w:val="006725FF"/>
    <w:rsid w:val="00676C92"/>
    <w:rsid w:val="00681EEC"/>
    <w:rsid w:val="00683301"/>
    <w:rsid w:val="00685CF2"/>
    <w:rsid w:val="00687873"/>
    <w:rsid w:val="006932EA"/>
    <w:rsid w:val="006A083B"/>
    <w:rsid w:val="006A0A22"/>
    <w:rsid w:val="006A6F3E"/>
    <w:rsid w:val="006B35B9"/>
    <w:rsid w:val="006B487F"/>
    <w:rsid w:val="006C0465"/>
    <w:rsid w:val="006C0D13"/>
    <w:rsid w:val="006C1B23"/>
    <w:rsid w:val="006C3975"/>
    <w:rsid w:val="006C568F"/>
    <w:rsid w:val="006C7B36"/>
    <w:rsid w:val="006D243B"/>
    <w:rsid w:val="006D5204"/>
    <w:rsid w:val="006E2472"/>
    <w:rsid w:val="006E44A8"/>
    <w:rsid w:val="006E74DD"/>
    <w:rsid w:val="006F213F"/>
    <w:rsid w:val="006F5552"/>
    <w:rsid w:val="00702FD4"/>
    <w:rsid w:val="00705673"/>
    <w:rsid w:val="007057A0"/>
    <w:rsid w:val="007110EB"/>
    <w:rsid w:val="007268F0"/>
    <w:rsid w:val="00734B42"/>
    <w:rsid w:val="00741F45"/>
    <w:rsid w:val="0074385D"/>
    <w:rsid w:val="0074466E"/>
    <w:rsid w:val="007446B4"/>
    <w:rsid w:val="0074665C"/>
    <w:rsid w:val="007527D6"/>
    <w:rsid w:val="007558EE"/>
    <w:rsid w:val="007607F2"/>
    <w:rsid w:val="00763BBE"/>
    <w:rsid w:val="00764CC7"/>
    <w:rsid w:val="007764BF"/>
    <w:rsid w:val="0078029D"/>
    <w:rsid w:val="00784610"/>
    <w:rsid w:val="00785637"/>
    <w:rsid w:val="00792531"/>
    <w:rsid w:val="00797CE5"/>
    <w:rsid w:val="007B2C0A"/>
    <w:rsid w:val="007B5F5A"/>
    <w:rsid w:val="007B5FF0"/>
    <w:rsid w:val="007B60CB"/>
    <w:rsid w:val="007D6007"/>
    <w:rsid w:val="007D6939"/>
    <w:rsid w:val="007E18D5"/>
    <w:rsid w:val="007E4C7D"/>
    <w:rsid w:val="007F18FB"/>
    <w:rsid w:val="007F2FD6"/>
    <w:rsid w:val="007F4E6D"/>
    <w:rsid w:val="007F75CF"/>
    <w:rsid w:val="00805079"/>
    <w:rsid w:val="0080517F"/>
    <w:rsid w:val="0081327D"/>
    <w:rsid w:val="0082616B"/>
    <w:rsid w:val="00831362"/>
    <w:rsid w:val="00832D8A"/>
    <w:rsid w:val="008423D6"/>
    <w:rsid w:val="008462A8"/>
    <w:rsid w:val="00856250"/>
    <w:rsid w:val="00857CD1"/>
    <w:rsid w:val="00862EEE"/>
    <w:rsid w:val="00870D1D"/>
    <w:rsid w:val="00875618"/>
    <w:rsid w:val="00876423"/>
    <w:rsid w:val="00876B7B"/>
    <w:rsid w:val="00880021"/>
    <w:rsid w:val="0088279D"/>
    <w:rsid w:val="00884591"/>
    <w:rsid w:val="00886F43"/>
    <w:rsid w:val="008977A5"/>
    <w:rsid w:val="008A3B65"/>
    <w:rsid w:val="008A6DEA"/>
    <w:rsid w:val="008B2FDA"/>
    <w:rsid w:val="008C3AA9"/>
    <w:rsid w:val="008D14DB"/>
    <w:rsid w:val="008D1EB8"/>
    <w:rsid w:val="008D22C2"/>
    <w:rsid w:val="008D2567"/>
    <w:rsid w:val="008D3EBC"/>
    <w:rsid w:val="008D51DE"/>
    <w:rsid w:val="008E139F"/>
    <w:rsid w:val="008E4D35"/>
    <w:rsid w:val="008E5DAD"/>
    <w:rsid w:val="008F2DBC"/>
    <w:rsid w:val="00905707"/>
    <w:rsid w:val="0091098E"/>
    <w:rsid w:val="00911F09"/>
    <w:rsid w:val="009200B0"/>
    <w:rsid w:val="00922330"/>
    <w:rsid w:val="009228BD"/>
    <w:rsid w:val="0092451D"/>
    <w:rsid w:val="00924D9B"/>
    <w:rsid w:val="0093063E"/>
    <w:rsid w:val="009337A0"/>
    <w:rsid w:val="00934B28"/>
    <w:rsid w:val="0093619F"/>
    <w:rsid w:val="00936946"/>
    <w:rsid w:val="0094081C"/>
    <w:rsid w:val="0095447F"/>
    <w:rsid w:val="00960116"/>
    <w:rsid w:val="00967F5B"/>
    <w:rsid w:val="0097778A"/>
    <w:rsid w:val="009806F6"/>
    <w:rsid w:val="009838DA"/>
    <w:rsid w:val="00984ACE"/>
    <w:rsid w:val="009873E6"/>
    <w:rsid w:val="00990553"/>
    <w:rsid w:val="009944A0"/>
    <w:rsid w:val="00996564"/>
    <w:rsid w:val="00997616"/>
    <w:rsid w:val="009A1C60"/>
    <w:rsid w:val="009B112E"/>
    <w:rsid w:val="009B4C46"/>
    <w:rsid w:val="009C126B"/>
    <w:rsid w:val="009C371A"/>
    <w:rsid w:val="009D368C"/>
    <w:rsid w:val="009D632B"/>
    <w:rsid w:val="009E4145"/>
    <w:rsid w:val="009F6C1F"/>
    <w:rsid w:val="009F7BB2"/>
    <w:rsid w:val="00A14845"/>
    <w:rsid w:val="00A1789B"/>
    <w:rsid w:val="00A23F44"/>
    <w:rsid w:val="00A26995"/>
    <w:rsid w:val="00A32D97"/>
    <w:rsid w:val="00A33C33"/>
    <w:rsid w:val="00A345D5"/>
    <w:rsid w:val="00A63BD6"/>
    <w:rsid w:val="00A641AE"/>
    <w:rsid w:val="00A6487E"/>
    <w:rsid w:val="00A74057"/>
    <w:rsid w:val="00A90EA8"/>
    <w:rsid w:val="00A9474B"/>
    <w:rsid w:val="00AA5F85"/>
    <w:rsid w:val="00AA6CEA"/>
    <w:rsid w:val="00AB66B3"/>
    <w:rsid w:val="00AC5A69"/>
    <w:rsid w:val="00AC6F3F"/>
    <w:rsid w:val="00AD2903"/>
    <w:rsid w:val="00AD39DA"/>
    <w:rsid w:val="00AE06FF"/>
    <w:rsid w:val="00AE1C6B"/>
    <w:rsid w:val="00AE24E9"/>
    <w:rsid w:val="00AE2CB0"/>
    <w:rsid w:val="00AE5DD7"/>
    <w:rsid w:val="00AF0B89"/>
    <w:rsid w:val="00AF1339"/>
    <w:rsid w:val="00B219EC"/>
    <w:rsid w:val="00B37378"/>
    <w:rsid w:val="00B4410C"/>
    <w:rsid w:val="00B464A5"/>
    <w:rsid w:val="00B47A1F"/>
    <w:rsid w:val="00B50A28"/>
    <w:rsid w:val="00B54D6C"/>
    <w:rsid w:val="00B570F3"/>
    <w:rsid w:val="00B6075D"/>
    <w:rsid w:val="00B61EDF"/>
    <w:rsid w:val="00B67D8E"/>
    <w:rsid w:val="00B71DD6"/>
    <w:rsid w:val="00B84D34"/>
    <w:rsid w:val="00BA020E"/>
    <w:rsid w:val="00BA0725"/>
    <w:rsid w:val="00BA1F8B"/>
    <w:rsid w:val="00BA42F2"/>
    <w:rsid w:val="00BC06E5"/>
    <w:rsid w:val="00BC1105"/>
    <w:rsid w:val="00BE4123"/>
    <w:rsid w:val="00BF171D"/>
    <w:rsid w:val="00BF4272"/>
    <w:rsid w:val="00C1144B"/>
    <w:rsid w:val="00C13758"/>
    <w:rsid w:val="00C15636"/>
    <w:rsid w:val="00C22321"/>
    <w:rsid w:val="00C227AA"/>
    <w:rsid w:val="00C25883"/>
    <w:rsid w:val="00C267AF"/>
    <w:rsid w:val="00C31ADB"/>
    <w:rsid w:val="00C35A51"/>
    <w:rsid w:val="00C470C9"/>
    <w:rsid w:val="00C47DC3"/>
    <w:rsid w:val="00C5289A"/>
    <w:rsid w:val="00C52B48"/>
    <w:rsid w:val="00C60101"/>
    <w:rsid w:val="00C62A80"/>
    <w:rsid w:val="00C64722"/>
    <w:rsid w:val="00C6605B"/>
    <w:rsid w:val="00C67B6D"/>
    <w:rsid w:val="00C75411"/>
    <w:rsid w:val="00C77AA5"/>
    <w:rsid w:val="00C83BE5"/>
    <w:rsid w:val="00C86681"/>
    <w:rsid w:val="00C86B99"/>
    <w:rsid w:val="00C9459B"/>
    <w:rsid w:val="00CA0298"/>
    <w:rsid w:val="00CA3BB0"/>
    <w:rsid w:val="00CB0C05"/>
    <w:rsid w:val="00CB1F3D"/>
    <w:rsid w:val="00CB2BAC"/>
    <w:rsid w:val="00CD68D6"/>
    <w:rsid w:val="00CD7910"/>
    <w:rsid w:val="00CD7E90"/>
    <w:rsid w:val="00CE0F27"/>
    <w:rsid w:val="00CE59EB"/>
    <w:rsid w:val="00CF0900"/>
    <w:rsid w:val="00CF3655"/>
    <w:rsid w:val="00CF381D"/>
    <w:rsid w:val="00CF43B4"/>
    <w:rsid w:val="00D012AB"/>
    <w:rsid w:val="00D05A6A"/>
    <w:rsid w:val="00D077BE"/>
    <w:rsid w:val="00D130D2"/>
    <w:rsid w:val="00D31E18"/>
    <w:rsid w:val="00D36B65"/>
    <w:rsid w:val="00D45B42"/>
    <w:rsid w:val="00D52BA3"/>
    <w:rsid w:val="00D55DC2"/>
    <w:rsid w:val="00D60C13"/>
    <w:rsid w:val="00D72880"/>
    <w:rsid w:val="00D73B92"/>
    <w:rsid w:val="00D772ED"/>
    <w:rsid w:val="00D77E99"/>
    <w:rsid w:val="00D87F1F"/>
    <w:rsid w:val="00D95F55"/>
    <w:rsid w:val="00DA3619"/>
    <w:rsid w:val="00DA7D10"/>
    <w:rsid w:val="00DB71E7"/>
    <w:rsid w:val="00DC0C42"/>
    <w:rsid w:val="00DC3BB0"/>
    <w:rsid w:val="00DC6250"/>
    <w:rsid w:val="00DF058E"/>
    <w:rsid w:val="00DF094A"/>
    <w:rsid w:val="00DF2DF7"/>
    <w:rsid w:val="00DF3EEB"/>
    <w:rsid w:val="00DF5409"/>
    <w:rsid w:val="00DF71C8"/>
    <w:rsid w:val="00DF7E05"/>
    <w:rsid w:val="00E106DD"/>
    <w:rsid w:val="00E12165"/>
    <w:rsid w:val="00E14334"/>
    <w:rsid w:val="00E17201"/>
    <w:rsid w:val="00E20EE5"/>
    <w:rsid w:val="00E32E04"/>
    <w:rsid w:val="00E3367D"/>
    <w:rsid w:val="00E3715F"/>
    <w:rsid w:val="00E42994"/>
    <w:rsid w:val="00E43262"/>
    <w:rsid w:val="00E451F7"/>
    <w:rsid w:val="00E457D6"/>
    <w:rsid w:val="00E46C1F"/>
    <w:rsid w:val="00E533AE"/>
    <w:rsid w:val="00E551E0"/>
    <w:rsid w:val="00E57E34"/>
    <w:rsid w:val="00E6244E"/>
    <w:rsid w:val="00E64FAA"/>
    <w:rsid w:val="00E747E0"/>
    <w:rsid w:val="00E80306"/>
    <w:rsid w:val="00E86682"/>
    <w:rsid w:val="00E86997"/>
    <w:rsid w:val="00E90AF5"/>
    <w:rsid w:val="00E93695"/>
    <w:rsid w:val="00EA1E54"/>
    <w:rsid w:val="00EA2897"/>
    <w:rsid w:val="00EA6339"/>
    <w:rsid w:val="00EA642B"/>
    <w:rsid w:val="00EB0D94"/>
    <w:rsid w:val="00EC138B"/>
    <w:rsid w:val="00EC488A"/>
    <w:rsid w:val="00EC6570"/>
    <w:rsid w:val="00ED30B5"/>
    <w:rsid w:val="00ED5603"/>
    <w:rsid w:val="00EE0266"/>
    <w:rsid w:val="00EE748A"/>
    <w:rsid w:val="00EE7F6C"/>
    <w:rsid w:val="00EF4CD3"/>
    <w:rsid w:val="00EF577E"/>
    <w:rsid w:val="00F03A5E"/>
    <w:rsid w:val="00F06A3C"/>
    <w:rsid w:val="00F16330"/>
    <w:rsid w:val="00F2146C"/>
    <w:rsid w:val="00F23E9F"/>
    <w:rsid w:val="00F25879"/>
    <w:rsid w:val="00F27621"/>
    <w:rsid w:val="00F3168C"/>
    <w:rsid w:val="00F31835"/>
    <w:rsid w:val="00F45FF7"/>
    <w:rsid w:val="00F46AA0"/>
    <w:rsid w:val="00F514B4"/>
    <w:rsid w:val="00F56BC0"/>
    <w:rsid w:val="00F60537"/>
    <w:rsid w:val="00F61968"/>
    <w:rsid w:val="00F66C39"/>
    <w:rsid w:val="00F702F0"/>
    <w:rsid w:val="00F74603"/>
    <w:rsid w:val="00F80B0B"/>
    <w:rsid w:val="00F83726"/>
    <w:rsid w:val="00F8755D"/>
    <w:rsid w:val="00F91C08"/>
    <w:rsid w:val="00F96072"/>
    <w:rsid w:val="00F9650F"/>
    <w:rsid w:val="00FA3D37"/>
    <w:rsid w:val="00FA5DAD"/>
    <w:rsid w:val="00FA5F9A"/>
    <w:rsid w:val="00FA620A"/>
    <w:rsid w:val="00FA668E"/>
    <w:rsid w:val="00FB4412"/>
    <w:rsid w:val="00FB5B7F"/>
    <w:rsid w:val="00FC646C"/>
    <w:rsid w:val="00FC6EDE"/>
    <w:rsid w:val="00FD2BCA"/>
    <w:rsid w:val="00FE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12"/>
    <w:pPr>
      <w:spacing w:after="200" w:line="276" w:lineRule="auto"/>
    </w:pPr>
    <w:rPr>
      <w:rFonts w:cs="Calibri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4204"/>
  </w:style>
  <w:style w:type="paragraph" w:styleId="Footer">
    <w:name w:val="footer"/>
    <w:basedOn w:val="Normal"/>
    <w:link w:val="FooterChar"/>
    <w:uiPriority w:val="99"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4204"/>
  </w:style>
  <w:style w:type="paragraph" w:styleId="FootnoteText">
    <w:name w:val="footnote text"/>
    <w:basedOn w:val="Normal"/>
    <w:link w:val="FootnoteTextChar"/>
    <w:uiPriority w:val="99"/>
    <w:semiHidden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99"/>
    <w:qFormat/>
    <w:rsid w:val="007F4E6D"/>
    <w:pPr>
      <w:ind w:left="720"/>
    </w:pPr>
  </w:style>
  <w:style w:type="character" w:styleId="FootnoteReference">
    <w:name w:val="footnote reference"/>
    <w:aliases w:val="Footnote symbol"/>
    <w:uiPriority w:val="99"/>
    <w:semiHidden/>
    <w:rsid w:val="000568E4"/>
    <w:rPr>
      <w:vertAlign w:val="superscript"/>
    </w:rPr>
  </w:style>
  <w:style w:type="character" w:styleId="CommentReference">
    <w:name w:val="annotation reference"/>
    <w:uiPriority w:val="99"/>
    <w:semiHidden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24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26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99"/>
    <w:locked/>
    <w:rsid w:val="001C4B67"/>
  </w:style>
  <w:style w:type="character" w:customStyle="1" w:styleId="apple-converted-space">
    <w:name w:val="apple-converted-space"/>
    <w:basedOn w:val="DefaultParagraphFont"/>
    <w:uiPriority w:val="99"/>
    <w:rsid w:val="007F2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438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86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5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Stoimen Yochev</cp:lastModifiedBy>
  <cp:revision>123</cp:revision>
  <cp:lastPrinted>2017-11-17T08:03:00Z</cp:lastPrinted>
  <dcterms:created xsi:type="dcterms:W3CDTF">2016-05-16T11:49:00Z</dcterms:created>
  <dcterms:modified xsi:type="dcterms:W3CDTF">2021-02-05T13:17:00Z</dcterms:modified>
</cp:coreProperties>
</file>