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69651" w14:textId="77777777" w:rsidR="004F3A47" w:rsidRPr="004F3A47" w:rsidRDefault="004F3A47" w:rsidP="004F3A47">
      <w:pPr>
        <w:spacing w:after="0" w:line="240" w:lineRule="auto"/>
        <w:jc w:val="center"/>
        <w:rPr>
          <w:rFonts w:ascii="Arial" w:eastAsia="Calibri" w:hAnsi="Arial" w:cs="Arial"/>
          <w:b/>
          <w:bCs/>
          <w:noProof w:val="0"/>
          <w:snapToGrid w:val="0"/>
          <w:sz w:val="24"/>
          <w:szCs w:val="24"/>
          <w:lang w:val="en-US"/>
        </w:rPr>
      </w:pPr>
      <w:bookmarkStart w:id="0" w:name="_Hlk529977123"/>
    </w:p>
    <w:bookmarkEnd w:id="0"/>
    <w:p w14:paraId="72A18A66" w14:textId="77777777"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 xml:space="preserve">Приложение № </w:t>
      </w:r>
      <w:r w:rsidRPr="004F3A47">
        <w:rPr>
          <w:rFonts w:ascii="Arial" w:eastAsia="Calibri" w:hAnsi="Arial" w:cs="Arial"/>
          <w:b/>
          <w:bCs/>
          <w:noProof w:val="0"/>
          <w:snapToGrid w:val="0"/>
          <w:lang w:val="en-US"/>
        </w:rPr>
        <w:t>2</w:t>
      </w:r>
    </w:p>
    <w:p w14:paraId="3A475740" w14:textId="77777777" w:rsidR="004F3A47" w:rsidRPr="004F3A47" w:rsidRDefault="004F3A47" w:rsidP="004F3A47">
      <w:pPr>
        <w:spacing w:after="60" w:line="259" w:lineRule="auto"/>
        <w:ind w:left="5310"/>
        <w:rPr>
          <w:rFonts w:ascii="Arial" w:eastAsia="Calibri" w:hAnsi="Arial" w:cs="Arial"/>
          <w:b/>
          <w:bCs/>
          <w:noProof w:val="0"/>
          <w:snapToGrid w:val="0"/>
        </w:rPr>
      </w:pPr>
      <w:r w:rsidRPr="004F3A47">
        <w:rPr>
          <w:rFonts w:ascii="Arial" w:eastAsia="Calibri" w:hAnsi="Arial" w:cs="Arial"/>
          <w:b/>
          <w:bCs/>
          <w:noProof w:val="0"/>
          <w:snapToGrid w:val="0"/>
        </w:rPr>
        <w:t>към Заповед № ………………………</w:t>
      </w:r>
    </w:p>
    <w:p w14:paraId="5DEB172D" w14:textId="77777777" w:rsidR="004F3A47" w:rsidRPr="004F3A47" w:rsidRDefault="004F3A47" w:rsidP="004F3A47">
      <w:pPr>
        <w:spacing w:after="60" w:line="259" w:lineRule="auto"/>
        <w:jc w:val="center"/>
        <w:rPr>
          <w:rFonts w:ascii="Arial" w:eastAsia="Calibri" w:hAnsi="Arial" w:cs="Arial"/>
          <w:b/>
          <w:bCs/>
          <w:noProof w:val="0"/>
          <w:snapToGrid w:val="0"/>
        </w:rPr>
      </w:pPr>
    </w:p>
    <w:p w14:paraId="1EE50CE4" w14:textId="77777777" w:rsidR="004F3A47" w:rsidRPr="004F3A47" w:rsidRDefault="004F3A47" w:rsidP="004F3A47">
      <w:pPr>
        <w:spacing w:after="60" w:line="259" w:lineRule="auto"/>
        <w:jc w:val="center"/>
        <w:rPr>
          <w:rFonts w:ascii="Arial" w:eastAsia="Calibri" w:hAnsi="Arial" w:cs="Arial"/>
          <w:b/>
          <w:bCs/>
          <w:noProof w:val="0"/>
          <w:snapToGrid w:val="0"/>
        </w:rPr>
      </w:pPr>
    </w:p>
    <w:p w14:paraId="542C3DC0" w14:textId="77777777" w:rsidR="004F3A47" w:rsidRPr="004F3A47" w:rsidRDefault="004F3A47" w:rsidP="004F3A47">
      <w:pPr>
        <w:spacing w:after="60" w:line="259" w:lineRule="auto"/>
        <w:jc w:val="center"/>
        <w:rPr>
          <w:rFonts w:ascii="Arial" w:eastAsia="Calibri" w:hAnsi="Arial" w:cs="Arial"/>
          <w:b/>
          <w:bCs/>
          <w:noProof w:val="0"/>
          <w:snapToGrid w:val="0"/>
        </w:rPr>
      </w:pPr>
    </w:p>
    <w:p w14:paraId="4049CE0F" w14:textId="77777777" w:rsidR="004F3A47" w:rsidRPr="004F3A47" w:rsidRDefault="004F3A47" w:rsidP="004F3A47">
      <w:pPr>
        <w:spacing w:after="60" w:line="259" w:lineRule="auto"/>
        <w:jc w:val="center"/>
        <w:rPr>
          <w:rFonts w:ascii="Arial" w:eastAsia="Calibri" w:hAnsi="Arial" w:cs="Arial"/>
          <w:b/>
          <w:bCs/>
          <w:noProof w:val="0"/>
          <w:snapToGrid w:val="0"/>
        </w:rPr>
      </w:pPr>
    </w:p>
    <w:p w14:paraId="6A72F116" w14:textId="77777777" w:rsidR="004F3A47" w:rsidRPr="004F3A47" w:rsidRDefault="004F3A47" w:rsidP="004F3A47">
      <w:pPr>
        <w:spacing w:after="60" w:line="259" w:lineRule="auto"/>
        <w:jc w:val="center"/>
        <w:rPr>
          <w:rFonts w:ascii="Arial" w:eastAsia="Calibri" w:hAnsi="Arial" w:cs="Arial"/>
          <w:b/>
          <w:bCs/>
          <w:noProof w:val="0"/>
          <w:snapToGrid w:val="0"/>
        </w:rPr>
      </w:pPr>
    </w:p>
    <w:p w14:paraId="5697B873"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sz w:val="32"/>
          <w:szCs w:val="32"/>
        </w:rPr>
      </w:pPr>
      <w:r w:rsidRPr="004F3A47">
        <w:rPr>
          <w:rFonts w:ascii="Arial" w:eastAsia="Calibri" w:hAnsi="Arial" w:cs="Arial"/>
          <w:b/>
          <w:bCs/>
          <w:noProof w:val="0"/>
          <w:sz w:val="32"/>
          <w:szCs w:val="32"/>
        </w:rPr>
        <w:t>Условия за изпълнение</w:t>
      </w:r>
    </w:p>
    <w:p w14:paraId="158BFD5B"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r w:rsidRPr="004F3A47">
        <w:rPr>
          <w:rFonts w:ascii="Arial" w:eastAsia="Calibri" w:hAnsi="Arial" w:cs="Arial"/>
          <w:b/>
          <w:bCs/>
          <w:noProof w:val="0"/>
        </w:rPr>
        <w:t>на проектни предложения за предоставяне на безвъзмездна финансова помощ по Програма за морско дело и рибарство 2014-2020</w:t>
      </w:r>
    </w:p>
    <w:p w14:paraId="36833CEA" w14:textId="77777777" w:rsidR="004F3A47" w:rsidRPr="004F3A47" w:rsidRDefault="004F3A47" w:rsidP="004F3A47">
      <w:pPr>
        <w:tabs>
          <w:tab w:val="left" w:pos="-180"/>
        </w:tabs>
        <w:spacing w:before="120" w:after="120" w:line="360" w:lineRule="auto"/>
        <w:jc w:val="center"/>
        <w:rPr>
          <w:rFonts w:ascii="Arial" w:eastAsia="Calibri" w:hAnsi="Arial" w:cs="Arial"/>
          <w:b/>
          <w:bCs/>
          <w:noProof w:val="0"/>
        </w:rPr>
      </w:pPr>
    </w:p>
    <w:p w14:paraId="63C4A0F7" w14:textId="77777777" w:rsidR="009D6BF3" w:rsidRPr="004F3A47" w:rsidRDefault="009D6BF3" w:rsidP="009D6BF3">
      <w:pPr>
        <w:tabs>
          <w:tab w:val="left" w:pos="-180"/>
        </w:tabs>
        <w:spacing w:before="120" w:after="120" w:line="360" w:lineRule="auto"/>
        <w:jc w:val="center"/>
        <w:rPr>
          <w:rFonts w:ascii="Arial" w:eastAsia="Calibri" w:hAnsi="Arial" w:cs="Arial"/>
          <w:b/>
          <w:bCs/>
          <w:noProof w:val="0"/>
        </w:rPr>
      </w:pPr>
      <w:r w:rsidRPr="004F3A47">
        <w:rPr>
          <w:rFonts w:ascii="Arial" w:eastAsia="Calibri" w:hAnsi="Arial" w:cs="Arial"/>
          <w:b/>
          <w:bCs/>
          <w:noProof w:val="0"/>
        </w:rPr>
        <w:t>Процедура чрез подбор на проекти</w:t>
      </w:r>
    </w:p>
    <w:p w14:paraId="09601A45" w14:textId="77777777" w:rsidR="002B0267" w:rsidRPr="001E4487" w:rsidRDefault="001E4487" w:rsidP="004F3A47">
      <w:pPr>
        <w:tabs>
          <w:tab w:val="left" w:pos="-180"/>
        </w:tabs>
        <w:spacing w:before="120" w:after="120" w:line="360" w:lineRule="auto"/>
        <w:jc w:val="center"/>
        <w:rPr>
          <w:rFonts w:ascii="Arial" w:eastAsia="Calibri" w:hAnsi="Arial" w:cs="Arial"/>
          <w:b/>
          <w:bCs/>
          <w:noProof w:val="0"/>
        </w:rPr>
      </w:pPr>
      <w:r w:rsidRPr="001E4487">
        <w:rPr>
          <w:rFonts w:ascii="Arial" w:eastAsia="Calibri" w:hAnsi="Arial" w:cs="Arial"/>
          <w:b/>
          <w:bCs/>
          <w:noProof w:val="0"/>
        </w:rPr>
        <w:t>BG14MFOP001-4.090</w:t>
      </w:r>
      <w:r w:rsidR="009D6BF3" w:rsidRPr="001E4487">
        <w:rPr>
          <w:rFonts w:ascii="Arial" w:eastAsia="Calibri" w:hAnsi="Arial" w:cs="Arial"/>
          <w:b/>
          <w:bCs/>
          <w:noProof w:val="0"/>
        </w:rPr>
        <w:t xml:space="preserve"> </w:t>
      </w:r>
      <w:r w:rsidRPr="001E4487">
        <w:rPr>
          <w:rFonts w:ascii="Arial" w:hAnsi="Arial" w:cs="Arial"/>
          <w:b/>
          <w:bCs/>
        </w:rPr>
        <w:t>„Диверсификация на рибарската територия в дейности като туризъм, култура и услуги”</w:t>
      </w:r>
      <w:r w:rsidR="002B0267" w:rsidRPr="001E4487">
        <w:rPr>
          <w:rFonts w:ascii="Arial" w:eastAsia="Calibri" w:hAnsi="Arial" w:cs="Arial"/>
          <w:b/>
          <w:bCs/>
          <w:noProof w:val="0"/>
        </w:rPr>
        <w:t>,</w:t>
      </w:r>
    </w:p>
    <w:p w14:paraId="46DC8A2E" w14:textId="77777777" w:rsidR="004F3A47" w:rsidRPr="001E4487" w:rsidRDefault="001E4487" w:rsidP="004F3A47">
      <w:pPr>
        <w:tabs>
          <w:tab w:val="left" w:pos="-180"/>
        </w:tabs>
        <w:spacing w:before="120" w:after="120" w:line="360" w:lineRule="auto"/>
        <w:jc w:val="center"/>
        <w:rPr>
          <w:rFonts w:ascii="Arial" w:eastAsia="Calibri" w:hAnsi="Arial" w:cs="Arial"/>
          <w:b/>
          <w:bCs/>
          <w:noProof w:val="0"/>
        </w:rPr>
      </w:pPr>
      <w:r w:rsidRPr="001E4487">
        <w:rPr>
          <w:rFonts w:ascii="Arial" w:eastAsia="Calibri" w:hAnsi="Arial" w:cs="Arial"/>
          <w:b/>
          <w:bCs/>
          <w:noProof w:val="0"/>
        </w:rPr>
        <w:t>мярка 03</w:t>
      </w:r>
      <w:r w:rsidR="009D6BF3" w:rsidRPr="001E4487">
        <w:rPr>
          <w:rFonts w:ascii="Arial" w:eastAsia="Calibri" w:hAnsi="Arial" w:cs="Arial"/>
          <w:b/>
          <w:bCs/>
          <w:noProof w:val="0"/>
        </w:rPr>
        <w:t xml:space="preserve"> </w:t>
      </w:r>
      <w:r w:rsidRPr="001E4487">
        <w:rPr>
          <w:rFonts w:ascii="Arial" w:hAnsi="Arial" w:cs="Arial"/>
          <w:b/>
          <w:bCs/>
        </w:rPr>
        <w:t>„Диверсификация на рибарската територия в дейности като туризъм, култура и услуги”</w:t>
      </w:r>
      <w:r w:rsidR="004F3A47" w:rsidRPr="001E4487">
        <w:rPr>
          <w:rFonts w:ascii="Arial" w:eastAsia="Calibri" w:hAnsi="Arial" w:cs="Arial"/>
          <w:b/>
          <w:bCs/>
          <w:noProof w:val="0"/>
        </w:rPr>
        <w:t xml:space="preserve"> от Стратегията за ВОМР на Местна инициативна рибарска група </w:t>
      </w:r>
      <w:r w:rsidR="009D6BF3" w:rsidRPr="001E4487">
        <w:rPr>
          <w:rFonts w:ascii="Arial" w:eastAsia="Calibri" w:hAnsi="Arial" w:cs="Arial"/>
          <w:b/>
          <w:bCs/>
          <w:noProof w:val="0"/>
        </w:rPr>
        <w:t>Самоков</w:t>
      </w:r>
    </w:p>
    <w:p w14:paraId="15ADDAA2" w14:textId="77777777" w:rsidR="004F3A47" w:rsidRPr="004F3A47" w:rsidRDefault="004F3A47" w:rsidP="004F3A47">
      <w:pPr>
        <w:spacing w:before="120" w:after="120" w:line="360" w:lineRule="auto"/>
        <w:jc w:val="center"/>
        <w:rPr>
          <w:rFonts w:ascii="Arial" w:eastAsia="Calibri" w:hAnsi="Arial" w:cs="Arial"/>
          <w:b/>
          <w:bCs/>
          <w:noProof w:val="0"/>
          <w:lang w:val="en-US"/>
        </w:rPr>
      </w:pPr>
    </w:p>
    <w:p w14:paraId="49A93D1C" w14:textId="77777777" w:rsidR="004F3A47" w:rsidRPr="004F3A47" w:rsidRDefault="004F3A47" w:rsidP="004F3A47">
      <w:pPr>
        <w:spacing w:after="160" w:line="259" w:lineRule="auto"/>
        <w:rPr>
          <w:rFonts w:ascii="Arial" w:eastAsia="Calibri" w:hAnsi="Arial" w:cs="Arial"/>
          <w:noProof w:val="0"/>
          <w:lang w:eastAsia="bg-BG"/>
        </w:rPr>
      </w:pPr>
      <w:r w:rsidRPr="004F3A47">
        <w:rPr>
          <w:rFonts w:ascii="Arial" w:eastAsia="Calibri" w:hAnsi="Arial" w:cs="Arial"/>
          <w:noProof w:val="0"/>
          <w:lang w:eastAsia="bg-BG"/>
        </w:rPr>
        <w:br w:type="page"/>
      </w:r>
    </w:p>
    <w:p w14:paraId="7C9A4737" w14:textId="77777777" w:rsidR="004F3A47" w:rsidRPr="00F001FC" w:rsidRDefault="004F3A47" w:rsidP="004F3A47">
      <w:pPr>
        <w:keepNext/>
        <w:keepLines/>
        <w:spacing w:after="0" w:line="360" w:lineRule="auto"/>
        <w:rPr>
          <w:rFonts w:ascii="Arial" w:eastAsia="Calibri" w:hAnsi="Arial" w:cs="Arial"/>
          <w:b/>
          <w:bCs/>
          <w:noProof w:val="0"/>
          <w:color w:val="0070C0"/>
          <w:sz w:val="24"/>
          <w:szCs w:val="24"/>
          <w:lang w:eastAsia="bg-BG"/>
        </w:rPr>
      </w:pPr>
      <w:r w:rsidRPr="00F001FC">
        <w:rPr>
          <w:rFonts w:ascii="Arial" w:eastAsia="Calibri" w:hAnsi="Arial" w:cs="Arial"/>
          <w:b/>
          <w:bCs/>
          <w:noProof w:val="0"/>
          <w:color w:val="0070C0"/>
          <w:sz w:val="24"/>
          <w:szCs w:val="24"/>
          <w:lang w:eastAsia="bg-BG"/>
        </w:rPr>
        <w:lastRenderedPageBreak/>
        <w:t>Съдържание</w:t>
      </w:r>
    </w:p>
    <w:p w14:paraId="45AB0656" w14:textId="77777777" w:rsidR="004F3A47" w:rsidRPr="004F3A47" w:rsidRDefault="004F3A47" w:rsidP="004F3A47">
      <w:pPr>
        <w:spacing w:after="0" w:line="360" w:lineRule="auto"/>
        <w:rPr>
          <w:rFonts w:ascii="Arial" w:eastAsia="Calibri" w:hAnsi="Arial" w:cs="Arial"/>
          <w:noProof w:val="0"/>
          <w:sz w:val="24"/>
          <w:szCs w:val="24"/>
          <w:lang w:eastAsia="bg-BG"/>
        </w:rPr>
      </w:pPr>
    </w:p>
    <w:p w14:paraId="4D1EE6BC" w14:textId="77777777"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1. Техническо изпълнение на проектите………………………………….……………...……..3</w:t>
      </w:r>
    </w:p>
    <w:p w14:paraId="35869DCD" w14:textId="77777777"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2. Финансово изпълнение на проектит</w:t>
      </w:r>
      <w:r w:rsidR="00F724A9">
        <w:rPr>
          <w:rFonts w:ascii="Arial" w:eastAsia="Calibri" w:hAnsi="Arial" w:cs="Arial"/>
          <w:noProof w:val="0"/>
        </w:rPr>
        <w:t>е и плащане……………………………….….……..11</w:t>
      </w:r>
    </w:p>
    <w:p w14:paraId="0860A3B5" w14:textId="77777777"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 xml:space="preserve">3. Мерки за информиране </w:t>
      </w:r>
      <w:r w:rsidR="009D6BF3">
        <w:rPr>
          <w:rFonts w:ascii="Arial" w:eastAsia="Calibri" w:hAnsi="Arial" w:cs="Arial"/>
          <w:noProof w:val="0"/>
        </w:rPr>
        <w:t>и публичност………………………………………….…....</w:t>
      </w:r>
      <w:r w:rsidR="000A5B07">
        <w:rPr>
          <w:rFonts w:ascii="Arial" w:eastAsia="Calibri" w:hAnsi="Arial" w:cs="Arial"/>
          <w:noProof w:val="0"/>
        </w:rPr>
        <w:t>..…….12</w:t>
      </w:r>
    </w:p>
    <w:p w14:paraId="7E750F3F" w14:textId="77777777" w:rsidR="004F3A47" w:rsidRPr="004F3A47" w:rsidRDefault="004F3A47" w:rsidP="004F3A47">
      <w:pPr>
        <w:spacing w:after="0" w:line="360" w:lineRule="auto"/>
        <w:rPr>
          <w:rFonts w:ascii="Arial" w:eastAsia="Calibri" w:hAnsi="Arial" w:cs="Arial"/>
          <w:noProof w:val="0"/>
        </w:rPr>
      </w:pPr>
      <w:r w:rsidRPr="004F3A47">
        <w:rPr>
          <w:rFonts w:ascii="Arial" w:eastAsia="Calibri" w:hAnsi="Arial" w:cs="Arial"/>
          <w:noProof w:val="0"/>
        </w:rPr>
        <w:t xml:space="preserve">4. Приложения към Условията </w:t>
      </w:r>
      <w:r w:rsidR="009D6BF3">
        <w:rPr>
          <w:rFonts w:ascii="Arial" w:eastAsia="Calibri" w:hAnsi="Arial" w:cs="Arial"/>
          <w:noProof w:val="0"/>
        </w:rPr>
        <w:t>за изпълнение………………………………………......</w:t>
      </w:r>
      <w:r w:rsidR="007316AD">
        <w:rPr>
          <w:rFonts w:ascii="Arial" w:eastAsia="Calibri" w:hAnsi="Arial" w:cs="Arial"/>
          <w:noProof w:val="0"/>
        </w:rPr>
        <w:t>…...14</w:t>
      </w:r>
    </w:p>
    <w:p w14:paraId="6BD6E270" w14:textId="77777777" w:rsidR="004F3A47" w:rsidRPr="004F3A47" w:rsidRDefault="004F3A47" w:rsidP="004F3A47">
      <w:pPr>
        <w:spacing w:after="0" w:line="360" w:lineRule="auto"/>
        <w:rPr>
          <w:rFonts w:ascii="Arial" w:eastAsia="Calibri" w:hAnsi="Arial" w:cs="Arial"/>
          <w:noProof w:val="0"/>
          <w:sz w:val="24"/>
          <w:szCs w:val="24"/>
        </w:rPr>
      </w:pPr>
    </w:p>
    <w:p w14:paraId="2DB9DAF3" w14:textId="77777777" w:rsidR="004F3A47" w:rsidRPr="004F3A47" w:rsidRDefault="004F3A47" w:rsidP="004F3A47">
      <w:pPr>
        <w:spacing w:after="0" w:line="360" w:lineRule="auto"/>
        <w:rPr>
          <w:rFonts w:ascii="Arial" w:eastAsia="Calibri" w:hAnsi="Arial" w:cs="Arial"/>
          <w:noProof w:val="0"/>
          <w:sz w:val="24"/>
          <w:szCs w:val="24"/>
        </w:rPr>
      </w:pPr>
    </w:p>
    <w:p w14:paraId="4E116448" w14:textId="77777777" w:rsidR="004F3A47" w:rsidRPr="004F3A47" w:rsidRDefault="004F3A47" w:rsidP="004F3A47">
      <w:pPr>
        <w:spacing w:after="0" w:line="360" w:lineRule="auto"/>
        <w:rPr>
          <w:rFonts w:ascii="Arial" w:eastAsia="Calibri" w:hAnsi="Arial" w:cs="Arial"/>
          <w:b/>
          <w:bCs/>
          <w:noProof w:val="0"/>
          <w:color w:val="5B9BD5"/>
        </w:rPr>
      </w:pPr>
      <w:r w:rsidRPr="004F3A47">
        <w:rPr>
          <w:rFonts w:ascii="Arial" w:eastAsia="Calibri" w:hAnsi="Arial" w:cs="Arial"/>
          <w:noProof w:val="0"/>
          <w:sz w:val="24"/>
          <w:szCs w:val="24"/>
        </w:rPr>
        <w:br w:type="page"/>
      </w:r>
      <w:r w:rsidRPr="00F001FC">
        <w:rPr>
          <w:rFonts w:ascii="Arial" w:eastAsia="Calibri" w:hAnsi="Arial" w:cs="Arial"/>
          <w:b/>
          <w:noProof w:val="0"/>
          <w:color w:val="0070C0"/>
        </w:rPr>
        <w:lastRenderedPageBreak/>
        <w:t>1.</w:t>
      </w:r>
      <w:r w:rsidRPr="00F001FC">
        <w:rPr>
          <w:rFonts w:ascii="Arial" w:eastAsia="Calibri" w:hAnsi="Arial" w:cs="Arial"/>
          <w:noProof w:val="0"/>
          <w:color w:val="0070C0"/>
        </w:rPr>
        <w:t xml:space="preserve"> </w:t>
      </w:r>
      <w:r w:rsidRPr="00F001FC">
        <w:rPr>
          <w:rFonts w:ascii="Arial" w:eastAsia="Calibri" w:hAnsi="Arial" w:cs="Arial"/>
          <w:b/>
          <w:bCs/>
          <w:noProof w:val="0"/>
          <w:color w:val="0070C0"/>
        </w:rPr>
        <w:t>Техническо изпълнение на проектите.</w:t>
      </w:r>
    </w:p>
    <w:p w14:paraId="0C410D5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процеса на изпълнение </w:t>
      </w:r>
      <w:r w:rsidR="00F642E0">
        <w:rPr>
          <w:rFonts w:ascii="Arial" w:eastAsia="Calibri" w:hAnsi="Arial" w:cs="Arial"/>
          <w:bCs/>
          <w:noProof w:val="0"/>
        </w:rPr>
        <w:t xml:space="preserve">на одобрените проекти </w:t>
      </w:r>
      <w:proofErr w:type="spellStart"/>
      <w:r w:rsidR="00F642E0">
        <w:rPr>
          <w:rFonts w:ascii="Arial" w:eastAsia="Calibri" w:hAnsi="Arial" w:cs="Arial"/>
          <w:bCs/>
          <w:noProof w:val="0"/>
        </w:rPr>
        <w:t>бенефицие</w:t>
      </w:r>
      <w:r w:rsidR="00C64B57">
        <w:rPr>
          <w:rFonts w:ascii="Arial" w:eastAsia="Calibri" w:hAnsi="Arial" w:cs="Arial"/>
          <w:bCs/>
          <w:noProof w:val="0"/>
        </w:rPr>
        <w:t>р</w:t>
      </w:r>
      <w:r w:rsidRPr="004F3A47">
        <w:rPr>
          <w:rFonts w:ascii="Arial" w:eastAsia="Calibri" w:hAnsi="Arial" w:cs="Arial"/>
          <w:bCs/>
          <w:noProof w:val="0"/>
        </w:rPr>
        <w:t>ите</w:t>
      </w:r>
      <w:proofErr w:type="spellEnd"/>
      <w:r w:rsidRPr="004F3A47">
        <w:rPr>
          <w:rFonts w:ascii="Arial" w:eastAsia="Calibri" w:hAnsi="Arial" w:cs="Arial"/>
          <w:bCs/>
          <w:noProof w:val="0"/>
        </w:rPr>
        <w:t xml:space="preserve"> могат да възлагат на изпълнители – външни за тях лица, извършването на дейности по проекта. Изборът на изпълнител се извършва след сключване на административния договор за предоставяне на безвъзмездна финансова помощ (АДБФП).</w:t>
      </w:r>
    </w:p>
    <w:p w14:paraId="36A9FE74"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eastAsia="bg-BG"/>
        </w:rPr>
        <w:drawing>
          <wp:inline distT="0" distB="0" distL="0" distR="0" wp14:anchorId="1F2D8A72" wp14:editId="3124EBF1">
            <wp:extent cx="587221" cy="273304"/>
            <wp:effectExtent l="57150" t="0" r="41910" b="1079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във финансовия план към Условията за кандидатстване и времевия график за изпълнение на проекта във Формуляра за кандидатстване.</w:t>
      </w:r>
    </w:p>
    <w:p w14:paraId="329369EE"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eastAsia="bg-BG"/>
        </w:rPr>
        <w:drawing>
          <wp:inline distT="0" distB="0" distL="0" distR="0" wp14:anchorId="707C3CB0" wp14:editId="6931185B">
            <wp:extent cx="587221" cy="273304"/>
            <wp:effectExtent l="57150" t="0" r="41910" b="10795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 xml:space="preserve">След подписване на административен договор за предоставяне на безвъзмездна финансова помощ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следва в срок до 6 месеца да има избран изпълнител и сключен с него договор за предвидените дейности, както и да е започнало изпълнението на проекта.</w:t>
      </w:r>
    </w:p>
    <w:p w14:paraId="5C53955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срок до 20 работни дни от датата на получаването на документацията по проведения избор, УО на ПМДР извършва последващия контрол по законосъобразност.</w:t>
      </w:r>
    </w:p>
    <w:p w14:paraId="0D96230C" w14:textId="77777777" w:rsidR="004F3A47" w:rsidRPr="004F3A47" w:rsidRDefault="004F3A47" w:rsidP="004F3A47">
      <w:pPr>
        <w:spacing w:before="120" w:after="120" w:line="360" w:lineRule="auto"/>
        <w:ind w:firstLine="720"/>
        <w:jc w:val="both"/>
        <w:rPr>
          <w:rFonts w:ascii="Arial" w:eastAsia="Calibri" w:hAnsi="Arial" w:cs="Arial"/>
          <w:bCs/>
          <w:noProof w:val="0"/>
        </w:rPr>
      </w:pP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трябва да представи чрез ИСУН 2020 мотивирано искане до УО на ПМДР за сключване на допълнително споразумение към АДБФП във връзка с избор на изпълнители.</w:t>
      </w:r>
    </w:p>
    <w:p w14:paraId="53CB4C6A" w14:textId="77777777" w:rsidR="004F3A47" w:rsidRPr="004F3A47" w:rsidRDefault="004F3A47" w:rsidP="004F3A47">
      <w:pPr>
        <w:spacing w:before="120" w:after="120" w:line="360" w:lineRule="auto"/>
        <w:jc w:val="both"/>
        <w:rPr>
          <w:rFonts w:ascii="Arial" w:eastAsia="Calibri" w:hAnsi="Arial" w:cs="Arial"/>
          <w:b/>
          <w:bCs/>
          <w:noProof w:val="0"/>
        </w:rPr>
      </w:pPr>
    </w:p>
    <w:p w14:paraId="393F5C2B"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1.1. Процедури за избор на изпълнител.</w:t>
      </w:r>
    </w:p>
    <w:p w14:paraId="4EBFB968" w14:textId="77777777" w:rsidR="004F3A47" w:rsidRPr="004F3A47" w:rsidRDefault="004F3A47" w:rsidP="004F3A47">
      <w:pPr>
        <w:spacing w:before="120" w:after="120" w:line="360" w:lineRule="auto"/>
        <w:ind w:firstLine="720"/>
        <w:jc w:val="both"/>
        <w:rPr>
          <w:rFonts w:ascii="Arial" w:eastAsia="Calibri" w:hAnsi="Arial" w:cs="Arial"/>
          <w:bCs/>
          <w:noProof w:val="0"/>
        </w:rPr>
      </w:pPr>
      <w:proofErr w:type="spellStart"/>
      <w:r w:rsidRPr="004F3A47">
        <w:rPr>
          <w:rFonts w:ascii="Arial" w:eastAsia="Calibri" w:hAnsi="Arial" w:cs="Arial"/>
          <w:bCs/>
          <w:noProof w:val="0"/>
        </w:rPr>
        <w:t>Бенефициерите</w:t>
      </w:r>
      <w:proofErr w:type="spellEnd"/>
      <w:r w:rsidRPr="004F3A47">
        <w:rPr>
          <w:rFonts w:ascii="Arial" w:eastAsia="Calibri" w:hAnsi="Arial" w:cs="Arial"/>
          <w:bCs/>
          <w:noProof w:val="0"/>
        </w:rPr>
        <w:t xml:space="preserve"> могат да извършат процедури за избор на изпълнител по следния ред:</w:t>
      </w:r>
    </w:p>
    <w:p w14:paraId="2C38B82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
          <w:bCs/>
          <w:noProof w:val="0"/>
          <w:u w:val="single"/>
        </w:rPr>
        <w:t>А. „Процедура за избор с публична покана“</w:t>
      </w:r>
      <w:r w:rsidRPr="004F3A47">
        <w:rPr>
          <w:rFonts w:ascii="Arial" w:eastAsia="Calibri" w:hAnsi="Arial" w:cs="Arial"/>
          <w:b/>
          <w:bCs/>
          <w:noProof w:val="0"/>
        </w:rPr>
        <w:t xml:space="preserve"> </w:t>
      </w:r>
      <w:proofErr w:type="spellStart"/>
      <w:r w:rsidRPr="004F3A47">
        <w:rPr>
          <w:rFonts w:ascii="Arial" w:eastAsia="Calibri" w:hAnsi="Arial" w:cs="Arial"/>
          <w:b/>
          <w:bCs/>
          <w:noProof w:val="0"/>
        </w:rPr>
        <w:t>пo</w:t>
      </w:r>
      <w:proofErr w:type="spellEnd"/>
      <w:r w:rsidRPr="004F3A47">
        <w:rPr>
          <w:rFonts w:ascii="Arial" w:eastAsia="Calibri" w:hAnsi="Arial" w:cs="Arial"/>
          <w:b/>
          <w:bCs/>
          <w:noProof w:val="0"/>
        </w:rPr>
        <w:t xml:space="preserve"> реда на Постановление № 160 на Министерския съвет от 1 юли 2016 г. </w:t>
      </w:r>
      <w:r w:rsidRPr="009D6BF3">
        <w:rPr>
          <w:rFonts w:ascii="Arial" w:eastAsia="Calibri" w:hAnsi="Arial" w:cs="Arial"/>
          <w:bCs/>
          <w:noProof w:val="0"/>
        </w:rPr>
        <w:t xml:space="preserve">за </w:t>
      </w:r>
      <w:r w:rsidRPr="004F3A47">
        <w:rPr>
          <w:rFonts w:ascii="Arial" w:eastAsia="Calibri" w:hAnsi="Arial" w:cs="Arial"/>
          <w:bCs/>
          <w:noProof w:val="0"/>
        </w:rPr>
        <w:t xml:space="preserve">определяне правилата за разглеждане и оценяване на оферти и сключването на договорите в процедурата за избор с публична покана от </w:t>
      </w:r>
      <w:proofErr w:type="spellStart"/>
      <w:r w:rsidRPr="004F3A47">
        <w:rPr>
          <w:rFonts w:ascii="Arial" w:eastAsia="Calibri" w:hAnsi="Arial" w:cs="Arial"/>
          <w:bCs/>
          <w:noProof w:val="0"/>
        </w:rPr>
        <w:t>бенефициери</w:t>
      </w:r>
      <w:proofErr w:type="spellEnd"/>
      <w:r w:rsidRPr="004F3A47">
        <w:rPr>
          <w:rFonts w:ascii="Arial" w:eastAsia="Calibri" w:hAnsi="Arial" w:cs="Arial"/>
          <w:bCs/>
          <w:noProof w:val="0"/>
        </w:rPr>
        <w:t xml:space="preserve"> на безвъзмездна финансова помощ от Европейските структурни и инвестиционни фондове (ПМС 160/2016 г.).</w:t>
      </w:r>
    </w:p>
    <w:p w14:paraId="16FE77A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Когато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не е възложител по смисъла на ЗОП, при избор на изпълнител/и същият задължително прилага разпоредбите на Глава четвърта от Закона за управление на средствата от Европейските структурни и инвестиционни фондове </w:t>
      </w:r>
      <w:r w:rsidRPr="004F3A47">
        <w:rPr>
          <w:rFonts w:ascii="Arial" w:eastAsia="Calibri" w:hAnsi="Arial" w:cs="Arial"/>
          <w:bCs/>
          <w:noProof w:val="0"/>
        </w:rPr>
        <w:lastRenderedPageBreak/>
        <w:t>(ЗУСЕСИФ) и ПМС № 160/2016 г., както и указанията, заложени в настоящите Условия за изпълнение.</w:t>
      </w:r>
    </w:p>
    <w:p w14:paraId="3B42262D" w14:textId="77777777" w:rsidR="004F3A47" w:rsidRDefault="004F3A47" w:rsidP="004F3A47">
      <w:pPr>
        <w:spacing w:before="120" w:after="120" w:line="360" w:lineRule="auto"/>
        <w:jc w:val="both"/>
        <w:rPr>
          <w:rFonts w:ascii="Arial" w:eastAsia="Calibri" w:hAnsi="Arial" w:cs="Arial"/>
          <w:bCs/>
          <w:i/>
          <w:noProof w:val="0"/>
        </w:rPr>
      </w:pPr>
      <w:r>
        <w:rPr>
          <w:rFonts w:ascii="Arial" w:eastAsia="Calibri" w:hAnsi="Arial" w:cs="Arial"/>
          <w:b/>
          <w:lang w:eastAsia="bg-BG"/>
        </w:rPr>
        <w:drawing>
          <wp:inline distT="0" distB="0" distL="0" distR="0" wp14:anchorId="1B8054F8" wp14:editId="254875E1">
            <wp:extent cx="587221" cy="273304"/>
            <wp:effectExtent l="57150" t="0" r="41910" b="10795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При провеждане на процедури за избор на изпълнител , кандидатите следва да прилагат Указание на УО на ПМДР за прилагане на</w:t>
      </w:r>
      <w:r w:rsidRPr="004F3A47">
        <w:rPr>
          <w:rFonts w:ascii="Arial" w:eastAsia="Calibri" w:hAnsi="Arial" w:cs="Arial"/>
          <w:b/>
          <w:bCs/>
          <w:noProof w:val="0"/>
        </w:rPr>
        <w:t xml:space="preserve"> </w:t>
      </w:r>
      <w:r w:rsidRPr="004F3A47">
        <w:rPr>
          <w:rFonts w:ascii="Arial" w:eastAsia="Calibri" w:hAnsi="Arial" w:cs="Arial"/>
          <w:bCs/>
          <w:noProof w:val="0"/>
        </w:rPr>
        <w:t xml:space="preserve">ПМС № 160/2016 г., одобрено с докладна записка с № 93-3936 от 30.07.2020 г. Същото може да бъде намерено на следния интернет адрес: </w:t>
      </w:r>
      <w:hyperlink r:id="rId8" w:history="1">
        <w:r w:rsidRPr="004F3A47">
          <w:rPr>
            <w:rFonts w:ascii="Arial" w:eastAsia="Calibri" w:hAnsi="Arial" w:cs="Arial"/>
            <w:bCs/>
            <w:i/>
            <w:noProof w:val="0"/>
            <w:color w:val="0563C1"/>
            <w:u w:val="single"/>
          </w:rPr>
          <w:t>https://www.eufunds.bg/bg/pmdr/node/5313</w:t>
        </w:r>
      </w:hyperlink>
      <w:r w:rsidRPr="004F3A47">
        <w:rPr>
          <w:rFonts w:ascii="Arial" w:eastAsia="Calibri" w:hAnsi="Arial" w:cs="Arial"/>
          <w:bCs/>
          <w:i/>
          <w:noProof w:val="0"/>
          <w:lang w:val="en-US"/>
        </w:rPr>
        <w:t>.</w:t>
      </w:r>
    </w:p>
    <w:p w14:paraId="73BF6FA0"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чл. 50, ал. 2 и 3 от ЗУСЕСИФ кандидатът провежда процедура за избор с публична покана, когато размерът на предоставената безвъзмездна финансова помощ е по-голям, равен или по-малък от 50 на сто от общата сума на одобрения проекти прогнозната стойност за:</w:t>
      </w:r>
    </w:p>
    <w:p w14:paraId="122A40D1"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строителство, в т. ч. съфинансирането от страна на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без данък върху добавената стойност, е равна или по-висока от 50 000 лв.;</w:t>
      </w:r>
    </w:p>
    <w:p w14:paraId="7A0556C8"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доставки или услуги, в т. ч. съфинансирането от страна на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без данък върху добавената стойност, е равна или по-висока от 30 000 лв.</w:t>
      </w:r>
    </w:p>
    <w:p w14:paraId="39DF3416"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Публичната покана следва да съдържа информацията, посочена в чл. 51 от ЗУСЕСИФ, както и следните изисквания към кандидатите – изпълнители:</w:t>
      </w:r>
    </w:p>
    <w:p w14:paraId="42DE0C8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Кандидатите, за изпълнители на дейностите, посочени в публичната покана, следва да отговарят на следните две кумулативни изисквания:</w:t>
      </w:r>
    </w:p>
    <w:p w14:paraId="5B937D65"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наличие на опит в осъществяването на дейност, еднаква или сходна с предмета на поръчката - доставка, услуга или строителство. Това изискване се доказва от кандидата със списък на изпълнените договори за доставка, услуга или строителство, които са еднакви или сходни с предмета на поръчката, съгласно чл. 3 от ПМС № 160 от 2016 г. Списъкът следва да съдържа минимум следната информация: дата, страни, предмет, стойност на договора/</w:t>
      </w:r>
      <w:proofErr w:type="spellStart"/>
      <w:r w:rsidRPr="004F3A47">
        <w:rPr>
          <w:rFonts w:ascii="Arial" w:eastAsia="Calibri" w:hAnsi="Arial" w:cs="Arial"/>
          <w:bCs/>
          <w:noProof w:val="0"/>
        </w:rPr>
        <w:t>ите</w:t>
      </w:r>
      <w:proofErr w:type="spellEnd"/>
      <w:r w:rsidRPr="004F3A47">
        <w:rPr>
          <w:rFonts w:ascii="Arial" w:eastAsia="Calibri" w:hAnsi="Arial" w:cs="Arial"/>
          <w:bCs/>
          <w:noProof w:val="0"/>
        </w:rPr>
        <w:t>, да е придружен от препоръки/референции за добро изпълнение и подпис на лицето, което е законен представител на кандидата;</w:t>
      </w:r>
    </w:p>
    <w:p w14:paraId="443E6A2D"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общият оборот и/или за оборота, който се отнася до предмета на поръчката да е най-много за последните 3 приключили финансови години, в зависимост от датата, на която кандидатът е учреден или е започнал дейността си, при спазване разпоредбите на чл. 3 от ПМС № 160 от 01.07.2016 г. Изискването за специфичен оборот се доказва от оферента със справка-декларация, подписана от законния представител на кандидата. Справката трябва да е придружена от Отчет за приходите и разходите за съответните приключили финансови години, в зависимост от датата на която кандидатът е учреден или </w:t>
      </w:r>
      <w:r w:rsidRPr="004F3A47">
        <w:rPr>
          <w:rFonts w:ascii="Arial" w:eastAsia="Calibri" w:hAnsi="Arial" w:cs="Arial"/>
          <w:bCs/>
          <w:noProof w:val="0"/>
        </w:rPr>
        <w:lastRenderedPageBreak/>
        <w:t>започнал дейността си. Ако отчетите за приходите и разходите са публично обявени, се извършва справка в съответния регистър.</w:t>
      </w:r>
    </w:p>
    <w:p w14:paraId="297C1C10"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Тези изисквания са кумулативни и кандидатите за изпълнители, трябва да отговарят задължително на тях.</w:t>
      </w:r>
    </w:p>
    <w:p w14:paraId="194D51E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При строителство, кандидатите за изпълнители следва да имат право да извършват такава дейност и да са вписани в съответните регистри на държавата, в която са регистрирани/установени. </w:t>
      </w:r>
    </w:p>
    <w:p w14:paraId="464AE3D4"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 но не трябва да бъде по-кратък от 21 дни от публикуването на поканата.</w:t>
      </w:r>
    </w:p>
    <w:p w14:paraId="4213139B"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с публична покана. Представят се посочените документи в </w:t>
      </w:r>
      <w:r w:rsidR="000724B8" w:rsidRPr="000724B8">
        <w:rPr>
          <w:rFonts w:ascii="Arial" w:eastAsia="Calibri" w:hAnsi="Arial" w:cs="Arial"/>
          <w:bCs/>
          <w:noProof w:val="0"/>
        </w:rPr>
        <w:t>Приложение № 1</w:t>
      </w:r>
      <w:r w:rsidR="000724B8" w:rsidRPr="000724B8">
        <w:rPr>
          <w:rFonts w:ascii="Arial" w:eastAsia="Calibri" w:hAnsi="Arial" w:cs="Arial"/>
          <w:bCs/>
          <w:noProof w:val="0"/>
          <w:lang w:val="en-US"/>
        </w:rPr>
        <w:t>5</w:t>
      </w:r>
      <w:r w:rsidRPr="004F3A47">
        <w:rPr>
          <w:rFonts w:ascii="Arial" w:eastAsia="Calibri" w:hAnsi="Arial" w:cs="Arial"/>
          <w:bCs/>
          <w:noProof w:val="0"/>
        </w:rPr>
        <w:t xml:space="preserve"> „Документи за осъществяване на последващ контрол на проведена процедура „Избор с публична покана“.</w:t>
      </w:r>
    </w:p>
    <w:p w14:paraId="70E4081C" w14:textId="77777777" w:rsidR="004F3A47" w:rsidRPr="004F3A47" w:rsidRDefault="004F3A47" w:rsidP="004F3A47">
      <w:pPr>
        <w:spacing w:before="120" w:after="120" w:line="360" w:lineRule="auto"/>
        <w:ind w:firstLine="720"/>
        <w:jc w:val="both"/>
        <w:rPr>
          <w:rFonts w:ascii="Arial" w:eastAsia="Calibri" w:hAnsi="Arial" w:cs="Arial"/>
          <w:bCs/>
          <w:noProof w:val="0"/>
          <w:u w:val="single"/>
        </w:rPr>
      </w:pPr>
      <w:r w:rsidRPr="004F3A47">
        <w:rPr>
          <w:rFonts w:ascii="Arial" w:eastAsia="Calibri" w:hAnsi="Arial" w:cs="Arial"/>
          <w:b/>
          <w:bCs/>
          <w:noProof w:val="0"/>
          <w:u w:val="single"/>
        </w:rPr>
        <w:t>Б. Избор на изпълнител “чрез представяне на поне две съпоставими независими оферти“:</w:t>
      </w:r>
    </w:p>
    <w:p w14:paraId="7717FC1A" w14:textId="77777777" w:rsidR="004F3A47" w:rsidRPr="004F3A47" w:rsidRDefault="004F3A47" w:rsidP="004F3A47">
      <w:pPr>
        <w:spacing w:before="120" w:after="120" w:line="360" w:lineRule="auto"/>
        <w:ind w:firstLine="720"/>
        <w:jc w:val="both"/>
        <w:rPr>
          <w:rFonts w:ascii="Arial" w:eastAsia="Calibri" w:hAnsi="Arial" w:cs="Arial"/>
          <w:bCs/>
          <w:noProof w:val="0"/>
        </w:rPr>
      </w:pPr>
      <w:proofErr w:type="spellStart"/>
      <w:r w:rsidRPr="004F3A47">
        <w:rPr>
          <w:rFonts w:ascii="Arial" w:eastAsia="Calibri" w:hAnsi="Arial" w:cs="Arial"/>
          <w:bCs/>
          <w:noProof w:val="0"/>
        </w:rPr>
        <w:t>Бенефициерите</w:t>
      </w:r>
      <w:proofErr w:type="spellEnd"/>
      <w:r w:rsidRPr="004F3A47">
        <w:rPr>
          <w:rFonts w:ascii="Arial" w:eastAsia="Calibri" w:hAnsi="Arial" w:cs="Arial"/>
          <w:bCs/>
          <w:noProof w:val="0"/>
        </w:rPr>
        <w:t xml:space="preserve"> могат да не провеждат процедура за избор с публична покана, когато размерът на предоставената безвъзмездна финансова помощ е равен или по-малък от 50 на сто от общата сума на одобрения проект и прогнозната стойност за:</w:t>
      </w:r>
    </w:p>
    <w:p w14:paraId="6E2F5AD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строителство, в т. ч. съфинансирането от страна на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без данък върху добавената стойност, е по-малка от 50 000 лв.;</w:t>
      </w:r>
    </w:p>
    <w:p w14:paraId="29BDE65E" w14:textId="77777777" w:rsidR="004F3A47" w:rsidRPr="004F3A47" w:rsidRDefault="004F3A47" w:rsidP="00F57DBF">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доставки и/или услуги, в т.ч. съфинансирането от страна на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без данък върху добавената стойност, е по-малка от 30 000 лв.</w:t>
      </w:r>
    </w:p>
    <w:p w14:paraId="753B7764"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този случай </w:t>
      </w:r>
      <w:proofErr w:type="spellStart"/>
      <w:r w:rsidRPr="004F3A47">
        <w:rPr>
          <w:rFonts w:ascii="Arial" w:eastAsia="Calibri" w:hAnsi="Arial" w:cs="Arial"/>
          <w:bCs/>
          <w:noProof w:val="0"/>
        </w:rPr>
        <w:t>бенефициерите</w:t>
      </w:r>
      <w:proofErr w:type="spellEnd"/>
      <w:r w:rsidRPr="004F3A47">
        <w:rPr>
          <w:rFonts w:ascii="Arial" w:eastAsia="Calibri" w:hAnsi="Arial" w:cs="Arial"/>
          <w:bCs/>
          <w:noProof w:val="0"/>
        </w:rPr>
        <w:t xml:space="preserve"> предоставят поне две съпоставими независими оферти, към които могат да бъдат прилагани официални каталози от производители/оторизирани доставчици, съдържащи цена, характеристика/функционалност/описание, които не противоречат на заложените в одобрения проект.</w:t>
      </w:r>
    </w:p>
    <w:p w14:paraId="05602FF7"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eastAsia="bg-BG"/>
        </w:rPr>
        <w:drawing>
          <wp:inline distT="0" distB="0" distL="0" distR="0" wp14:anchorId="67DEECA9" wp14:editId="6E2A0AE0">
            <wp:extent cx="587221" cy="273304"/>
            <wp:effectExtent l="57150" t="0" r="41910" b="1079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 xml:space="preserve">„Независими оферти“ са оферти, подадени от лица, които не са свързани лица, по смисъла на § 1, т. 13 и 14 от допълнителните разпоредби на Закона за публичното </w:t>
      </w:r>
      <w:r w:rsidRPr="004F3A47">
        <w:rPr>
          <w:rFonts w:ascii="Arial" w:eastAsia="Calibri" w:hAnsi="Arial" w:cs="Arial"/>
          <w:bCs/>
          <w:noProof w:val="0"/>
        </w:rPr>
        <w:lastRenderedPageBreak/>
        <w:t>предлагане на ценни книжа. Свързани лица или свързани предприятия не могат да представят самостоятелна оферта. Лице, което участва в обединение или е дало съгласие и фигурира като подизпълнител в офертата на друг кандидат, не може да представя самостоятелна оферта. Едно физическо или юридическо лице може да участва само в едно обединение.</w:t>
      </w:r>
    </w:p>
    <w:p w14:paraId="561CDB4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„Официален каталог“ е продуктов каталог издаден от производител, официален представител на производителя или от официален вносител, който е публичен и общо приложим към всички партньори/клиенти, т.е. не е създаден за целите на конкретната подадена оферта.</w:t>
      </w:r>
    </w:p>
    <w:p w14:paraId="2C15877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Офертите трябва да са независими, съпоставими и конкурентни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50F9C08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Оферентите следва да отговарят на следните две кумулативни условия:</w:t>
      </w:r>
    </w:p>
    <w:p w14:paraId="185D04DE"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предметът на дейност на оферента да е идентичен или сходен с посочената в офертата доставка, услуга или строителство. Това изискване се доказва от оферента със списък на договорите с предмет идентичен или сходен с посочената в офертата доставка, услуга или строителство, съдържащ минимум следната информация: дата, страни, предмет, стойност на договора/</w:t>
      </w:r>
      <w:proofErr w:type="spellStart"/>
      <w:r w:rsidRPr="004F3A47">
        <w:rPr>
          <w:rFonts w:ascii="Arial" w:eastAsia="Calibri" w:hAnsi="Arial" w:cs="Arial"/>
          <w:bCs/>
          <w:noProof w:val="0"/>
        </w:rPr>
        <w:t>ите</w:t>
      </w:r>
      <w:proofErr w:type="spellEnd"/>
      <w:r w:rsidRPr="004F3A47">
        <w:rPr>
          <w:rFonts w:ascii="Arial" w:eastAsia="Calibri" w:hAnsi="Arial" w:cs="Arial"/>
          <w:bCs/>
          <w:noProof w:val="0"/>
        </w:rPr>
        <w:t>. Списъкът следва да е подписан от лицето представляващо по закон оферента и да е придружен с препоръки/референции за добро изпълнение;</w:t>
      </w:r>
    </w:p>
    <w:p w14:paraId="43908719"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годишния оборот, който се отнася до предмета на поръчката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поръчката или на съответната обособена позиция, в случай че процедурата е с обособени позиции.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започнал дейността си. Ако отчетите за приходите и разходите са публично обявени, се извършва справка в съответния регистър.</w:t>
      </w:r>
    </w:p>
    <w:p w14:paraId="1A9BAABE" w14:textId="77777777" w:rsidR="004F3A47" w:rsidRPr="004F3A47" w:rsidRDefault="003B19D2" w:rsidP="003B19D2">
      <w:pPr>
        <w:spacing w:before="120" w:after="120" w:line="360" w:lineRule="auto"/>
        <w:jc w:val="both"/>
        <w:rPr>
          <w:rFonts w:ascii="Arial" w:eastAsia="Calibri" w:hAnsi="Arial" w:cs="Arial"/>
          <w:bCs/>
          <w:noProof w:val="0"/>
        </w:rPr>
      </w:pPr>
      <w:r>
        <w:rPr>
          <w:rFonts w:ascii="Arial" w:eastAsia="Calibri" w:hAnsi="Arial" w:cs="Arial"/>
          <w:bCs/>
          <w:lang w:eastAsia="bg-BG"/>
        </w:rPr>
        <w:lastRenderedPageBreak/>
        <w:drawing>
          <wp:inline distT="0" distB="0" distL="0" distR="0" wp14:anchorId="5DF01A66" wp14:editId="5F31B1F7">
            <wp:extent cx="694690" cy="377825"/>
            <wp:effectExtent l="0" t="0" r="0" b="317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94690" cy="377825"/>
                    </a:xfrm>
                    <a:prstGeom prst="rect">
                      <a:avLst/>
                    </a:prstGeom>
                    <a:noFill/>
                  </pic:spPr>
                </pic:pic>
              </a:graphicData>
            </a:graphic>
          </wp:inline>
        </w:drawing>
      </w:r>
      <w:r w:rsidR="004F3A47" w:rsidRPr="004F3A47">
        <w:rPr>
          <w:rFonts w:ascii="Arial" w:eastAsia="Calibri" w:hAnsi="Arial" w:cs="Arial"/>
          <w:bCs/>
          <w:noProof w:val="0"/>
        </w:rPr>
        <w:t xml:space="preserve">Тези изисквания са кумулативни и кандидатите за изпълнители, трябва да отговарят задължително на тях. </w:t>
      </w:r>
      <w:r w:rsidR="004F3A47" w:rsidRPr="004F3A47">
        <w:rPr>
          <w:rFonts w:ascii="Arial" w:eastAsia="Calibri" w:hAnsi="Arial" w:cs="Arial"/>
          <w:b/>
          <w:bCs/>
          <w:noProof w:val="0"/>
        </w:rPr>
        <w:t>В случай, че двете кумулативни условия не са изпълнени Управляващият орган на ПМДР няма да одобри БФП за съответния разход</w:t>
      </w:r>
      <w:r>
        <w:rPr>
          <w:rFonts w:ascii="Arial" w:eastAsia="Calibri" w:hAnsi="Arial" w:cs="Arial"/>
          <w:b/>
          <w:bCs/>
          <w:noProof w:val="0"/>
        </w:rPr>
        <w:t>.</w:t>
      </w:r>
    </w:p>
    <w:p w14:paraId="60F1FAA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При строителство, оферентите следва да имат право да извършват такава дейност и да са вписани в съответните регистри на държавата, в която са регистрирани/установени.</w:t>
      </w:r>
    </w:p>
    <w:p w14:paraId="3E292139" w14:textId="77777777" w:rsidR="004F3A47" w:rsidRPr="004F3A47" w:rsidRDefault="004F3A47" w:rsidP="004F3A47">
      <w:pPr>
        <w:spacing w:before="120" w:after="120" w:line="360" w:lineRule="auto"/>
        <w:ind w:firstLine="720"/>
        <w:jc w:val="both"/>
        <w:rPr>
          <w:rFonts w:ascii="Arial" w:eastAsia="Calibri" w:hAnsi="Arial" w:cs="Arial"/>
          <w:bCs/>
          <w:noProof w:val="0"/>
        </w:rPr>
      </w:pPr>
      <w:proofErr w:type="spellStart"/>
      <w:r w:rsidRPr="004F3A47">
        <w:rPr>
          <w:rFonts w:ascii="Arial" w:eastAsia="Calibri" w:hAnsi="Arial" w:cs="Arial"/>
          <w:bCs/>
          <w:noProof w:val="0"/>
        </w:rPr>
        <w:t>Бенефициерите</w:t>
      </w:r>
      <w:proofErr w:type="spellEnd"/>
      <w:r w:rsidRPr="004F3A47">
        <w:rPr>
          <w:rFonts w:ascii="Arial" w:eastAsia="Calibri" w:hAnsi="Arial" w:cs="Arial"/>
          <w:bCs/>
          <w:noProof w:val="0"/>
        </w:rPr>
        <w:t xml:space="preserve"> не могат да с</w:t>
      </w:r>
      <w:r w:rsidR="009475EC">
        <w:rPr>
          <w:rFonts w:ascii="Arial" w:eastAsia="Calibri" w:hAnsi="Arial" w:cs="Arial"/>
          <w:bCs/>
          <w:noProof w:val="0"/>
        </w:rPr>
        <w:t>к</w:t>
      </w:r>
      <w:r w:rsidRPr="004F3A47">
        <w:rPr>
          <w:rFonts w:ascii="Arial" w:eastAsia="Calibri" w:hAnsi="Arial" w:cs="Arial"/>
          <w:bCs/>
          <w:noProof w:val="0"/>
        </w:rPr>
        <w:t xml:space="preserve">лючват договори с оференти, които са свързани лица по смисъла на § 1, т. 13 и 14 от допълнителните разпоредби на Закона за публичното предлагане на ценни книжа, с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или с член на неговия управителен или контролен орган.</w:t>
      </w:r>
    </w:p>
    <w:p w14:paraId="4AEC51A9"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срок до 5 работни дни от сключване на договор с избрания изпълнител,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представя чрез ИСУН 2020 на УО на ПМДР цялата документация по проведения избор, за извършване на последващ контрол за законосъобразност на проведената процедура за избор </w:t>
      </w:r>
      <w:r w:rsidRPr="004F3A47">
        <w:rPr>
          <w:rFonts w:ascii="Arial" w:eastAsia="Calibri" w:hAnsi="Arial" w:cs="Arial"/>
          <w:b/>
          <w:bCs/>
          <w:noProof w:val="0"/>
        </w:rPr>
        <w:t>на изпълнител “чрез представяне на поне две съпоставими независими оферти“</w:t>
      </w:r>
      <w:r w:rsidRPr="004F3A47">
        <w:rPr>
          <w:rFonts w:ascii="Arial" w:eastAsia="Calibri" w:hAnsi="Arial" w:cs="Arial"/>
          <w:noProof w:val="0"/>
        </w:rPr>
        <w:t xml:space="preserve"> </w:t>
      </w:r>
      <w:r w:rsidRPr="004F3A47">
        <w:rPr>
          <w:rFonts w:ascii="Arial" w:eastAsia="Calibri" w:hAnsi="Arial" w:cs="Arial"/>
          <w:b/>
          <w:bCs/>
          <w:noProof w:val="0"/>
        </w:rPr>
        <w:t xml:space="preserve">като задължително го уведомява за това чрез модул „Комуникация“. </w:t>
      </w:r>
      <w:r w:rsidRPr="004F3A47">
        <w:rPr>
          <w:rFonts w:ascii="Arial" w:eastAsia="Calibri" w:hAnsi="Arial" w:cs="Arial"/>
          <w:bCs/>
          <w:noProof w:val="0"/>
        </w:rPr>
        <w:t xml:space="preserve">В този случай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представя на УО на ПМДР, чрез ИСУН 2020, минимум следните документи: </w:t>
      </w:r>
    </w:p>
    <w:p w14:paraId="6705A4F2"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събраните поне 2 оферти;</w:t>
      </w:r>
    </w:p>
    <w:p w14:paraId="5E95CEF9"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обосновка в свободен текст за направения избор на база на събраните оферти;</w:t>
      </w:r>
    </w:p>
    <w:p w14:paraId="34321859"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документите доказващи, че оферентът отговаря на кумулативните изисквания, посочени по-горе.;</w:t>
      </w:r>
    </w:p>
    <w:p w14:paraId="00DCEBC6" w14:textId="77777777" w:rsidR="004F3A47" w:rsidRPr="004F3A47" w:rsidRDefault="004F3A47" w:rsidP="003B19D2">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сключен договор, предметът и параметрите на който трябва да съответстват на избраната оферта.</w:t>
      </w:r>
    </w:p>
    <w:p w14:paraId="364DAB73"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УО осъществява последващ контрол на проведената/</w:t>
      </w:r>
      <w:proofErr w:type="spellStart"/>
      <w:r w:rsidRPr="004F3A47">
        <w:rPr>
          <w:rFonts w:ascii="Arial" w:eastAsia="Calibri" w:hAnsi="Arial" w:cs="Arial"/>
          <w:bCs/>
          <w:noProof w:val="0"/>
        </w:rPr>
        <w:t>ите</w:t>
      </w:r>
      <w:proofErr w:type="spellEnd"/>
      <w:r w:rsidRPr="004F3A47">
        <w:rPr>
          <w:rFonts w:ascii="Arial" w:eastAsia="Calibri" w:hAnsi="Arial" w:cs="Arial"/>
          <w:bCs/>
          <w:noProof w:val="0"/>
        </w:rPr>
        <w:t xml:space="preserve"> от </w:t>
      </w:r>
      <w:proofErr w:type="spellStart"/>
      <w:r w:rsidRPr="004F3A47">
        <w:rPr>
          <w:rFonts w:ascii="Arial" w:eastAsia="Calibri" w:hAnsi="Arial" w:cs="Arial"/>
          <w:bCs/>
          <w:noProof w:val="0"/>
        </w:rPr>
        <w:t>бенефициерите</w:t>
      </w:r>
      <w:proofErr w:type="spellEnd"/>
      <w:r w:rsidRPr="004F3A47">
        <w:rPr>
          <w:rFonts w:ascii="Arial" w:eastAsia="Calibri" w:hAnsi="Arial" w:cs="Arial"/>
          <w:bCs/>
          <w:noProof w:val="0"/>
        </w:rPr>
        <w:t xml:space="preserve"> процедура/и за възлагане на обществена поръчка на етап сключен от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договор с избрания изпълнител.</w:t>
      </w:r>
    </w:p>
    <w:p w14:paraId="5CB72E2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 случай на необходимост, УО на ПМДР изисква от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допълнителни документи/информация и разяснения във връзка с представената документация, по процедурите по букви А и Б. Искането за разяснение се изпраща чрез ИСУН 2020 посредством електронния профил на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Срокът за представяне на допълнителни документи/информация е 10 дни от датата на изпращане на искането.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представя липсващите документи по електронен път чрез ИСУН 2020. </w:t>
      </w:r>
      <w:r w:rsidRPr="004F3A47">
        <w:rPr>
          <w:rFonts w:ascii="Arial" w:eastAsia="Calibri" w:hAnsi="Arial" w:cs="Arial"/>
          <w:bCs/>
          <w:noProof w:val="0"/>
        </w:rPr>
        <w:lastRenderedPageBreak/>
        <w:t>Допълнителна информация и документи могат да бъдат предоставена само по искане на УО на ПМДР.</w:t>
      </w:r>
    </w:p>
    <w:p w14:paraId="7A7339A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Когато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не е представил изисканите допълнителни документи/информация и разяснения в посочения по-горе срок, УО на ПМДР ще предостави повторна възможност на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за предоставяне на същата в срок от 5 работни дни. В случай че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не предостави и в този срок изисканите допълнителни документи/информация и разяснения, УО на ПМДР ще се произнесе на база на наличната представена документация от проведения избор за изпълнител/и.</w:t>
      </w:r>
    </w:p>
    <w:p w14:paraId="3177BC8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случай на установяване на нередности по смисъла на чл. 2, т. 36 и 38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(ЕС) № 1303/2013) в проведената процедура, УО на ПМДР налага финансова корекция по реда на чл. 70 и следващите от ЗУСЕСИФ.</w:t>
      </w:r>
    </w:p>
    <w:p w14:paraId="59890A85"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Правата и задълженията, които възникват за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са описани в приложения образец на Административен договор за безвъзмездна финансова помощ по „Програма за морско дело и рибарство” 2014-2020 </w:t>
      </w:r>
      <w:r w:rsidRPr="000724B8">
        <w:rPr>
          <w:rFonts w:ascii="Arial" w:eastAsia="Calibri" w:hAnsi="Arial" w:cs="Arial"/>
          <w:bCs/>
          <w:noProof w:val="0"/>
        </w:rPr>
        <w:t>(Приложение № 8).</w:t>
      </w:r>
    </w:p>
    <w:p w14:paraId="79656AF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На основание чл. 69, ал. 6 от ЗУСЕСИФ, във връзка с провеждане на процедурата за предоставяне на безвъзмездна финансова помощ, и/или при изпълнение, съответно отчитане на проекта, всеки кандидат/</w:t>
      </w:r>
      <w:proofErr w:type="spellStart"/>
      <w:r w:rsidRPr="004F3A47">
        <w:rPr>
          <w:rFonts w:ascii="Arial" w:eastAsia="Calibri" w:hAnsi="Arial" w:cs="Arial"/>
          <w:bCs/>
          <w:noProof w:val="0"/>
        </w:rPr>
        <w:t>бенефициер</w:t>
      </w:r>
      <w:proofErr w:type="spellEnd"/>
      <w:r w:rsidRPr="004F3A47">
        <w:rPr>
          <w:rFonts w:ascii="Arial" w:eastAsia="Calibri" w:hAnsi="Arial" w:cs="Arial"/>
          <w:bCs/>
          <w:noProof w:val="0"/>
        </w:rPr>
        <w:t xml:space="preserve"> може да подаде сигнал за наличие на нередности и/или измами или съмнение за нередности и/или измами по реда и при условията, установени в акта по чл. 69, ал. 6 от ЗУСЕСИФ - Наредбата за администриране на нередности по Европейските структурни и инвестиционни фондове, приета с Постановление № 173 на Министерския съвет от 2016 г. (ДВ, бр. 57 от 2016г.) и съобразно подписаната от него Декларация за нередности по образец.</w:t>
      </w:r>
    </w:p>
    <w:p w14:paraId="42C5F0C8"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когато проекта е свързан с придобиването на патент, полезен модел или ноу-хау, не се изискват две независими, съпоставими и конкурентни оферти.</w:t>
      </w:r>
    </w:p>
    <w:p w14:paraId="3EB2FB2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Следва да се има предвид, че когато се придобива патент или полезен модел за иновация се представят документи от Патентното ведомство на Република България за тяхното доказване: патент за изобретение или свидетелство за регистрация на полезен модел за иновацията, внедрявана по проекта.</w:t>
      </w:r>
    </w:p>
    <w:p w14:paraId="7359E07B"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lastRenderedPageBreak/>
        <w:t>В случаите, когато се придобива ноу-хау, също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w:t>
      </w:r>
      <w:r w:rsidR="0010695F">
        <w:rPr>
          <w:rFonts w:ascii="Arial" w:eastAsia="Calibri" w:hAnsi="Arial" w:cs="Arial"/>
          <w:bCs/>
          <w:noProof w:val="0"/>
        </w:rPr>
        <w:t>бва да са с декларативен хара</w:t>
      </w:r>
      <w:r w:rsidRPr="004F3A47">
        <w:rPr>
          <w:rFonts w:ascii="Arial" w:eastAsia="Calibri" w:hAnsi="Arial" w:cs="Arial"/>
          <w:bCs/>
          <w:noProof w:val="0"/>
        </w:rPr>
        <w:t>ктер, а да съдържат оценка за иновативния продукт/процес/съоръжения и да доказват неговата иновативност.</w:t>
      </w:r>
    </w:p>
    <w:p w14:paraId="5A05BC4D"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При придобиване на ноу-хау, следва изрично да се посочи кой е притежателя му –юридическо лице или физическо/и лице/а в трудово-правни отношения със същото юридическо лице.</w:t>
      </w:r>
    </w:p>
    <w:p w14:paraId="2915CC49" w14:textId="77777777" w:rsidR="003B19D2" w:rsidRP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Следва да се има предвид, че предметът на лицензионният договор се ограничава само и единствено до придобиване на права на интелектуална собственост, а не до придобиване на оборудване и съоръжения. За всички останали случаи, например ако се предвижда придобиване на ново оборудване (ДМА), необходимо за внедряване на иновативен продукт или процес, задължително се съблюдават изискванията на т. 1.1. Процедури за избор на изпълнител.</w:t>
      </w:r>
    </w:p>
    <w:p w14:paraId="444ADF17" w14:textId="77777777" w:rsidR="003B19D2"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 xml:space="preserve">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w:t>
      </w:r>
      <w:proofErr w:type="spellStart"/>
      <w:r w:rsidRPr="003B19D2">
        <w:rPr>
          <w:rFonts w:ascii="Arial" w:eastAsia="Calibri" w:hAnsi="Arial" w:cs="Arial"/>
          <w:bCs/>
          <w:noProof w:val="0"/>
        </w:rPr>
        <w:t>разходо</w:t>
      </w:r>
      <w:proofErr w:type="spellEnd"/>
      <w:r w:rsidRPr="003B19D2">
        <w:rPr>
          <w:rFonts w:ascii="Arial" w:eastAsia="Calibri" w:hAnsi="Arial" w:cs="Arial"/>
          <w:bCs/>
          <w:noProof w:val="0"/>
        </w:rPr>
        <w:t>-оправдателни документи. Представя се документ (уведомление/удостоверение) от Патентното ведомство, че договора е вписан в техният регистър.</w:t>
      </w:r>
    </w:p>
    <w:p w14:paraId="075D55A4" w14:textId="77777777" w:rsidR="003B19D2" w:rsidRPr="004F3A47" w:rsidRDefault="003B19D2" w:rsidP="003B19D2">
      <w:pPr>
        <w:spacing w:before="120" w:after="120" w:line="360" w:lineRule="auto"/>
        <w:ind w:firstLine="720"/>
        <w:jc w:val="both"/>
        <w:rPr>
          <w:rFonts w:ascii="Arial" w:eastAsia="Calibri" w:hAnsi="Arial" w:cs="Arial"/>
          <w:bCs/>
          <w:noProof w:val="0"/>
        </w:rPr>
      </w:pPr>
      <w:r w:rsidRPr="003B19D2">
        <w:rPr>
          <w:rFonts w:ascii="Arial" w:eastAsia="Calibri" w:hAnsi="Arial" w:cs="Arial"/>
          <w:bCs/>
          <w:noProof w:val="0"/>
        </w:rPr>
        <w:t>Необходимо е да се има предвид, че когато дадена иновация е разработена благодарение на финансиране с публични средства, то резултатите от прилагането й са общодостъпни. Авторите на създадените патентоспособни изобретения и полезните модели, разработени при тези условия, не могат да получат права върху тях като не се засяга тяхното право да бъдат посочени като негови изобретатели.</w:t>
      </w:r>
    </w:p>
    <w:p w14:paraId="22AB37B7" w14:textId="77777777" w:rsidR="004F3A47" w:rsidRPr="004F3A47" w:rsidRDefault="004F3A47" w:rsidP="004F3A47">
      <w:pPr>
        <w:spacing w:before="120" w:after="120" w:line="360" w:lineRule="auto"/>
        <w:jc w:val="both"/>
        <w:rPr>
          <w:rFonts w:ascii="Arial" w:eastAsia="Calibri" w:hAnsi="Arial" w:cs="Arial"/>
          <w:bCs/>
          <w:noProof w:val="0"/>
        </w:rPr>
      </w:pPr>
    </w:p>
    <w:p w14:paraId="1D8537BB"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1.2. Изменения и/или допълнение на административен договор за предоставяне на безвъзмездна финансова помощ</w:t>
      </w:r>
    </w:p>
    <w:p w14:paraId="1AB7C904"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Измененията и/или допълненията на договора и проекта се извършват чрез сключването на допълнителни споразумения към него, по инициатива на Управляващия орган или на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при условията на чл. 39 от ЗУСЕСИФ</w:t>
      </w:r>
      <w:r w:rsidRPr="004F3A47">
        <w:rPr>
          <w:rFonts w:ascii="Arial" w:eastAsia="Calibri" w:hAnsi="Arial" w:cs="Arial"/>
          <w:noProof w:val="0"/>
        </w:rPr>
        <w:t xml:space="preserve"> </w:t>
      </w:r>
      <w:r w:rsidR="00342A0C">
        <w:rPr>
          <w:rFonts w:ascii="Arial" w:eastAsia="Calibri" w:hAnsi="Arial" w:cs="Arial"/>
          <w:bCs/>
          <w:noProof w:val="0"/>
        </w:rPr>
        <w:t xml:space="preserve">и раздел VIII </w:t>
      </w:r>
      <w:r w:rsidRPr="004F3A47">
        <w:rPr>
          <w:rFonts w:ascii="Arial" w:eastAsia="Calibri" w:hAnsi="Arial" w:cs="Arial"/>
          <w:bCs/>
          <w:noProof w:val="0"/>
        </w:rPr>
        <w:t>от Общите условия. Допълнителното споразумение не може да нарушава конкурентните условия, съществуващи към момента на сключване на административния договор и равното третиране на кандидатите.</w:t>
      </w:r>
    </w:p>
    <w:p w14:paraId="17A76E41" w14:textId="77777777" w:rsidR="004F3A47" w:rsidRPr="004F3A47" w:rsidRDefault="004F3A47" w:rsidP="004F3A47">
      <w:pPr>
        <w:spacing w:before="120" w:after="120" w:line="360" w:lineRule="auto"/>
        <w:jc w:val="both"/>
        <w:rPr>
          <w:rFonts w:ascii="Arial" w:eastAsia="Calibri" w:hAnsi="Arial" w:cs="Arial"/>
          <w:b/>
          <w:bCs/>
          <w:noProof w:val="0"/>
        </w:rPr>
      </w:pPr>
    </w:p>
    <w:p w14:paraId="0D3D7840"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
          <w:bCs/>
          <w:noProof w:val="0"/>
        </w:rPr>
        <w:t>1.3. Проверки за удостоверяване на административните, финансовите, техническите и физическите аспекти от изпълнението на одобрените проекти.</w:t>
      </w:r>
    </w:p>
    <w:p w14:paraId="0A3AF16A"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Съгласно правилата на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(Регламент № 1303/2013) и Споразумението за делегиране на функции от УО на ПМДР на Междинното звено (МЗ) - Държавен фонд „Земеделие“-Разплащателна агенция (ДФЗ-РА), последната следва да извърши проверки за удостоверяване на административните, финансовите, техническите и физическите аспекти от изпълнението на одобрените проекти. Проверките могат да бъдат както административни – проверка на документи, така и проверки на място за изпълнение на дейностите, заложени по одобрения проект.</w:t>
      </w:r>
    </w:p>
    <w:p w14:paraId="124C31E6"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Управляващият орган на ПМДР извършва </w:t>
      </w:r>
      <w:r w:rsidR="003155A4">
        <w:rPr>
          <w:rFonts w:ascii="Arial" w:eastAsia="Calibri" w:hAnsi="Arial" w:cs="Arial"/>
          <w:bCs/>
          <w:noProof w:val="0"/>
        </w:rPr>
        <w:t xml:space="preserve">задължителни </w:t>
      </w:r>
      <w:r w:rsidRPr="004F3A47">
        <w:rPr>
          <w:rFonts w:ascii="Arial" w:eastAsia="Calibri" w:hAnsi="Arial" w:cs="Arial"/>
          <w:bCs/>
          <w:noProof w:val="0"/>
        </w:rPr>
        <w:t>проверки преди подписване на договори</w:t>
      </w:r>
      <w:r w:rsidR="003155A4">
        <w:rPr>
          <w:rFonts w:ascii="Arial" w:eastAsia="Calibri" w:hAnsi="Arial" w:cs="Arial"/>
          <w:bCs/>
          <w:noProof w:val="0"/>
        </w:rPr>
        <w:t>. МИРГ извършва</w:t>
      </w:r>
      <w:r w:rsidRPr="004F3A47">
        <w:rPr>
          <w:rFonts w:ascii="Arial" w:eastAsia="Calibri" w:hAnsi="Arial" w:cs="Arial"/>
          <w:bCs/>
          <w:noProof w:val="0"/>
        </w:rPr>
        <w:t xml:space="preserve"> мониторингови проверки</w:t>
      </w:r>
      <w:r w:rsidR="003155A4" w:rsidRPr="003155A4">
        <w:rPr>
          <w:rFonts w:ascii="Arial" w:eastAsia="Calibri" w:hAnsi="Arial" w:cs="Arial"/>
          <w:bCs/>
          <w:noProof w:val="0"/>
        </w:rPr>
        <w:t xml:space="preserve"> на изпълнените проекти на база извадка (проверките са административни и проверки на място)</w:t>
      </w:r>
      <w:r w:rsidRPr="004F3A47">
        <w:rPr>
          <w:rFonts w:ascii="Arial" w:eastAsia="Calibri" w:hAnsi="Arial" w:cs="Arial"/>
          <w:bCs/>
          <w:noProof w:val="0"/>
        </w:rPr>
        <w:t>.</w:t>
      </w:r>
    </w:p>
    <w:p w14:paraId="1022F57C" w14:textId="77777777" w:rsid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Междинното звено – ДФЗ-РА извършва административни проверки и проверки на място преди плащане по реда установен в т. 2 от настоящите условия.</w:t>
      </w:r>
    </w:p>
    <w:p w14:paraId="283060FA" w14:textId="77777777" w:rsidR="00342A0C" w:rsidRPr="004F3A47" w:rsidRDefault="00342A0C" w:rsidP="004F3A47">
      <w:pPr>
        <w:spacing w:before="120" w:after="120" w:line="360" w:lineRule="auto"/>
        <w:ind w:firstLine="720"/>
        <w:jc w:val="both"/>
        <w:rPr>
          <w:rFonts w:ascii="Arial" w:eastAsia="Calibri" w:hAnsi="Arial" w:cs="Arial"/>
          <w:bCs/>
          <w:noProof w:val="0"/>
        </w:rPr>
      </w:pPr>
      <w:proofErr w:type="spellStart"/>
      <w:r w:rsidRPr="00342A0C">
        <w:rPr>
          <w:rFonts w:ascii="Arial" w:eastAsia="Calibri" w:hAnsi="Arial" w:cs="Arial"/>
          <w:bCs/>
          <w:noProof w:val="0"/>
        </w:rPr>
        <w:t>Бенефициерът</w:t>
      </w:r>
      <w:proofErr w:type="spellEnd"/>
      <w:r w:rsidRPr="00342A0C">
        <w:rPr>
          <w:rFonts w:ascii="Arial" w:eastAsia="Calibri" w:hAnsi="Arial" w:cs="Arial"/>
          <w:bCs/>
          <w:noProof w:val="0"/>
        </w:rPr>
        <w:t xml:space="preserve"> следва в срок от 10 дни преди провеждане на информационна кампания да уведоми УО на ПМДР, за да бъде планирано посещение на място.</w:t>
      </w:r>
    </w:p>
    <w:p w14:paraId="630522DF" w14:textId="77777777" w:rsidR="00342A0C"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При подаване на искане за междинно/окончателно плащане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предоставя чрез ИСУН 2020 и междинен/финален отчет за изпълнението на проекта, ДФЗ-РА ще извършва задължителни проверки, като в случай</w:t>
      </w:r>
      <w:r w:rsidR="00342A0C">
        <w:rPr>
          <w:rFonts w:ascii="Arial" w:eastAsia="Calibri" w:hAnsi="Arial" w:cs="Arial"/>
          <w:bCs/>
          <w:noProof w:val="0"/>
        </w:rPr>
        <w:t>,</w:t>
      </w:r>
      <w:r w:rsidRPr="004F3A47">
        <w:rPr>
          <w:rFonts w:ascii="Arial" w:eastAsia="Calibri" w:hAnsi="Arial" w:cs="Arial"/>
          <w:bCs/>
          <w:noProof w:val="0"/>
        </w:rPr>
        <w:t xml:space="preserve"> че бъдат констатирани несъответствия, разходите за съответните дейности няма да бъдат признати, като ще бъдат прилагани съответни</w:t>
      </w:r>
      <w:r w:rsidR="00342A0C">
        <w:rPr>
          <w:rFonts w:ascii="Arial" w:eastAsia="Calibri" w:hAnsi="Arial" w:cs="Arial"/>
          <w:bCs/>
          <w:noProof w:val="0"/>
        </w:rPr>
        <w:t xml:space="preserve"> европейски и национални норми.</w:t>
      </w:r>
    </w:p>
    <w:p w14:paraId="5717ACD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Кандидатът е задължен да осигури директен достъп (както по време на изпълнението на проекта, така и след неговото приключване) на представители на Управляващия орган, Междинното звено на Управляващия орган и/или други одитиращи институции с цел извършването на проверка на място на резултатите от изпълнението на проекта.</w:t>
      </w:r>
    </w:p>
    <w:p w14:paraId="424F6AAF" w14:textId="77777777" w:rsidR="004F3A47" w:rsidRPr="004F3A47" w:rsidRDefault="004F3A47" w:rsidP="004F3A47">
      <w:pPr>
        <w:spacing w:before="120" w:after="120" w:line="360" w:lineRule="auto"/>
        <w:ind w:firstLine="720"/>
        <w:jc w:val="both"/>
        <w:rPr>
          <w:rFonts w:ascii="Arial" w:eastAsia="Calibri" w:hAnsi="Arial" w:cs="Arial"/>
          <w:bCs/>
          <w:noProof w:val="0"/>
        </w:rPr>
      </w:pPr>
      <w:proofErr w:type="spellStart"/>
      <w:r w:rsidRPr="004F3A47">
        <w:rPr>
          <w:rFonts w:ascii="Arial" w:eastAsia="Calibri" w:hAnsi="Arial" w:cs="Arial"/>
          <w:bCs/>
          <w:noProof w:val="0"/>
        </w:rPr>
        <w:lastRenderedPageBreak/>
        <w:t>Бенефициерът</w:t>
      </w:r>
      <w:proofErr w:type="spellEnd"/>
      <w:r w:rsidRPr="004F3A47">
        <w:rPr>
          <w:rFonts w:ascii="Arial" w:eastAsia="Calibri" w:hAnsi="Arial" w:cs="Arial"/>
          <w:bCs/>
          <w:noProof w:val="0"/>
        </w:rPr>
        <w:t xml:space="preserve"> е задължен да докладва и отчита изпълнението на проекта в съответните отчетни форми и документи чрез ИСУН 2020.</w:t>
      </w:r>
    </w:p>
    <w:p w14:paraId="7BBC9197"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eastAsia="bg-BG"/>
        </w:rPr>
        <w:drawing>
          <wp:inline distT="0" distB="0" distL="0" distR="0" wp14:anchorId="108534B0" wp14:editId="61430340">
            <wp:extent cx="587221" cy="273304"/>
            <wp:effectExtent l="57150" t="0" r="41910" b="1079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 xml:space="preserve">В случай на неизпълнение на индикаторите за резултати, заложени в проектното предложение, на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могат да бъдат наложени финансови корекции, съгласно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ПМС № 57 от 28 март 2017г. (Обн., ДВ, бр. 57 от 2017 г.).</w:t>
      </w:r>
    </w:p>
    <w:p w14:paraId="0C2A3BC7"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4B4406C0"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2. Финансово изпълнение на проектите и плащане.</w:t>
      </w:r>
    </w:p>
    <w:p w14:paraId="0BC3DC34"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Всички допустими разходи (надлежно доказани със съответната фактура или друг счетоводен документ с еквивалентна доказателствена стойност) могат да бъдат представени за плащане само веднъж,  – т.е. разходите не могат да бъдат заявявани и за тях не може да бъде предоставена безвъзмездна финансова помощ, вкл. по други проекти и по други програми.</w:t>
      </w:r>
    </w:p>
    <w:p w14:paraId="73E3724E" w14:textId="77777777" w:rsidR="004F3A47" w:rsidRPr="004F3A47" w:rsidRDefault="004F3A47" w:rsidP="004F3A47">
      <w:pPr>
        <w:spacing w:before="120" w:after="120" w:line="360" w:lineRule="auto"/>
        <w:ind w:firstLine="720"/>
        <w:jc w:val="both"/>
        <w:rPr>
          <w:rFonts w:ascii="Arial" w:eastAsia="Calibri" w:hAnsi="Arial" w:cs="Arial"/>
          <w:bCs/>
          <w:noProof w:val="0"/>
        </w:rPr>
      </w:pP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е задължен да поддържа отделни счетоводни аналитични сметка/</w:t>
      </w:r>
      <w:proofErr w:type="spellStart"/>
      <w:r w:rsidRPr="004F3A47">
        <w:rPr>
          <w:rFonts w:ascii="Arial" w:eastAsia="Calibri" w:hAnsi="Arial" w:cs="Arial"/>
          <w:bCs/>
          <w:noProof w:val="0"/>
        </w:rPr>
        <w:t>подсметка</w:t>
      </w:r>
      <w:proofErr w:type="spellEnd"/>
      <w:r w:rsidRPr="004F3A47">
        <w:rPr>
          <w:rFonts w:ascii="Arial" w:eastAsia="Calibri" w:hAnsi="Arial" w:cs="Arial"/>
          <w:bCs/>
          <w:noProof w:val="0"/>
        </w:rPr>
        <w:t xml:space="preserve"> или отделна счетоводна система за допустимите разходи по проекта/</w:t>
      </w:r>
      <w:proofErr w:type="spellStart"/>
      <w:r w:rsidRPr="004F3A47">
        <w:rPr>
          <w:rFonts w:ascii="Arial" w:eastAsia="Calibri" w:hAnsi="Arial" w:cs="Arial"/>
          <w:bCs/>
          <w:noProof w:val="0"/>
        </w:rPr>
        <w:t>ите</w:t>
      </w:r>
      <w:proofErr w:type="spellEnd"/>
      <w:r w:rsidRPr="004F3A47">
        <w:rPr>
          <w:rFonts w:ascii="Arial" w:eastAsia="Calibri" w:hAnsi="Arial" w:cs="Arial"/>
          <w:bCs/>
          <w:noProof w:val="0"/>
        </w:rPr>
        <w:t xml:space="preserve"> и използването на средствата от безвъзмездната финансова помощ, съгласно изискванията на чл. 57, ал. 1, т.5 от ЗУСЕСИФ.</w:t>
      </w:r>
    </w:p>
    <w:p w14:paraId="77A51C1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Максималният размер на безвъзмездната финансова помощ задължително се посочва в административния договор за безвъзмездна финансова помощ. Този размер се основава на бюджета, формиран на база предварителната оценка на размера на допустимите разходи, необходими за изпълнението на проекта. Фиксираният в административния договор размер на безвъзмездната финансова помощ е максимален, но действителният размер на подлежащата на изплащане помощ се определя след приключване на всички допустими дейности по проекта и зависи от тяхното надлежно удостоверяване и одобряване на действително извършените разходи.</w:t>
      </w:r>
    </w:p>
    <w:p w14:paraId="14344F18" w14:textId="77777777" w:rsidR="00A7497E" w:rsidRDefault="00A7497E" w:rsidP="00A7497E">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Недопустими са промени в бюджета на одобрения проект, водещи до увеличаване на първоначално договорения процент и размер на безвъзмездната финансова помощ по договора.</w:t>
      </w:r>
    </w:p>
    <w:p w14:paraId="35CAF50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Кандидатите следва да вземат под внимание Указание на УО на ПМДР за регламентиране и отчитане на възнагражденията на екипите за изпълнение на проекти, </w:t>
      </w:r>
      <w:r w:rsidRPr="004F3A47">
        <w:rPr>
          <w:rFonts w:ascii="Arial" w:eastAsia="Calibri" w:hAnsi="Arial" w:cs="Arial"/>
          <w:bCs/>
          <w:noProof w:val="0"/>
        </w:rPr>
        <w:lastRenderedPageBreak/>
        <w:t xml:space="preserve">което е публикувано и може да бъде намерено на следния интернет адрес: </w:t>
      </w:r>
      <w:hyperlink r:id="rId10" w:history="1">
        <w:r w:rsidRPr="004F3A47">
          <w:rPr>
            <w:rFonts w:ascii="Arial" w:eastAsia="Calibri" w:hAnsi="Arial" w:cs="Arial"/>
            <w:bCs/>
            <w:i/>
            <w:noProof w:val="0"/>
            <w:color w:val="0563C1"/>
            <w:u w:val="single"/>
          </w:rPr>
          <w:t>https://www.eufunds.bg/bg/pmdr/node/5279</w:t>
        </w:r>
      </w:hyperlink>
      <w:r w:rsidRPr="004F3A47">
        <w:rPr>
          <w:rFonts w:ascii="Arial" w:eastAsia="Calibri" w:hAnsi="Arial" w:cs="Arial"/>
          <w:bCs/>
          <w:i/>
          <w:noProof w:val="0"/>
        </w:rPr>
        <w:t>.</w:t>
      </w:r>
    </w:p>
    <w:p w14:paraId="4626046D" w14:textId="77777777" w:rsidR="004F3A47" w:rsidRP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eastAsia="bg-BG"/>
        </w:rPr>
        <w:drawing>
          <wp:inline distT="0" distB="0" distL="0" distR="0" wp14:anchorId="62E09ABF" wp14:editId="5D9D6BD3">
            <wp:extent cx="587221" cy="273304"/>
            <wp:effectExtent l="57150" t="0" r="41910" b="107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w:t>
      </w:r>
      <w:r w:rsidRPr="004F3A47">
        <w:rPr>
          <w:rFonts w:ascii="Arial" w:eastAsia="Calibri" w:hAnsi="Arial" w:cs="Arial"/>
          <w:noProof w:val="0"/>
        </w:rPr>
        <w:t xml:space="preserve"> (</w:t>
      </w:r>
      <w:r w:rsidRPr="004F3A47">
        <w:rPr>
          <w:rFonts w:ascii="Arial" w:eastAsia="Calibri" w:hAnsi="Arial" w:cs="Arial"/>
          <w:bCs/>
          <w:noProof w:val="0"/>
        </w:rPr>
        <w:t xml:space="preserve">Регламент (ЕО, ЕВРАТОМ) № 2988/95), безвъзмездната финансов помощ не се изплаща, а изплатената финансова помощ подлежи на възстановяване от </w:t>
      </w:r>
      <w:proofErr w:type="spellStart"/>
      <w:r w:rsidRPr="004F3A47">
        <w:rPr>
          <w:rFonts w:ascii="Arial" w:eastAsia="Calibri" w:hAnsi="Arial" w:cs="Arial"/>
          <w:bCs/>
          <w:noProof w:val="0"/>
        </w:rPr>
        <w:t>бенефициер</w:t>
      </w:r>
      <w:proofErr w:type="spellEnd"/>
      <w:r w:rsidRPr="004F3A47">
        <w:rPr>
          <w:rFonts w:ascii="Arial" w:eastAsia="Calibri" w:hAnsi="Arial" w:cs="Arial"/>
          <w:bCs/>
          <w:noProof w:val="0"/>
        </w:rPr>
        <w:t>,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14:paraId="3B849401"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По настоящата процедура за предоставяне на безвъзмездна финансова помощ се предвиждат следните видове плащане: авансово, междинно и окончателно, като редът, условията и сроковете за тяхното извършване са определени в административния договор</w:t>
      </w:r>
      <w:r w:rsidRPr="004F3A47">
        <w:rPr>
          <w:rFonts w:ascii="Calibri" w:eastAsia="Calibri" w:hAnsi="Calibri" w:cs="Calibri"/>
          <w:noProof w:val="0"/>
        </w:rPr>
        <w:t xml:space="preserve"> </w:t>
      </w:r>
      <w:r w:rsidRPr="004F3A47">
        <w:rPr>
          <w:rFonts w:ascii="Arial" w:eastAsia="Calibri" w:hAnsi="Arial" w:cs="Arial"/>
          <w:bCs/>
          <w:noProof w:val="0"/>
        </w:rPr>
        <w:t>и Общите условия към него.</w:t>
      </w:r>
    </w:p>
    <w:p w14:paraId="682EAC00"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Исканията за авансово, междинно и окончателно плащане на кандидата се подават по ред, условия и в срок определени в административния договор.</w:t>
      </w:r>
    </w:p>
    <w:p w14:paraId="61895A55" w14:textId="77777777" w:rsidR="004F3A47" w:rsidRPr="00F001FC" w:rsidRDefault="004F3A47" w:rsidP="004F3A47">
      <w:pPr>
        <w:spacing w:before="120" w:after="120" w:line="360" w:lineRule="auto"/>
        <w:jc w:val="both"/>
        <w:rPr>
          <w:rFonts w:ascii="Arial" w:eastAsia="Calibri" w:hAnsi="Arial" w:cs="Arial"/>
          <w:b/>
          <w:bCs/>
          <w:noProof w:val="0"/>
          <w:color w:val="0070C0"/>
        </w:rPr>
      </w:pPr>
    </w:p>
    <w:p w14:paraId="6D5B6304"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3. Мерки за информиране и публичност.</w:t>
      </w:r>
    </w:p>
    <w:p w14:paraId="65F27F1F"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Всички </w:t>
      </w:r>
      <w:proofErr w:type="spellStart"/>
      <w:r w:rsidRPr="004F3A47">
        <w:rPr>
          <w:rFonts w:ascii="Arial" w:eastAsia="Calibri" w:hAnsi="Arial" w:cs="Arial"/>
          <w:bCs/>
          <w:noProof w:val="0"/>
        </w:rPr>
        <w:t>бенефициери</w:t>
      </w:r>
      <w:proofErr w:type="spellEnd"/>
      <w:r w:rsidRPr="004F3A47">
        <w:rPr>
          <w:rFonts w:ascii="Arial" w:eastAsia="Calibri" w:hAnsi="Arial" w:cs="Arial"/>
          <w:bCs/>
          <w:noProof w:val="0"/>
        </w:rPr>
        <w:t xml:space="preserve"> трябва да прилагат подходящи мерки за публичност и информираност съгласно правилата на </w:t>
      </w:r>
      <w:r w:rsidR="00A7497E">
        <w:rPr>
          <w:rFonts w:ascii="Arial" w:eastAsia="Calibri" w:hAnsi="Arial" w:cs="Arial"/>
          <w:bCs/>
          <w:noProof w:val="0"/>
        </w:rPr>
        <w:t>Приложение XII от Регламент</w:t>
      </w:r>
      <w:r w:rsidRPr="004F3A47">
        <w:rPr>
          <w:rFonts w:ascii="Arial" w:eastAsia="Calibri" w:hAnsi="Arial" w:cs="Arial"/>
          <w:bCs/>
          <w:noProof w:val="0"/>
        </w:rPr>
        <w:t xml:space="preserve"> № 1303/2013.</w:t>
      </w:r>
    </w:p>
    <w:p w14:paraId="2303AD0B" w14:textId="77777777" w:rsidR="004F3A47" w:rsidRPr="004F3A47" w:rsidRDefault="004F3A47" w:rsidP="004F3A47">
      <w:pPr>
        <w:spacing w:before="120" w:after="120" w:line="360" w:lineRule="auto"/>
        <w:ind w:firstLine="720"/>
        <w:jc w:val="both"/>
        <w:rPr>
          <w:rFonts w:ascii="Arial" w:eastAsia="Calibri" w:hAnsi="Arial" w:cs="Arial"/>
          <w:bCs/>
          <w:noProof w:val="0"/>
        </w:rPr>
      </w:pPr>
      <w:proofErr w:type="spellStart"/>
      <w:r w:rsidRPr="004F3A47">
        <w:rPr>
          <w:rFonts w:ascii="Arial" w:eastAsia="Calibri" w:hAnsi="Arial" w:cs="Arial"/>
          <w:bCs/>
          <w:noProof w:val="0"/>
        </w:rPr>
        <w:t>Бенефициерите</w:t>
      </w:r>
      <w:proofErr w:type="spellEnd"/>
      <w:r w:rsidRPr="004F3A47">
        <w:rPr>
          <w:rFonts w:ascii="Arial" w:eastAsia="Calibri" w:hAnsi="Arial" w:cs="Arial"/>
          <w:bCs/>
          <w:noProof w:val="0"/>
        </w:rPr>
        <w:t xml:space="preserve"> са длъжни да упоменат финансовия принос на Европейския фонд за морско дело и рибарство (ЕФМДР) чрез МИРГ </w:t>
      </w:r>
      <w:r w:rsidR="00A7497E">
        <w:rPr>
          <w:rFonts w:ascii="Arial" w:eastAsia="Calibri" w:hAnsi="Arial" w:cs="Arial"/>
          <w:bCs/>
          <w:noProof w:val="0"/>
        </w:rPr>
        <w:t>Самоков</w:t>
      </w:r>
      <w:r w:rsidRPr="004F3A47">
        <w:rPr>
          <w:rFonts w:ascii="Arial" w:eastAsia="Calibri" w:hAnsi="Arial" w:cs="Arial"/>
          <w:bCs/>
          <w:noProof w:val="0"/>
        </w:rPr>
        <w:t xml:space="preserve"> по Програма за морско дело и рибарство 2014-2020 в информацията, изготвяна и предоставяна във връзка с изпълнението на проекта, във всички отчети за изпълнение на договора (междинни и финален), както и във всички други документи, отнасящи се до изпълнението на дадена дейност по проекта. Във всички обяви и публикации /в случай, че има такива/, свързани с изпълнението на проекта,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е длъжен да оповести, че проектът е получил финансиране от ЕФМДР чрез</w:t>
      </w:r>
      <w:r w:rsidRPr="004F3A47">
        <w:rPr>
          <w:rFonts w:ascii="Arial" w:eastAsia="Calibri" w:hAnsi="Arial" w:cs="Arial"/>
          <w:noProof w:val="0"/>
        </w:rPr>
        <w:t xml:space="preserve"> </w:t>
      </w:r>
      <w:r w:rsidRPr="004F3A47">
        <w:rPr>
          <w:rFonts w:ascii="Arial" w:eastAsia="Calibri" w:hAnsi="Arial" w:cs="Arial"/>
          <w:bCs/>
          <w:noProof w:val="0"/>
        </w:rPr>
        <w:t xml:space="preserve">МИРГ </w:t>
      </w:r>
      <w:r w:rsidR="00A7497E">
        <w:rPr>
          <w:rFonts w:ascii="Arial" w:eastAsia="Calibri" w:hAnsi="Arial" w:cs="Arial"/>
          <w:bCs/>
          <w:noProof w:val="0"/>
        </w:rPr>
        <w:t>Самоков</w:t>
      </w:r>
      <w:r w:rsidRPr="004F3A47">
        <w:rPr>
          <w:rFonts w:ascii="Arial" w:eastAsia="Calibri" w:hAnsi="Arial" w:cs="Arial"/>
          <w:bCs/>
          <w:noProof w:val="0"/>
        </w:rPr>
        <w:t xml:space="preserve"> по ПМДР.</w:t>
      </w:r>
    </w:p>
    <w:p w14:paraId="5F123E3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 xml:space="preserve">По време на изпълнението на даден проект </w:t>
      </w:r>
      <w:proofErr w:type="spellStart"/>
      <w:r w:rsidRPr="004F3A47">
        <w:rPr>
          <w:rFonts w:ascii="Arial" w:eastAsia="Calibri" w:hAnsi="Arial" w:cs="Arial"/>
          <w:bCs/>
          <w:noProof w:val="0"/>
        </w:rPr>
        <w:t>бенефициерът</w:t>
      </w:r>
      <w:proofErr w:type="spellEnd"/>
      <w:r w:rsidRPr="004F3A47">
        <w:rPr>
          <w:rFonts w:ascii="Arial" w:eastAsia="Calibri" w:hAnsi="Arial" w:cs="Arial"/>
          <w:bCs/>
          <w:noProof w:val="0"/>
        </w:rPr>
        <w:t xml:space="preserve"> информира обществеността за получената от ЕФМДР подкрепа като:</w:t>
      </w:r>
    </w:p>
    <w:p w14:paraId="59EA6953"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а) включва на интернет страницата си, когато такава съществува, кратко описание на проекта, пропорционално на равнището на подкрепа, включително на неговите цели и резултати, и откроява финансовата подкрепа от ЕС;</w:t>
      </w:r>
    </w:p>
    <w:p w14:paraId="10D773B7"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lastRenderedPageBreak/>
        <w:t>б) поставя минимум един плакат с информация за проекта (поне размер А3), в който се споменава финансовата подкрепа от ЕС, на видно за обществеността място, като например входа на сграда.</w:t>
      </w:r>
    </w:p>
    <w:p w14:paraId="347EEFCC"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Плакатът следва да съдържа следната текстова и визуална информация:</w:t>
      </w:r>
    </w:p>
    <w:p w14:paraId="04C2476B"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емблемата на ЕС и упоменаването „Европейски съюз“;</w:t>
      </w:r>
    </w:p>
    <w:p w14:paraId="2C3A9356"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-наименованието на </w:t>
      </w:r>
      <w:proofErr w:type="spellStart"/>
      <w:r w:rsidRPr="004F3A47">
        <w:rPr>
          <w:rFonts w:ascii="Arial" w:eastAsia="Calibri" w:hAnsi="Arial" w:cs="Arial"/>
          <w:bCs/>
          <w:noProof w:val="0"/>
        </w:rPr>
        <w:t>съфинансиращия</w:t>
      </w:r>
      <w:proofErr w:type="spellEnd"/>
      <w:r w:rsidRPr="004F3A47">
        <w:rPr>
          <w:rFonts w:ascii="Arial" w:eastAsia="Calibri" w:hAnsi="Arial" w:cs="Arial"/>
          <w:bCs/>
          <w:noProof w:val="0"/>
        </w:rPr>
        <w:t xml:space="preserve"> фонд - Европейски фонд за морско дело и рибарство;</w:t>
      </w:r>
    </w:p>
    <w:p w14:paraId="5E331E4F"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общото лого за програмен период 2014-2020 г.;</w:t>
      </w:r>
    </w:p>
    <w:p w14:paraId="6A1EB542"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наименованието на МИРГ </w:t>
      </w:r>
      <w:r w:rsidR="005301DC">
        <w:rPr>
          <w:rFonts w:ascii="Arial" w:eastAsia="Calibri" w:hAnsi="Arial" w:cs="Arial"/>
          <w:bCs/>
          <w:noProof w:val="0"/>
        </w:rPr>
        <w:t>Самоков</w:t>
      </w:r>
      <w:r w:rsidRPr="004F3A47">
        <w:rPr>
          <w:rFonts w:ascii="Arial" w:eastAsia="Calibri" w:hAnsi="Arial" w:cs="Arial"/>
          <w:bCs/>
          <w:noProof w:val="0"/>
        </w:rPr>
        <w:t>;</w:t>
      </w:r>
    </w:p>
    <w:p w14:paraId="371C88C8"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xml:space="preserve">- </w:t>
      </w:r>
      <w:bookmarkStart w:id="1" w:name="_Hlk530394371"/>
      <w:r w:rsidRPr="004F3A47">
        <w:rPr>
          <w:rFonts w:ascii="Arial" w:eastAsia="Calibri" w:hAnsi="Arial" w:cs="Arial"/>
          <w:bCs/>
          <w:noProof w:val="0"/>
        </w:rPr>
        <w:t xml:space="preserve">наименованието на </w:t>
      </w:r>
      <w:bookmarkEnd w:id="1"/>
      <w:r w:rsidRPr="004F3A47">
        <w:rPr>
          <w:rFonts w:ascii="Arial" w:eastAsia="Calibri" w:hAnsi="Arial" w:cs="Arial"/>
          <w:bCs/>
          <w:noProof w:val="0"/>
        </w:rPr>
        <w:t>Програма за морско дело и рибарство 2014-2020;</w:t>
      </w:r>
    </w:p>
    <w:p w14:paraId="5CB83865"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наименованието на проекта;</w:t>
      </w:r>
    </w:p>
    <w:p w14:paraId="22586F6F"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общата стойност на проекта, както и размера на европейското и националното съфинансиране, представени в български лева;</w:t>
      </w:r>
    </w:p>
    <w:p w14:paraId="35B7A8A7" w14:textId="77777777" w:rsidR="004F3A47" w:rsidRPr="004F3A47" w:rsidRDefault="004F3A47" w:rsidP="005301DC">
      <w:pPr>
        <w:spacing w:before="120" w:after="120" w:line="360" w:lineRule="auto"/>
        <w:ind w:firstLine="1080"/>
        <w:jc w:val="both"/>
        <w:rPr>
          <w:rFonts w:ascii="Arial" w:eastAsia="Calibri" w:hAnsi="Arial" w:cs="Arial"/>
          <w:bCs/>
          <w:noProof w:val="0"/>
        </w:rPr>
      </w:pPr>
      <w:r w:rsidRPr="004F3A47">
        <w:rPr>
          <w:rFonts w:ascii="Arial" w:eastAsia="Calibri" w:hAnsi="Arial" w:cs="Arial"/>
          <w:bCs/>
          <w:noProof w:val="0"/>
        </w:rPr>
        <w:t>- начална и крайна дата на изпълнение на проекта.</w:t>
      </w:r>
    </w:p>
    <w:p w14:paraId="61CDD267"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Емблемата на ЕС следва да е в съответствие с графичните стандарти, определени в приложение II от 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w:t>
      </w:r>
      <w:r w:rsidR="005301DC">
        <w:rPr>
          <w:rFonts w:ascii="Arial" w:eastAsia="Calibri" w:hAnsi="Arial" w:cs="Arial"/>
          <w:bCs/>
          <w:noProof w:val="0"/>
        </w:rPr>
        <w:t>ни (Регламент за изпълнение</w:t>
      </w:r>
      <w:r w:rsidRPr="004F3A47">
        <w:rPr>
          <w:rFonts w:ascii="Arial" w:eastAsia="Calibri" w:hAnsi="Arial" w:cs="Arial"/>
          <w:bCs/>
          <w:noProof w:val="0"/>
        </w:rPr>
        <w:t xml:space="preserve"> № 821/2014).</w:t>
      </w:r>
    </w:p>
    <w:p w14:paraId="300D9B0D" w14:textId="77777777" w:rsidR="004F3A47" w:rsidRPr="004F3A47" w:rsidRDefault="004F3A47" w:rsidP="004F3A47">
      <w:pPr>
        <w:spacing w:before="120" w:after="120" w:line="360" w:lineRule="auto"/>
        <w:ind w:firstLine="720"/>
        <w:jc w:val="both"/>
        <w:rPr>
          <w:rFonts w:ascii="Arial" w:eastAsia="Calibri" w:hAnsi="Arial" w:cs="Arial"/>
          <w:bCs/>
          <w:noProof w:val="0"/>
        </w:rPr>
      </w:pPr>
      <w:r w:rsidRPr="004F3A47">
        <w:rPr>
          <w:rFonts w:ascii="Arial" w:eastAsia="Calibri" w:hAnsi="Arial" w:cs="Arial"/>
          <w:bCs/>
          <w:noProof w:val="0"/>
        </w:rPr>
        <w:t>В случаите на закупуване на оборудване е необходимо да се поставят стикери върху всеки актив, закупен по проекта, включващи информация за финансовия принос на ЕС чрез ПМДР.</w:t>
      </w:r>
    </w:p>
    <w:p w14:paraId="15020F34" w14:textId="77777777" w:rsidR="002054DE" w:rsidRDefault="004F3A47" w:rsidP="004F3A47">
      <w:pPr>
        <w:spacing w:before="120" w:after="120" w:line="360" w:lineRule="auto"/>
        <w:ind w:firstLine="720"/>
        <w:jc w:val="both"/>
      </w:pPr>
      <w:r w:rsidRPr="004F3A47">
        <w:rPr>
          <w:rFonts w:ascii="Arial" w:eastAsia="Calibri" w:hAnsi="Arial" w:cs="Arial"/>
          <w:bCs/>
          <w:noProof w:val="0"/>
        </w:rPr>
        <w:t xml:space="preserve">Пълният набор от мерки за информиране и публичност (визуализация), които </w:t>
      </w:r>
      <w:proofErr w:type="spellStart"/>
      <w:r w:rsidRPr="004F3A47">
        <w:rPr>
          <w:rFonts w:ascii="Arial" w:eastAsia="Calibri" w:hAnsi="Arial" w:cs="Arial"/>
          <w:bCs/>
          <w:noProof w:val="0"/>
        </w:rPr>
        <w:t>бенефициерите</w:t>
      </w:r>
      <w:proofErr w:type="spellEnd"/>
      <w:r w:rsidRPr="004F3A47">
        <w:rPr>
          <w:rFonts w:ascii="Arial" w:eastAsia="Calibri" w:hAnsi="Arial" w:cs="Arial"/>
          <w:bCs/>
          <w:noProof w:val="0"/>
        </w:rPr>
        <w:t xml:space="preserve"> трябва да прилагат при изпълнение на проекти, финансирани от Европейските структурни и инвестиционни фондове (ЕСИФ), се съдържат в</w:t>
      </w:r>
      <w:r w:rsidR="00F001FC">
        <w:rPr>
          <w:rFonts w:ascii="Arial" w:eastAsia="Calibri" w:hAnsi="Arial" w:cs="Arial"/>
          <w:bCs/>
          <w:noProof w:val="0"/>
        </w:rPr>
        <w:t xml:space="preserve"> „Единния наръчник на бенефициент</w:t>
      </w:r>
      <w:r w:rsidRPr="004F3A47">
        <w:rPr>
          <w:rFonts w:ascii="Arial" w:eastAsia="Calibri" w:hAnsi="Arial" w:cs="Arial"/>
          <w:bCs/>
          <w:noProof w:val="0"/>
        </w:rPr>
        <w:t xml:space="preserve">а за прилагане на правилата за информация и комуникация" 2014-2020, който може да бъде намерен на интернет страницата – </w:t>
      </w:r>
      <w:hyperlink r:id="rId11" w:history="1">
        <w:r w:rsidR="002054DE" w:rsidRPr="00F001FC">
          <w:rPr>
            <w:rStyle w:val="a9"/>
            <w:rFonts w:ascii="Arial" w:hAnsi="Arial" w:cs="Arial"/>
            <w:i/>
            <w:color w:val="0070C0"/>
          </w:rPr>
          <w:t>https://www.eufunds.bg/sites/default/files/uploads/eip/docs/2018-12/Prilojenie_2_Edinen_naruchnik.pdf</w:t>
        </w:r>
      </w:hyperlink>
    </w:p>
    <w:p w14:paraId="0B0DEA54" w14:textId="77777777" w:rsidR="004F3A47" w:rsidRPr="004F3A47" w:rsidRDefault="004F3A47" w:rsidP="004F3A47">
      <w:pPr>
        <w:spacing w:before="120" w:after="120" w:line="360" w:lineRule="auto"/>
        <w:ind w:firstLine="720"/>
        <w:jc w:val="both"/>
        <w:rPr>
          <w:rFonts w:ascii="Arial" w:eastAsia="Calibri" w:hAnsi="Arial" w:cs="Arial"/>
          <w:bCs/>
          <w:i/>
          <w:noProof w:val="0"/>
        </w:rPr>
      </w:pPr>
      <w:r w:rsidRPr="004F3A47">
        <w:rPr>
          <w:rFonts w:ascii="Arial" w:eastAsia="Calibri" w:hAnsi="Arial" w:cs="Arial"/>
          <w:bCs/>
          <w:noProof w:val="0"/>
        </w:rPr>
        <w:lastRenderedPageBreak/>
        <w:t xml:space="preserve">На </w:t>
      </w:r>
      <w:r w:rsidR="002054DE">
        <w:rPr>
          <w:rFonts w:ascii="Arial" w:eastAsia="Calibri" w:hAnsi="Arial" w:cs="Arial"/>
          <w:bCs/>
          <w:noProof w:val="0"/>
        </w:rPr>
        <w:t xml:space="preserve">интернет </w:t>
      </w:r>
      <w:r w:rsidRPr="004F3A47">
        <w:rPr>
          <w:rFonts w:ascii="Arial" w:eastAsia="Calibri" w:hAnsi="Arial" w:cs="Arial"/>
          <w:bCs/>
          <w:noProof w:val="0"/>
        </w:rPr>
        <w:t>страница</w:t>
      </w:r>
      <w:r w:rsidR="002054DE">
        <w:rPr>
          <w:rFonts w:ascii="Arial" w:eastAsia="Calibri" w:hAnsi="Arial" w:cs="Arial"/>
          <w:bCs/>
          <w:noProof w:val="0"/>
        </w:rPr>
        <w:t>та</w:t>
      </w:r>
      <w:r w:rsidRPr="004F3A47">
        <w:rPr>
          <w:rFonts w:ascii="Arial" w:eastAsia="Calibri" w:hAnsi="Arial" w:cs="Arial"/>
          <w:bCs/>
          <w:noProof w:val="0"/>
        </w:rPr>
        <w:t xml:space="preserve"> </w:t>
      </w:r>
      <w:hyperlink r:id="rId12" w:history="1">
        <w:r w:rsidR="002054DE" w:rsidRPr="004F3A47">
          <w:rPr>
            <w:rFonts w:ascii="Arial" w:eastAsia="Calibri" w:hAnsi="Arial" w:cs="Arial"/>
            <w:bCs/>
            <w:i/>
            <w:noProof w:val="0"/>
            <w:color w:val="0563C1"/>
            <w:u w:val="single"/>
          </w:rPr>
          <w:t>https://www.eufunds.bg/bg/taxonomy/term/609</w:t>
        </w:r>
      </w:hyperlink>
      <w:r w:rsidR="002054DE">
        <w:rPr>
          <w:rFonts w:ascii="Arial" w:eastAsia="Calibri" w:hAnsi="Arial" w:cs="Arial"/>
          <w:bCs/>
          <w:i/>
          <w:noProof w:val="0"/>
          <w:color w:val="0563C1"/>
          <w:u w:val="single"/>
        </w:rPr>
        <w:t xml:space="preserve"> </w:t>
      </w:r>
      <w:r w:rsidRPr="004F3A47">
        <w:rPr>
          <w:rFonts w:ascii="Arial" w:eastAsia="Calibri" w:hAnsi="Arial" w:cs="Arial"/>
          <w:bCs/>
          <w:noProof w:val="0"/>
        </w:rPr>
        <w:t xml:space="preserve">могат да бъдат намерени </w:t>
      </w:r>
      <w:r w:rsidR="007E684E">
        <w:rPr>
          <w:rFonts w:ascii="Arial" w:eastAsia="Calibri" w:hAnsi="Arial" w:cs="Arial"/>
          <w:bCs/>
          <w:noProof w:val="0"/>
        </w:rPr>
        <w:t>също</w:t>
      </w:r>
      <w:r w:rsidRPr="004F3A47">
        <w:rPr>
          <w:rFonts w:ascii="Arial" w:eastAsia="Calibri" w:hAnsi="Arial" w:cs="Arial"/>
          <w:bCs/>
          <w:noProof w:val="0"/>
        </w:rPr>
        <w:t xml:space="preserve"> векторните варианти на логото на ПМДР.</w:t>
      </w:r>
      <w:r w:rsidR="002054DE">
        <w:rPr>
          <w:rFonts w:ascii="Arial" w:eastAsia="Calibri" w:hAnsi="Arial" w:cs="Arial"/>
          <w:bCs/>
          <w:noProof w:val="0"/>
        </w:rPr>
        <w:t xml:space="preserve"> </w:t>
      </w:r>
    </w:p>
    <w:p w14:paraId="2FE340FA" w14:textId="77777777" w:rsidR="004F3A47" w:rsidRDefault="004F3A47" w:rsidP="004F3A47">
      <w:pPr>
        <w:spacing w:before="120" w:after="120" w:line="360" w:lineRule="auto"/>
        <w:jc w:val="both"/>
        <w:rPr>
          <w:rFonts w:ascii="Arial" w:eastAsia="Calibri" w:hAnsi="Arial" w:cs="Arial"/>
          <w:bCs/>
          <w:noProof w:val="0"/>
        </w:rPr>
      </w:pPr>
      <w:r>
        <w:rPr>
          <w:rFonts w:ascii="Arial" w:eastAsia="Calibri" w:hAnsi="Arial" w:cs="Arial"/>
          <w:b/>
          <w:lang w:eastAsia="bg-BG"/>
        </w:rPr>
        <w:drawing>
          <wp:inline distT="0" distB="0" distL="0" distR="0" wp14:anchorId="7B3E60B4" wp14:editId="2310DE8A">
            <wp:extent cx="587221" cy="273304"/>
            <wp:effectExtent l="57150" t="0" r="41910" b="1079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duotone>
                        <a:prstClr val="black"/>
                        <a:srgbClr val="0000FF">
                          <a:tint val="45000"/>
                          <a:satMod val="400000"/>
                        </a:srgbClr>
                      </a:duotone>
                      <a:extLst>
                        <a:ext uri="{28A0092B-C50C-407E-A947-70E740481C1C}">
                          <a14:useLocalDpi xmlns:a14="http://schemas.microsoft.com/office/drawing/2010/main" val="0"/>
                        </a:ext>
                      </a:extLst>
                    </a:blip>
                    <a:srcRect/>
                    <a:stretch>
                      <a:fillRect/>
                    </a:stretch>
                  </pic:blipFill>
                  <pic:spPr bwMode="auto">
                    <a:xfrm>
                      <a:off x="0" y="0"/>
                      <a:ext cx="586740" cy="273050"/>
                    </a:xfrm>
                    <a:prstGeom prst="rect">
                      <a:avLst/>
                    </a:prstGeom>
                    <a:noFill/>
                    <a:ln>
                      <a:noFill/>
                    </a:ln>
                    <a:effectLst>
                      <a:outerShdw blurRad="50800" dist="50800" dir="5400000" algn="ctr" rotWithShape="0">
                        <a:srgbClr val="00B0F0"/>
                      </a:outerShdw>
                    </a:effectLst>
                  </pic:spPr>
                </pic:pic>
              </a:graphicData>
            </a:graphic>
          </wp:inline>
        </w:drawing>
      </w:r>
      <w:r w:rsidRPr="004F3A47">
        <w:rPr>
          <w:rFonts w:ascii="Arial" w:eastAsia="Calibri" w:hAnsi="Arial" w:cs="Arial"/>
          <w:bCs/>
          <w:noProof w:val="0"/>
        </w:rPr>
        <w:t>Неспазването на правилата за информиране и публичност (визуализация) може да доведе до непризнаване на част или на цялата стойност на извършените по проекта разходи.</w:t>
      </w:r>
      <w:bookmarkStart w:id="2" w:name="_Toc442274579"/>
      <w:bookmarkStart w:id="3" w:name="_Toc442348060"/>
    </w:p>
    <w:p w14:paraId="3C4093F5" w14:textId="77777777" w:rsidR="002054DE" w:rsidRPr="004F3A47" w:rsidRDefault="002054DE" w:rsidP="004F3A47">
      <w:pPr>
        <w:spacing w:before="120" w:after="120" w:line="360" w:lineRule="auto"/>
        <w:jc w:val="both"/>
        <w:rPr>
          <w:rFonts w:ascii="Arial" w:eastAsia="Calibri" w:hAnsi="Arial" w:cs="Arial"/>
          <w:bCs/>
          <w:noProof w:val="0"/>
        </w:rPr>
      </w:pPr>
    </w:p>
    <w:p w14:paraId="1478EF61" w14:textId="77777777" w:rsidR="004F3A47" w:rsidRPr="00F001FC" w:rsidRDefault="004F3A47" w:rsidP="004F3A47">
      <w:pPr>
        <w:spacing w:before="120" w:after="120" w:line="360" w:lineRule="auto"/>
        <w:jc w:val="both"/>
        <w:rPr>
          <w:rFonts w:ascii="Arial" w:eastAsia="Calibri" w:hAnsi="Arial" w:cs="Arial"/>
          <w:bCs/>
          <w:noProof w:val="0"/>
          <w:color w:val="0070C0"/>
        </w:rPr>
      </w:pPr>
      <w:r w:rsidRPr="00F001FC">
        <w:rPr>
          <w:rFonts w:ascii="Arial" w:eastAsia="Calibri" w:hAnsi="Arial" w:cs="Arial"/>
          <w:b/>
          <w:bCs/>
          <w:noProof w:val="0"/>
          <w:color w:val="0070C0"/>
        </w:rPr>
        <w:t>4. Приложения към Условията за изпълнение:</w:t>
      </w:r>
      <w:bookmarkEnd w:id="2"/>
      <w:bookmarkEnd w:id="3"/>
    </w:p>
    <w:p w14:paraId="7E8419C0"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6 - Декларация за втора употреба;</w:t>
      </w:r>
    </w:p>
    <w:p w14:paraId="2CDCDFD3"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 xml:space="preserve">Приложение № 7 - Декларация за упражняване правото на данъчен кредит; </w:t>
      </w:r>
    </w:p>
    <w:p w14:paraId="30836BE8"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 xml:space="preserve">Приложение № 8 - </w:t>
      </w:r>
      <w:proofErr w:type="spellStart"/>
      <w:r w:rsidRPr="004F3A47">
        <w:rPr>
          <w:rFonts w:ascii="Arial" w:eastAsia="Calibri" w:hAnsi="Arial" w:cs="Arial"/>
          <w:bCs/>
          <w:noProof w:val="0"/>
        </w:rPr>
        <w:t>Aдминистративен</w:t>
      </w:r>
      <w:proofErr w:type="spellEnd"/>
      <w:r w:rsidRPr="004F3A47">
        <w:rPr>
          <w:rFonts w:ascii="Arial" w:eastAsia="Calibri" w:hAnsi="Arial" w:cs="Arial"/>
          <w:bCs/>
          <w:noProof w:val="0"/>
        </w:rPr>
        <w:t xml:space="preserve"> договор за предоставяне на безвъзмездна финансова помощ по Програмата за морско дело и рибарство  2014 – 2020 г.; </w:t>
      </w:r>
    </w:p>
    <w:p w14:paraId="3CCF7D58"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9 - Общи условия към финансираните по Програмата за морско дело и рибарство 2014-2020 г. административни договори за предоставяне на безвъзмездна финансова помощ;</w:t>
      </w:r>
    </w:p>
    <w:p w14:paraId="7F087F8B"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10 - Банкова гаранция;</w:t>
      </w:r>
    </w:p>
    <w:p w14:paraId="0411EAE4"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 xml:space="preserve">Приложение № 11 - Заявление за профил за достъп на ръководител на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до ИСУН 2020;</w:t>
      </w:r>
    </w:p>
    <w:p w14:paraId="3E6CD5D0"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 xml:space="preserve">Приложение № 12 - Заявление за профил за достъп на упълномощени от </w:t>
      </w:r>
      <w:proofErr w:type="spellStart"/>
      <w:r w:rsidRPr="004F3A47">
        <w:rPr>
          <w:rFonts w:ascii="Arial" w:eastAsia="Calibri" w:hAnsi="Arial" w:cs="Arial"/>
          <w:bCs/>
          <w:noProof w:val="0"/>
        </w:rPr>
        <w:t>бенефициера</w:t>
      </w:r>
      <w:proofErr w:type="spellEnd"/>
      <w:r w:rsidRPr="004F3A47">
        <w:rPr>
          <w:rFonts w:ascii="Arial" w:eastAsia="Calibri" w:hAnsi="Arial" w:cs="Arial"/>
          <w:bCs/>
          <w:noProof w:val="0"/>
        </w:rPr>
        <w:t xml:space="preserve"> лица до ИСУН 2020;</w:t>
      </w:r>
    </w:p>
    <w:p w14:paraId="7053741C"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13 - Списък с изискуеми документи към Искане за авансово плащане;</w:t>
      </w:r>
    </w:p>
    <w:p w14:paraId="4C9A576C" w14:textId="77777777" w:rsidR="004F3A47" w:rsidRPr="004F3A47" w:rsidRDefault="004F3A47" w:rsidP="004F3A47">
      <w:pPr>
        <w:spacing w:before="120" w:after="120" w:line="360" w:lineRule="auto"/>
        <w:jc w:val="both"/>
        <w:rPr>
          <w:rFonts w:ascii="Arial" w:eastAsia="Calibri" w:hAnsi="Arial" w:cs="Arial"/>
          <w:bCs/>
          <w:noProof w:val="0"/>
          <w:lang w:val="en-US"/>
        </w:rPr>
      </w:pPr>
      <w:r w:rsidRPr="004F3A47">
        <w:rPr>
          <w:rFonts w:ascii="Arial" w:eastAsia="Calibri" w:hAnsi="Arial" w:cs="Arial"/>
          <w:bCs/>
          <w:noProof w:val="0"/>
        </w:rPr>
        <w:t>Приложение № 14 - Списък с изискуеми документи към Искане за междинно/окончателно плащане;</w:t>
      </w:r>
    </w:p>
    <w:p w14:paraId="5818B0CF" w14:textId="77777777" w:rsidR="004F3A47" w:rsidRPr="004F3A47" w:rsidRDefault="004F3A47" w:rsidP="004F3A47">
      <w:pPr>
        <w:spacing w:before="120" w:after="120" w:line="360" w:lineRule="auto"/>
        <w:jc w:val="both"/>
        <w:rPr>
          <w:rFonts w:ascii="Arial" w:eastAsia="Calibri" w:hAnsi="Arial" w:cs="Arial"/>
          <w:bCs/>
          <w:noProof w:val="0"/>
        </w:rPr>
      </w:pPr>
      <w:r w:rsidRPr="004F3A47">
        <w:rPr>
          <w:rFonts w:ascii="Arial" w:eastAsia="Calibri" w:hAnsi="Arial" w:cs="Arial"/>
          <w:bCs/>
          <w:noProof w:val="0"/>
        </w:rPr>
        <w:t>Приложение № 15 - Документи за осъществяване на последващ контрол за законосъобразност на проведена процедура „Избор с публична покана“ по чл. 50, ал. 1 от ЗУСЕСИФ и ПМС № 160/2016 г.;</w:t>
      </w:r>
    </w:p>
    <w:p w14:paraId="4643E897" w14:textId="77777777" w:rsidR="004F3A47" w:rsidRPr="004F3A47" w:rsidRDefault="004F3A47" w:rsidP="004F3A47">
      <w:pPr>
        <w:spacing w:before="120" w:after="120" w:line="360" w:lineRule="auto"/>
        <w:jc w:val="both"/>
        <w:rPr>
          <w:rFonts w:ascii="Arial" w:eastAsia="Calibri" w:hAnsi="Arial" w:cs="Arial"/>
          <w:bCs/>
          <w:noProof w:val="0"/>
          <w:lang w:val="en-US"/>
        </w:rPr>
      </w:pPr>
      <w:r w:rsidRPr="004F3A47">
        <w:rPr>
          <w:rFonts w:ascii="Arial" w:eastAsia="Calibri" w:hAnsi="Arial" w:cs="Arial"/>
          <w:bCs/>
          <w:noProof w:val="0"/>
        </w:rPr>
        <w:t>Приложение № 17 – Методика за определяне на размера на финансовите корекции по проекти, финансирани по ПМДР 2014-2020 г., одобрена с докладна записка № 93-1797 / 18.03.2020 г.</w:t>
      </w:r>
    </w:p>
    <w:p w14:paraId="363EB835" w14:textId="77777777" w:rsidR="00E92704" w:rsidRDefault="00E92704"/>
    <w:sectPr w:rsidR="00E92704" w:rsidSect="002054DE">
      <w:footerReference w:type="default" r:id="rId13"/>
      <w:headerReference w:type="first" r:id="rId14"/>
      <w:pgSz w:w="11906" w:h="16838"/>
      <w:pgMar w:top="1418" w:right="1134" w:bottom="1440" w:left="1260" w:header="425" w:footer="7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4B8AB" w14:textId="77777777" w:rsidR="0009369F" w:rsidRDefault="0009369F">
      <w:pPr>
        <w:spacing w:after="0" w:line="240" w:lineRule="auto"/>
      </w:pPr>
      <w:r>
        <w:separator/>
      </w:r>
    </w:p>
  </w:endnote>
  <w:endnote w:type="continuationSeparator" w:id="0">
    <w:p w14:paraId="10FC7B65" w14:textId="77777777" w:rsidR="0009369F" w:rsidRDefault="000936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E6AAF" w14:textId="77777777" w:rsidR="004F5769" w:rsidRPr="00C55642" w:rsidRDefault="004F3A47" w:rsidP="004F5769">
    <w:pPr>
      <w:pStyle w:val="a5"/>
      <w:jc w:val="right"/>
      <w:rPr>
        <w:rFonts w:ascii="Arial" w:hAnsi="Arial" w:cs="Arial"/>
        <w:sz w:val="18"/>
        <w:szCs w:val="18"/>
      </w:rPr>
    </w:pPr>
    <w:r w:rsidRPr="00C55642">
      <w:rPr>
        <w:rFonts w:ascii="Arial" w:hAnsi="Arial" w:cs="Arial"/>
        <w:sz w:val="18"/>
        <w:szCs w:val="18"/>
      </w:rPr>
      <w:fldChar w:fldCharType="begin"/>
    </w:r>
    <w:r w:rsidRPr="00C55642">
      <w:rPr>
        <w:rFonts w:ascii="Arial" w:hAnsi="Arial" w:cs="Arial"/>
        <w:sz w:val="18"/>
        <w:szCs w:val="18"/>
      </w:rPr>
      <w:instrText xml:space="preserve"> PAGE   \* MERGEFORMAT </w:instrText>
    </w:r>
    <w:r w:rsidRPr="00C55642">
      <w:rPr>
        <w:rFonts w:ascii="Arial" w:hAnsi="Arial" w:cs="Arial"/>
        <w:sz w:val="18"/>
        <w:szCs w:val="18"/>
      </w:rPr>
      <w:fldChar w:fldCharType="separate"/>
    </w:r>
    <w:r w:rsidR="0010695F">
      <w:rPr>
        <w:rFonts w:ascii="Arial" w:hAnsi="Arial" w:cs="Arial"/>
        <w:sz w:val="18"/>
        <w:szCs w:val="18"/>
      </w:rPr>
      <w:t>14</w:t>
    </w:r>
    <w:r w:rsidRPr="00C55642">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D3FB99" w14:textId="77777777" w:rsidR="0009369F" w:rsidRDefault="0009369F">
      <w:pPr>
        <w:spacing w:after="0" w:line="240" w:lineRule="auto"/>
      </w:pPr>
      <w:r>
        <w:separator/>
      </w:r>
    </w:p>
  </w:footnote>
  <w:footnote w:type="continuationSeparator" w:id="0">
    <w:p w14:paraId="4E3A40D8" w14:textId="77777777" w:rsidR="0009369F" w:rsidRDefault="000936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15" w:type="dxa"/>
      <w:jc w:val="center"/>
      <w:tblLayout w:type="fixed"/>
      <w:tblLook w:val="04A0" w:firstRow="1" w:lastRow="0" w:firstColumn="1" w:lastColumn="0" w:noHBand="0" w:noVBand="1"/>
    </w:tblPr>
    <w:tblGrid>
      <w:gridCol w:w="2890"/>
      <w:gridCol w:w="4393"/>
      <w:gridCol w:w="2632"/>
    </w:tblGrid>
    <w:tr w:rsidR="0002414D" w:rsidRPr="00FE00EA" w14:paraId="1B0112B5" w14:textId="77777777" w:rsidTr="00DE47E4">
      <w:trPr>
        <w:jc w:val="center"/>
      </w:trPr>
      <w:tc>
        <w:tcPr>
          <w:tcW w:w="2889" w:type="dxa"/>
          <w:shd w:val="clear" w:color="auto" w:fill="auto"/>
        </w:tcPr>
        <w:p w14:paraId="299135A0"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sz w:val="16"/>
              <w:szCs w:val="16"/>
              <w:lang w:val="en-US"/>
            </w:rPr>
          </w:pPr>
          <w:r>
            <w:rPr>
              <w:rFonts w:ascii="Arial" w:eastAsia="Times New Roman" w:hAnsi="Arial" w:cs="Arial"/>
              <w:sz w:val="16"/>
              <w:szCs w:val="16"/>
              <w:lang w:eastAsia="bg-BG"/>
            </w:rPr>
            <w:drawing>
              <wp:inline distT="0" distB="0" distL="0" distR="0" wp14:anchorId="495ED0B8" wp14:editId="557A0CF1">
                <wp:extent cx="942975" cy="647700"/>
                <wp:effectExtent l="0" t="0" r="952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2975" cy="647700"/>
                        </a:xfrm>
                        <a:prstGeom prst="rect">
                          <a:avLst/>
                        </a:prstGeom>
                        <a:noFill/>
                      </pic:spPr>
                    </pic:pic>
                  </a:graphicData>
                </a:graphic>
              </wp:inline>
            </w:drawing>
          </w:r>
        </w:p>
        <w:p w14:paraId="42C30C6C"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rPr>
          </w:pPr>
          <w:r w:rsidRPr="00FE00EA">
            <w:rPr>
              <w:rFonts w:ascii="Arial" w:eastAsia="Times New Roman" w:hAnsi="Arial" w:cs="Arial"/>
              <w:b/>
              <w:noProof w:val="0"/>
              <w:sz w:val="14"/>
              <w:szCs w:val="14"/>
            </w:rPr>
            <w:t>ЕВРОПЕЙСКИ СЪЮЗ</w:t>
          </w:r>
        </w:p>
        <w:p w14:paraId="4FC06825"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b/>
              <w:noProof w:val="0"/>
              <w:sz w:val="14"/>
              <w:szCs w:val="14"/>
              <w:lang w:val="en-US"/>
            </w:rPr>
          </w:pPr>
          <w:r w:rsidRPr="00FE00EA">
            <w:rPr>
              <w:rFonts w:ascii="Arial" w:eastAsia="Times New Roman" w:hAnsi="Arial" w:cs="Arial"/>
              <w:b/>
              <w:noProof w:val="0"/>
              <w:sz w:val="14"/>
              <w:szCs w:val="14"/>
            </w:rPr>
            <w:t>ЕВРОПЕЙСКИ ФОНД</w:t>
          </w:r>
          <w:r w:rsidRPr="00FE00EA">
            <w:rPr>
              <w:rFonts w:ascii="Arial" w:eastAsia="Times New Roman" w:hAnsi="Arial" w:cs="Arial"/>
              <w:b/>
              <w:noProof w:val="0"/>
              <w:sz w:val="14"/>
              <w:szCs w:val="14"/>
              <w:lang w:val="en-US"/>
            </w:rPr>
            <w:t xml:space="preserve"> </w:t>
          </w:r>
          <w:r w:rsidRPr="00FE00EA">
            <w:rPr>
              <w:rFonts w:ascii="Arial" w:eastAsia="Times New Roman" w:hAnsi="Arial" w:cs="Arial"/>
              <w:b/>
              <w:noProof w:val="0"/>
              <w:sz w:val="14"/>
              <w:szCs w:val="14"/>
            </w:rPr>
            <w:t>ЗА</w:t>
          </w:r>
        </w:p>
        <w:p w14:paraId="23683646"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sidRPr="00FE00EA">
            <w:rPr>
              <w:rFonts w:ascii="Arial" w:eastAsia="Times New Roman" w:hAnsi="Arial" w:cs="Arial"/>
              <w:b/>
              <w:noProof w:val="0"/>
              <w:sz w:val="14"/>
              <w:szCs w:val="14"/>
            </w:rPr>
            <w:t>МОРСКО ДЕЛО И РИБАРСТВО</w:t>
          </w:r>
        </w:p>
      </w:tc>
      <w:tc>
        <w:tcPr>
          <w:tcW w:w="4390" w:type="dxa"/>
          <w:shd w:val="clear" w:color="auto" w:fill="auto"/>
        </w:tcPr>
        <w:p w14:paraId="6FF6E54E"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Times New Roman CYR" w:eastAsia="Times New Roman" w:hAnsi="Times New Roman CYR" w:cs="Times New Roman"/>
              <w:noProof w:val="0"/>
              <w:sz w:val="24"/>
              <w:szCs w:val="24"/>
              <w:lang w:val="en-US"/>
            </w:rPr>
          </w:pPr>
        </w:p>
        <w:p w14:paraId="6DC7E548"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lang w:val="en-US"/>
            </w:rPr>
          </w:pPr>
          <w:r w:rsidRPr="00FE00EA">
            <w:rPr>
              <w:rFonts w:ascii="Times New Roman CYR" w:eastAsia="Times New Roman" w:hAnsi="Times New Roman CYR" w:cs="Times New Roman"/>
              <w:noProof w:val="0"/>
              <w:sz w:val="24"/>
              <w:szCs w:val="24"/>
              <w:lang w:val="en-US"/>
            </w:rPr>
            <w:object w:dxaOrig="5760" w:dyaOrig="1440" w14:anchorId="464F5B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54.6pt">
                <v:imagedata r:id="rId2" o:title=""/>
              </v:shape>
              <o:OLEObject Type="Embed" ProgID="Photoshop.Image.13" ShapeID="_x0000_i1025" DrawAspect="Content" ObjectID="_1682501233" r:id="rId3">
                <o:FieldCodes>\s</o:FieldCodes>
              </o:OLEObject>
            </w:object>
          </w:r>
        </w:p>
      </w:tc>
      <w:tc>
        <w:tcPr>
          <w:tcW w:w="2630" w:type="dxa"/>
          <w:shd w:val="clear" w:color="auto" w:fill="auto"/>
          <w:hideMark/>
        </w:tcPr>
        <w:p w14:paraId="28B3F66A" w14:textId="77777777" w:rsidR="0002414D" w:rsidRPr="00FE00EA" w:rsidRDefault="0002414D" w:rsidP="00DE47E4">
          <w:pPr>
            <w:tabs>
              <w:tab w:val="center" w:pos="4703"/>
              <w:tab w:val="right" w:pos="9406"/>
            </w:tabs>
            <w:autoSpaceDE w:val="0"/>
            <w:autoSpaceDN w:val="0"/>
            <w:adjustRightInd w:val="0"/>
            <w:spacing w:after="30" w:line="240" w:lineRule="auto"/>
            <w:jc w:val="center"/>
            <w:rPr>
              <w:rFonts w:ascii="Arial" w:eastAsia="Times New Roman" w:hAnsi="Arial" w:cs="Arial"/>
              <w:noProof w:val="0"/>
            </w:rPr>
          </w:pPr>
          <w:r>
            <w:rPr>
              <w:rFonts w:ascii="Arial" w:eastAsia="Times New Roman" w:hAnsi="Arial" w:cs="Arial"/>
              <w:lang w:eastAsia="bg-BG"/>
            </w:rPr>
            <w:drawing>
              <wp:inline distT="0" distB="0" distL="0" distR="0" wp14:anchorId="6D69E78C" wp14:editId="12E4DF06">
                <wp:extent cx="1426210" cy="1089660"/>
                <wp:effectExtent l="0" t="0" r="254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26210" cy="1089660"/>
                        </a:xfrm>
                        <a:prstGeom prst="rect">
                          <a:avLst/>
                        </a:prstGeom>
                        <a:noFill/>
                        <a:ln>
                          <a:noFill/>
                        </a:ln>
                      </pic:spPr>
                    </pic:pic>
                  </a:graphicData>
                </a:graphic>
              </wp:inline>
            </w:drawing>
          </w:r>
        </w:p>
      </w:tc>
    </w:tr>
  </w:tbl>
  <w:p w14:paraId="13376733" w14:textId="77777777" w:rsidR="004F5769" w:rsidRDefault="0009369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127"/>
    <w:rsid w:val="0002414D"/>
    <w:rsid w:val="000724B8"/>
    <w:rsid w:val="0009369F"/>
    <w:rsid w:val="000A5B07"/>
    <w:rsid w:val="0010695F"/>
    <w:rsid w:val="00195049"/>
    <w:rsid w:val="001E4487"/>
    <w:rsid w:val="002054DE"/>
    <w:rsid w:val="002A055D"/>
    <w:rsid w:val="002B0267"/>
    <w:rsid w:val="003155A4"/>
    <w:rsid w:val="00342A0C"/>
    <w:rsid w:val="003B19D2"/>
    <w:rsid w:val="00421AAC"/>
    <w:rsid w:val="00463AF1"/>
    <w:rsid w:val="004949DF"/>
    <w:rsid w:val="004F3A47"/>
    <w:rsid w:val="005301DC"/>
    <w:rsid w:val="00563796"/>
    <w:rsid w:val="00585DF6"/>
    <w:rsid w:val="007316AD"/>
    <w:rsid w:val="00753127"/>
    <w:rsid w:val="0075345F"/>
    <w:rsid w:val="00784818"/>
    <w:rsid w:val="007E684E"/>
    <w:rsid w:val="009475EC"/>
    <w:rsid w:val="009D6BF3"/>
    <w:rsid w:val="00A7497E"/>
    <w:rsid w:val="00B33385"/>
    <w:rsid w:val="00B573EA"/>
    <w:rsid w:val="00B7438F"/>
    <w:rsid w:val="00C64B57"/>
    <w:rsid w:val="00C73F5C"/>
    <w:rsid w:val="00CF4E2B"/>
    <w:rsid w:val="00D33D7D"/>
    <w:rsid w:val="00E92704"/>
    <w:rsid w:val="00F001FC"/>
    <w:rsid w:val="00F57DBF"/>
    <w:rsid w:val="00F642E0"/>
    <w:rsid w:val="00F724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EFD96"/>
  <w15:docId w15:val="{F3E00015-447D-4238-B236-4DDAD86E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noProof/>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3A47"/>
    <w:pPr>
      <w:tabs>
        <w:tab w:val="center" w:pos="4703"/>
        <w:tab w:val="right" w:pos="9406"/>
      </w:tabs>
      <w:spacing w:after="0" w:line="240" w:lineRule="auto"/>
    </w:pPr>
  </w:style>
  <w:style w:type="character" w:customStyle="1" w:styleId="a4">
    <w:name w:val="Горен колонтитул Знак"/>
    <w:basedOn w:val="a0"/>
    <w:link w:val="a3"/>
    <w:uiPriority w:val="99"/>
    <w:rsid w:val="004F3A47"/>
    <w:rPr>
      <w:noProof/>
      <w:lang w:val="bg-BG"/>
    </w:rPr>
  </w:style>
  <w:style w:type="paragraph" w:styleId="a5">
    <w:name w:val="footer"/>
    <w:basedOn w:val="a"/>
    <w:link w:val="a6"/>
    <w:uiPriority w:val="99"/>
    <w:unhideWhenUsed/>
    <w:rsid w:val="004F3A47"/>
    <w:pPr>
      <w:tabs>
        <w:tab w:val="center" w:pos="4703"/>
        <w:tab w:val="right" w:pos="9406"/>
      </w:tabs>
      <w:spacing w:after="0" w:line="240" w:lineRule="auto"/>
    </w:pPr>
  </w:style>
  <w:style w:type="character" w:customStyle="1" w:styleId="a6">
    <w:name w:val="Долен колонтитул Знак"/>
    <w:basedOn w:val="a0"/>
    <w:link w:val="a5"/>
    <w:uiPriority w:val="99"/>
    <w:rsid w:val="004F3A47"/>
    <w:rPr>
      <w:noProof/>
      <w:lang w:val="bg-BG"/>
    </w:rPr>
  </w:style>
  <w:style w:type="paragraph" w:styleId="a7">
    <w:name w:val="Balloon Text"/>
    <w:basedOn w:val="a"/>
    <w:link w:val="a8"/>
    <w:uiPriority w:val="99"/>
    <w:semiHidden/>
    <w:unhideWhenUsed/>
    <w:rsid w:val="004F3A47"/>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4F3A47"/>
    <w:rPr>
      <w:rFonts w:ascii="Tahoma" w:hAnsi="Tahoma" w:cs="Tahoma"/>
      <w:noProof/>
      <w:sz w:val="16"/>
      <w:szCs w:val="16"/>
      <w:lang w:val="bg-BG"/>
    </w:rPr>
  </w:style>
  <w:style w:type="character" w:styleId="a9">
    <w:name w:val="Hyperlink"/>
    <w:basedOn w:val="a0"/>
    <w:uiPriority w:val="99"/>
    <w:unhideWhenUsed/>
    <w:rsid w:val="002054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996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5313"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eufunds.bg/bg/taxonomy/term/60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eufunds.bg/sites/default/files/uploads/eip/docs/2018-12/Prilojenie_2_Edinen_naruchnik.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eufunds.bg/bg/pmdr/node/5279"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emf"/><Relationship Id="rId1" Type="http://schemas.openxmlformats.org/officeDocument/2006/relationships/image" Target="media/image3.png"/><Relationship Id="rId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2A93D-A067-4451-B8DC-7EB6DC07C8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4078</Words>
  <Characters>23248</Characters>
  <Application>Microsoft Office Word</Application>
  <DocSecurity>0</DocSecurity>
  <Lines>193</Lines>
  <Paragraphs>54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Stoimen Yochev</dc:creator>
  <cp:keywords/>
  <dc:description/>
  <cp:lastModifiedBy>Yoana Spasova</cp:lastModifiedBy>
  <cp:revision>2</cp:revision>
  <dcterms:created xsi:type="dcterms:W3CDTF">2021-05-14T09:41:00Z</dcterms:created>
  <dcterms:modified xsi:type="dcterms:W3CDTF">2021-05-14T09:41:00Z</dcterms:modified>
</cp:coreProperties>
</file>