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46" w:rsidRPr="00C032B6" w:rsidRDefault="00B909A2" w:rsidP="00C032B6">
      <w:pPr>
        <w:pStyle w:val="NormalWeb"/>
        <w:spacing w:after="0"/>
        <w:ind w:left="-284"/>
        <w:jc w:val="both"/>
        <w:textAlignment w:val="baseline"/>
        <w:rPr>
          <w:b/>
          <w:bCs/>
          <w:color w:val="000000"/>
          <w:kern w:val="24"/>
        </w:rPr>
      </w:pPr>
      <w:r w:rsidRPr="00C032B6">
        <w:rPr>
          <w:b/>
          <w:bCs/>
          <w:noProof/>
          <w:color w:val="000000"/>
          <w:kern w:val="24"/>
          <w:lang w:val="bg-BG" w:eastAsia="bg-BG"/>
        </w:rPr>
        <w:drawing>
          <wp:anchor distT="0" distB="0" distL="114300" distR="114300" simplePos="0" relativeHeight="251663360" behindDoc="0" locked="0" layoutInCell="1" allowOverlap="1">
            <wp:simplePos x="0" y="0"/>
            <wp:positionH relativeFrom="column">
              <wp:posOffset>5676265</wp:posOffset>
            </wp:positionH>
            <wp:positionV relativeFrom="paragraph">
              <wp:posOffset>-247015</wp:posOffset>
            </wp:positionV>
            <wp:extent cx="1583690" cy="1384935"/>
            <wp:effectExtent l="0" t="0" r="0" b="5715"/>
            <wp:wrapNone/>
            <wp:docPr id="2" name="Picture 2"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g-cent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2B6">
        <w:rPr>
          <w:noProof/>
          <w:lang w:val="bg-BG" w:eastAsia="bg-BG"/>
        </w:rPr>
        <w:drawing>
          <wp:anchor distT="0" distB="0" distL="114300" distR="114300" simplePos="0" relativeHeight="251656192" behindDoc="0" locked="0" layoutInCell="1" allowOverlap="1">
            <wp:simplePos x="0" y="0"/>
            <wp:positionH relativeFrom="margin">
              <wp:posOffset>57150</wp:posOffset>
            </wp:positionH>
            <wp:positionV relativeFrom="paragraph">
              <wp:posOffset>-9525</wp:posOffset>
            </wp:positionV>
            <wp:extent cx="932815" cy="640080"/>
            <wp:effectExtent l="0" t="0" r="635" b="7620"/>
            <wp:wrapThrough wrapText="bothSides">
              <wp:wrapPolygon edited="0">
                <wp:start x="0" y="0"/>
                <wp:lineTo x="0" y="21214"/>
                <wp:lineTo x="21174" y="21214"/>
                <wp:lineTo x="2117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2815" cy="640080"/>
                    </a:xfrm>
                    <a:prstGeom prst="rect">
                      <a:avLst/>
                    </a:prstGeom>
                    <a:noFill/>
                  </pic:spPr>
                </pic:pic>
              </a:graphicData>
            </a:graphic>
          </wp:anchor>
        </w:drawing>
      </w:r>
      <w:r w:rsidR="00E31346" w:rsidRPr="00C032B6">
        <w:rPr>
          <w:b/>
          <w:bCs/>
          <w:color w:val="000000"/>
          <w:kern w:val="24"/>
        </w:rPr>
        <w:t xml:space="preserve"> </w:t>
      </w: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C032B6" w:rsidRDefault="00E31346" w:rsidP="00C032B6">
      <w:pPr>
        <w:pStyle w:val="NormalWeb"/>
        <w:spacing w:after="0"/>
        <w:ind w:left="-284"/>
        <w:jc w:val="both"/>
        <w:textAlignment w:val="baseline"/>
        <w:rPr>
          <w:b/>
          <w:bCs/>
          <w:color w:val="000000"/>
          <w:kern w:val="24"/>
        </w:rPr>
      </w:pPr>
    </w:p>
    <w:p w:rsidR="00E31346" w:rsidRPr="00B909A2" w:rsidRDefault="00B909A2" w:rsidP="00937DC8">
      <w:pPr>
        <w:pStyle w:val="NormalWeb"/>
        <w:spacing w:after="0"/>
        <w:ind w:left="-284"/>
        <w:textAlignment w:val="baseline"/>
        <w:rPr>
          <w:b/>
          <w:bCs/>
          <w:color w:val="000000"/>
          <w:kern w:val="24"/>
          <w:sz w:val="20"/>
          <w:szCs w:val="20"/>
        </w:rPr>
      </w:pPr>
      <w:r>
        <w:rPr>
          <w:b/>
          <w:bCs/>
          <w:color w:val="000000"/>
          <w:kern w:val="24"/>
          <w:lang w:val="bg-BG"/>
        </w:rPr>
        <w:t xml:space="preserve">      </w:t>
      </w:r>
      <w:r w:rsidR="00E31346" w:rsidRPr="00B909A2">
        <w:rPr>
          <w:b/>
          <w:bCs/>
          <w:color w:val="000000"/>
          <w:kern w:val="24"/>
          <w:sz w:val="20"/>
          <w:szCs w:val="20"/>
        </w:rPr>
        <w:t>ЕВРОПЕЙСКИ СЪЮЗ</w:t>
      </w:r>
    </w:p>
    <w:p w:rsidR="00937DC8" w:rsidRPr="00B909A2" w:rsidRDefault="00B909A2" w:rsidP="00937DC8">
      <w:pPr>
        <w:pStyle w:val="NormalWeb"/>
        <w:spacing w:after="0"/>
        <w:ind w:left="-284"/>
        <w:textAlignment w:val="baseline"/>
        <w:rPr>
          <w:color w:val="000000"/>
          <w:kern w:val="24"/>
          <w:sz w:val="20"/>
          <w:szCs w:val="20"/>
        </w:rPr>
      </w:pPr>
      <w:r>
        <w:rPr>
          <w:color w:val="000000"/>
          <w:kern w:val="24"/>
          <w:sz w:val="20"/>
          <w:szCs w:val="20"/>
          <w:lang w:val="bg-BG"/>
        </w:rPr>
        <w:t xml:space="preserve">       </w:t>
      </w:r>
      <w:r w:rsidR="00E31346" w:rsidRPr="00B909A2">
        <w:rPr>
          <w:color w:val="000000"/>
          <w:kern w:val="24"/>
          <w:sz w:val="20"/>
          <w:szCs w:val="20"/>
        </w:rPr>
        <w:t>ЕВРОПЕЙСКИ ФОНД</w:t>
      </w:r>
      <w:r w:rsidR="00937DC8" w:rsidRPr="00B909A2">
        <w:rPr>
          <w:color w:val="000000"/>
          <w:kern w:val="24"/>
          <w:sz w:val="20"/>
          <w:szCs w:val="20"/>
          <w:lang w:val="bg-BG"/>
        </w:rPr>
        <w:t xml:space="preserve"> </w:t>
      </w:r>
      <w:r w:rsidR="00E31346" w:rsidRPr="00B909A2">
        <w:rPr>
          <w:color w:val="000000"/>
          <w:kern w:val="24"/>
          <w:sz w:val="20"/>
          <w:szCs w:val="20"/>
          <w:lang w:val="bg-BG"/>
        </w:rPr>
        <w:t>З</w:t>
      </w:r>
      <w:r w:rsidR="00E31346" w:rsidRPr="00B909A2">
        <w:rPr>
          <w:color w:val="000000"/>
          <w:kern w:val="24"/>
          <w:sz w:val="20"/>
          <w:szCs w:val="20"/>
        </w:rPr>
        <w:t xml:space="preserve">А </w:t>
      </w:r>
    </w:p>
    <w:p w:rsidR="00E31346" w:rsidRPr="00B909A2" w:rsidRDefault="00B909A2" w:rsidP="00937DC8">
      <w:pPr>
        <w:pStyle w:val="NormalWeb"/>
        <w:spacing w:after="0"/>
        <w:ind w:left="-284" w:firstLine="284"/>
        <w:textAlignment w:val="baseline"/>
        <w:rPr>
          <w:color w:val="000000"/>
          <w:kern w:val="24"/>
          <w:sz w:val="20"/>
          <w:szCs w:val="20"/>
        </w:rPr>
      </w:pPr>
      <w:r>
        <w:rPr>
          <w:color w:val="000000"/>
          <w:kern w:val="24"/>
          <w:sz w:val="20"/>
          <w:szCs w:val="20"/>
          <w:lang w:val="bg-BG"/>
        </w:rPr>
        <w:t xml:space="preserve">  </w:t>
      </w:r>
      <w:r w:rsidR="00E31346" w:rsidRPr="00B909A2">
        <w:rPr>
          <w:color w:val="000000"/>
          <w:kern w:val="24"/>
          <w:sz w:val="20"/>
          <w:szCs w:val="20"/>
        </w:rPr>
        <w:t>МОРСКО ДЕЛО И РИБАРСТВО</w:t>
      </w:r>
    </w:p>
    <w:p w:rsidR="00E31346" w:rsidRPr="00C032B6" w:rsidRDefault="00E31346" w:rsidP="00C032B6">
      <w:pPr>
        <w:jc w:val="both"/>
        <w:rPr>
          <w:rFonts w:ascii="Times New Roman" w:hAnsi="Times New Roman" w:cs="Times New Roman"/>
          <w:b/>
          <w:bCs/>
          <w:color w:val="000000"/>
          <w:sz w:val="24"/>
          <w:szCs w:val="24"/>
          <w:lang w:val="bg-BG"/>
        </w:rPr>
      </w:pPr>
    </w:p>
    <w:p w:rsidR="000346A8" w:rsidRPr="00C032B6" w:rsidRDefault="00AC2FE7" w:rsidP="00937DC8">
      <w:pPr>
        <w:spacing w:after="0"/>
        <w:jc w:val="center"/>
        <w:rPr>
          <w:rFonts w:ascii="Times New Roman" w:hAnsi="Times New Roman" w:cs="Times New Roman"/>
          <w:b/>
          <w:bCs/>
          <w:color w:val="000000"/>
          <w:sz w:val="24"/>
          <w:szCs w:val="24"/>
          <w:lang w:val="bg-BG"/>
        </w:rPr>
      </w:pPr>
      <w:r w:rsidRPr="00C032B6">
        <w:rPr>
          <w:rFonts w:ascii="Times New Roman" w:hAnsi="Times New Roman" w:cs="Times New Roman"/>
          <w:b/>
          <w:bCs/>
          <w:color w:val="000000"/>
          <w:sz w:val="24"/>
          <w:szCs w:val="24"/>
          <w:lang w:val="bg-BG"/>
        </w:rPr>
        <w:t xml:space="preserve">Таблица за отразяване на постъпили становища във връзка с провеждането на </w:t>
      </w:r>
      <w:r w:rsidR="00A65F39" w:rsidRPr="00C032B6">
        <w:rPr>
          <w:rFonts w:ascii="Times New Roman" w:hAnsi="Times New Roman" w:cs="Times New Roman"/>
          <w:b/>
          <w:bCs/>
          <w:color w:val="000000"/>
          <w:sz w:val="24"/>
          <w:szCs w:val="24"/>
          <w:lang w:val="bg-BG"/>
        </w:rPr>
        <w:t>деветнадесета</w:t>
      </w:r>
      <w:r w:rsidRPr="00C032B6">
        <w:rPr>
          <w:rFonts w:ascii="Times New Roman" w:hAnsi="Times New Roman" w:cs="Times New Roman"/>
          <w:b/>
          <w:bCs/>
          <w:color w:val="000000"/>
          <w:sz w:val="24"/>
          <w:szCs w:val="24"/>
          <w:lang w:val="bg-BG"/>
        </w:rPr>
        <w:t xml:space="preserve"> писмена процедура за неприсъствено вземане на решение от членовете на К</w:t>
      </w:r>
      <w:r w:rsidR="00F91362" w:rsidRPr="00C032B6">
        <w:rPr>
          <w:rFonts w:ascii="Times New Roman" w:hAnsi="Times New Roman" w:cs="Times New Roman"/>
          <w:b/>
          <w:bCs/>
          <w:color w:val="000000"/>
          <w:sz w:val="24"/>
          <w:szCs w:val="24"/>
          <w:lang w:val="bg-BG"/>
        </w:rPr>
        <w:t>омитета за наблюдение</w:t>
      </w:r>
      <w:r w:rsidRPr="00C032B6">
        <w:rPr>
          <w:rFonts w:ascii="Times New Roman" w:hAnsi="Times New Roman" w:cs="Times New Roman"/>
          <w:b/>
          <w:bCs/>
          <w:color w:val="000000"/>
          <w:sz w:val="24"/>
          <w:szCs w:val="24"/>
          <w:lang w:val="bg-BG"/>
        </w:rPr>
        <w:t xml:space="preserve"> на </w:t>
      </w:r>
      <w:r w:rsidR="00F91362" w:rsidRPr="00C032B6">
        <w:rPr>
          <w:rFonts w:ascii="Times New Roman" w:hAnsi="Times New Roman" w:cs="Times New Roman"/>
          <w:b/>
          <w:bCs/>
          <w:color w:val="000000"/>
          <w:sz w:val="24"/>
          <w:szCs w:val="24"/>
          <w:lang w:val="bg-BG"/>
        </w:rPr>
        <w:t xml:space="preserve">Програмата за морско дело и рибарство </w:t>
      </w:r>
      <w:r w:rsidR="00F91362" w:rsidRPr="00C032B6">
        <w:rPr>
          <w:rFonts w:ascii="Times New Roman" w:hAnsi="Times New Roman" w:cs="Times New Roman"/>
          <w:b/>
          <w:bCs/>
          <w:color w:val="000000"/>
          <w:sz w:val="24"/>
          <w:szCs w:val="24"/>
        </w:rPr>
        <w:t>(</w:t>
      </w:r>
      <w:r w:rsidRPr="00C032B6">
        <w:rPr>
          <w:rFonts w:ascii="Times New Roman" w:hAnsi="Times New Roman" w:cs="Times New Roman"/>
          <w:b/>
          <w:bCs/>
          <w:color w:val="000000"/>
          <w:sz w:val="24"/>
          <w:szCs w:val="24"/>
          <w:lang w:val="bg-BG"/>
        </w:rPr>
        <w:t>ПМДР</w:t>
      </w:r>
      <w:r w:rsidR="00F91362" w:rsidRPr="00C032B6">
        <w:rPr>
          <w:rFonts w:ascii="Times New Roman" w:hAnsi="Times New Roman" w:cs="Times New Roman"/>
          <w:b/>
          <w:bCs/>
          <w:color w:val="000000"/>
          <w:sz w:val="24"/>
          <w:szCs w:val="24"/>
        </w:rPr>
        <w:t xml:space="preserve">) 2014-2021 </w:t>
      </w:r>
      <w:r w:rsidR="00F91362" w:rsidRPr="00C032B6">
        <w:rPr>
          <w:rFonts w:ascii="Times New Roman" w:hAnsi="Times New Roman" w:cs="Times New Roman"/>
          <w:b/>
          <w:bCs/>
          <w:color w:val="000000"/>
          <w:sz w:val="24"/>
          <w:szCs w:val="24"/>
          <w:lang w:val="bg-BG"/>
        </w:rPr>
        <w:t xml:space="preserve">г. </w:t>
      </w:r>
      <w:r w:rsidRPr="00C032B6">
        <w:rPr>
          <w:rFonts w:ascii="Times New Roman" w:hAnsi="Times New Roman" w:cs="Times New Roman"/>
          <w:b/>
          <w:bCs/>
          <w:color w:val="000000"/>
          <w:sz w:val="24"/>
          <w:szCs w:val="24"/>
          <w:lang w:val="bg-BG"/>
        </w:rPr>
        <w:t>за одобрение</w:t>
      </w:r>
      <w:r w:rsidR="00A65F39" w:rsidRPr="00C032B6">
        <w:rPr>
          <w:rFonts w:ascii="Times New Roman" w:hAnsi="Times New Roman" w:cs="Times New Roman"/>
          <w:sz w:val="24"/>
          <w:szCs w:val="24"/>
        </w:rPr>
        <w:t xml:space="preserve"> </w:t>
      </w:r>
      <w:r w:rsidR="00A65F39" w:rsidRPr="00C032B6">
        <w:rPr>
          <w:rFonts w:ascii="Times New Roman" w:hAnsi="Times New Roman" w:cs="Times New Roman"/>
          <w:sz w:val="24"/>
          <w:szCs w:val="24"/>
          <w:lang w:val="bg-BG"/>
        </w:rPr>
        <w:t xml:space="preserve">на </w:t>
      </w:r>
      <w:r w:rsidR="00A65F39" w:rsidRPr="00C032B6">
        <w:rPr>
          <w:rFonts w:ascii="Times New Roman" w:hAnsi="Times New Roman" w:cs="Times New Roman"/>
          <w:b/>
          <w:bCs/>
          <w:color w:val="000000"/>
          <w:sz w:val="24"/>
          <w:szCs w:val="24"/>
          <w:lang w:val="bg-BG"/>
        </w:rPr>
        <w:t>Методология и критерии за подбор на операции за прилагане на финансови инструменти по Програмата за морско дело и рибарство 2014-2020 г.</w:t>
      </w:r>
      <w:r w:rsidRPr="00C032B6">
        <w:rPr>
          <w:rFonts w:ascii="Times New Roman" w:hAnsi="Times New Roman" w:cs="Times New Roman"/>
          <w:b/>
          <w:bCs/>
          <w:color w:val="000000"/>
          <w:sz w:val="24"/>
          <w:szCs w:val="24"/>
          <w:lang w:val="bg-BG"/>
        </w:rPr>
        <w:t>,</w:t>
      </w:r>
    </w:p>
    <w:p w:rsidR="00A65F39" w:rsidRPr="00C032B6" w:rsidRDefault="00A65F39" w:rsidP="00937DC8">
      <w:pPr>
        <w:spacing w:after="0"/>
        <w:jc w:val="center"/>
        <w:rPr>
          <w:rFonts w:ascii="Times New Roman" w:hAnsi="Times New Roman" w:cs="Times New Roman"/>
          <w:b/>
          <w:bCs/>
          <w:color w:val="000000"/>
          <w:sz w:val="24"/>
          <w:szCs w:val="24"/>
          <w:lang w:val="bg-BG"/>
        </w:rPr>
      </w:pPr>
      <w:r w:rsidRPr="00C032B6">
        <w:rPr>
          <w:rFonts w:ascii="Times New Roman" w:hAnsi="Times New Roman" w:cs="Times New Roman"/>
          <w:b/>
          <w:bCs/>
          <w:color w:val="000000"/>
          <w:sz w:val="24"/>
          <w:szCs w:val="24"/>
          <w:lang w:val="bg-BG"/>
        </w:rPr>
        <w:t>22 юни 2021 г. до 5 юли 2021 г.</w:t>
      </w:r>
      <w:r w:rsidR="001F5F84">
        <w:rPr>
          <w:rFonts w:ascii="Times New Roman" w:hAnsi="Times New Roman" w:cs="Times New Roman"/>
          <w:b/>
          <w:bCs/>
          <w:color w:val="000000"/>
          <w:sz w:val="24"/>
          <w:szCs w:val="24"/>
          <w:lang w:val="bg-BG"/>
        </w:rPr>
        <w:t xml:space="preserve"> (консолидирана)</w:t>
      </w:r>
      <w:bookmarkStart w:id="0" w:name="_GoBack"/>
      <w:bookmarkEnd w:id="0"/>
    </w:p>
    <w:p w:rsidR="00E31346" w:rsidRPr="00C032B6" w:rsidRDefault="00E31346" w:rsidP="00C032B6">
      <w:pPr>
        <w:jc w:val="both"/>
        <w:rPr>
          <w:rFonts w:ascii="Times New Roman" w:hAnsi="Times New Roman" w:cs="Times New Roman"/>
          <w:b/>
          <w:sz w:val="24"/>
          <w:szCs w:val="24"/>
          <w:lang w:val="bg-BG"/>
        </w:rPr>
      </w:pPr>
    </w:p>
    <w:tbl>
      <w:tblPr>
        <w:tblStyle w:val="TableGrid"/>
        <w:tblW w:w="0" w:type="auto"/>
        <w:tblLook w:val="04A0" w:firstRow="1" w:lastRow="0" w:firstColumn="1" w:lastColumn="0" w:noHBand="0" w:noVBand="1"/>
      </w:tblPr>
      <w:tblGrid>
        <w:gridCol w:w="625"/>
        <w:gridCol w:w="2096"/>
        <w:gridCol w:w="8100"/>
        <w:gridCol w:w="2178"/>
      </w:tblGrid>
      <w:tr w:rsidR="00E31346" w:rsidRPr="00C032B6" w:rsidTr="001F5F84">
        <w:tc>
          <w:tcPr>
            <w:tcW w:w="625" w:type="dxa"/>
            <w:shd w:val="clear" w:color="auto" w:fill="BDD6EE" w:themeFill="accent1" w:themeFillTint="66"/>
          </w:tcPr>
          <w:p w:rsidR="00E31346" w:rsidRPr="00C032B6" w:rsidRDefault="00E31346" w:rsidP="00C032B6">
            <w:pPr>
              <w:jc w:val="both"/>
              <w:rPr>
                <w:rFonts w:ascii="Times New Roman" w:hAnsi="Times New Roman" w:cs="Times New Roman"/>
                <w:b/>
                <w:sz w:val="24"/>
                <w:szCs w:val="24"/>
                <w:lang w:val="bg-BG"/>
              </w:rPr>
            </w:pPr>
            <w:r w:rsidRPr="00C032B6">
              <w:rPr>
                <w:rFonts w:ascii="Times New Roman" w:hAnsi="Times New Roman" w:cs="Times New Roman"/>
                <w:b/>
                <w:sz w:val="24"/>
                <w:szCs w:val="24"/>
                <w:lang w:val="bg-BG"/>
              </w:rPr>
              <w:t>№</w:t>
            </w:r>
          </w:p>
        </w:tc>
        <w:tc>
          <w:tcPr>
            <w:tcW w:w="2096"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0346A8"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 xml:space="preserve">ЧЛЕН/ </w:t>
            </w:r>
            <w:r w:rsidR="00E31346" w:rsidRPr="00C032B6">
              <w:rPr>
                <w:rFonts w:ascii="Times New Roman" w:hAnsi="Times New Roman" w:cs="Times New Roman"/>
                <w:b/>
                <w:sz w:val="24"/>
                <w:szCs w:val="24"/>
                <w:lang w:val="bg-BG"/>
              </w:rPr>
              <w:t>ОРГАНИЗАЦИЯ</w:t>
            </w:r>
          </w:p>
          <w:p w:rsidR="00E31346" w:rsidRPr="00C032B6" w:rsidRDefault="00E31346" w:rsidP="005E4DEB">
            <w:pPr>
              <w:jc w:val="center"/>
              <w:rPr>
                <w:rFonts w:ascii="Times New Roman" w:hAnsi="Times New Roman" w:cs="Times New Roman"/>
                <w:b/>
                <w:sz w:val="24"/>
                <w:szCs w:val="24"/>
                <w:lang w:val="bg-BG"/>
              </w:rPr>
            </w:pPr>
          </w:p>
        </w:tc>
        <w:tc>
          <w:tcPr>
            <w:tcW w:w="8100"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E31346"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СТАНОВИЩЕ</w:t>
            </w:r>
          </w:p>
        </w:tc>
        <w:tc>
          <w:tcPr>
            <w:tcW w:w="2178" w:type="dxa"/>
            <w:shd w:val="clear" w:color="auto" w:fill="BDD6EE" w:themeFill="accent1" w:themeFillTint="66"/>
          </w:tcPr>
          <w:p w:rsidR="00E31346" w:rsidRPr="00C032B6" w:rsidRDefault="00E31346" w:rsidP="005E4DEB">
            <w:pPr>
              <w:jc w:val="center"/>
              <w:rPr>
                <w:rFonts w:ascii="Times New Roman" w:hAnsi="Times New Roman" w:cs="Times New Roman"/>
                <w:b/>
                <w:sz w:val="24"/>
                <w:szCs w:val="24"/>
                <w:lang w:val="bg-BG"/>
              </w:rPr>
            </w:pPr>
          </w:p>
          <w:p w:rsidR="00E31346" w:rsidRPr="00C032B6" w:rsidRDefault="00E31346" w:rsidP="005E4DEB">
            <w:pPr>
              <w:jc w:val="center"/>
              <w:rPr>
                <w:rFonts w:ascii="Times New Roman" w:hAnsi="Times New Roman" w:cs="Times New Roman"/>
                <w:b/>
                <w:sz w:val="24"/>
                <w:szCs w:val="24"/>
                <w:lang w:val="bg-BG"/>
              </w:rPr>
            </w:pPr>
            <w:r w:rsidRPr="00C032B6">
              <w:rPr>
                <w:rFonts w:ascii="Times New Roman" w:hAnsi="Times New Roman" w:cs="Times New Roman"/>
                <w:b/>
                <w:sz w:val="24"/>
                <w:szCs w:val="24"/>
                <w:lang w:val="bg-BG"/>
              </w:rPr>
              <w:t xml:space="preserve">КОМЕНТАР НА </w:t>
            </w:r>
            <w:r w:rsidR="000346A8" w:rsidRPr="00C032B6">
              <w:rPr>
                <w:rFonts w:ascii="Times New Roman" w:hAnsi="Times New Roman" w:cs="Times New Roman"/>
                <w:b/>
                <w:sz w:val="24"/>
                <w:szCs w:val="24"/>
                <w:lang w:val="bg-BG"/>
              </w:rPr>
              <w:t>УО на ПМДР</w:t>
            </w:r>
          </w:p>
        </w:tc>
      </w:tr>
      <w:tr w:rsidR="00E31346" w:rsidRPr="00C032B6" w:rsidTr="001F5F84">
        <w:tc>
          <w:tcPr>
            <w:tcW w:w="625" w:type="dxa"/>
          </w:tcPr>
          <w:p w:rsidR="00E31346" w:rsidRPr="00C032B6" w:rsidRDefault="00E31346" w:rsidP="00C032B6">
            <w:pPr>
              <w:jc w:val="both"/>
              <w:rPr>
                <w:rFonts w:ascii="Times New Roman" w:hAnsi="Times New Roman" w:cs="Times New Roman"/>
                <w:b/>
                <w:sz w:val="24"/>
                <w:szCs w:val="24"/>
                <w:lang w:val="bg-BG"/>
              </w:rPr>
            </w:pPr>
            <w:r w:rsidRPr="00C032B6">
              <w:rPr>
                <w:rFonts w:ascii="Times New Roman" w:hAnsi="Times New Roman" w:cs="Times New Roman"/>
                <w:b/>
                <w:sz w:val="24"/>
                <w:szCs w:val="24"/>
                <w:lang w:val="bg-BG"/>
              </w:rPr>
              <w:t>1.</w:t>
            </w:r>
          </w:p>
        </w:tc>
        <w:tc>
          <w:tcPr>
            <w:tcW w:w="2096" w:type="dxa"/>
          </w:tcPr>
          <w:p w:rsidR="00F91362" w:rsidRPr="00C032B6" w:rsidRDefault="00A65F39"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Министерство на финансите</w:t>
            </w:r>
            <w:r w:rsidR="00727027" w:rsidRPr="00C032B6">
              <w:rPr>
                <w:rFonts w:ascii="Times New Roman" w:hAnsi="Times New Roman" w:cs="Times New Roman"/>
                <w:sz w:val="24"/>
                <w:szCs w:val="24"/>
                <w:lang w:val="bg-BG"/>
              </w:rPr>
              <w:t>,</w:t>
            </w: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Весела Данева</w:t>
            </w:r>
          </w:p>
        </w:tc>
        <w:tc>
          <w:tcPr>
            <w:tcW w:w="8100" w:type="dxa"/>
          </w:tcPr>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УВАЖАЕМИ КОЛЕГИ,</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По получения за одобряване от Комитета за наблюдение на ПМДР 2014-2020 г. документ „Методология и критерии за подбор на операции за прилагане на финансови инструменти по ПМДР 2014-2020 г.“, изразяваме следното становище:</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 xml:space="preserve">На първо място, считаме, че на този етап от процедурата следва да бъде ясен конкретният режим на държавна помощ, който ще бъде прилаган за финансовите инструменти и съответно да бъде посочен в Методологията, в секция „Режим на държавна/минимална помощ, част от раздел I. Основни параметри.  При положение, че е „държавна помощ“ по смисъла на чл. 107, </w:t>
            </w:r>
            <w:r w:rsidRPr="00C032B6">
              <w:rPr>
                <w:rFonts w:ascii="Times New Roman" w:eastAsia="Calibri" w:hAnsi="Times New Roman" w:cs="Times New Roman"/>
                <w:sz w:val="24"/>
                <w:szCs w:val="24"/>
                <w:lang w:val="bg-BG"/>
              </w:rPr>
              <w:lastRenderedPageBreak/>
              <w:t>параграф 1 от ДФЕС, е необходимо да се посочи, дали схемата/схемите подлежат на нотификация или е съвместима по Общ регламент за групово освобождаване. При положение, че УО е взел решение за прилагане на режим на минимална помощ, това също би следвало да бъде посочено, като изрично се посочи приложимия Регламент. В случай че за схемата/схемите за финансовите инструменти ще бъде прилаган режим „непомощ“ би следвало да се посочи дали например отговаря на условията на критерия за „оператор в условията на пазарна икономика“ по Раздел 2.1. от Насоките относно държавните помощи за насърчаване на инвестициите в рисково финансиране.</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Съдействие и становище в това отношение следва да бъде получено от "Фонд мениджър на финансовите инструменти в България" ЕАД, което е дружеството, отговорно за прилагането и изпълнението на финансови инструменти от името и за сметка на УО на ПМДР.</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Освен това, считаме, че преди документът да бъде предоставен за одобряване от Комитета за наблюдение, същият е необходимо да бъде съгласуван с дирекция „Държавни помощи и регулации“ на Министерството на земеделието, храните и горите.</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 xml:space="preserve">Като цяло,  информацията, изложена в проекта на Методология по отношение на държавните помощи в секция „Режим на държавна/ минимална помощ“, част от раздел I. Основни параметри, е твърде обща и недостатъчна. Посочването на разпоредба от Регламент № 508/2014 и споменаването на Насоки на Комисията, според нас не би могло да гарантира съответствието на условията на финансовите инструменти с правилата в областта на държавните помощи. </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 xml:space="preserve">Бихме искали да обърнем внимание, че Насоките относно държавната помощ за финансовите инструменти по европейските структурни и </w:t>
            </w:r>
            <w:r w:rsidRPr="00C032B6">
              <w:rPr>
                <w:rFonts w:ascii="Times New Roman" w:eastAsia="Calibri" w:hAnsi="Times New Roman" w:cs="Times New Roman"/>
                <w:sz w:val="24"/>
                <w:szCs w:val="24"/>
                <w:lang w:val="bg-BG"/>
              </w:rPr>
              <w:lastRenderedPageBreak/>
              <w:t xml:space="preserve">инвестиционни фондове през програмния период 2014—2020 г. са работен документ, изготвен от службите на Комисията, който въз основа на приложимото законодателство на ЕС осигурява технически насоки за специалистите и органите, участващи в мониторинга, контрола или прилагането на европейските структурни и инвестиционни фондове, относно прилагането на правилата на ЕС в тази област. Целта на Насоките е да предостави обяснения на тези правила от службите на Комисията с цел да се улесни изпълнението на програмите и да се насърчат добрите практики. </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 xml:space="preserve">В проекта на Методология посочвате, че: „Съгласно Насоките относно държавната помощ за финансовите инструменти по европейските структурни и инвестиционни фондове през програмния период 2014—2020 г., държавните помощи трябва да се разгледат на всички възможни нива - ФМФИБ; финансови посредници, частни инвеститори и крайни получатели.“, но липсва информация, дали такова разглеждане е факт, както и заключенията от него. С оглед на това, предлагаме Управляващият орган да включи в проекта на Методология обоснована информация за извършена предварителна оценка за наличие на държавна помощ за всяко възможно ниво, за двата финансови инструмента (гаранционни схеми и заеми със споделяне на риска с две възможности: самостоятелни кредити и кредити в допълнение към отпусната безвъзмездна финансова помощ). </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 xml:space="preserve">С цел Управляващият орган да може да гарантира прозрачност на схемите за финансови инструменти, съответствието им с приложимите правила по държавните помощи, установени със законодателството на ЕС, в т.ч. и българското, считаме че документът следва да съдържа ясни условия за бенефициентите, както и конкретно разпределени отговорности по отношение на контрола по прилагането на правилата в областта на </w:t>
            </w:r>
            <w:r w:rsidRPr="00C032B6">
              <w:rPr>
                <w:rFonts w:ascii="Times New Roman" w:eastAsia="Calibri" w:hAnsi="Times New Roman" w:cs="Times New Roman"/>
                <w:sz w:val="24"/>
                <w:szCs w:val="24"/>
                <w:lang w:val="bg-BG"/>
              </w:rPr>
              <w:lastRenderedPageBreak/>
              <w:t xml:space="preserve">държавните помощи за двата финансови инструмента.  </w:t>
            </w:r>
          </w:p>
          <w:p w:rsidR="00C032B6" w:rsidRPr="00C032B6" w:rsidRDefault="00C032B6" w:rsidP="00C032B6">
            <w:pPr>
              <w:spacing w:after="200" w:line="276" w:lineRule="auto"/>
              <w:jc w:val="both"/>
              <w:rPr>
                <w:rFonts w:ascii="Times New Roman" w:eastAsia="Calibri" w:hAnsi="Times New Roman" w:cs="Times New Roman"/>
                <w:sz w:val="24"/>
                <w:szCs w:val="24"/>
                <w:lang w:val="bg-BG"/>
              </w:rPr>
            </w:pPr>
            <w:r w:rsidRPr="00C032B6">
              <w:rPr>
                <w:rFonts w:ascii="Times New Roman" w:eastAsia="Calibri" w:hAnsi="Times New Roman" w:cs="Times New Roman"/>
                <w:sz w:val="24"/>
                <w:szCs w:val="24"/>
                <w:lang w:val="bg-BG"/>
              </w:rPr>
              <w:t>Във връзка с изложеното, НЕ ОДОБРЯВАМЕ проекта на Методология и критерии за подбор на операции за прилагане на финансови инструменти по Програмата за морско дело и рибарство (ПМДР) 2014-2020 г., като предлагаме документът да бъде преработен съобразно направените бележки и съгласуван с дирекция „Държавни помощи и регулации“ на Министерството на земеделието, храните и горите.</w:t>
            </w:r>
          </w:p>
          <w:p w:rsidR="00E31346" w:rsidRPr="00C032B6" w:rsidRDefault="00C032B6"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Весела Данева</w:t>
            </w:r>
          </w:p>
        </w:tc>
        <w:tc>
          <w:tcPr>
            <w:tcW w:w="2178" w:type="dxa"/>
          </w:tcPr>
          <w:p w:rsidR="00B357DF" w:rsidRPr="00C032B6" w:rsidRDefault="00B357DF" w:rsidP="00C032B6">
            <w:pPr>
              <w:jc w:val="both"/>
              <w:rPr>
                <w:rFonts w:ascii="Times New Roman" w:hAnsi="Times New Roman" w:cs="Times New Roman"/>
                <w:sz w:val="24"/>
                <w:szCs w:val="24"/>
                <w:lang w:val="bg-BG"/>
              </w:rPr>
            </w:pPr>
          </w:p>
          <w:p w:rsidR="00E31346" w:rsidRPr="00866412" w:rsidRDefault="00391EDB"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Приема се.</w:t>
            </w:r>
            <w:r w:rsidR="002C02FC">
              <w:rPr>
                <w:rFonts w:ascii="Times New Roman" w:hAnsi="Times New Roman" w:cs="Times New Roman"/>
                <w:sz w:val="24"/>
                <w:szCs w:val="24"/>
                <w:lang w:val="bg-BG"/>
              </w:rPr>
              <w:t xml:space="preserve"> УО на ПМДР е предприел съответните действия за надграждане на документа в посока </w:t>
            </w:r>
            <w:r w:rsidR="002C02FC">
              <w:rPr>
                <w:rFonts w:ascii="Times New Roman" w:eastAsia="Calibri" w:hAnsi="Times New Roman" w:cs="Times New Roman"/>
                <w:sz w:val="24"/>
                <w:szCs w:val="24"/>
                <w:lang w:val="bg-BG"/>
              </w:rPr>
              <w:t xml:space="preserve">конкретния </w:t>
            </w:r>
            <w:r w:rsidR="002C02FC" w:rsidRPr="00C032B6">
              <w:rPr>
                <w:rFonts w:ascii="Times New Roman" w:eastAsia="Calibri" w:hAnsi="Times New Roman" w:cs="Times New Roman"/>
                <w:sz w:val="24"/>
                <w:szCs w:val="24"/>
                <w:lang w:val="bg-BG"/>
              </w:rPr>
              <w:t xml:space="preserve">режим на държавна помощ, който ще бъде прилаган за </w:t>
            </w:r>
            <w:r w:rsidR="002C02FC" w:rsidRPr="00C032B6">
              <w:rPr>
                <w:rFonts w:ascii="Times New Roman" w:eastAsia="Calibri" w:hAnsi="Times New Roman" w:cs="Times New Roman"/>
                <w:sz w:val="24"/>
                <w:szCs w:val="24"/>
                <w:lang w:val="bg-BG"/>
              </w:rPr>
              <w:lastRenderedPageBreak/>
              <w:t>финансовите инструменти</w:t>
            </w:r>
            <w:r w:rsidR="00866412">
              <w:rPr>
                <w:rFonts w:ascii="Times New Roman" w:eastAsia="Calibri" w:hAnsi="Times New Roman" w:cs="Times New Roman"/>
                <w:sz w:val="24"/>
                <w:szCs w:val="24"/>
                <w:lang w:val="bg-BG"/>
              </w:rPr>
              <w:t xml:space="preserve">, </w:t>
            </w:r>
            <w:r w:rsidR="00866412" w:rsidRPr="00866412">
              <w:rPr>
                <w:rFonts w:ascii="Times New Roman" w:eastAsia="Calibri" w:hAnsi="Times New Roman" w:cs="Times New Roman"/>
                <w:sz w:val="24"/>
                <w:szCs w:val="24"/>
                <w:lang w:val="bg-BG"/>
              </w:rPr>
              <w:t>съгласуван с „Фонд мениджър на финансовите инструменти в България“ ЕАД</w:t>
            </w:r>
            <w:r w:rsidR="00866412">
              <w:rPr>
                <w:rFonts w:ascii="Times New Roman" w:eastAsia="Calibri" w:hAnsi="Times New Roman" w:cs="Times New Roman"/>
                <w:sz w:val="24"/>
                <w:szCs w:val="24"/>
                <w:lang w:val="bg-BG"/>
              </w:rPr>
              <w:t>.</w:t>
            </w: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391EDB" w:rsidRPr="00C032B6" w:rsidRDefault="00391ED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BF3589" w:rsidRPr="00C032B6" w:rsidRDefault="00BF3589" w:rsidP="00C032B6">
            <w:pPr>
              <w:jc w:val="both"/>
              <w:rPr>
                <w:rFonts w:ascii="Times New Roman" w:hAnsi="Times New Roman" w:cs="Times New Roman"/>
                <w:sz w:val="24"/>
                <w:szCs w:val="24"/>
                <w:lang w:val="bg-BG"/>
              </w:rPr>
            </w:pPr>
          </w:p>
          <w:p w:rsidR="00BF3589" w:rsidRPr="00C032B6" w:rsidRDefault="00BF3589" w:rsidP="00C032B6">
            <w:pPr>
              <w:jc w:val="both"/>
              <w:rPr>
                <w:rFonts w:ascii="Times New Roman" w:hAnsi="Times New Roman" w:cs="Times New Roman"/>
                <w:sz w:val="24"/>
                <w:szCs w:val="24"/>
                <w:lang w:val="bg-BG"/>
              </w:rPr>
            </w:pPr>
          </w:p>
          <w:p w:rsidR="00BF3589" w:rsidRPr="00C032B6" w:rsidRDefault="00BF3589"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p w:rsidR="000F77EE" w:rsidRPr="00C032B6" w:rsidRDefault="000F77EE" w:rsidP="00C032B6">
            <w:pPr>
              <w:jc w:val="both"/>
              <w:rPr>
                <w:rFonts w:ascii="Times New Roman" w:hAnsi="Times New Roman" w:cs="Times New Roman"/>
                <w:sz w:val="24"/>
                <w:szCs w:val="24"/>
                <w:lang w:val="bg-BG"/>
              </w:rPr>
            </w:pPr>
          </w:p>
          <w:p w:rsidR="006842FB" w:rsidRPr="00C032B6" w:rsidRDefault="006842FB" w:rsidP="00C032B6">
            <w:pPr>
              <w:jc w:val="both"/>
              <w:rPr>
                <w:rFonts w:ascii="Times New Roman" w:hAnsi="Times New Roman" w:cs="Times New Roman"/>
                <w:sz w:val="24"/>
                <w:szCs w:val="24"/>
                <w:lang w:val="bg-BG"/>
              </w:rPr>
            </w:pPr>
          </w:p>
        </w:tc>
      </w:tr>
      <w:tr w:rsidR="00E31346" w:rsidRPr="00C032B6" w:rsidTr="001F5F84">
        <w:trPr>
          <w:trHeight w:val="4931"/>
        </w:trPr>
        <w:tc>
          <w:tcPr>
            <w:tcW w:w="625" w:type="dxa"/>
          </w:tcPr>
          <w:p w:rsidR="00E31346" w:rsidRDefault="00391EDB" w:rsidP="00C032B6">
            <w:pPr>
              <w:jc w:val="both"/>
              <w:rPr>
                <w:rFonts w:ascii="Times New Roman" w:hAnsi="Times New Roman" w:cs="Times New Roman"/>
                <w:b/>
                <w:sz w:val="24"/>
                <w:szCs w:val="24"/>
                <w:lang w:val="bg-BG"/>
              </w:rPr>
            </w:pPr>
            <w:r w:rsidRPr="00C032B6">
              <w:rPr>
                <w:rFonts w:ascii="Times New Roman" w:hAnsi="Times New Roman" w:cs="Times New Roman"/>
                <w:b/>
                <w:sz w:val="24"/>
                <w:szCs w:val="24"/>
                <w:lang w:val="bg-BG"/>
              </w:rPr>
              <w:lastRenderedPageBreak/>
              <w:t>2.</w:t>
            </w: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Pr="00C032B6" w:rsidRDefault="00471935" w:rsidP="00C032B6">
            <w:pPr>
              <w:jc w:val="both"/>
              <w:rPr>
                <w:rFonts w:ascii="Times New Roman" w:hAnsi="Times New Roman" w:cs="Times New Roman"/>
                <w:b/>
                <w:sz w:val="24"/>
                <w:szCs w:val="24"/>
                <w:lang w:val="bg-BG"/>
              </w:rPr>
            </w:pPr>
          </w:p>
        </w:tc>
        <w:tc>
          <w:tcPr>
            <w:tcW w:w="2096" w:type="dxa"/>
          </w:tcPr>
          <w:p w:rsidR="00E31346" w:rsidRPr="00C032B6" w:rsidRDefault="00A65F39"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Генерална дирекция „Морско дело и рибарство“ на Европейската комисия</w:t>
            </w:r>
            <w:r w:rsidR="00727027" w:rsidRPr="00C032B6">
              <w:rPr>
                <w:rFonts w:ascii="Times New Roman" w:hAnsi="Times New Roman" w:cs="Times New Roman"/>
                <w:sz w:val="24"/>
                <w:szCs w:val="24"/>
                <w:lang w:val="bg-BG"/>
              </w:rPr>
              <w:t>,</w:t>
            </w: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Моника Адамова</w:t>
            </w:r>
          </w:p>
        </w:tc>
        <w:tc>
          <w:tcPr>
            <w:tcW w:w="8100" w:type="dxa"/>
          </w:tcPr>
          <w:p w:rsidR="00727027" w:rsidRPr="00C032B6" w:rsidRDefault="00071C13"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Здравейте</w:t>
            </w:r>
            <w:r w:rsidR="00727027" w:rsidRPr="00C032B6">
              <w:rPr>
                <w:rFonts w:ascii="Times New Roman" w:hAnsi="Times New Roman" w:cs="Times New Roman"/>
                <w:sz w:val="24"/>
                <w:szCs w:val="24"/>
                <w:lang w:val="bg-BG"/>
              </w:rPr>
              <w:t>,</w:t>
            </w:r>
          </w:p>
          <w:p w:rsidR="00727027" w:rsidRPr="00C032B6" w:rsidRDefault="00727027" w:rsidP="00C032B6">
            <w:pPr>
              <w:jc w:val="both"/>
              <w:rPr>
                <w:rFonts w:ascii="Times New Roman" w:hAnsi="Times New Roman" w:cs="Times New Roman"/>
                <w:sz w:val="24"/>
                <w:szCs w:val="24"/>
                <w:lang w:val="bg-BG"/>
              </w:rPr>
            </w:pP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 xml:space="preserve">След стартирането на писмена процедура относно одобрението от </w:t>
            </w:r>
            <w:r w:rsidR="007720AA" w:rsidRPr="00C032B6">
              <w:rPr>
                <w:rFonts w:ascii="Times New Roman" w:hAnsi="Times New Roman" w:cs="Times New Roman"/>
                <w:sz w:val="24"/>
                <w:szCs w:val="24"/>
                <w:lang w:val="bg-BG"/>
              </w:rPr>
              <w:t>Комитета за наблюдение</w:t>
            </w:r>
            <w:r w:rsidRPr="00C032B6">
              <w:rPr>
                <w:rFonts w:ascii="Times New Roman" w:hAnsi="Times New Roman" w:cs="Times New Roman"/>
                <w:sz w:val="24"/>
                <w:szCs w:val="24"/>
                <w:lang w:val="bg-BG"/>
              </w:rPr>
              <w:t xml:space="preserve"> на критериите за подбор за прилагане на </w:t>
            </w:r>
            <w:r w:rsidR="007720AA" w:rsidRPr="00C032B6">
              <w:rPr>
                <w:rFonts w:ascii="Times New Roman" w:hAnsi="Times New Roman" w:cs="Times New Roman"/>
                <w:sz w:val="24"/>
                <w:szCs w:val="24"/>
                <w:lang w:val="bg-BG"/>
              </w:rPr>
              <w:t>финансови инструменти</w:t>
            </w:r>
            <w:r w:rsidRPr="00C032B6">
              <w:rPr>
                <w:rFonts w:ascii="Times New Roman" w:hAnsi="Times New Roman" w:cs="Times New Roman"/>
                <w:sz w:val="24"/>
                <w:szCs w:val="24"/>
                <w:lang w:val="bg-BG"/>
              </w:rPr>
              <w:t xml:space="preserve"> в мерки по членове 48, 52, 63 и 69 на ЕФМДР, бихме се заинтересували да получим разяснения относно следното:</w:t>
            </w:r>
          </w:p>
          <w:p w:rsidR="00727027" w:rsidRPr="00C032B6" w:rsidRDefault="00727027" w:rsidP="00C032B6">
            <w:pPr>
              <w:jc w:val="both"/>
              <w:rPr>
                <w:rFonts w:ascii="Times New Roman" w:hAnsi="Times New Roman" w:cs="Times New Roman"/>
                <w:sz w:val="24"/>
                <w:szCs w:val="24"/>
                <w:lang w:val="bg-BG"/>
              </w:rPr>
            </w:pP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 xml:space="preserve">Можете ли да ни уведомите как ще бъде организиран процесът на подбор? Можете ли да предоставите информация за методологията за подбор? Ще бъде ли направено на принципа „първи дошъл, първи обслужен“? Ще бъдат ли приети всички, които отговарят на условията? Или </w:t>
            </w:r>
            <w:r w:rsidR="006E598E">
              <w:rPr>
                <w:rFonts w:ascii="Times New Roman" w:hAnsi="Times New Roman" w:cs="Times New Roman"/>
                <w:sz w:val="24"/>
                <w:szCs w:val="24"/>
                <w:lang w:val="bg-BG"/>
              </w:rPr>
              <w:t>Фонд</w:t>
            </w:r>
            <w:r w:rsidRPr="00C032B6">
              <w:rPr>
                <w:rFonts w:ascii="Times New Roman" w:hAnsi="Times New Roman" w:cs="Times New Roman"/>
                <w:sz w:val="24"/>
                <w:szCs w:val="24"/>
                <w:lang w:val="bg-BG"/>
              </w:rPr>
              <w:t xml:space="preserve"> на фондове</w:t>
            </w:r>
            <w:r w:rsidR="006E598E">
              <w:rPr>
                <w:rFonts w:ascii="Times New Roman" w:hAnsi="Times New Roman" w:cs="Times New Roman"/>
                <w:sz w:val="24"/>
                <w:szCs w:val="24"/>
                <w:lang w:val="bg-BG"/>
              </w:rPr>
              <w:t>те има</w:t>
            </w:r>
            <w:r w:rsidRPr="00C032B6">
              <w:rPr>
                <w:rFonts w:ascii="Times New Roman" w:hAnsi="Times New Roman" w:cs="Times New Roman"/>
                <w:sz w:val="24"/>
                <w:szCs w:val="24"/>
                <w:lang w:val="bg-BG"/>
              </w:rPr>
              <w:t xml:space="preserve"> установена методология на процеса на подбор, която ще се прилага за </w:t>
            </w:r>
            <w:r w:rsidR="006E598E">
              <w:rPr>
                <w:rFonts w:ascii="Times New Roman" w:hAnsi="Times New Roman" w:cs="Times New Roman"/>
                <w:sz w:val="24"/>
                <w:szCs w:val="24"/>
                <w:lang w:val="bg-BG"/>
              </w:rPr>
              <w:t>финансови инструменти по ЕФМДР</w:t>
            </w:r>
            <w:r w:rsidRPr="00C032B6">
              <w:rPr>
                <w:rFonts w:ascii="Times New Roman" w:hAnsi="Times New Roman" w:cs="Times New Roman"/>
                <w:sz w:val="24"/>
                <w:szCs w:val="24"/>
                <w:lang w:val="bg-BG"/>
              </w:rPr>
              <w:t>? Ако отговорът е да, това не трябва ли да се споменава?</w:t>
            </w:r>
          </w:p>
          <w:p w:rsidR="00727027" w:rsidRPr="00C032B6" w:rsidRDefault="00727027" w:rsidP="00C032B6">
            <w:pPr>
              <w:jc w:val="both"/>
              <w:rPr>
                <w:rFonts w:ascii="Times New Roman" w:hAnsi="Times New Roman" w:cs="Times New Roman"/>
                <w:sz w:val="24"/>
                <w:szCs w:val="24"/>
                <w:lang w:val="bg-BG"/>
              </w:rPr>
            </w:pPr>
          </w:p>
          <w:p w:rsidR="00727027" w:rsidRPr="00C032B6"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Благодаря ви предварително,</w:t>
            </w:r>
          </w:p>
          <w:p w:rsidR="00476EC5" w:rsidRDefault="00727027" w:rsidP="00C032B6">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Моника</w:t>
            </w:r>
            <w:r w:rsidR="00071C13" w:rsidRPr="00C032B6">
              <w:rPr>
                <w:rFonts w:ascii="Times New Roman" w:hAnsi="Times New Roman" w:cs="Times New Roman"/>
                <w:sz w:val="24"/>
                <w:szCs w:val="24"/>
                <w:lang w:val="bg-BG"/>
              </w:rPr>
              <w:t xml:space="preserve"> Адамова</w:t>
            </w:r>
          </w:p>
          <w:p w:rsidR="00471935" w:rsidRPr="00C032B6" w:rsidRDefault="00471935" w:rsidP="00C032B6">
            <w:pPr>
              <w:jc w:val="both"/>
              <w:rPr>
                <w:rFonts w:ascii="Times New Roman" w:hAnsi="Times New Roman" w:cs="Times New Roman"/>
                <w:b/>
                <w:sz w:val="24"/>
                <w:szCs w:val="24"/>
                <w:lang w:val="bg-BG"/>
              </w:rPr>
            </w:pPr>
          </w:p>
        </w:tc>
        <w:tc>
          <w:tcPr>
            <w:tcW w:w="2178" w:type="dxa"/>
          </w:tcPr>
          <w:p w:rsidR="009B7386" w:rsidRPr="00C032B6" w:rsidRDefault="009B7386" w:rsidP="00C032B6">
            <w:pPr>
              <w:jc w:val="both"/>
              <w:rPr>
                <w:rFonts w:ascii="Times New Roman" w:hAnsi="Times New Roman" w:cs="Times New Roman"/>
                <w:sz w:val="24"/>
                <w:szCs w:val="24"/>
                <w:lang w:val="bg-BG"/>
              </w:rPr>
            </w:pPr>
          </w:p>
          <w:p w:rsidR="008624CB" w:rsidRPr="00C032B6" w:rsidRDefault="00866412" w:rsidP="00C032B6">
            <w:pPr>
              <w:jc w:val="both"/>
              <w:rPr>
                <w:rFonts w:ascii="Times New Roman" w:hAnsi="Times New Roman" w:cs="Times New Roman"/>
                <w:sz w:val="24"/>
                <w:szCs w:val="24"/>
                <w:lang w:val="bg-BG"/>
              </w:rPr>
            </w:pPr>
            <w:r>
              <w:rPr>
                <w:rFonts w:ascii="Times New Roman" w:hAnsi="Times New Roman" w:cs="Times New Roman"/>
                <w:sz w:val="24"/>
                <w:szCs w:val="24"/>
                <w:lang w:val="bg-BG"/>
              </w:rPr>
              <w:t>Приема се, добавен е критерий за подбор.</w:t>
            </w:r>
          </w:p>
        </w:tc>
      </w:tr>
      <w:tr w:rsidR="00471935" w:rsidRPr="00C032B6" w:rsidTr="001F5F84">
        <w:trPr>
          <w:trHeight w:val="5936"/>
        </w:trPr>
        <w:tc>
          <w:tcPr>
            <w:tcW w:w="625" w:type="dxa"/>
          </w:tcPr>
          <w:p w:rsidR="00471935" w:rsidRDefault="00471935" w:rsidP="00C032B6">
            <w:pPr>
              <w:jc w:val="both"/>
              <w:rPr>
                <w:rFonts w:ascii="Times New Roman" w:hAnsi="Times New Roman" w:cs="Times New Roman"/>
                <w:b/>
                <w:sz w:val="24"/>
                <w:szCs w:val="24"/>
                <w:lang w:val="bg-BG"/>
              </w:rPr>
            </w:pPr>
          </w:p>
          <w:p w:rsidR="00471935" w:rsidRDefault="001F5F84" w:rsidP="00C032B6">
            <w:pPr>
              <w:jc w:val="both"/>
              <w:rPr>
                <w:rFonts w:ascii="Times New Roman" w:hAnsi="Times New Roman" w:cs="Times New Roman"/>
                <w:b/>
                <w:sz w:val="24"/>
                <w:szCs w:val="24"/>
                <w:lang w:val="bg-BG"/>
              </w:rPr>
            </w:pPr>
            <w:r>
              <w:rPr>
                <w:rFonts w:ascii="Times New Roman" w:hAnsi="Times New Roman" w:cs="Times New Roman"/>
                <w:b/>
                <w:sz w:val="24"/>
                <w:szCs w:val="24"/>
                <w:lang w:val="bg-BG"/>
              </w:rPr>
              <w:t>3.</w:t>
            </w: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Default="00471935" w:rsidP="00C032B6">
            <w:pPr>
              <w:jc w:val="both"/>
              <w:rPr>
                <w:rFonts w:ascii="Times New Roman" w:hAnsi="Times New Roman" w:cs="Times New Roman"/>
                <w:b/>
                <w:sz w:val="24"/>
                <w:szCs w:val="24"/>
                <w:lang w:val="bg-BG"/>
              </w:rPr>
            </w:pPr>
          </w:p>
          <w:p w:rsidR="00471935" w:rsidRPr="00C032B6" w:rsidRDefault="00471935" w:rsidP="00C032B6">
            <w:pPr>
              <w:jc w:val="both"/>
              <w:rPr>
                <w:rFonts w:ascii="Times New Roman" w:hAnsi="Times New Roman" w:cs="Times New Roman"/>
                <w:b/>
                <w:sz w:val="24"/>
                <w:szCs w:val="24"/>
                <w:lang w:val="bg-BG"/>
              </w:rPr>
            </w:pPr>
          </w:p>
        </w:tc>
        <w:tc>
          <w:tcPr>
            <w:tcW w:w="2096" w:type="dxa"/>
          </w:tcPr>
          <w:p w:rsidR="001F5F84" w:rsidRPr="00C032B6" w:rsidRDefault="001F5F84" w:rsidP="001F5F84">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Министерство на финансите,</w:t>
            </w:r>
          </w:p>
          <w:p w:rsidR="00471935" w:rsidRPr="00C032B6" w:rsidRDefault="001F5F84" w:rsidP="001F5F84">
            <w:pPr>
              <w:jc w:val="both"/>
              <w:rPr>
                <w:rFonts w:ascii="Times New Roman" w:hAnsi="Times New Roman" w:cs="Times New Roman"/>
                <w:sz w:val="24"/>
                <w:szCs w:val="24"/>
                <w:lang w:val="bg-BG"/>
              </w:rPr>
            </w:pPr>
            <w:r w:rsidRPr="00C032B6">
              <w:rPr>
                <w:rFonts w:ascii="Times New Roman" w:hAnsi="Times New Roman" w:cs="Times New Roman"/>
                <w:sz w:val="24"/>
                <w:szCs w:val="24"/>
                <w:lang w:val="bg-BG"/>
              </w:rPr>
              <w:t>Весела Данева</w:t>
            </w:r>
          </w:p>
        </w:tc>
        <w:tc>
          <w:tcPr>
            <w:tcW w:w="8100" w:type="dxa"/>
          </w:tcPr>
          <w:p w:rsidR="001F5F84" w:rsidRPr="001F5F84" w:rsidRDefault="001F5F84" w:rsidP="001F5F84">
            <w:pPr>
              <w:jc w:val="both"/>
              <w:rPr>
                <w:rFonts w:ascii="Times New Roman" w:hAnsi="Times New Roman" w:cs="Times New Roman"/>
                <w:sz w:val="24"/>
                <w:szCs w:val="24"/>
                <w:lang w:val="bg-BG"/>
              </w:rPr>
            </w:pPr>
            <w:r w:rsidRPr="001F5F84">
              <w:rPr>
                <w:rFonts w:ascii="Times New Roman" w:hAnsi="Times New Roman" w:cs="Times New Roman"/>
                <w:sz w:val="24"/>
                <w:szCs w:val="24"/>
                <w:lang w:val="bg-BG"/>
              </w:rPr>
              <w:t>Съгласуваме изменение проект на Методология и критерии за подбор на операции за прилагане на финансови инструменти по Програмата за морско дело и рибарство 2014-2020 г., със следната бележка:</w:t>
            </w:r>
          </w:p>
          <w:p w:rsidR="001F5F84" w:rsidRPr="001F5F84" w:rsidRDefault="001F5F84" w:rsidP="001F5F84">
            <w:pPr>
              <w:jc w:val="both"/>
              <w:rPr>
                <w:rFonts w:ascii="Times New Roman" w:hAnsi="Times New Roman" w:cs="Times New Roman"/>
                <w:sz w:val="24"/>
                <w:szCs w:val="24"/>
                <w:lang w:val="bg-BG"/>
              </w:rPr>
            </w:pPr>
          </w:p>
          <w:p w:rsidR="001F5F84" w:rsidRPr="001F5F84" w:rsidRDefault="001F5F84" w:rsidP="001F5F84">
            <w:pPr>
              <w:jc w:val="both"/>
              <w:rPr>
                <w:rFonts w:ascii="Times New Roman" w:hAnsi="Times New Roman" w:cs="Times New Roman"/>
                <w:sz w:val="24"/>
                <w:szCs w:val="24"/>
                <w:lang w:val="bg-BG"/>
              </w:rPr>
            </w:pPr>
            <w:r w:rsidRPr="001F5F84">
              <w:rPr>
                <w:rFonts w:ascii="Times New Roman" w:hAnsi="Times New Roman" w:cs="Times New Roman"/>
                <w:sz w:val="24"/>
                <w:szCs w:val="24"/>
                <w:lang w:val="bg-BG"/>
              </w:rPr>
              <w:t xml:space="preserve">Видно от раздел „Режим на държавна/минимална помощ“ подкрепата чрез финансовите инструменти ще се предоставя и/или в съответствие с правилата за минимална помощ, като липсва </w:t>
            </w:r>
            <w:proofErr w:type="spellStart"/>
            <w:r w:rsidRPr="001F5F84">
              <w:rPr>
                <w:rFonts w:ascii="Times New Roman" w:hAnsi="Times New Roman" w:cs="Times New Roman"/>
                <w:sz w:val="24"/>
                <w:szCs w:val="24"/>
                <w:lang w:val="bg-BG"/>
              </w:rPr>
              <w:t>конкретика</w:t>
            </w:r>
            <w:proofErr w:type="spellEnd"/>
            <w:r w:rsidRPr="001F5F84">
              <w:rPr>
                <w:rFonts w:ascii="Times New Roman" w:hAnsi="Times New Roman" w:cs="Times New Roman"/>
                <w:sz w:val="24"/>
                <w:szCs w:val="24"/>
                <w:lang w:val="bg-BG"/>
              </w:rPr>
              <w:t xml:space="preserve"> за приложимия/</w:t>
            </w:r>
            <w:proofErr w:type="spellStart"/>
            <w:r w:rsidRPr="001F5F84">
              <w:rPr>
                <w:rFonts w:ascii="Times New Roman" w:hAnsi="Times New Roman" w:cs="Times New Roman"/>
                <w:sz w:val="24"/>
                <w:szCs w:val="24"/>
                <w:lang w:val="bg-BG"/>
              </w:rPr>
              <w:t>ите</w:t>
            </w:r>
            <w:proofErr w:type="spellEnd"/>
            <w:r w:rsidRPr="001F5F84">
              <w:rPr>
                <w:rFonts w:ascii="Times New Roman" w:hAnsi="Times New Roman" w:cs="Times New Roman"/>
                <w:sz w:val="24"/>
                <w:szCs w:val="24"/>
                <w:lang w:val="bg-BG"/>
              </w:rPr>
              <w:t xml:space="preserve"> Регламент/и относно прилагането на членове 107 и 108 от Договора за функциониране на Европейския съюз към помощта </w:t>
            </w:r>
            <w:proofErr w:type="spellStart"/>
            <w:r w:rsidRPr="001F5F84">
              <w:rPr>
                <w:rFonts w:ascii="Times New Roman" w:hAnsi="Times New Roman" w:cs="Times New Roman"/>
                <w:sz w:val="24"/>
                <w:szCs w:val="24"/>
                <w:lang w:val="bg-BG"/>
              </w:rPr>
              <w:t>de</w:t>
            </w:r>
            <w:proofErr w:type="spellEnd"/>
            <w:r w:rsidRPr="001F5F84">
              <w:rPr>
                <w:rFonts w:ascii="Times New Roman" w:hAnsi="Times New Roman" w:cs="Times New Roman"/>
                <w:sz w:val="24"/>
                <w:szCs w:val="24"/>
                <w:lang w:val="bg-BG"/>
              </w:rPr>
              <w:t xml:space="preserve"> </w:t>
            </w:r>
            <w:proofErr w:type="spellStart"/>
            <w:r w:rsidRPr="001F5F84">
              <w:rPr>
                <w:rFonts w:ascii="Times New Roman" w:hAnsi="Times New Roman" w:cs="Times New Roman"/>
                <w:sz w:val="24"/>
                <w:szCs w:val="24"/>
                <w:lang w:val="bg-BG"/>
              </w:rPr>
              <w:t>minimis</w:t>
            </w:r>
            <w:proofErr w:type="spellEnd"/>
            <w:r w:rsidRPr="001F5F84">
              <w:rPr>
                <w:rFonts w:ascii="Times New Roman" w:hAnsi="Times New Roman" w:cs="Times New Roman"/>
                <w:sz w:val="24"/>
                <w:szCs w:val="24"/>
                <w:lang w:val="bg-BG"/>
              </w:rPr>
              <w:t>. В тази връзка, считаме че информацията в раздела следва да се допълни с посочването на регламента/</w:t>
            </w:r>
            <w:proofErr w:type="spellStart"/>
            <w:r w:rsidRPr="001F5F84">
              <w:rPr>
                <w:rFonts w:ascii="Times New Roman" w:hAnsi="Times New Roman" w:cs="Times New Roman"/>
                <w:sz w:val="24"/>
                <w:szCs w:val="24"/>
                <w:lang w:val="bg-BG"/>
              </w:rPr>
              <w:t>ите</w:t>
            </w:r>
            <w:proofErr w:type="spellEnd"/>
            <w:r w:rsidRPr="001F5F84">
              <w:rPr>
                <w:rFonts w:ascii="Times New Roman" w:hAnsi="Times New Roman" w:cs="Times New Roman"/>
                <w:sz w:val="24"/>
                <w:szCs w:val="24"/>
                <w:lang w:val="bg-BG"/>
              </w:rPr>
              <w:t xml:space="preserve"> за минимална помощ, който/които ще бъде прилаган/и. </w:t>
            </w:r>
          </w:p>
          <w:p w:rsidR="001F5F84" w:rsidRPr="001F5F84" w:rsidRDefault="001F5F84" w:rsidP="001F5F84">
            <w:pPr>
              <w:jc w:val="both"/>
              <w:rPr>
                <w:rFonts w:ascii="Times New Roman" w:hAnsi="Times New Roman" w:cs="Times New Roman"/>
                <w:sz w:val="24"/>
                <w:szCs w:val="24"/>
                <w:lang w:val="bg-BG"/>
              </w:rPr>
            </w:pPr>
          </w:p>
          <w:p w:rsidR="00471935" w:rsidRPr="00C032B6" w:rsidRDefault="001F5F84" w:rsidP="001F5F84">
            <w:pPr>
              <w:jc w:val="both"/>
              <w:rPr>
                <w:rFonts w:ascii="Times New Roman" w:hAnsi="Times New Roman" w:cs="Times New Roman"/>
                <w:sz w:val="24"/>
                <w:szCs w:val="24"/>
                <w:lang w:val="bg-BG"/>
              </w:rPr>
            </w:pPr>
            <w:r w:rsidRPr="001F5F84">
              <w:rPr>
                <w:rFonts w:ascii="Times New Roman" w:hAnsi="Times New Roman" w:cs="Times New Roman"/>
                <w:sz w:val="24"/>
                <w:szCs w:val="24"/>
                <w:lang w:val="bg-BG"/>
              </w:rPr>
              <w:t xml:space="preserve">При положение, че подкрепата е насочена към проекти, свързани с мярка „Изпълнение на стратегиите за ВОМР“ и за тях е избран режим на минимална помощ (когато е приложимо) по Регламент (ЕС) № 1407/2013 на Комисията от 18 декември 2013 г. относно прилагането на членове 107 и 108 от Договора за функциониране на Европейския съюз към помощта </w:t>
            </w:r>
            <w:proofErr w:type="spellStart"/>
            <w:r w:rsidRPr="001F5F84">
              <w:rPr>
                <w:rFonts w:ascii="Times New Roman" w:hAnsi="Times New Roman" w:cs="Times New Roman"/>
                <w:sz w:val="24"/>
                <w:szCs w:val="24"/>
                <w:lang w:val="bg-BG"/>
              </w:rPr>
              <w:t>de</w:t>
            </w:r>
            <w:proofErr w:type="spellEnd"/>
            <w:r w:rsidRPr="001F5F84">
              <w:rPr>
                <w:rFonts w:ascii="Times New Roman" w:hAnsi="Times New Roman" w:cs="Times New Roman"/>
                <w:sz w:val="24"/>
                <w:szCs w:val="24"/>
                <w:lang w:val="bg-BG"/>
              </w:rPr>
              <w:t xml:space="preserve"> </w:t>
            </w:r>
            <w:proofErr w:type="spellStart"/>
            <w:r w:rsidRPr="001F5F84">
              <w:rPr>
                <w:rFonts w:ascii="Times New Roman" w:hAnsi="Times New Roman" w:cs="Times New Roman"/>
                <w:sz w:val="24"/>
                <w:szCs w:val="24"/>
                <w:lang w:val="bg-BG"/>
              </w:rPr>
              <w:t>minimis</w:t>
            </w:r>
            <w:proofErr w:type="spellEnd"/>
            <w:r w:rsidRPr="001F5F84">
              <w:rPr>
                <w:rFonts w:ascii="Times New Roman" w:hAnsi="Times New Roman" w:cs="Times New Roman"/>
                <w:sz w:val="24"/>
                <w:szCs w:val="24"/>
                <w:lang w:val="bg-BG"/>
              </w:rPr>
              <w:t>, документите по процедурите по схемите за ФИ следва да бъдат съгласувани с министъра на финансите по реда на чл. 26, ал. 3 от Закона за управление на средствата от Европейските структурни и инвестиционни фондове.</w:t>
            </w:r>
          </w:p>
        </w:tc>
        <w:tc>
          <w:tcPr>
            <w:tcW w:w="2178" w:type="dxa"/>
          </w:tcPr>
          <w:p w:rsidR="00471935" w:rsidRPr="00C032B6" w:rsidRDefault="001F5F84" w:rsidP="00C032B6">
            <w:pPr>
              <w:jc w:val="both"/>
              <w:rPr>
                <w:rFonts w:ascii="Times New Roman" w:hAnsi="Times New Roman" w:cs="Times New Roman"/>
                <w:sz w:val="24"/>
                <w:szCs w:val="24"/>
                <w:lang w:val="bg-BG"/>
              </w:rPr>
            </w:pPr>
            <w:r w:rsidRPr="001F5F84">
              <w:rPr>
                <w:rFonts w:ascii="Times New Roman" w:hAnsi="Times New Roman" w:cs="Times New Roman"/>
                <w:sz w:val="24"/>
                <w:szCs w:val="24"/>
                <w:lang w:val="bg-BG"/>
              </w:rPr>
              <w:t>Приема се.</w:t>
            </w:r>
          </w:p>
        </w:tc>
      </w:tr>
    </w:tbl>
    <w:p w:rsidR="00E31346" w:rsidRPr="00C032B6" w:rsidRDefault="00E31346" w:rsidP="00C032B6">
      <w:pPr>
        <w:jc w:val="both"/>
        <w:rPr>
          <w:rFonts w:ascii="Times New Roman" w:hAnsi="Times New Roman" w:cs="Times New Roman"/>
          <w:b/>
          <w:sz w:val="24"/>
          <w:szCs w:val="24"/>
          <w:lang w:val="bg-BG"/>
        </w:rPr>
      </w:pPr>
    </w:p>
    <w:sectPr w:rsidR="00E31346" w:rsidRPr="00C032B6" w:rsidSect="00E31346">
      <w:pgSz w:w="15840" w:h="12240" w:orient="landscape"/>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B6BAB"/>
    <w:multiLevelType w:val="hybridMultilevel"/>
    <w:tmpl w:val="8F7622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74633C3C"/>
    <w:multiLevelType w:val="hybridMultilevel"/>
    <w:tmpl w:val="36DCEB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6D"/>
    <w:rsid w:val="00012D11"/>
    <w:rsid w:val="000346A8"/>
    <w:rsid w:val="00071C13"/>
    <w:rsid w:val="000F67AD"/>
    <w:rsid w:val="000F77EE"/>
    <w:rsid w:val="001020C9"/>
    <w:rsid w:val="00104198"/>
    <w:rsid w:val="001F5F84"/>
    <w:rsid w:val="002C02FC"/>
    <w:rsid w:val="00360816"/>
    <w:rsid w:val="00391EDB"/>
    <w:rsid w:val="003A33B1"/>
    <w:rsid w:val="00471935"/>
    <w:rsid w:val="00476EC5"/>
    <w:rsid w:val="004D7357"/>
    <w:rsid w:val="00505D96"/>
    <w:rsid w:val="005E4DEB"/>
    <w:rsid w:val="005F27DD"/>
    <w:rsid w:val="00603F79"/>
    <w:rsid w:val="00635A62"/>
    <w:rsid w:val="0065486D"/>
    <w:rsid w:val="006842FB"/>
    <w:rsid w:val="006E598E"/>
    <w:rsid w:val="00707792"/>
    <w:rsid w:val="00727027"/>
    <w:rsid w:val="007720AA"/>
    <w:rsid w:val="008113B0"/>
    <w:rsid w:val="0082567F"/>
    <w:rsid w:val="008624CB"/>
    <w:rsid w:val="00866412"/>
    <w:rsid w:val="00884597"/>
    <w:rsid w:val="00910CC5"/>
    <w:rsid w:val="00937DC8"/>
    <w:rsid w:val="00973BF7"/>
    <w:rsid w:val="009B7386"/>
    <w:rsid w:val="00A2409F"/>
    <w:rsid w:val="00A47B63"/>
    <w:rsid w:val="00A65F39"/>
    <w:rsid w:val="00AA266F"/>
    <w:rsid w:val="00AC2FE7"/>
    <w:rsid w:val="00B357DF"/>
    <w:rsid w:val="00B909A2"/>
    <w:rsid w:val="00BC7868"/>
    <w:rsid w:val="00BD35FC"/>
    <w:rsid w:val="00BE4D70"/>
    <w:rsid w:val="00BF3589"/>
    <w:rsid w:val="00C032B6"/>
    <w:rsid w:val="00C50B77"/>
    <w:rsid w:val="00D13748"/>
    <w:rsid w:val="00E31346"/>
    <w:rsid w:val="00E420F2"/>
    <w:rsid w:val="00EC2142"/>
    <w:rsid w:val="00F10F5D"/>
    <w:rsid w:val="00F302AE"/>
    <w:rsid w:val="00F4235A"/>
    <w:rsid w:val="00F47B26"/>
    <w:rsid w:val="00F50A5A"/>
    <w:rsid w:val="00F91362"/>
    <w:rsid w:val="00FC1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1346"/>
    <w:pPr>
      <w:spacing w:after="240" w:line="240" w:lineRule="atLeast"/>
    </w:pPr>
    <w:rPr>
      <w:rFonts w:ascii="Times New Roman" w:eastAsia="Times New Roman" w:hAnsi="Times New Roman" w:cs="Times New Roman"/>
      <w:sz w:val="24"/>
      <w:szCs w:val="24"/>
    </w:rPr>
  </w:style>
  <w:style w:type="table" w:styleId="TableGrid">
    <w:name w:val="Table Grid"/>
    <w:basedOn w:val="TableNormal"/>
    <w:uiPriority w:val="39"/>
    <w:rsid w:val="00E3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50A5A"/>
    <w:pPr>
      <w:tabs>
        <w:tab w:val="center" w:pos="4536"/>
        <w:tab w:val="right" w:pos="9072"/>
      </w:tabs>
      <w:spacing w:after="0" w:line="240" w:lineRule="auto"/>
    </w:pPr>
    <w:rPr>
      <w:rFonts w:ascii="Calibri" w:eastAsia="Calibri" w:hAnsi="Calibri" w:cs="Calibri"/>
      <w:lang w:val="bg-BG"/>
    </w:rPr>
  </w:style>
  <w:style w:type="character" w:customStyle="1" w:styleId="HeaderChar">
    <w:name w:val="Header Char"/>
    <w:basedOn w:val="DefaultParagraphFont"/>
    <w:link w:val="Header"/>
    <w:uiPriority w:val="99"/>
    <w:rsid w:val="00F50A5A"/>
    <w:rPr>
      <w:rFonts w:ascii="Calibri" w:eastAsia="Calibri" w:hAnsi="Calibri" w:cs="Calibri"/>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1346"/>
    <w:pPr>
      <w:spacing w:after="240" w:line="240" w:lineRule="atLeast"/>
    </w:pPr>
    <w:rPr>
      <w:rFonts w:ascii="Times New Roman" w:eastAsia="Times New Roman" w:hAnsi="Times New Roman" w:cs="Times New Roman"/>
      <w:sz w:val="24"/>
      <w:szCs w:val="24"/>
    </w:rPr>
  </w:style>
  <w:style w:type="table" w:styleId="TableGrid">
    <w:name w:val="Table Grid"/>
    <w:basedOn w:val="TableNormal"/>
    <w:uiPriority w:val="39"/>
    <w:rsid w:val="00E3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50A5A"/>
    <w:pPr>
      <w:tabs>
        <w:tab w:val="center" w:pos="4536"/>
        <w:tab w:val="right" w:pos="9072"/>
      </w:tabs>
      <w:spacing w:after="0" w:line="240" w:lineRule="auto"/>
    </w:pPr>
    <w:rPr>
      <w:rFonts w:ascii="Calibri" w:eastAsia="Calibri" w:hAnsi="Calibri" w:cs="Calibri"/>
      <w:lang w:val="bg-BG"/>
    </w:rPr>
  </w:style>
  <w:style w:type="character" w:customStyle="1" w:styleId="HeaderChar">
    <w:name w:val="Header Char"/>
    <w:basedOn w:val="DefaultParagraphFont"/>
    <w:link w:val="Header"/>
    <w:uiPriority w:val="99"/>
    <w:rsid w:val="00F50A5A"/>
    <w:rPr>
      <w:rFonts w:ascii="Calibri" w:eastAsia="Calibri" w:hAnsi="Calibri" w:cs="Calibri"/>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45542">
      <w:bodyDiv w:val="1"/>
      <w:marLeft w:val="0"/>
      <w:marRight w:val="0"/>
      <w:marTop w:val="0"/>
      <w:marBottom w:val="0"/>
      <w:divBdr>
        <w:top w:val="none" w:sz="0" w:space="0" w:color="auto"/>
        <w:left w:val="none" w:sz="0" w:space="0" w:color="auto"/>
        <w:bottom w:val="none" w:sz="0" w:space="0" w:color="auto"/>
        <w:right w:val="none" w:sz="0" w:space="0" w:color="auto"/>
      </w:divBdr>
    </w:div>
    <w:div w:id="178495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5</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Antoaneta Hyubner</cp:lastModifiedBy>
  <cp:revision>78</cp:revision>
  <dcterms:created xsi:type="dcterms:W3CDTF">2020-09-04T13:20:00Z</dcterms:created>
  <dcterms:modified xsi:type="dcterms:W3CDTF">2021-08-10T11:19:00Z</dcterms:modified>
</cp:coreProperties>
</file>