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80" w:rsidRDefault="00A72E80" w:rsidP="002A6554">
      <w:pPr>
        <w:pStyle w:val="ListParagraph"/>
        <w:spacing w:after="0"/>
        <w:jc w:val="both"/>
      </w:pPr>
    </w:p>
    <w:p w:rsidR="00A72E80" w:rsidRDefault="00A72E80" w:rsidP="002A6554">
      <w:pPr>
        <w:pStyle w:val="ListParagraph"/>
        <w:spacing w:after="0"/>
        <w:jc w:val="both"/>
      </w:pPr>
    </w:p>
    <w:p w:rsidR="00A72E80" w:rsidRDefault="00A72E80" w:rsidP="002A6554">
      <w:pPr>
        <w:pStyle w:val="ListParagraph"/>
        <w:spacing w:after="0"/>
        <w:jc w:val="both"/>
      </w:pPr>
    </w:p>
    <w:p w:rsidR="00A72E80" w:rsidRDefault="00AC66B9" w:rsidP="00AC66B9">
      <w:pPr>
        <w:pStyle w:val="ListParagraph"/>
        <w:spacing w:after="0"/>
        <w:ind w:left="0"/>
        <w:jc w:val="center"/>
      </w:pPr>
      <w:r w:rsidRPr="00AC66B9">
        <w:rPr>
          <w:rFonts w:ascii="Calibri" w:eastAsia="Calibri" w:hAnsi="Calibri" w:cs="Calibri"/>
          <w:noProof/>
          <w:sz w:val="22"/>
          <w:szCs w:val="22"/>
          <w:lang w:val="en-US"/>
        </w:rPr>
        <w:drawing>
          <wp:inline distT="0" distB="0" distL="0" distR="0">
            <wp:extent cx="6243955" cy="988743"/>
            <wp:effectExtent l="0" t="0" r="4445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955" cy="9887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2E80" w:rsidRDefault="00A72E80" w:rsidP="002A6554">
      <w:pPr>
        <w:pStyle w:val="ListParagraph"/>
        <w:spacing w:after="0"/>
        <w:jc w:val="both"/>
      </w:pPr>
    </w:p>
    <w:p w:rsidR="00A72E80" w:rsidRDefault="00A72E80" w:rsidP="00A72E80">
      <w:pPr>
        <w:spacing w:after="0"/>
        <w:jc w:val="both"/>
      </w:pPr>
    </w:p>
    <w:p w:rsidR="00A72E80" w:rsidRDefault="00A72E80" w:rsidP="002A6554">
      <w:pPr>
        <w:pStyle w:val="ListParagraph"/>
        <w:spacing w:after="0"/>
        <w:jc w:val="both"/>
      </w:pPr>
    </w:p>
    <w:p w:rsidR="00A72E80" w:rsidRDefault="00A72E80" w:rsidP="00AC66B9">
      <w:pPr>
        <w:spacing w:after="0"/>
        <w:jc w:val="both"/>
      </w:pPr>
    </w:p>
    <w:p w:rsidR="00A72E80" w:rsidRPr="00A72E80" w:rsidRDefault="00A72E80" w:rsidP="00A72E80">
      <w:pPr>
        <w:pStyle w:val="ListParagraph"/>
        <w:spacing w:after="0" w:line="276" w:lineRule="auto"/>
        <w:jc w:val="both"/>
        <w:rPr>
          <w:rFonts w:ascii="Verdana" w:hAnsi="Verdana"/>
        </w:rPr>
      </w:pPr>
    </w:p>
    <w:p w:rsidR="00AF084A" w:rsidRPr="00A72E80" w:rsidRDefault="00AF084A" w:rsidP="00A72E80">
      <w:pPr>
        <w:pStyle w:val="ListParagraph"/>
        <w:spacing w:after="0" w:line="276" w:lineRule="auto"/>
        <w:ind w:left="6480" w:firstLine="720"/>
        <w:jc w:val="both"/>
        <w:rPr>
          <w:rFonts w:ascii="Verdana" w:hAnsi="Verdana"/>
          <w:b/>
          <w:sz w:val="20"/>
        </w:rPr>
      </w:pPr>
      <w:proofErr w:type="spellStart"/>
      <w:r w:rsidRPr="00A72E80">
        <w:rPr>
          <w:rFonts w:ascii="Verdana" w:hAnsi="Verdana"/>
          <w:b/>
          <w:sz w:val="20"/>
        </w:rPr>
        <w:t>Приложение</w:t>
      </w:r>
      <w:proofErr w:type="spellEnd"/>
      <w:r w:rsidRPr="00A72E80">
        <w:rPr>
          <w:rFonts w:ascii="Verdana" w:hAnsi="Verdana"/>
          <w:b/>
          <w:sz w:val="20"/>
        </w:rPr>
        <w:t xml:space="preserve"> № X</w:t>
      </w:r>
      <w:r w:rsidRPr="00A72E80">
        <w:rPr>
          <w:rFonts w:ascii="Verdana" w:hAnsi="Verdana"/>
          <w:b/>
          <w:sz w:val="20"/>
          <w:lang w:val="en-US"/>
        </w:rPr>
        <w:t>I</w:t>
      </w:r>
    </w:p>
    <w:p w:rsidR="00A02941" w:rsidRDefault="00A02941" w:rsidP="00A72E80">
      <w:pPr>
        <w:pStyle w:val="ListParagraph"/>
        <w:spacing w:after="0" w:line="276" w:lineRule="auto"/>
        <w:jc w:val="both"/>
        <w:rPr>
          <w:rFonts w:ascii="Verdana" w:hAnsi="Verdana"/>
          <w:sz w:val="20"/>
        </w:rPr>
      </w:pPr>
    </w:p>
    <w:p w:rsidR="005F5B50" w:rsidRDefault="005F5B50" w:rsidP="00A72E80">
      <w:pPr>
        <w:pStyle w:val="ListParagraph"/>
        <w:spacing w:after="0" w:line="276" w:lineRule="auto"/>
        <w:jc w:val="both"/>
        <w:rPr>
          <w:rFonts w:ascii="Verdana" w:hAnsi="Verdana"/>
          <w:sz w:val="20"/>
        </w:rPr>
      </w:pPr>
    </w:p>
    <w:p w:rsidR="005F5B50" w:rsidRPr="0009561C" w:rsidRDefault="005F5B50" w:rsidP="005F5B50">
      <w:pPr>
        <w:pStyle w:val="ListParagraph"/>
        <w:spacing w:after="0" w:line="276" w:lineRule="auto"/>
        <w:jc w:val="center"/>
        <w:rPr>
          <w:rFonts w:ascii="Verdana" w:hAnsi="Verdana"/>
          <w:b/>
          <w:sz w:val="22"/>
          <w:szCs w:val="22"/>
          <w:lang w:val="bg-BG"/>
        </w:rPr>
      </w:pPr>
      <w:r w:rsidRPr="0009561C">
        <w:rPr>
          <w:rFonts w:ascii="Verdana" w:hAnsi="Verdana"/>
          <w:b/>
          <w:sz w:val="22"/>
          <w:szCs w:val="22"/>
          <w:lang w:val="bg-BG"/>
        </w:rPr>
        <w:t>ПРОГРАМА ЗА МОРСКО ДЕЛО И РИБАРСТВО 2014-2020 Г.</w:t>
      </w:r>
    </w:p>
    <w:p w:rsidR="005F5B50" w:rsidRPr="005F5B50" w:rsidRDefault="005F5B50" w:rsidP="005F5B50">
      <w:pPr>
        <w:pStyle w:val="ListParagraph"/>
        <w:spacing w:after="0" w:line="276" w:lineRule="auto"/>
        <w:jc w:val="center"/>
        <w:rPr>
          <w:rFonts w:ascii="Verdana" w:hAnsi="Verdana"/>
          <w:b/>
          <w:sz w:val="20"/>
          <w:lang w:val="bg-BG"/>
        </w:rPr>
      </w:pPr>
    </w:p>
    <w:p w:rsidR="00AF084A" w:rsidRPr="00A72E80" w:rsidRDefault="00A02941" w:rsidP="00A72E80">
      <w:pPr>
        <w:pStyle w:val="ListParagraph"/>
        <w:spacing w:after="0" w:line="276" w:lineRule="auto"/>
        <w:jc w:val="center"/>
        <w:rPr>
          <w:rFonts w:ascii="Verdana" w:hAnsi="Verdana"/>
          <w:b/>
          <w:sz w:val="20"/>
          <w:lang w:val="bg-BG"/>
        </w:rPr>
      </w:pPr>
      <w:r w:rsidRPr="00A72E80">
        <w:rPr>
          <w:rFonts w:ascii="Verdana" w:hAnsi="Verdana"/>
          <w:b/>
          <w:sz w:val="20"/>
        </w:rPr>
        <w:t xml:space="preserve">ПОДРОБНО ОПИСАНИЕ НА </w:t>
      </w:r>
      <w:r w:rsidRPr="00A72E80">
        <w:rPr>
          <w:rFonts w:ascii="Verdana" w:hAnsi="Verdana"/>
          <w:b/>
          <w:sz w:val="20"/>
          <w:lang w:val="bg-BG"/>
        </w:rPr>
        <w:t>МЕТОДИКАТА ЗА ИЗЧИСЛЕНИЕ НА КОМПЕНСАЦИИТЕ ПО ЧЛ. 33 (1) Г), ЧЛ. 55 (1) Б) И ЧЛ. 69 (3)</w:t>
      </w:r>
    </w:p>
    <w:p w:rsidR="006C39D9" w:rsidRDefault="006C39D9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A02941" w:rsidRPr="00A72E80" w:rsidRDefault="00A02941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7954AA" w:rsidRDefault="002A6554" w:rsidP="00A72E80">
      <w:pPr>
        <w:pStyle w:val="Heading2"/>
        <w:numPr>
          <w:ilvl w:val="0"/>
          <w:numId w:val="3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7954AA">
        <w:rPr>
          <w:rFonts w:ascii="Verdana" w:hAnsi="Verdana"/>
          <w:b/>
          <w:sz w:val="20"/>
          <w:szCs w:val="20"/>
        </w:rPr>
        <w:t xml:space="preserve">Компенсация за временно преустановяване на риболовните дейности - чл. 33 (1) г) </w:t>
      </w:r>
    </w:p>
    <w:p w:rsidR="002A6554" w:rsidRPr="00A72E80" w:rsidRDefault="002A6554" w:rsidP="00A72E80">
      <w:pPr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A72E80" w:rsidRDefault="002A6554" w:rsidP="00A72E80">
      <w:pPr>
        <w:pStyle w:val="Heading2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72E80">
        <w:rPr>
          <w:rFonts w:ascii="Verdana" w:hAnsi="Verdana"/>
          <w:sz w:val="20"/>
          <w:szCs w:val="20"/>
        </w:rPr>
        <w:t>Компенсация за собственици на кораби</w:t>
      </w:r>
    </w:p>
    <w:p w:rsidR="002A6554" w:rsidRPr="00A72E80" w:rsidRDefault="002A6554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Методът, който е най-удачен за компенсация на собственици на кораби, е базиран на опита на УО с мярката за постоянно прекратяване на риболовните дейности както и на опита на други държави-членки. С оглед краткотрайния и извънреден характер на прилагането на тази мярка в България и сравнително ниския брой (под 10% от риболовния флот) очаквани потенциални бенефициенти, следва да се възприемат опростени компенсаторни схеми, а именно:</w:t>
      </w: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 xml:space="preserve">Премията се изчислява със следната формула </w:t>
      </w: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b/>
          <w:sz w:val="20"/>
          <w:szCs w:val="20"/>
          <w:lang w:val="bg-BG"/>
        </w:rPr>
      </w:pPr>
      <w:r w:rsidRPr="00A72E80">
        <w:rPr>
          <w:rFonts w:ascii="Verdana" w:hAnsi="Verdana"/>
          <w:b/>
          <w:sz w:val="20"/>
          <w:szCs w:val="20"/>
          <w:lang w:val="bg-BG"/>
        </w:rPr>
        <w:t>L = ((P*GT)+А)*d</w:t>
      </w: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за която</w:t>
      </w:r>
    </w:p>
    <w:p w:rsidR="002A6554" w:rsidRPr="00A72E80" w:rsidRDefault="002A6554" w:rsidP="00A72E80">
      <w:pPr>
        <w:spacing w:after="0"/>
        <w:ind w:left="993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b/>
          <w:sz w:val="20"/>
          <w:szCs w:val="20"/>
          <w:lang w:val="bg-BG"/>
        </w:rPr>
        <w:t>L</w:t>
      </w:r>
      <w:r w:rsidRPr="00A72E80">
        <w:rPr>
          <w:rFonts w:ascii="Verdana" w:hAnsi="Verdana"/>
          <w:sz w:val="20"/>
          <w:szCs w:val="20"/>
          <w:lang w:val="bg-BG"/>
        </w:rPr>
        <w:t xml:space="preserve"> </w:t>
      </w:r>
      <w:r w:rsidRPr="00A72E80">
        <w:rPr>
          <w:rFonts w:ascii="Verdana" w:hAnsi="Verdana"/>
          <w:b/>
          <w:sz w:val="20"/>
          <w:szCs w:val="20"/>
          <w:lang w:val="bg-BG"/>
        </w:rPr>
        <w:t>–</w:t>
      </w:r>
      <w:r w:rsidRPr="00A72E80">
        <w:rPr>
          <w:rFonts w:ascii="Verdana" w:hAnsi="Verdana"/>
          <w:sz w:val="20"/>
          <w:szCs w:val="20"/>
          <w:lang w:val="bg-BG"/>
        </w:rPr>
        <w:t xml:space="preserve"> Общата компенсация за временно преустановяване за кораб;</w:t>
      </w:r>
      <w:r w:rsidRPr="00A72E80">
        <w:rPr>
          <w:rFonts w:ascii="Verdana" w:hAnsi="Verdana"/>
          <w:sz w:val="20"/>
          <w:szCs w:val="20"/>
          <w:lang w:val="bg-BG"/>
        </w:rPr>
        <w:br/>
      </w:r>
      <w:r w:rsidRPr="00A72E80">
        <w:rPr>
          <w:rFonts w:ascii="Verdana" w:hAnsi="Verdana"/>
          <w:b/>
          <w:sz w:val="20"/>
          <w:szCs w:val="20"/>
          <w:lang w:val="bg-BG"/>
        </w:rPr>
        <w:t>P</w:t>
      </w:r>
      <w:r w:rsidRPr="00A72E80">
        <w:rPr>
          <w:rFonts w:ascii="Verdana" w:hAnsi="Verdana"/>
          <w:sz w:val="20"/>
          <w:szCs w:val="20"/>
          <w:lang w:val="bg-BG"/>
        </w:rPr>
        <w:t xml:space="preserve"> </w:t>
      </w:r>
      <w:r w:rsidRPr="00A72E80">
        <w:rPr>
          <w:rFonts w:ascii="Verdana" w:hAnsi="Verdana"/>
          <w:b/>
          <w:sz w:val="20"/>
          <w:szCs w:val="20"/>
          <w:lang w:val="bg-BG"/>
        </w:rPr>
        <w:t xml:space="preserve">– </w:t>
      </w:r>
      <w:r w:rsidRPr="00A72E80">
        <w:rPr>
          <w:rFonts w:ascii="Verdana" w:hAnsi="Verdana"/>
          <w:sz w:val="20"/>
          <w:szCs w:val="20"/>
          <w:lang w:val="bg-BG"/>
        </w:rPr>
        <w:t xml:space="preserve">Дневна премия за </w:t>
      </w:r>
      <w:proofErr w:type="spellStart"/>
      <w:r w:rsidRPr="00A72E80">
        <w:rPr>
          <w:rFonts w:ascii="Verdana" w:hAnsi="Verdana"/>
          <w:sz w:val="20"/>
          <w:szCs w:val="20"/>
          <w:lang w:val="bg-BG"/>
        </w:rPr>
        <w:t>преустанвяване</w:t>
      </w:r>
      <w:proofErr w:type="spellEnd"/>
      <w:r w:rsidRPr="00A72E80">
        <w:rPr>
          <w:rFonts w:ascii="Verdana" w:hAnsi="Verdana"/>
          <w:sz w:val="20"/>
          <w:szCs w:val="20"/>
          <w:lang w:val="bg-BG"/>
        </w:rPr>
        <w:t xml:space="preserve"> за 1 БТ (Таблица 1);</w:t>
      </w:r>
      <w:r w:rsidRPr="00A72E80">
        <w:rPr>
          <w:rFonts w:ascii="Verdana" w:hAnsi="Verdana"/>
          <w:sz w:val="20"/>
          <w:szCs w:val="20"/>
          <w:lang w:val="bg-BG"/>
        </w:rPr>
        <w:br/>
      </w:r>
      <w:r w:rsidRPr="00A72E80">
        <w:rPr>
          <w:rFonts w:ascii="Verdana" w:hAnsi="Verdana"/>
          <w:b/>
          <w:sz w:val="20"/>
          <w:szCs w:val="20"/>
          <w:lang w:val="bg-BG"/>
        </w:rPr>
        <w:t xml:space="preserve">GT </w:t>
      </w:r>
      <w:r w:rsidRPr="00A72E80">
        <w:rPr>
          <w:rFonts w:ascii="Verdana" w:hAnsi="Verdana"/>
          <w:sz w:val="20"/>
          <w:szCs w:val="20"/>
          <w:lang w:val="bg-BG"/>
        </w:rPr>
        <w:t xml:space="preserve"> </w:t>
      </w:r>
      <w:r w:rsidRPr="00A72E80">
        <w:rPr>
          <w:rFonts w:ascii="Verdana" w:hAnsi="Verdana"/>
          <w:b/>
          <w:sz w:val="20"/>
          <w:szCs w:val="20"/>
          <w:lang w:val="bg-BG"/>
        </w:rPr>
        <w:t xml:space="preserve">–  </w:t>
      </w:r>
      <w:r w:rsidRPr="00A72E80">
        <w:rPr>
          <w:rFonts w:ascii="Verdana" w:hAnsi="Verdana"/>
          <w:sz w:val="20"/>
          <w:szCs w:val="20"/>
          <w:lang w:val="bg-BG"/>
        </w:rPr>
        <w:t>Брутния тонаж на кораба;</w:t>
      </w:r>
    </w:p>
    <w:p w:rsidR="002A6554" w:rsidRPr="00A72E80" w:rsidRDefault="002A6554" w:rsidP="00A72E80">
      <w:pPr>
        <w:spacing w:after="0"/>
        <w:ind w:left="993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b/>
          <w:sz w:val="20"/>
          <w:szCs w:val="20"/>
          <w:lang w:val="bg-BG"/>
        </w:rPr>
        <w:t>А  –</w:t>
      </w:r>
      <w:r w:rsidRPr="00A72E80">
        <w:rPr>
          <w:rFonts w:ascii="Verdana" w:hAnsi="Verdana"/>
          <w:sz w:val="20"/>
          <w:szCs w:val="20"/>
          <w:lang w:val="bg-BG"/>
        </w:rPr>
        <w:t xml:space="preserve">  </w:t>
      </w:r>
      <w:proofErr w:type="spellStart"/>
      <w:r w:rsidRPr="00A72E80">
        <w:rPr>
          <w:rFonts w:ascii="Verdana" w:hAnsi="Verdana"/>
          <w:sz w:val="20"/>
          <w:szCs w:val="20"/>
        </w:rPr>
        <w:t>Допълнителна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премия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за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административни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разходи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на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собствениците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r w:rsidRPr="00A72E80">
        <w:rPr>
          <w:rFonts w:ascii="Verdana" w:hAnsi="Verdana"/>
          <w:sz w:val="20"/>
          <w:szCs w:val="20"/>
          <w:lang w:val="bg-BG"/>
        </w:rPr>
        <w:t xml:space="preserve">- 5.66 </w:t>
      </w:r>
      <w:proofErr w:type="spellStart"/>
      <w:r w:rsidRPr="00A72E80">
        <w:rPr>
          <w:rFonts w:ascii="Verdana" w:hAnsi="Verdana"/>
          <w:sz w:val="20"/>
          <w:szCs w:val="20"/>
          <w:lang w:val="bg-BG"/>
        </w:rPr>
        <w:t>лв</w:t>
      </w:r>
      <w:proofErr w:type="spellEnd"/>
      <w:r w:rsidRPr="00A72E80">
        <w:rPr>
          <w:rFonts w:ascii="Verdana" w:hAnsi="Verdana"/>
          <w:sz w:val="20"/>
          <w:szCs w:val="20"/>
        </w:rPr>
        <w:t>;</w:t>
      </w:r>
      <w:r w:rsidRPr="00A72E80">
        <w:rPr>
          <w:rFonts w:ascii="Verdana" w:hAnsi="Verdana"/>
          <w:sz w:val="20"/>
          <w:szCs w:val="20"/>
          <w:lang w:val="bg-BG"/>
        </w:rPr>
        <w:t xml:space="preserve"> </w:t>
      </w:r>
    </w:p>
    <w:p w:rsidR="002A6554" w:rsidRPr="00A72E80" w:rsidRDefault="002A6554" w:rsidP="00A72E80">
      <w:pPr>
        <w:spacing w:after="0"/>
        <w:ind w:left="993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b/>
          <w:sz w:val="20"/>
          <w:szCs w:val="20"/>
          <w:lang w:val="bg-BG"/>
        </w:rPr>
        <w:t>d</w:t>
      </w:r>
      <w:r w:rsidRPr="00A72E80">
        <w:rPr>
          <w:rFonts w:ascii="Verdana" w:hAnsi="Verdana"/>
          <w:sz w:val="20"/>
          <w:szCs w:val="20"/>
          <w:lang w:val="bg-BG"/>
        </w:rPr>
        <w:t xml:space="preserve">  </w:t>
      </w:r>
      <w:r w:rsidRPr="00A72E80">
        <w:rPr>
          <w:rFonts w:ascii="Verdana" w:hAnsi="Verdana"/>
          <w:b/>
          <w:sz w:val="20"/>
          <w:szCs w:val="20"/>
          <w:lang w:val="bg-BG"/>
        </w:rPr>
        <w:t xml:space="preserve">–  </w:t>
      </w:r>
      <w:r w:rsidRPr="00A72E80">
        <w:rPr>
          <w:rFonts w:ascii="Verdana" w:hAnsi="Verdana"/>
          <w:sz w:val="20"/>
          <w:szCs w:val="20"/>
          <w:lang w:val="bg-BG"/>
        </w:rPr>
        <w:t>Дни преустановяване.</w:t>
      </w: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</w:p>
    <w:p w:rsidR="00A72E80" w:rsidRDefault="00A72E80" w:rsidP="00693702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Този модел взема предвид не само тонажа на кораба, но и неговата дължина. Той определя вариращи стойности за 1 БТ в зависимост от категорията за дължина, като стойността се променя спрямо съответния сегмент. Разделянето по сегменти отговаря на това в  Доклада за съответствие капацитета на риболовния флот с възможностите за риболов. За целта на настоящата методика някои от сегментите са обединени в общо три групи. За да може да се изчисли дневната премия (Р), ще се вземе информация от дневниците за първа продажба на корабите за всеки сегмент. Тази информация вече е предоставена от ИАРА.</w:t>
      </w: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highlight w:val="yellow"/>
          <w:lang w:val="bg-BG"/>
        </w:rPr>
      </w:pPr>
    </w:p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b/>
          <w:sz w:val="20"/>
          <w:szCs w:val="20"/>
          <w:lang w:val="bg-BG"/>
        </w:rPr>
      </w:pPr>
      <w:r w:rsidRPr="00A72E80">
        <w:rPr>
          <w:rFonts w:ascii="Verdana" w:hAnsi="Verdana"/>
          <w:b/>
          <w:sz w:val="20"/>
          <w:szCs w:val="20"/>
          <w:lang w:val="bg-BG"/>
        </w:rPr>
        <w:t>Таблица 1</w:t>
      </w:r>
    </w:p>
    <w:tbl>
      <w:tblPr>
        <w:tblStyle w:val="TableGrid"/>
        <w:tblW w:w="9697" w:type="dxa"/>
        <w:tblInd w:w="108" w:type="dxa"/>
        <w:tblLook w:val="04A0" w:firstRow="1" w:lastRow="0" w:firstColumn="1" w:lastColumn="0" w:noHBand="0" w:noVBand="1"/>
      </w:tblPr>
      <w:tblGrid>
        <w:gridCol w:w="4395"/>
        <w:gridCol w:w="5302"/>
      </w:tblGrid>
      <w:tr w:rsidR="002A6554" w:rsidRPr="00A72E80" w:rsidTr="00EA672E">
        <w:tc>
          <w:tcPr>
            <w:tcW w:w="4395" w:type="dxa"/>
          </w:tcPr>
          <w:p w:rsidR="002A6554" w:rsidRPr="00A72E80" w:rsidRDefault="002A6554" w:rsidP="00A72E80">
            <w:pPr>
              <w:spacing w:line="276" w:lineRule="auto"/>
              <w:ind w:right="-283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72E80">
              <w:rPr>
                <w:rFonts w:ascii="Verdana" w:hAnsi="Verdana"/>
                <w:sz w:val="20"/>
                <w:szCs w:val="20"/>
                <w:lang w:val="bg-BG"/>
              </w:rPr>
              <w:t>Категоризация по дължина на кораба (m)</w:t>
            </w:r>
          </w:p>
        </w:tc>
        <w:tc>
          <w:tcPr>
            <w:tcW w:w="5302" w:type="dxa"/>
          </w:tcPr>
          <w:p w:rsidR="002A6554" w:rsidRPr="00A72E80" w:rsidRDefault="002A6554" w:rsidP="00A72E80">
            <w:pPr>
              <w:spacing w:line="276" w:lineRule="auto"/>
              <w:ind w:right="-283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72E80">
              <w:rPr>
                <w:rFonts w:ascii="Verdana" w:hAnsi="Verdana"/>
                <w:sz w:val="20"/>
                <w:szCs w:val="20"/>
                <w:lang w:val="bg-BG"/>
              </w:rPr>
              <w:t>Дневна премия за преустановяване за 1 БТ (лв.)</w:t>
            </w:r>
          </w:p>
        </w:tc>
      </w:tr>
      <w:tr w:rsidR="002A6554" w:rsidRPr="00A72E80" w:rsidTr="00EA672E">
        <w:tc>
          <w:tcPr>
            <w:tcW w:w="4395" w:type="dxa"/>
            <w:vAlign w:val="bottom"/>
          </w:tcPr>
          <w:p w:rsidR="002A6554" w:rsidRPr="00A72E80" w:rsidRDefault="002A6554" w:rsidP="00A72E80">
            <w:pPr>
              <w:spacing w:line="276" w:lineRule="auto"/>
              <w:ind w:right="-283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proofErr w:type="spellStart"/>
            <w:r w:rsidRPr="00A72E80">
              <w:rPr>
                <w:rFonts w:ascii="Verdana" w:hAnsi="Verdana"/>
                <w:color w:val="000000"/>
                <w:sz w:val="20"/>
                <w:szCs w:val="20"/>
              </w:rPr>
              <w:t>До</w:t>
            </w:r>
            <w:proofErr w:type="spellEnd"/>
            <w:r w:rsidRPr="00A72E80">
              <w:rPr>
                <w:rFonts w:ascii="Verdana" w:hAnsi="Verdana"/>
                <w:color w:val="000000"/>
                <w:sz w:val="20"/>
                <w:szCs w:val="20"/>
              </w:rPr>
              <w:t xml:space="preserve"> 18 </w:t>
            </w:r>
            <w:proofErr w:type="spellStart"/>
            <w:r w:rsidRPr="00A72E80">
              <w:rPr>
                <w:rFonts w:ascii="Verdana" w:hAnsi="Verdana"/>
                <w:color w:val="000000"/>
                <w:sz w:val="20"/>
                <w:szCs w:val="20"/>
              </w:rPr>
              <w:t>метра</w:t>
            </w:r>
            <w:proofErr w:type="spellEnd"/>
          </w:p>
        </w:tc>
        <w:tc>
          <w:tcPr>
            <w:tcW w:w="5302" w:type="dxa"/>
          </w:tcPr>
          <w:p w:rsidR="002A6554" w:rsidRPr="00A72E80" w:rsidRDefault="002A6554" w:rsidP="00A72E80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72E80">
              <w:rPr>
                <w:rFonts w:ascii="Verdana" w:hAnsi="Verdana"/>
                <w:sz w:val="20"/>
                <w:szCs w:val="20"/>
              </w:rPr>
              <w:t xml:space="preserve"> 10,45     </w:t>
            </w:r>
          </w:p>
        </w:tc>
      </w:tr>
      <w:tr w:rsidR="002A6554" w:rsidRPr="00A72E80" w:rsidTr="00EA672E">
        <w:tc>
          <w:tcPr>
            <w:tcW w:w="4395" w:type="dxa"/>
            <w:vAlign w:val="bottom"/>
          </w:tcPr>
          <w:p w:rsidR="002A6554" w:rsidRPr="00A72E80" w:rsidRDefault="002A6554" w:rsidP="00A72E80">
            <w:pPr>
              <w:spacing w:line="276" w:lineRule="auto"/>
              <w:ind w:right="-283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72E80">
              <w:rPr>
                <w:rFonts w:ascii="Verdana" w:hAnsi="Verdana"/>
                <w:color w:val="000000"/>
                <w:sz w:val="20"/>
                <w:szCs w:val="20"/>
              </w:rPr>
              <w:t xml:space="preserve">18-24 </w:t>
            </w:r>
            <w:proofErr w:type="spellStart"/>
            <w:r w:rsidRPr="00A72E80">
              <w:rPr>
                <w:rFonts w:ascii="Verdana" w:hAnsi="Verdana"/>
                <w:color w:val="000000"/>
                <w:sz w:val="20"/>
                <w:szCs w:val="20"/>
              </w:rPr>
              <w:t>метра</w:t>
            </w:r>
            <w:proofErr w:type="spellEnd"/>
          </w:p>
        </w:tc>
        <w:tc>
          <w:tcPr>
            <w:tcW w:w="5302" w:type="dxa"/>
          </w:tcPr>
          <w:p w:rsidR="002A6554" w:rsidRPr="00A72E80" w:rsidRDefault="002A6554" w:rsidP="00A72E80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72E80">
              <w:rPr>
                <w:rFonts w:ascii="Verdana" w:hAnsi="Verdana"/>
                <w:sz w:val="20"/>
                <w:szCs w:val="20"/>
              </w:rPr>
              <w:t xml:space="preserve"> 7,31     </w:t>
            </w:r>
          </w:p>
        </w:tc>
      </w:tr>
      <w:tr w:rsidR="002A6554" w:rsidRPr="00A72E80" w:rsidTr="00EA672E">
        <w:tc>
          <w:tcPr>
            <w:tcW w:w="4395" w:type="dxa"/>
            <w:vAlign w:val="bottom"/>
          </w:tcPr>
          <w:p w:rsidR="002A6554" w:rsidRPr="00A72E80" w:rsidRDefault="002A6554" w:rsidP="00A72E80">
            <w:pPr>
              <w:spacing w:line="276" w:lineRule="auto"/>
              <w:ind w:right="-283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proofErr w:type="spellStart"/>
            <w:r w:rsidRPr="00A72E80">
              <w:rPr>
                <w:rFonts w:ascii="Verdana" w:hAnsi="Verdana"/>
                <w:color w:val="000000"/>
                <w:sz w:val="20"/>
                <w:szCs w:val="20"/>
              </w:rPr>
              <w:t>Над</w:t>
            </w:r>
            <w:proofErr w:type="spellEnd"/>
            <w:r w:rsidRPr="00A72E80">
              <w:rPr>
                <w:rFonts w:ascii="Verdana" w:hAnsi="Verdana"/>
                <w:color w:val="000000"/>
                <w:sz w:val="20"/>
                <w:szCs w:val="20"/>
              </w:rPr>
              <w:t xml:space="preserve"> 24</w:t>
            </w:r>
            <w:r w:rsidRPr="00A72E80">
              <w:rPr>
                <w:rFonts w:ascii="Verdana" w:hAnsi="Verdana"/>
                <w:color w:val="000000"/>
                <w:sz w:val="20"/>
                <w:szCs w:val="20"/>
                <w:lang w:val="bg-BG"/>
              </w:rPr>
              <w:t xml:space="preserve"> метра</w:t>
            </w:r>
          </w:p>
        </w:tc>
        <w:tc>
          <w:tcPr>
            <w:tcW w:w="5302" w:type="dxa"/>
          </w:tcPr>
          <w:p w:rsidR="002A6554" w:rsidRPr="00A72E80" w:rsidRDefault="002A6554" w:rsidP="00A72E80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72E80">
              <w:rPr>
                <w:rFonts w:ascii="Verdana" w:hAnsi="Verdana"/>
                <w:sz w:val="20"/>
                <w:szCs w:val="20"/>
              </w:rPr>
              <w:t xml:space="preserve"> 5,12    </w:t>
            </w:r>
          </w:p>
        </w:tc>
      </w:tr>
    </w:tbl>
    <w:p w:rsidR="002A6554" w:rsidRPr="00A72E80" w:rsidRDefault="002A6554" w:rsidP="00A72E80">
      <w:pPr>
        <w:spacing w:after="0"/>
        <w:ind w:left="6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A72E80" w:rsidRDefault="002A6554" w:rsidP="00A72E80">
      <w:pPr>
        <w:pStyle w:val="Heading2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72E80">
        <w:rPr>
          <w:rFonts w:ascii="Verdana" w:hAnsi="Verdana"/>
          <w:sz w:val="20"/>
          <w:szCs w:val="20"/>
        </w:rPr>
        <w:t>Компенсация за екипаж</w:t>
      </w:r>
    </w:p>
    <w:p w:rsidR="002A6554" w:rsidRPr="00A72E80" w:rsidRDefault="002A6554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 xml:space="preserve">Следвайки философията на използване на опростени модели за компенсация, е избран метод, при който се взима предвид минималния осигурителен доход за 2020 г. за членовете на екипажа и на тази база се изчислява </w:t>
      </w:r>
      <w:proofErr w:type="spellStart"/>
      <w:r w:rsidRPr="00A72E80">
        <w:rPr>
          <w:rFonts w:ascii="Verdana" w:hAnsi="Verdana"/>
          <w:sz w:val="20"/>
          <w:szCs w:val="20"/>
          <w:lang w:val="bg-BG"/>
        </w:rPr>
        <w:t>среднодневното</w:t>
      </w:r>
      <w:proofErr w:type="spellEnd"/>
      <w:r w:rsidRPr="00A72E80">
        <w:rPr>
          <w:rFonts w:ascii="Verdana" w:hAnsi="Verdana"/>
          <w:sz w:val="20"/>
          <w:szCs w:val="20"/>
          <w:lang w:val="bg-BG"/>
        </w:rPr>
        <w:t xml:space="preserve"> възнаграждение. Чрез този метод всички членове на екипаж ще получават компенсация на ден прекъсване. Тази сума е 29,05 лв. на ден. Дните по време на временно спиране, при което член на екипажа използва отпуск по болест или почивка, не се включват в изчислението на премията.</w:t>
      </w:r>
    </w:p>
    <w:p w:rsidR="002A6554" w:rsidRPr="00A72E80" w:rsidRDefault="002A6554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A72E80" w:rsidRDefault="002A6554" w:rsidP="00A72E80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 xml:space="preserve">За определяне на стойността на </w:t>
      </w:r>
      <w:r w:rsidRPr="00A72E80">
        <w:rPr>
          <w:rFonts w:ascii="Verdana" w:hAnsi="Verdana"/>
          <w:b/>
          <w:sz w:val="20"/>
          <w:szCs w:val="20"/>
          <w:lang w:val="bg-BG"/>
        </w:rPr>
        <w:t>А –</w:t>
      </w:r>
      <w:r w:rsidRPr="00A72E80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Допълнителна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премия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за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административни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разходи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на</w:t>
      </w:r>
      <w:proofErr w:type="spellEnd"/>
      <w:r w:rsidRPr="00A72E80">
        <w:rPr>
          <w:rFonts w:ascii="Verdana" w:hAnsi="Verdana"/>
          <w:sz w:val="20"/>
          <w:szCs w:val="20"/>
        </w:rPr>
        <w:t xml:space="preserve"> </w:t>
      </w:r>
      <w:proofErr w:type="spellStart"/>
      <w:r w:rsidRPr="00A72E80">
        <w:rPr>
          <w:rFonts w:ascii="Verdana" w:hAnsi="Verdana"/>
          <w:sz w:val="20"/>
          <w:szCs w:val="20"/>
        </w:rPr>
        <w:t>собствениците</w:t>
      </w:r>
      <w:proofErr w:type="spellEnd"/>
      <w:r w:rsidRPr="00A72E80">
        <w:rPr>
          <w:rFonts w:ascii="Verdana" w:hAnsi="Verdana"/>
          <w:sz w:val="20"/>
          <w:szCs w:val="20"/>
          <w:lang w:val="bg-BG"/>
        </w:rPr>
        <w:t xml:space="preserve"> са ползвани официални данни от </w:t>
      </w:r>
      <w:r w:rsidRPr="00A72E80">
        <w:rPr>
          <w:rFonts w:ascii="Verdana" w:hAnsi="Verdana"/>
          <w:b/>
          <w:sz w:val="20"/>
          <w:szCs w:val="20"/>
          <w:lang w:val="bg-BG"/>
        </w:rPr>
        <w:t xml:space="preserve">„Рибни </w:t>
      </w:r>
      <w:proofErr w:type="spellStart"/>
      <w:r w:rsidRPr="00A72E80">
        <w:rPr>
          <w:rFonts w:ascii="Verdana" w:hAnsi="Verdana"/>
          <w:b/>
          <w:sz w:val="20"/>
          <w:szCs w:val="20"/>
          <w:lang w:val="bg-BG"/>
        </w:rPr>
        <w:t>ресурси”ЕООД</w:t>
      </w:r>
      <w:proofErr w:type="spellEnd"/>
    </w:p>
    <w:p w:rsidR="002A6554" w:rsidRPr="00A72E80" w:rsidRDefault="002A6554" w:rsidP="00A72E80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A6554" w:rsidRPr="00A72E80" w:rsidRDefault="002A6554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 xml:space="preserve">За определяне на стойността на </w:t>
      </w:r>
      <w:r w:rsidRPr="00A72E80">
        <w:rPr>
          <w:rFonts w:ascii="Verdana" w:hAnsi="Verdana"/>
          <w:b/>
          <w:sz w:val="20"/>
          <w:szCs w:val="20"/>
          <w:lang w:val="bg-BG"/>
        </w:rPr>
        <w:t>P</w:t>
      </w:r>
      <w:r w:rsidRPr="00A72E80">
        <w:rPr>
          <w:rFonts w:ascii="Verdana" w:hAnsi="Verdana"/>
          <w:sz w:val="20"/>
          <w:szCs w:val="20"/>
          <w:lang w:val="bg-BG"/>
        </w:rPr>
        <w:t xml:space="preserve"> </w:t>
      </w:r>
      <w:r w:rsidRPr="00A72E80">
        <w:rPr>
          <w:rFonts w:ascii="Verdana" w:hAnsi="Verdana"/>
          <w:b/>
          <w:sz w:val="20"/>
          <w:szCs w:val="20"/>
          <w:lang w:val="bg-BG"/>
        </w:rPr>
        <w:t xml:space="preserve">- </w:t>
      </w:r>
      <w:r w:rsidRPr="00A72E80">
        <w:rPr>
          <w:rFonts w:ascii="Verdana" w:hAnsi="Verdana"/>
          <w:sz w:val="20"/>
          <w:szCs w:val="20"/>
          <w:lang w:val="bg-BG"/>
        </w:rPr>
        <w:t xml:space="preserve"> Дневна премия за преустан</w:t>
      </w:r>
      <w:r w:rsidR="00222E00">
        <w:rPr>
          <w:rFonts w:ascii="Verdana" w:hAnsi="Verdana"/>
          <w:sz w:val="20"/>
          <w:szCs w:val="20"/>
          <w:lang w:val="bg-BG"/>
        </w:rPr>
        <w:t>о</w:t>
      </w:r>
      <w:r w:rsidRPr="00A72E80">
        <w:rPr>
          <w:rFonts w:ascii="Verdana" w:hAnsi="Verdana"/>
          <w:sz w:val="20"/>
          <w:szCs w:val="20"/>
          <w:lang w:val="bg-BG"/>
        </w:rPr>
        <w:t>вяване за 1 БТ са ползвани официални данни от ИАРА</w:t>
      </w:r>
    </w:p>
    <w:p w:rsidR="002A6554" w:rsidRPr="00A72E80" w:rsidRDefault="002A6554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4A783A" w:rsidRPr="004A783A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4A783A">
        <w:rPr>
          <w:rFonts w:ascii="Verdana" w:hAnsi="Verdana"/>
          <w:b/>
          <w:sz w:val="20"/>
          <w:szCs w:val="20"/>
          <w:lang w:val="bg-BG"/>
        </w:rPr>
        <w:t>Пример 1</w:t>
      </w:r>
      <w:r w:rsidRPr="004A783A">
        <w:rPr>
          <w:rFonts w:ascii="Verdana" w:hAnsi="Verdana"/>
          <w:sz w:val="20"/>
          <w:szCs w:val="20"/>
          <w:lang w:val="bg-BG"/>
        </w:rPr>
        <w:t>: Кораб 13 метра, с БТ – 15, с преустановена дейност за 35 дни.</w:t>
      </w:r>
    </w:p>
    <w:p w:rsidR="004A783A" w:rsidRPr="004A783A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4A783A" w:rsidRPr="004A783A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4A783A">
        <w:rPr>
          <w:rFonts w:ascii="Verdana" w:hAnsi="Verdana"/>
          <w:sz w:val="20"/>
          <w:szCs w:val="20"/>
          <w:lang w:val="bg-BG"/>
        </w:rPr>
        <w:t>Общата компенсация е равна на :   5 658,1 =( (10,45 х15)+5,66)*35</w:t>
      </w:r>
    </w:p>
    <w:p w:rsidR="004A783A" w:rsidRPr="004A783A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4A783A" w:rsidRPr="004A783A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4A783A" w:rsidRPr="004A783A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4A783A">
        <w:rPr>
          <w:rFonts w:ascii="Verdana" w:hAnsi="Verdana"/>
          <w:b/>
          <w:sz w:val="20"/>
          <w:szCs w:val="20"/>
          <w:lang w:val="bg-BG"/>
        </w:rPr>
        <w:t>Пример 2</w:t>
      </w:r>
      <w:r w:rsidRPr="004A783A">
        <w:rPr>
          <w:rFonts w:ascii="Verdana" w:hAnsi="Verdana"/>
          <w:sz w:val="20"/>
          <w:szCs w:val="20"/>
          <w:lang w:val="bg-BG"/>
        </w:rPr>
        <w:t>: Кораб 24 метра, с БТ – 117, с преустановена дейност за 35 дни.</w:t>
      </w:r>
    </w:p>
    <w:p w:rsidR="004A783A" w:rsidRPr="004A783A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4A783A">
        <w:rPr>
          <w:rFonts w:ascii="Verdana" w:hAnsi="Verdana"/>
          <w:sz w:val="20"/>
          <w:szCs w:val="20"/>
          <w:lang w:val="bg-BG"/>
        </w:rPr>
        <w:t>Общата компенсация е равна на :  21 164,5 =( (5,12 х117)+5,66)*35</w:t>
      </w:r>
    </w:p>
    <w:p w:rsidR="004A783A" w:rsidRPr="00A72E80" w:rsidRDefault="004A783A" w:rsidP="004A783A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A6554" w:rsidRPr="007954AA" w:rsidRDefault="002A6554" w:rsidP="00A72E80">
      <w:pPr>
        <w:pStyle w:val="Heading2"/>
        <w:numPr>
          <w:ilvl w:val="0"/>
          <w:numId w:val="3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7954AA">
        <w:rPr>
          <w:rFonts w:ascii="Verdana" w:hAnsi="Verdana"/>
          <w:b/>
          <w:sz w:val="20"/>
          <w:szCs w:val="20"/>
        </w:rPr>
        <w:t xml:space="preserve">Компенсация за временно спиране или намаляване на производството и продажбите на производителите на </w:t>
      </w:r>
      <w:proofErr w:type="spellStart"/>
      <w:r w:rsidRPr="007954AA">
        <w:rPr>
          <w:rFonts w:ascii="Verdana" w:hAnsi="Verdana"/>
          <w:b/>
          <w:sz w:val="20"/>
          <w:szCs w:val="20"/>
        </w:rPr>
        <w:t>аквакултури</w:t>
      </w:r>
      <w:proofErr w:type="spellEnd"/>
      <w:r w:rsidRPr="007954AA">
        <w:rPr>
          <w:rFonts w:ascii="Verdana" w:hAnsi="Verdana"/>
          <w:b/>
          <w:sz w:val="20"/>
          <w:szCs w:val="20"/>
        </w:rPr>
        <w:t xml:space="preserve"> - чл. 55 (1) б) </w:t>
      </w:r>
    </w:p>
    <w:p w:rsidR="00C9444C" w:rsidRPr="00A72E80" w:rsidRDefault="00C9444C" w:rsidP="00A72E80">
      <w:pPr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 xml:space="preserve">Допустими ще са кандидати, които са регистрирали спад в приходния оборот поне 20 % на месец в спрямо средно аритметичния оборот през 2019 г. </w:t>
      </w:r>
      <w:r w:rsidR="00AA0652">
        <w:rPr>
          <w:rFonts w:ascii="Verdana" w:hAnsi="Verdana"/>
          <w:sz w:val="20"/>
          <w:szCs w:val="20"/>
          <w:lang w:val="bg-BG"/>
        </w:rPr>
        <w:t xml:space="preserve">или </w:t>
      </w:r>
      <w:r w:rsidR="00AA0652" w:rsidRPr="00AA0652">
        <w:rPr>
          <w:rFonts w:ascii="Verdana" w:hAnsi="Verdana"/>
          <w:sz w:val="20"/>
          <w:szCs w:val="20"/>
          <w:lang w:val="bg-BG"/>
        </w:rPr>
        <w:t xml:space="preserve">средноаритметичния оборот от 2019, 2018 и 2017 г.  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335283" w:rsidRDefault="00335283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335283" w:rsidRDefault="00335283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Допустими ще са разходи, необходими за преодоляване на недостига на средства, настъпили в резултат от епидемичния взрив от COVID-19 (разходи за съхранение, разходи за заплати, разходи за суровини, разходи за логистични услуги и подобни свързани с оборотния капитал). Заявената безвъзмездна финансова помощ не може да надвишава 20% от нетните приходи за продажби за 2019 г.</w:t>
      </w:r>
    </w:p>
    <w:p w:rsidR="00BB6864" w:rsidRDefault="00BB6864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6864" w:rsidRDefault="00BB6864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Допустими ще са дейности направени след 13.03.2020 г., независимо дали всички свързани плащания са извършени. Макар Регламент 2020/560 да позволява разходи, направени от 01.02.2020, българското законодателство посочва 13.03.2020 г. като първа възможна дата.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Продължителността на изпълнение на всеки проект не следва да надвишава 4 (четири) месеца.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По процедурите няма да има критерии за подбор – „Техническа и финансова оценка”, помощта е предназначена за всички допустими оператори и до изчерпване на бюджета ще се прилага принципът „Първи по ред, първи по право”.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b/>
          <w:sz w:val="20"/>
          <w:szCs w:val="20"/>
          <w:lang w:val="bg-BG"/>
        </w:rPr>
        <w:t>Пример:</w:t>
      </w:r>
      <w:r w:rsidRPr="00A72E80">
        <w:rPr>
          <w:rFonts w:ascii="Verdana" w:hAnsi="Verdana"/>
          <w:sz w:val="20"/>
          <w:szCs w:val="20"/>
          <w:lang w:val="bg-BG"/>
        </w:rPr>
        <w:t xml:space="preserve">  Нетните приходи за продажби на ред „Продукция“ (код 15110) от приходната част на ОПР за 2019 г.) – 120 000 лв.,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24 000 лв. са -20 % от Нетните приходи за продажби на ред „Продукция“ (код 15110) от приходната част на ОПР за 2019 г.) и това е БФП, която ще получи.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Нетните приходи за продажби на ред „Продукция“ (код 15110) от приходната част на ОПР за 2019 г.) – 1 200 000 лв.</w:t>
      </w:r>
    </w:p>
    <w:p w:rsidR="00AF084A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240 000 лв. са -20 % от Нетните приходи за продажби на ред „Продукция“ (код 15110) от приходната част на ОПР за 2019 г.) и в този случай БФП, която ще получи кандидатът е 80 000 лв.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7954AA" w:rsidRDefault="00C9444C" w:rsidP="00A72E80">
      <w:pPr>
        <w:pStyle w:val="Heading2"/>
        <w:numPr>
          <w:ilvl w:val="0"/>
          <w:numId w:val="3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7954AA">
        <w:rPr>
          <w:rFonts w:ascii="Verdana" w:hAnsi="Verdana"/>
          <w:b/>
          <w:sz w:val="20"/>
          <w:szCs w:val="20"/>
        </w:rPr>
        <w:t>Компенсация за временно спиране или намаляване на производството и продажбите на преработвателните предприятия чл. 69 (3)</w:t>
      </w:r>
    </w:p>
    <w:p w:rsidR="00C9444C" w:rsidRPr="00A72E80" w:rsidRDefault="00C9444C" w:rsidP="00A72E80">
      <w:pPr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pStyle w:val="ListParagraph"/>
        <w:spacing w:line="276" w:lineRule="auto"/>
        <w:ind w:left="0"/>
        <w:jc w:val="both"/>
        <w:rPr>
          <w:rFonts w:ascii="Verdana" w:eastAsiaTheme="minorHAnsi" w:hAnsi="Verdana" w:cstheme="minorBidi"/>
          <w:sz w:val="20"/>
          <w:lang w:val="bg-BG"/>
        </w:rPr>
      </w:pPr>
      <w:r w:rsidRPr="00A72E80">
        <w:rPr>
          <w:rFonts w:ascii="Verdana" w:eastAsiaTheme="minorHAnsi" w:hAnsi="Verdana" w:cstheme="minorBidi"/>
          <w:sz w:val="20"/>
          <w:lang w:val="bg-BG"/>
        </w:rPr>
        <w:t xml:space="preserve">Допустими ще са също кандидати, които са регистрирали спад в приходния оборот поне 20 %  на месец в спрямо средно аритметичния оборот през 2019 г. </w:t>
      </w:r>
      <w:r w:rsidR="00DE57D6">
        <w:rPr>
          <w:rFonts w:ascii="Verdana" w:eastAsiaTheme="minorHAnsi" w:hAnsi="Verdana" w:cstheme="minorBidi"/>
          <w:sz w:val="20"/>
          <w:lang w:val="bg-BG"/>
        </w:rPr>
        <w:t xml:space="preserve">или </w:t>
      </w:r>
      <w:r w:rsidR="00DE57D6" w:rsidRPr="00DE57D6">
        <w:rPr>
          <w:rFonts w:ascii="Verdana" w:eastAsiaTheme="minorHAnsi" w:hAnsi="Verdana" w:cstheme="minorBidi"/>
          <w:sz w:val="20"/>
          <w:lang w:val="bg-BG"/>
        </w:rPr>
        <w:t xml:space="preserve">средноаритметичния оборот от 2019, 2018 и 2017 г.  </w:t>
      </w:r>
      <w:bookmarkStart w:id="0" w:name="_GoBack"/>
      <w:bookmarkEnd w:id="0"/>
    </w:p>
    <w:p w:rsidR="00C9444C" w:rsidRPr="00A72E80" w:rsidRDefault="00C9444C" w:rsidP="00A72E80">
      <w:pPr>
        <w:pStyle w:val="ListParagraph"/>
        <w:spacing w:line="276" w:lineRule="auto"/>
        <w:ind w:left="0"/>
        <w:jc w:val="both"/>
        <w:rPr>
          <w:rFonts w:ascii="Verdana" w:eastAsiaTheme="minorHAnsi" w:hAnsi="Verdana" w:cstheme="minorBidi"/>
          <w:sz w:val="20"/>
          <w:lang w:val="bg-BG"/>
        </w:rPr>
      </w:pPr>
      <w:r w:rsidRPr="00A72E80">
        <w:rPr>
          <w:rFonts w:ascii="Verdana" w:eastAsiaTheme="minorHAnsi" w:hAnsi="Verdana" w:cstheme="minorBidi"/>
          <w:sz w:val="20"/>
          <w:lang w:val="bg-BG"/>
        </w:rPr>
        <w:t>Допустими ще са разходи, необходими за преодоляване на недостига на средства, настъпили в резултат от епидемичния взрив от COVID-19 (разходи за съхранение, разходи за заплати, разходи за суровини, разходи за логистични услуги и подобни свързани с оборотния капитал). Заявената безвъзмездна финансова помощ не може да надвишава 20% от нетните приходи за продажби за 2019 г.</w:t>
      </w:r>
    </w:p>
    <w:p w:rsidR="00C9444C" w:rsidRPr="00A72E80" w:rsidRDefault="00C9444C" w:rsidP="00A72E80">
      <w:pPr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Допустими ще са дейности направени след 13.03.2020 г., независимо дали всички свързани плащания са извършени. Макар Регламент 2020/560 да позволява разходи, направени от 01.02.2020, българското законодателство посочва 13.03.2020 г. като първа възможна дата.</w:t>
      </w:r>
    </w:p>
    <w:p w:rsidR="005C6958" w:rsidRDefault="005C6958" w:rsidP="00A72E80">
      <w:pPr>
        <w:pStyle w:val="ListParagraph"/>
        <w:spacing w:line="276" w:lineRule="auto"/>
        <w:ind w:left="0"/>
        <w:jc w:val="both"/>
        <w:rPr>
          <w:rFonts w:ascii="Verdana" w:eastAsiaTheme="minorHAnsi" w:hAnsi="Verdana" w:cstheme="minorBidi"/>
          <w:sz w:val="20"/>
          <w:lang w:val="bg-BG"/>
        </w:rPr>
      </w:pPr>
    </w:p>
    <w:p w:rsidR="00C9444C" w:rsidRPr="00A72E80" w:rsidRDefault="00C9444C" w:rsidP="00A72E80">
      <w:pPr>
        <w:pStyle w:val="ListParagraph"/>
        <w:spacing w:line="276" w:lineRule="auto"/>
        <w:ind w:left="0"/>
        <w:jc w:val="both"/>
        <w:rPr>
          <w:rFonts w:ascii="Verdana" w:eastAsiaTheme="minorHAnsi" w:hAnsi="Verdana" w:cstheme="minorBidi"/>
          <w:sz w:val="20"/>
          <w:lang w:val="bg-BG"/>
        </w:rPr>
      </w:pPr>
      <w:r w:rsidRPr="00A72E80">
        <w:rPr>
          <w:rFonts w:ascii="Verdana" w:eastAsiaTheme="minorHAnsi" w:hAnsi="Verdana" w:cstheme="minorBidi"/>
          <w:sz w:val="20"/>
          <w:lang w:val="bg-BG"/>
        </w:rPr>
        <w:t>Продължителността на изпълнение на всеки проект не следва да надвишава 4 (четири) месеца.</w:t>
      </w:r>
    </w:p>
    <w:p w:rsidR="00C9444C" w:rsidRPr="00A72E80" w:rsidRDefault="00C9444C" w:rsidP="00A72E80">
      <w:pPr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По процедурите няма да има критерии за подбор – „Техническа и финансова оценка”, помощта е предназначена за всички допустими оператори и до изчерпване на бюджета ще се прилага принципът „Първи по ред, първи по право”.</w:t>
      </w:r>
    </w:p>
    <w:p w:rsidR="00B66CE2" w:rsidRDefault="00B66CE2" w:rsidP="00A72E80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B66CE2" w:rsidRDefault="00B66CE2" w:rsidP="00A72E80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b/>
          <w:sz w:val="20"/>
          <w:szCs w:val="20"/>
          <w:lang w:val="bg-BG"/>
        </w:rPr>
        <w:t>Пример:</w:t>
      </w:r>
      <w:r w:rsidRPr="00A72E80">
        <w:rPr>
          <w:rFonts w:ascii="Verdana" w:hAnsi="Verdana"/>
          <w:sz w:val="20"/>
          <w:szCs w:val="20"/>
          <w:lang w:val="bg-BG"/>
        </w:rPr>
        <w:t xml:space="preserve">  Нетните приходи за продажби на ред „Продукция“ (код 15110) от приходната част на ОПР за 2019 г.) – 120 000 лв.,</w:t>
      </w:r>
    </w:p>
    <w:p w:rsidR="00A72E80" w:rsidRDefault="00A72E80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24 000 лв. са -20 % от Нетните приходи за продажби на ред „Продукция“ (код 15110) от приходната част на ОПР за 2019 г.) и това е БФП, която ще получи.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Нетните приходи за продажби на ред „Продукция“ (код 15110) от приходната част на ОПР за 2019 г.) – 1 200 000 лв.</w:t>
      </w:r>
    </w:p>
    <w:p w:rsidR="00C9444C" w:rsidRPr="00A72E80" w:rsidRDefault="00C9444C" w:rsidP="00A72E80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A72E80">
        <w:rPr>
          <w:rFonts w:ascii="Verdana" w:hAnsi="Verdana"/>
          <w:sz w:val="20"/>
          <w:szCs w:val="20"/>
          <w:lang w:val="bg-BG"/>
        </w:rPr>
        <w:t>240 000 лв. са -20 % от Нетните приходи за продажби на ред „Продукция“ (код 15110) от приходната част на ОПР за 2019 г.) и в този случай БФП, която ще получи кандидатът е 80 000 лв.</w:t>
      </w:r>
    </w:p>
    <w:p w:rsidR="00C9444C" w:rsidRPr="00A72E80" w:rsidRDefault="00C9444C" w:rsidP="00C9444C">
      <w:pPr>
        <w:rPr>
          <w:rFonts w:ascii="Verdana" w:hAnsi="Verdana"/>
          <w:sz w:val="20"/>
          <w:szCs w:val="20"/>
          <w:lang w:val="bg-BG"/>
        </w:rPr>
      </w:pPr>
    </w:p>
    <w:p w:rsidR="00C9444C" w:rsidRPr="00A72E80" w:rsidRDefault="00C9444C" w:rsidP="00C9444C">
      <w:pPr>
        <w:spacing w:after="0"/>
        <w:rPr>
          <w:rFonts w:ascii="Verdana" w:hAnsi="Verdana"/>
          <w:sz w:val="20"/>
          <w:szCs w:val="20"/>
          <w:lang w:val="bg-BG"/>
        </w:rPr>
      </w:pPr>
    </w:p>
    <w:sectPr w:rsidR="00C9444C" w:rsidRPr="00A72E80" w:rsidSect="00A72E80">
      <w:pgSz w:w="12240" w:h="15840"/>
      <w:pgMar w:top="1417" w:right="990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172"/>
    <w:multiLevelType w:val="hybridMultilevel"/>
    <w:tmpl w:val="96BC2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659A8"/>
    <w:multiLevelType w:val="hybridMultilevel"/>
    <w:tmpl w:val="67348F7E"/>
    <w:lvl w:ilvl="0" w:tplc="2A30C3A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F3B0E"/>
    <w:multiLevelType w:val="hybridMultilevel"/>
    <w:tmpl w:val="96663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57F8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BA41D7C"/>
    <w:multiLevelType w:val="hybridMultilevel"/>
    <w:tmpl w:val="AAD658FA"/>
    <w:lvl w:ilvl="0" w:tplc="A4AE187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4A"/>
    <w:rsid w:val="0009561C"/>
    <w:rsid w:val="00186A22"/>
    <w:rsid w:val="00222E00"/>
    <w:rsid w:val="002A6554"/>
    <w:rsid w:val="00335283"/>
    <w:rsid w:val="004A783A"/>
    <w:rsid w:val="005160EE"/>
    <w:rsid w:val="005C6958"/>
    <w:rsid w:val="005F5B50"/>
    <w:rsid w:val="00693702"/>
    <w:rsid w:val="006C39D9"/>
    <w:rsid w:val="006D1B3C"/>
    <w:rsid w:val="007954AA"/>
    <w:rsid w:val="00A02941"/>
    <w:rsid w:val="00A72E80"/>
    <w:rsid w:val="00AA0652"/>
    <w:rsid w:val="00AC66B9"/>
    <w:rsid w:val="00AF084A"/>
    <w:rsid w:val="00B66CE2"/>
    <w:rsid w:val="00BB6864"/>
    <w:rsid w:val="00C43181"/>
    <w:rsid w:val="00C9444C"/>
    <w:rsid w:val="00DE57D6"/>
    <w:rsid w:val="00EA672E"/>
    <w:rsid w:val="00EC39CD"/>
    <w:rsid w:val="00F3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6484A"/>
  <w15:docId w15:val="{681D5DC3-D885-4259-8F52-EB371BDB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6554"/>
    <w:pPr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sz w:val="28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6554"/>
    <w:pPr>
      <w:spacing w:after="0" w:line="240" w:lineRule="auto"/>
      <w:ind w:right="-283"/>
      <w:contextualSpacing/>
      <w:outlineLvl w:val="1"/>
    </w:pPr>
    <w:rPr>
      <w:rFonts w:ascii="Times New Roman" w:eastAsiaTheme="majorEastAsia" w:hAnsi="Times New Roman" w:cs="Times New Roman"/>
      <w:i/>
      <w:sz w:val="24"/>
      <w:szCs w:val="24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65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6554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6554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55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655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6554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6554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84A"/>
    <w:pPr>
      <w:spacing w:after="24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A6554"/>
    <w:rPr>
      <w:rFonts w:ascii="Times New Roman" w:eastAsia="Times New Roman" w:hAnsi="Times New Roman" w:cs="Times New Roman"/>
      <w:b/>
      <w:noProof/>
      <w:sz w:val="28"/>
      <w:szCs w:val="24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2A6554"/>
    <w:rPr>
      <w:rFonts w:ascii="Times New Roman" w:eastAsiaTheme="majorEastAsia" w:hAnsi="Times New Roman" w:cs="Times New Roman"/>
      <w:i/>
      <w:sz w:val="24"/>
      <w:szCs w:val="24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2A65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655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655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65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655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65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65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A65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554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2A6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6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5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72E8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E80"/>
  </w:style>
  <w:style w:type="paragraph" w:styleId="NormalWeb">
    <w:name w:val="Normal (Web)"/>
    <w:basedOn w:val="Normal"/>
    <w:uiPriority w:val="99"/>
    <w:semiHidden/>
    <w:unhideWhenUsed/>
    <w:rsid w:val="00A72E8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Boryana Vodenicharska</dc:creator>
  <cp:lastModifiedBy>Krasimira Dankova</cp:lastModifiedBy>
  <cp:revision>36</cp:revision>
  <dcterms:created xsi:type="dcterms:W3CDTF">2020-05-07T09:13:00Z</dcterms:created>
  <dcterms:modified xsi:type="dcterms:W3CDTF">2020-05-07T10:54:00Z</dcterms:modified>
</cp:coreProperties>
</file>