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E9" w:rsidRDefault="000661E9" w:rsidP="006A2B60">
      <w:pPr>
        <w:jc w:val="both"/>
        <w:rPr>
          <w:b/>
          <w:sz w:val="32"/>
          <w:lang w:val="bg-BG"/>
        </w:rPr>
      </w:pPr>
      <w:r w:rsidRPr="00AC66B9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38B63D84" wp14:editId="4262D56F">
            <wp:extent cx="5972810" cy="945761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45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61E9" w:rsidRDefault="000661E9" w:rsidP="006A2B60">
      <w:pPr>
        <w:jc w:val="both"/>
        <w:rPr>
          <w:b/>
          <w:sz w:val="32"/>
          <w:lang w:val="bg-BG"/>
        </w:rPr>
      </w:pPr>
    </w:p>
    <w:p w:rsidR="000661E9" w:rsidRDefault="000661E9" w:rsidP="006A2B60">
      <w:pPr>
        <w:jc w:val="both"/>
        <w:rPr>
          <w:b/>
          <w:sz w:val="32"/>
          <w:lang w:val="bg-BG"/>
        </w:rPr>
      </w:pPr>
    </w:p>
    <w:p w:rsidR="000661E9" w:rsidRPr="009B03FC" w:rsidRDefault="000661E9" w:rsidP="000661E9">
      <w:pPr>
        <w:jc w:val="center"/>
        <w:rPr>
          <w:b/>
          <w:sz w:val="28"/>
          <w:szCs w:val="28"/>
          <w:lang w:val="bg-BG"/>
        </w:rPr>
      </w:pPr>
      <w:r w:rsidRPr="009B03FC">
        <w:rPr>
          <w:b/>
          <w:sz w:val="28"/>
          <w:szCs w:val="28"/>
          <w:lang w:val="bg-BG"/>
        </w:rPr>
        <w:t>ПРОГРАМА ЗА МОРСКО ДЕЛО И РИБАРСТВО</w:t>
      </w:r>
      <w:r w:rsidR="00766CC5" w:rsidRPr="009B03FC">
        <w:rPr>
          <w:b/>
          <w:sz w:val="28"/>
          <w:szCs w:val="28"/>
          <w:lang w:val="bg-BG"/>
        </w:rPr>
        <w:t xml:space="preserve"> </w:t>
      </w:r>
      <w:r w:rsidR="00766CC5" w:rsidRPr="009B03FC">
        <w:rPr>
          <w:b/>
          <w:sz w:val="28"/>
          <w:szCs w:val="28"/>
        </w:rPr>
        <w:t>(</w:t>
      </w:r>
      <w:r w:rsidR="00766CC5" w:rsidRPr="009B03FC">
        <w:rPr>
          <w:b/>
          <w:sz w:val="28"/>
          <w:szCs w:val="28"/>
          <w:lang w:val="bg-BG"/>
        </w:rPr>
        <w:t>ПМДР</w:t>
      </w:r>
      <w:r w:rsidR="00766CC5" w:rsidRPr="009B03FC">
        <w:rPr>
          <w:b/>
          <w:sz w:val="28"/>
          <w:szCs w:val="28"/>
        </w:rPr>
        <w:t>)</w:t>
      </w:r>
      <w:r w:rsidRPr="009B03FC">
        <w:rPr>
          <w:b/>
          <w:sz w:val="28"/>
          <w:szCs w:val="28"/>
          <w:lang w:val="bg-BG"/>
        </w:rPr>
        <w:t xml:space="preserve"> 2014-2020 Г.</w:t>
      </w:r>
    </w:p>
    <w:p w:rsidR="000661E9" w:rsidRPr="009B03FC" w:rsidRDefault="000661E9" w:rsidP="006A2B60">
      <w:pPr>
        <w:jc w:val="both"/>
        <w:rPr>
          <w:b/>
          <w:sz w:val="28"/>
          <w:szCs w:val="28"/>
          <w:lang w:val="bg-BG"/>
        </w:rPr>
      </w:pPr>
    </w:p>
    <w:p w:rsidR="00766CC5" w:rsidRPr="009B03FC" w:rsidRDefault="00766CC5" w:rsidP="006A2B60">
      <w:pPr>
        <w:jc w:val="both"/>
        <w:rPr>
          <w:b/>
          <w:sz w:val="28"/>
          <w:szCs w:val="28"/>
          <w:lang w:val="bg-BG"/>
        </w:rPr>
      </w:pPr>
    </w:p>
    <w:p w:rsidR="00A10982" w:rsidRPr="009B03FC" w:rsidRDefault="000661E9" w:rsidP="000661E9">
      <w:pPr>
        <w:jc w:val="center"/>
        <w:rPr>
          <w:b/>
          <w:sz w:val="28"/>
          <w:szCs w:val="28"/>
          <w:lang w:val="bg-BG"/>
        </w:rPr>
      </w:pPr>
      <w:r w:rsidRPr="009B03FC">
        <w:rPr>
          <w:b/>
          <w:sz w:val="28"/>
          <w:szCs w:val="28"/>
          <w:lang w:val="bg-BG"/>
        </w:rPr>
        <w:t xml:space="preserve">ОБОСНОВКА ЗА ИЗМЕНЕНИЕ НА ПМДР 2014-2020 </w:t>
      </w:r>
      <w:r w:rsidR="00DC7A96">
        <w:rPr>
          <w:b/>
          <w:sz w:val="28"/>
          <w:szCs w:val="28"/>
          <w:lang w:val="bg-BG"/>
        </w:rPr>
        <w:t xml:space="preserve"> Г. </w:t>
      </w:r>
      <w:r w:rsidRPr="009B03FC">
        <w:rPr>
          <w:b/>
          <w:sz w:val="28"/>
          <w:szCs w:val="28"/>
          <w:lang w:val="bg-BG"/>
        </w:rPr>
        <w:t>- ОТГОВОР НА ИКОНОМИЧЕСКИТЕ ПОСЛЕДИЦИ ОТ ИЗБУХВАНЕТО НА COVID-19</w:t>
      </w:r>
    </w:p>
    <w:p w:rsidR="005806FA" w:rsidRDefault="005806FA" w:rsidP="006A2B60">
      <w:pPr>
        <w:jc w:val="both"/>
        <w:rPr>
          <w:b/>
          <w:lang w:val="bg-BG"/>
        </w:rPr>
      </w:pPr>
    </w:p>
    <w:p w:rsidR="00766CC5" w:rsidRDefault="00766CC5" w:rsidP="006A2B60">
      <w:pPr>
        <w:jc w:val="both"/>
        <w:rPr>
          <w:b/>
          <w:lang w:val="bg-BG"/>
        </w:rPr>
      </w:pPr>
    </w:p>
    <w:p w:rsidR="00766CC5" w:rsidRPr="001B7102" w:rsidRDefault="00766CC5" w:rsidP="006A2B60">
      <w:pPr>
        <w:jc w:val="both"/>
        <w:rPr>
          <w:b/>
          <w:lang w:val="bg-BG"/>
        </w:rPr>
      </w:pPr>
    </w:p>
    <w:p w:rsidR="00C573FE" w:rsidRDefault="00F50D54" w:rsidP="006A2B60">
      <w:pPr>
        <w:pStyle w:val="Heading1"/>
        <w:jc w:val="both"/>
      </w:pPr>
      <w:r w:rsidRPr="001B7102">
        <w:t>Въвеждане на нови мерки</w:t>
      </w:r>
    </w:p>
    <w:p w:rsidR="000661E9" w:rsidRPr="000661E9" w:rsidRDefault="000661E9" w:rsidP="000661E9">
      <w:pPr>
        <w:rPr>
          <w:lang w:val="bg-BG"/>
        </w:rPr>
      </w:pPr>
    </w:p>
    <w:p w:rsidR="00EF34B8" w:rsidRPr="001B7102" w:rsidRDefault="00A10982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Създалата се ситуация след избухването на COVID-19 в света и най-вече в Европа постави рибарския сектор в безпрецедентна ситуация, която не е била прогнозирана от нито едно правителство в Европа. България </w:t>
      </w:r>
      <w:r w:rsidR="00454CF2">
        <w:rPr>
          <w:lang w:val="bg-BG"/>
        </w:rPr>
        <w:t>намира за</w:t>
      </w:r>
      <w:r w:rsidR="00454CF2" w:rsidRPr="001B7102">
        <w:rPr>
          <w:lang w:val="bg-BG"/>
        </w:rPr>
        <w:t xml:space="preserve"> </w:t>
      </w:r>
      <w:r w:rsidRPr="001B7102">
        <w:rPr>
          <w:lang w:val="bg-BG"/>
        </w:rPr>
        <w:t>необходим</w:t>
      </w:r>
      <w:r w:rsidR="00D85611">
        <w:rPr>
          <w:lang w:val="bg-BG"/>
        </w:rPr>
        <w:t xml:space="preserve">о да се извършат </w:t>
      </w:r>
      <w:r w:rsidRPr="001B7102">
        <w:rPr>
          <w:lang w:val="bg-BG"/>
        </w:rPr>
        <w:t xml:space="preserve">бързи </w:t>
      </w:r>
      <w:r w:rsidR="002E1FE4" w:rsidRPr="001B7102">
        <w:rPr>
          <w:lang w:val="bg-BG"/>
        </w:rPr>
        <w:t>действия</w:t>
      </w:r>
      <w:r w:rsidRPr="001B7102">
        <w:rPr>
          <w:lang w:val="bg-BG"/>
        </w:rPr>
        <w:t>, за да се запази сектор Рибарство от радикални сътресения. На основание Регламент (ЕС) 2020/560 на Европейския парламент и на Съвета от 23 април 2020 година</w:t>
      </w:r>
      <w:r w:rsidR="002E1FE4" w:rsidRPr="001B7102">
        <w:rPr>
          <w:lang w:val="bg-BG"/>
        </w:rPr>
        <w:t xml:space="preserve"> </w:t>
      </w:r>
      <w:r w:rsidRPr="001B7102">
        <w:rPr>
          <w:lang w:val="bg-BG"/>
        </w:rPr>
        <w:t>за изменение на регламенти (ЕС) № 508/2014 и (ЕС) № 1379/2013 по отношение на специални мерки за смекчаване на въздействието на избухването на COVID-19 върху сектора на рибарството и аквакултурите на</w:t>
      </w:r>
      <w:r w:rsidR="002E1FE4" w:rsidRPr="001B7102">
        <w:rPr>
          <w:lang w:val="bg-BG"/>
        </w:rPr>
        <w:t xml:space="preserve"> България се дава </w:t>
      </w:r>
      <w:r w:rsidR="00454CF2">
        <w:rPr>
          <w:lang w:val="bg-BG"/>
        </w:rPr>
        <w:t xml:space="preserve">правна </w:t>
      </w:r>
      <w:r w:rsidR="002E1FE4" w:rsidRPr="001B7102">
        <w:rPr>
          <w:lang w:val="bg-BG"/>
        </w:rPr>
        <w:t>възможност да пренасочи средства към конкретни мерки за справяне със ситуацията.</w:t>
      </w:r>
    </w:p>
    <w:p w:rsidR="005806FA" w:rsidRPr="001B7102" w:rsidRDefault="005806FA" w:rsidP="006A2B60">
      <w:pPr>
        <w:jc w:val="both"/>
        <w:rPr>
          <w:lang w:val="bg-BG"/>
        </w:rPr>
      </w:pPr>
    </w:p>
    <w:p w:rsidR="00E24FA7" w:rsidRPr="001B7102" w:rsidRDefault="00DB775A" w:rsidP="006A2B60">
      <w:pPr>
        <w:jc w:val="both"/>
        <w:rPr>
          <w:lang w:val="bg-BG"/>
        </w:rPr>
      </w:pPr>
      <w:r w:rsidRPr="001B7102">
        <w:rPr>
          <w:lang w:val="bg-BG"/>
        </w:rPr>
        <w:t>След направен анализ на нуждите в сектора и консултации със заинтересованите страни,</w:t>
      </w:r>
      <w:r w:rsidR="002D0633" w:rsidRPr="00226F8F">
        <w:rPr>
          <w:rStyle w:val="FootnoteReference"/>
          <w:lang w:val="bg-BG"/>
        </w:rPr>
        <w:footnoteReference w:id="1"/>
      </w:r>
      <w:r w:rsidRPr="001B7102">
        <w:rPr>
          <w:lang w:val="bg-BG"/>
        </w:rPr>
        <w:t xml:space="preserve"> УО на ПМДР дефинира дейностите, които най-адекватно ще отговорят на потребностите на сектора. УО на ПМДР планира да </w:t>
      </w:r>
      <w:r w:rsidR="00E24FA7" w:rsidRPr="001B7102">
        <w:rPr>
          <w:lang w:val="bg-BG"/>
        </w:rPr>
        <w:t>пренасочи средства за:</w:t>
      </w:r>
    </w:p>
    <w:p w:rsidR="005806FA" w:rsidRPr="001B7102" w:rsidRDefault="005806FA" w:rsidP="006A2B60">
      <w:pPr>
        <w:jc w:val="both"/>
        <w:rPr>
          <w:lang w:val="bg-BG"/>
        </w:rPr>
      </w:pPr>
    </w:p>
    <w:p w:rsidR="002E1FE4" w:rsidRPr="001B7102" w:rsidRDefault="00E24FA7" w:rsidP="006A2B60">
      <w:pPr>
        <w:pStyle w:val="ListParagraph"/>
        <w:numPr>
          <w:ilvl w:val="0"/>
          <w:numId w:val="1"/>
        </w:numPr>
        <w:jc w:val="both"/>
        <w:rPr>
          <w:lang w:val="bg-BG"/>
        </w:rPr>
      </w:pPr>
      <w:r w:rsidRPr="001B7102">
        <w:rPr>
          <w:lang w:val="bg-BG"/>
        </w:rPr>
        <w:t>осигуряване на компенсации за временно преустановяване на риболовните дейности по чл. 33, пар. 1</w:t>
      </w:r>
      <w:r w:rsidR="00454CF2">
        <w:rPr>
          <w:lang w:val="bg-BG"/>
        </w:rPr>
        <w:t>, буква</w:t>
      </w:r>
      <w:r w:rsidRPr="001B7102">
        <w:rPr>
          <w:lang w:val="bg-BG"/>
        </w:rPr>
        <w:t xml:space="preserve"> (г);</w:t>
      </w:r>
    </w:p>
    <w:p w:rsidR="00E24FA7" w:rsidRPr="001B7102" w:rsidRDefault="00E24FA7" w:rsidP="006A2B60">
      <w:pPr>
        <w:pStyle w:val="ListParagraph"/>
        <w:numPr>
          <w:ilvl w:val="0"/>
          <w:numId w:val="1"/>
        </w:numPr>
        <w:jc w:val="both"/>
        <w:rPr>
          <w:lang w:val="bg-BG"/>
        </w:rPr>
      </w:pPr>
      <w:r w:rsidRPr="001B7102">
        <w:rPr>
          <w:lang w:val="bg-BG"/>
        </w:rPr>
        <w:t>компенсации на производителите на аквакултури съгласно чл. 55, пар. 1</w:t>
      </w:r>
      <w:r w:rsidR="00454CF2">
        <w:rPr>
          <w:lang w:val="bg-BG"/>
        </w:rPr>
        <w:t>, буква</w:t>
      </w:r>
      <w:r w:rsidRPr="001B7102">
        <w:rPr>
          <w:lang w:val="bg-BG"/>
        </w:rPr>
        <w:t xml:space="preserve"> (б)</w:t>
      </w:r>
      <w:r w:rsidR="00F85266" w:rsidRPr="001B7102">
        <w:rPr>
          <w:lang w:val="bg-BG"/>
        </w:rPr>
        <w:t>;</w:t>
      </w:r>
    </w:p>
    <w:p w:rsidR="00E24FA7" w:rsidRDefault="00E24FA7" w:rsidP="006A2B60">
      <w:pPr>
        <w:pStyle w:val="ListParagraph"/>
        <w:numPr>
          <w:ilvl w:val="0"/>
          <w:numId w:val="1"/>
        </w:numPr>
        <w:jc w:val="both"/>
        <w:rPr>
          <w:lang w:val="bg-BG"/>
        </w:rPr>
      </w:pPr>
      <w:r w:rsidRPr="001B7102">
        <w:rPr>
          <w:lang w:val="bg-BG"/>
        </w:rPr>
        <w:t xml:space="preserve">компенсации за преработвателни предприятия в обхвата на </w:t>
      </w:r>
      <w:r w:rsidR="00454CF2">
        <w:rPr>
          <w:lang w:val="bg-BG"/>
        </w:rPr>
        <w:t>ч</w:t>
      </w:r>
      <w:r w:rsidR="00454CF2" w:rsidRPr="001B7102">
        <w:rPr>
          <w:lang w:val="bg-BG"/>
        </w:rPr>
        <w:t>л</w:t>
      </w:r>
      <w:r w:rsidRPr="001B7102">
        <w:rPr>
          <w:lang w:val="bg-BG"/>
        </w:rPr>
        <w:t>. 69, пар. 3</w:t>
      </w:r>
      <w:r w:rsidR="00F85266" w:rsidRPr="001B7102">
        <w:rPr>
          <w:lang w:val="bg-BG"/>
        </w:rPr>
        <w:t>.</w:t>
      </w:r>
    </w:p>
    <w:p w:rsidR="004308C3" w:rsidRPr="001B7102" w:rsidRDefault="004308C3" w:rsidP="006A2B60">
      <w:pPr>
        <w:pStyle w:val="ListParagraph"/>
        <w:ind w:left="780"/>
        <w:jc w:val="both"/>
        <w:rPr>
          <w:lang w:val="bg-BG"/>
        </w:rPr>
      </w:pPr>
    </w:p>
    <w:p w:rsidR="005806FA" w:rsidRDefault="004308C3" w:rsidP="006A2B60">
      <w:pPr>
        <w:jc w:val="both"/>
        <w:rPr>
          <w:lang w:val="bg-BG"/>
        </w:rPr>
      </w:pPr>
      <w:r w:rsidRPr="004308C3">
        <w:rPr>
          <w:lang w:val="bg-BG"/>
        </w:rPr>
        <w:t xml:space="preserve">За да бъдат официализирани тези действия, е необходимо да се създадат две нови мерки (Мярка 1.9 и Мярка 2.6) в ПМДР и да се релокира съответния бюджет, както </w:t>
      </w:r>
      <w:r w:rsidR="00454CF2">
        <w:rPr>
          <w:lang w:val="bg-BG"/>
        </w:rPr>
        <w:t>и</w:t>
      </w:r>
      <w:r w:rsidR="00454CF2" w:rsidRPr="004308C3">
        <w:rPr>
          <w:lang w:val="bg-BG"/>
        </w:rPr>
        <w:t xml:space="preserve"> </w:t>
      </w:r>
      <w:r w:rsidRPr="004308C3">
        <w:rPr>
          <w:lang w:val="bg-BG"/>
        </w:rPr>
        <w:t>да се осигурят допълнителни средства за разширяването на обхвата на настоящата Мярка 5.4. УО на ПМДР дефинира нуждите за двете нови мерки и разширението на вече работещата мярка за преработка в общ размер на 6</w:t>
      </w:r>
      <w:r w:rsidR="006F1113">
        <w:rPr>
          <w:lang w:val="bg-BG"/>
        </w:rPr>
        <w:t>.</w:t>
      </w:r>
      <w:r w:rsidRPr="004308C3">
        <w:rPr>
          <w:lang w:val="bg-BG"/>
        </w:rPr>
        <w:t>626</w:t>
      </w:r>
      <w:r w:rsidR="006F1113">
        <w:rPr>
          <w:lang w:val="bg-BG"/>
        </w:rPr>
        <w:t>.</w:t>
      </w:r>
      <w:r w:rsidRPr="004308C3">
        <w:rPr>
          <w:lang w:val="bg-BG"/>
        </w:rPr>
        <w:t xml:space="preserve">771,37 евро ЕФМДР. </w:t>
      </w:r>
    </w:p>
    <w:p w:rsidR="00E70A40" w:rsidRPr="001B7102" w:rsidRDefault="00E70A40" w:rsidP="006A2B60">
      <w:pPr>
        <w:jc w:val="both"/>
        <w:rPr>
          <w:lang w:val="bg-BG"/>
        </w:rPr>
      </w:pPr>
    </w:p>
    <w:p w:rsidR="004308C3" w:rsidRDefault="004308C3" w:rsidP="006A2B60">
      <w:pPr>
        <w:pStyle w:val="Heading1"/>
        <w:jc w:val="both"/>
      </w:pPr>
      <w:r w:rsidRPr="008C03B5">
        <w:lastRenderedPageBreak/>
        <w:t>Индикатори на ПМДР</w:t>
      </w:r>
    </w:p>
    <w:p w:rsidR="00766CC5" w:rsidRPr="00766CC5" w:rsidRDefault="00766CC5" w:rsidP="00766CC5">
      <w:pPr>
        <w:rPr>
          <w:lang w:val="bg-BG"/>
        </w:rPr>
      </w:pPr>
    </w:p>
    <w:p w:rsidR="004308C3" w:rsidRDefault="004308C3" w:rsidP="006A2B60">
      <w:pPr>
        <w:ind w:left="60"/>
        <w:jc w:val="both"/>
        <w:rPr>
          <w:lang w:val="bg-BG"/>
        </w:rPr>
      </w:pPr>
      <w:r w:rsidRPr="004308C3">
        <w:rPr>
          <w:lang w:val="bg-BG"/>
        </w:rPr>
        <w:t>Промяната на съответните бюджети на мерки</w:t>
      </w:r>
      <w:r>
        <w:rPr>
          <w:lang w:val="bg-BG"/>
        </w:rPr>
        <w:t>те</w:t>
      </w:r>
      <w:r w:rsidRPr="004308C3">
        <w:rPr>
          <w:lang w:val="bg-BG"/>
        </w:rPr>
        <w:t xml:space="preserve">, води и до промяна в индикаторите, които са свързани към тях. Индикаторите </w:t>
      </w:r>
      <w:r w:rsidR="00800EDF">
        <w:rPr>
          <w:lang w:val="bg-BG"/>
        </w:rPr>
        <w:t>ще се</w:t>
      </w:r>
      <w:r w:rsidRPr="004308C3">
        <w:rPr>
          <w:lang w:val="bg-BG"/>
        </w:rPr>
        <w:t xml:space="preserve"> </w:t>
      </w:r>
      <w:r w:rsidR="00800EDF" w:rsidRPr="004308C3">
        <w:rPr>
          <w:lang w:val="bg-BG"/>
        </w:rPr>
        <w:t>променя</w:t>
      </w:r>
      <w:r w:rsidR="00800EDF">
        <w:rPr>
          <w:lang w:val="bg-BG"/>
        </w:rPr>
        <w:t>т</w:t>
      </w:r>
      <w:r w:rsidR="00800EDF" w:rsidRPr="004308C3">
        <w:rPr>
          <w:lang w:val="bg-BG"/>
        </w:rPr>
        <w:t xml:space="preserve"> </w:t>
      </w:r>
      <w:r w:rsidRPr="004308C3">
        <w:rPr>
          <w:lang w:val="bg-BG"/>
        </w:rPr>
        <w:t>пропорционално на бюджетното намаление</w:t>
      </w:r>
      <w:r>
        <w:rPr>
          <w:lang w:val="bg-BG"/>
        </w:rPr>
        <w:t>/увеличение</w:t>
      </w:r>
      <w:r w:rsidRPr="004308C3">
        <w:rPr>
          <w:lang w:val="bg-BG"/>
        </w:rPr>
        <w:t xml:space="preserve"> по методологията описана по-долу. При някои мерки индикаторите са променяни пропорционално два пъти – веднъж отразявайки промените, свързани с автоматичното освобождаване по правилото "n+3"  и релокацията на резерва от 2018</w:t>
      </w:r>
      <w:r>
        <w:rPr>
          <w:lang w:val="bg-BG"/>
        </w:rPr>
        <w:t xml:space="preserve"> </w:t>
      </w:r>
      <w:r w:rsidRPr="004308C3">
        <w:rPr>
          <w:lang w:val="bg-BG"/>
        </w:rPr>
        <w:t>г. във връзка с неизпълнението на междинните цели от Рамката за изпълнение, УО на ПМДР съответно прехвърли резервите от ПС 1, ПС 2, ПС 4, ПС 5 и ПС 6 към бюджета на ПС 3, както следва (от ПС 1 евро ЕФМДР/НБ -1</w:t>
      </w:r>
      <w:r w:rsidR="006F1113">
        <w:rPr>
          <w:lang w:val="bg-BG"/>
        </w:rPr>
        <w:t>.</w:t>
      </w:r>
      <w:r w:rsidRPr="004308C3">
        <w:rPr>
          <w:lang w:val="bg-BG"/>
        </w:rPr>
        <w:t>180</w:t>
      </w:r>
      <w:r w:rsidR="006F1113">
        <w:rPr>
          <w:lang w:val="bg-BG"/>
        </w:rPr>
        <w:t>.</w:t>
      </w:r>
      <w:r w:rsidRPr="004308C3">
        <w:rPr>
          <w:lang w:val="bg-BG"/>
        </w:rPr>
        <w:t>000,00/ -430</w:t>
      </w:r>
      <w:r w:rsidR="006F1113">
        <w:rPr>
          <w:lang w:val="bg-BG"/>
        </w:rPr>
        <w:t>.</w:t>
      </w:r>
      <w:r w:rsidRPr="004308C3">
        <w:rPr>
          <w:lang w:val="bg-BG"/>
        </w:rPr>
        <w:t>629,00; от ПС 2 евро ЕФМДР/НБ -1</w:t>
      </w:r>
      <w:r w:rsidR="006F1113">
        <w:rPr>
          <w:lang w:val="bg-BG"/>
        </w:rPr>
        <w:t>.</w:t>
      </w:r>
      <w:r w:rsidRPr="004308C3">
        <w:rPr>
          <w:lang w:val="bg-BG"/>
        </w:rPr>
        <w:t>629</w:t>
      </w:r>
      <w:r w:rsidR="006F1113">
        <w:rPr>
          <w:lang w:val="bg-BG"/>
        </w:rPr>
        <w:t>.</w:t>
      </w:r>
      <w:r w:rsidRPr="004308C3">
        <w:rPr>
          <w:lang w:val="bg-BG"/>
        </w:rPr>
        <w:t>675,00/ -543</w:t>
      </w:r>
      <w:r w:rsidR="006F1113">
        <w:rPr>
          <w:lang w:val="bg-BG"/>
        </w:rPr>
        <w:t>.</w:t>
      </w:r>
      <w:r w:rsidRPr="004308C3">
        <w:rPr>
          <w:lang w:val="bg-BG"/>
        </w:rPr>
        <w:t>225,00;  от ПС 4 евро ЕФМДР/НБ -1</w:t>
      </w:r>
      <w:r w:rsidR="006F1113">
        <w:rPr>
          <w:lang w:val="bg-BG"/>
        </w:rPr>
        <w:t>.</w:t>
      </w:r>
      <w:r w:rsidRPr="004308C3">
        <w:rPr>
          <w:lang w:val="bg-BG"/>
        </w:rPr>
        <w:t>129</w:t>
      </w:r>
      <w:r w:rsidR="006F1113">
        <w:rPr>
          <w:lang w:val="bg-BG"/>
        </w:rPr>
        <w:t>.</w:t>
      </w:r>
      <w:r w:rsidRPr="004308C3">
        <w:rPr>
          <w:lang w:val="bg-BG"/>
        </w:rPr>
        <w:t>960,00/ -199</w:t>
      </w:r>
      <w:r w:rsidR="006F1113">
        <w:rPr>
          <w:lang w:val="bg-BG"/>
        </w:rPr>
        <w:t>.</w:t>
      </w:r>
      <w:r w:rsidRPr="004308C3">
        <w:rPr>
          <w:lang w:val="bg-BG"/>
        </w:rPr>
        <w:t>405,00; от ПС 5 евро ЕФМДР/НБ -540</w:t>
      </w:r>
      <w:r w:rsidR="006F1113">
        <w:rPr>
          <w:lang w:val="bg-BG"/>
        </w:rPr>
        <w:t>.</w:t>
      </w:r>
      <w:r w:rsidRPr="004308C3">
        <w:rPr>
          <w:lang w:val="bg-BG"/>
        </w:rPr>
        <w:t>765,00/ -180</w:t>
      </w:r>
      <w:r w:rsidR="006F1113">
        <w:rPr>
          <w:lang w:val="bg-BG"/>
        </w:rPr>
        <w:t>.</w:t>
      </w:r>
      <w:r w:rsidRPr="004308C3">
        <w:rPr>
          <w:lang w:val="bg-BG"/>
        </w:rPr>
        <w:t>255,00 и от ПС 6 евро ЕФМДР/НБ -175</w:t>
      </w:r>
      <w:r w:rsidR="006F1113">
        <w:rPr>
          <w:lang w:val="bg-BG"/>
        </w:rPr>
        <w:t>.</w:t>
      </w:r>
      <w:r w:rsidRPr="004308C3">
        <w:rPr>
          <w:lang w:val="bg-BG"/>
        </w:rPr>
        <w:t>000,00/ -58</w:t>
      </w:r>
      <w:r w:rsidR="006F1113">
        <w:rPr>
          <w:lang w:val="bg-BG"/>
        </w:rPr>
        <w:t>.</w:t>
      </w:r>
      <w:r w:rsidRPr="004308C3">
        <w:rPr>
          <w:lang w:val="bg-BG"/>
        </w:rPr>
        <w:t>333,00  към ПС 3 (1ва стъпка) и втори път отразявайки намаленията, свързани с текущите изменения на ПМДР (2</w:t>
      </w:r>
      <w:r w:rsidR="00800EDF">
        <w:rPr>
          <w:lang w:val="bg-BG"/>
        </w:rPr>
        <w:t>-</w:t>
      </w:r>
      <w:r w:rsidRPr="004308C3">
        <w:rPr>
          <w:lang w:val="bg-BG"/>
        </w:rPr>
        <w:t xml:space="preserve">ра стъпка). Двуетапното променяне на индикаторите е обосновано от различните по вид промени и с цел по-добра проследимост на промените. Стойностите на индикаторите на всяка стъпка са изрично показани в таблиците по-долу. </w:t>
      </w:r>
    </w:p>
    <w:p w:rsidR="006F1113" w:rsidRPr="004308C3" w:rsidRDefault="006F1113" w:rsidP="006A2B60">
      <w:pPr>
        <w:ind w:left="60"/>
        <w:jc w:val="both"/>
        <w:rPr>
          <w:lang w:val="bg-BG"/>
        </w:rPr>
      </w:pPr>
    </w:p>
    <w:p w:rsidR="004308C3" w:rsidRDefault="004308C3" w:rsidP="006A2B60">
      <w:pPr>
        <w:ind w:left="60"/>
        <w:jc w:val="both"/>
        <w:rPr>
          <w:lang w:val="bg-BG"/>
        </w:rPr>
      </w:pPr>
      <w:r w:rsidRPr="004308C3">
        <w:rPr>
          <w:lang w:val="bg-BG"/>
        </w:rPr>
        <w:t>Изменената стойност на индикаторите се получава като пропорционално се намалява/увеличава стойността съобразно процентите на редукция/увеличение при отделните мерки. Първоначално и</w:t>
      </w:r>
      <w:r w:rsidR="004A4BDD">
        <w:rPr>
          <w:lang w:val="bg-BG"/>
        </w:rPr>
        <w:t>н</w:t>
      </w:r>
      <w:r w:rsidRPr="004308C3">
        <w:rPr>
          <w:lang w:val="bg-BG"/>
        </w:rPr>
        <w:t>дикаторите се намаляват съобразно бюджетната редукция на програмата, извършена през 2019 г. Като втора стъпка е изменението на индикаторите на база на настоящата релокация на средства. Ако индикаторът е приложим за повече от една мярка, съгласно ръководство FAME Support Unit CT03.1 (Revised version от March 2019) се събират процентите на редукция на бюджетите на съответните мерки и се разделят на броя на мерките, в които участва индикаторът (извежда се средноаритметична стойност). В случаите когато д</w:t>
      </w:r>
      <w:r w:rsidR="00021E5F">
        <w:rPr>
          <w:lang w:val="bg-BG"/>
        </w:rPr>
        <w:t>аден индикатор обхваща едновреме</w:t>
      </w:r>
      <w:r w:rsidR="00021E5F" w:rsidRPr="004308C3">
        <w:rPr>
          <w:lang w:val="bg-BG"/>
        </w:rPr>
        <w:t>нно</w:t>
      </w:r>
      <w:r w:rsidRPr="004308C3">
        <w:rPr>
          <w:lang w:val="bg-BG"/>
        </w:rPr>
        <w:t xml:space="preserve"> мерки, които в резултат на настоящата релокация се намаляват, заедно с такива, които се увеличават, изменението на индикаторите се прави в две допълнителни стъпки. Първоначално се намалява съобразно процентът на редукция (или се извежда средна аритметична стойност при повече от една мерки) и получената стойност се увеличава на база на процентното увеличение на засегнатите мерки. Получава се процентът, с който се изменя стойността на индикатора от колона  Target value for 2023 (new).</w:t>
      </w:r>
    </w:p>
    <w:p w:rsidR="006F1113" w:rsidRPr="004308C3" w:rsidRDefault="006F1113" w:rsidP="006A2B60">
      <w:pPr>
        <w:ind w:left="60"/>
        <w:jc w:val="both"/>
        <w:rPr>
          <w:lang w:val="bg-BG"/>
        </w:rPr>
      </w:pPr>
    </w:p>
    <w:p w:rsidR="004308C3" w:rsidRDefault="004308C3" w:rsidP="006A2B60">
      <w:pPr>
        <w:ind w:left="60"/>
        <w:jc w:val="both"/>
        <w:rPr>
          <w:lang w:val="bg-BG"/>
        </w:rPr>
      </w:pPr>
      <w:r w:rsidRPr="004308C3">
        <w:rPr>
          <w:lang w:val="bg-BG"/>
        </w:rPr>
        <w:t xml:space="preserve">Пример: Изменение на индикатор за резултат 1.1 - Change in the value of production (thousand Euros): </w:t>
      </w:r>
    </w:p>
    <w:p w:rsidR="0033792F" w:rsidRPr="004308C3" w:rsidRDefault="0033792F" w:rsidP="006A2B60">
      <w:pPr>
        <w:ind w:left="60"/>
        <w:jc w:val="both"/>
        <w:rPr>
          <w:lang w:val="bg-BG"/>
        </w:rPr>
      </w:pPr>
    </w:p>
    <w:p w:rsidR="004308C3" w:rsidRDefault="004308C3" w:rsidP="006A2B60">
      <w:pPr>
        <w:ind w:left="60"/>
        <w:jc w:val="both"/>
        <w:rPr>
          <w:lang w:val="bg-BG"/>
        </w:rPr>
      </w:pPr>
      <w:r w:rsidRPr="004308C3">
        <w:rPr>
          <w:lang w:val="bg-BG"/>
        </w:rPr>
        <w:t xml:space="preserve">Съгласно ръководство FAME Support Unit CT03.1 (Revised version от March 2019), този индикатор обхваща мерките 1.1, 1.2, 1.7 и 1.8. Въз основа на изменението на бюджета на програмата през 2019 г., процентът на редукция по тези мерки е съответно сборът от 37,58% по мярка 1.1, 7% по мярка 1.2, 50,88% по мярка 1.7 и 7% по мярка 1.8, разделен на четири. Стойността от колона Target value for 2023 в резултат на първата редукция се променя от 400 на 297,53 (намалява с 25,62 %). </w:t>
      </w:r>
    </w:p>
    <w:p w:rsidR="00226F8F" w:rsidRPr="004308C3" w:rsidRDefault="00226F8F" w:rsidP="006A2B60">
      <w:pPr>
        <w:ind w:left="60"/>
        <w:jc w:val="both"/>
        <w:rPr>
          <w:lang w:val="bg-BG"/>
        </w:rPr>
      </w:pPr>
    </w:p>
    <w:p w:rsidR="004308C3" w:rsidRPr="004308C3" w:rsidRDefault="004308C3" w:rsidP="006A2B60">
      <w:pPr>
        <w:ind w:left="60"/>
        <w:jc w:val="both"/>
        <w:rPr>
          <w:lang w:val="bg-BG"/>
        </w:rPr>
      </w:pPr>
      <w:r w:rsidRPr="004308C3">
        <w:rPr>
          <w:lang w:val="bg-BG"/>
        </w:rPr>
        <w:t xml:space="preserve">В резултат на настоящата релокация същите мерки се изменят с различен процент, бюджетът на </w:t>
      </w:r>
      <w:r w:rsidR="00021E5F">
        <w:rPr>
          <w:lang w:val="bg-BG"/>
        </w:rPr>
        <w:t xml:space="preserve">други се променя, </w:t>
      </w:r>
      <w:r w:rsidR="008A7E23">
        <w:t xml:space="preserve">a </w:t>
      </w:r>
      <w:r w:rsidR="008A7E23">
        <w:rPr>
          <w:lang w:val="bg-BG"/>
        </w:rPr>
        <w:t>мярка</w:t>
      </w:r>
      <w:r w:rsidR="008A7E23" w:rsidRPr="004308C3">
        <w:rPr>
          <w:lang w:val="bg-BG"/>
        </w:rPr>
        <w:t xml:space="preserve"> </w:t>
      </w:r>
      <w:r w:rsidRPr="004308C3">
        <w:rPr>
          <w:lang w:val="bg-BG"/>
        </w:rPr>
        <w:t>1.</w:t>
      </w:r>
      <w:r w:rsidR="00021E5F">
        <w:rPr>
          <w:lang w:val="bg-BG"/>
        </w:rPr>
        <w:t>9</w:t>
      </w:r>
      <w:r w:rsidRPr="004308C3">
        <w:rPr>
          <w:lang w:val="bg-BG"/>
        </w:rPr>
        <w:t xml:space="preserve"> се </w:t>
      </w:r>
      <w:r w:rsidR="008A7E23">
        <w:rPr>
          <w:lang w:val="bg-BG"/>
        </w:rPr>
        <w:t>създава, съответно и се определя б</w:t>
      </w:r>
      <w:r w:rsidR="00AA1133">
        <w:rPr>
          <w:lang w:val="bg-BG"/>
        </w:rPr>
        <w:t>ю</w:t>
      </w:r>
      <w:r w:rsidR="008A7E23">
        <w:rPr>
          <w:lang w:val="bg-BG"/>
        </w:rPr>
        <w:t>джет</w:t>
      </w:r>
      <w:r w:rsidRPr="004308C3">
        <w:rPr>
          <w:lang w:val="bg-BG"/>
        </w:rPr>
        <w:t xml:space="preserve">. </w:t>
      </w:r>
    </w:p>
    <w:p w:rsidR="004C4C7F" w:rsidRPr="001B7102" w:rsidRDefault="004C4C7F" w:rsidP="006A2B60">
      <w:pPr>
        <w:ind w:left="60"/>
        <w:jc w:val="both"/>
        <w:rPr>
          <w:lang w:val="bg-BG"/>
        </w:rPr>
      </w:pPr>
    </w:p>
    <w:p w:rsidR="00B24EFD" w:rsidRDefault="00B24EFD" w:rsidP="006A2B60">
      <w:pPr>
        <w:pStyle w:val="Heading1"/>
        <w:jc w:val="both"/>
      </w:pPr>
      <w:r w:rsidRPr="001B7102">
        <w:lastRenderedPageBreak/>
        <w:t>Мярка 1.9 Временно преустановяване на риболовната дейност - чл. 33, пар. 1</w:t>
      </w:r>
      <w:r w:rsidR="006F1113">
        <w:t>, буква</w:t>
      </w:r>
      <w:r w:rsidRPr="001B7102">
        <w:t xml:space="preserve"> (г)</w:t>
      </w:r>
    </w:p>
    <w:p w:rsidR="00766CC5" w:rsidRPr="00766CC5" w:rsidRDefault="00766CC5" w:rsidP="00766CC5">
      <w:pPr>
        <w:rPr>
          <w:lang w:val="bg-BG"/>
        </w:rPr>
      </w:pPr>
    </w:p>
    <w:p w:rsidR="00B24EFD" w:rsidRPr="001B7102" w:rsidRDefault="00B24EFD" w:rsidP="006A2B60">
      <w:pPr>
        <w:jc w:val="both"/>
        <w:rPr>
          <w:lang w:val="bg-BG"/>
        </w:rPr>
      </w:pPr>
      <w:r w:rsidRPr="001B7102">
        <w:rPr>
          <w:lang w:val="bg-BG"/>
        </w:rPr>
        <w:t>По данни на ИАРА</w:t>
      </w:r>
      <w:r w:rsidR="002D0633" w:rsidRPr="001B7102">
        <w:rPr>
          <w:rStyle w:val="FootnoteReference"/>
          <w:lang w:val="bg-BG"/>
        </w:rPr>
        <w:footnoteReference w:id="2"/>
      </w:r>
      <w:r w:rsidRPr="001B7102">
        <w:rPr>
          <w:lang w:val="bg-BG"/>
        </w:rPr>
        <w:t xml:space="preserve"> корабите, покриващи изискванията за доп</w:t>
      </w:r>
      <w:r w:rsidR="005151F9">
        <w:rPr>
          <w:lang w:val="bg-BG"/>
        </w:rPr>
        <w:t>устимост</w:t>
      </w:r>
      <w:r w:rsidR="006F1113">
        <w:rPr>
          <w:lang w:val="bg-BG"/>
        </w:rPr>
        <w:t xml:space="preserve"> в изменения чл. 33</w:t>
      </w:r>
      <w:r w:rsidR="005151F9">
        <w:rPr>
          <w:lang w:val="bg-BG"/>
        </w:rPr>
        <w:t xml:space="preserve"> </w:t>
      </w:r>
      <w:r w:rsidR="006F1113">
        <w:rPr>
          <w:lang w:val="bg-BG"/>
        </w:rPr>
        <w:t>са 97</w:t>
      </w:r>
      <w:r w:rsidRPr="001B7102">
        <w:rPr>
          <w:lang w:val="bg-BG"/>
        </w:rPr>
        <w:t>, разпределени в различни сегменти. За да може помощта да се разпредели адекватно, според мащабите на риболовния флот, УО на ПМДР разработи методика за изчисление на премията.</w:t>
      </w:r>
    </w:p>
    <w:p w:rsidR="005806FA" w:rsidRPr="001B7102" w:rsidRDefault="005806FA" w:rsidP="006A2B60">
      <w:pPr>
        <w:ind w:left="60"/>
        <w:jc w:val="both"/>
        <w:rPr>
          <w:lang w:val="bg-BG"/>
        </w:rPr>
      </w:pPr>
    </w:p>
    <w:p w:rsidR="00676824" w:rsidRPr="001B7102" w:rsidRDefault="00676824" w:rsidP="006A2B60">
      <w:pPr>
        <w:pStyle w:val="Heading2"/>
        <w:jc w:val="both"/>
      </w:pPr>
      <w:r w:rsidRPr="001B7102">
        <w:t>Бюджетен ресурс</w:t>
      </w:r>
    </w:p>
    <w:p w:rsidR="00676824" w:rsidRPr="001B7102" w:rsidRDefault="00676824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С оглед очаквания интерес от потенциалните бенефициенти и методиката за изчисляване на компенсацията, следва да се </w:t>
      </w:r>
      <w:r w:rsidRPr="00D85611">
        <w:rPr>
          <w:lang w:val="bg-BG"/>
        </w:rPr>
        <w:t xml:space="preserve">отделят </w:t>
      </w:r>
      <w:r w:rsidR="001762AC" w:rsidRPr="00D85611">
        <w:rPr>
          <w:lang w:val="bg-BG"/>
        </w:rPr>
        <w:t>763 835,2</w:t>
      </w:r>
      <w:r w:rsidR="00D85611" w:rsidRPr="00D85611">
        <w:rPr>
          <w:lang w:val="bg-BG"/>
        </w:rPr>
        <w:t>9</w:t>
      </w:r>
      <w:r w:rsidRPr="00D85611">
        <w:rPr>
          <w:lang w:val="bg-BG"/>
        </w:rPr>
        <w:t xml:space="preserve"> евро ЕФМДР за отваряне на мярка 1.9 </w:t>
      </w:r>
      <w:r w:rsidR="001762AC" w:rsidRPr="00D85611">
        <w:rPr>
          <w:lang w:val="bg-BG"/>
        </w:rPr>
        <w:t>съгласно</w:t>
      </w:r>
      <w:r w:rsidRPr="00D85611">
        <w:rPr>
          <w:lang w:val="bg-BG"/>
        </w:rPr>
        <w:t xml:space="preserve"> чл. 33 – Временно преустановяване</w:t>
      </w:r>
      <w:r w:rsidR="0011429B" w:rsidRPr="00D85611">
        <w:rPr>
          <w:lang w:val="bg-BG"/>
        </w:rPr>
        <w:t xml:space="preserve"> на риболовната</w:t>
      </w:r>
      <w:r w:rsidR="0011429B">
        <w:rPr>
          <w:lang w:val="bg-BG"/>
        </w:rPr>
        <w:t xml:space="preserve"> дейност</w:t>
      </w:r>
      <w:r w:rsidRPr="001B7102">
        <w:rPr>
          <w:lang w:val="bg-BG"/>
        </w:rPr>
        <w:t>.</w:t>
      </w:r>
    </w:p>
    <w:p w:rsidR="00C573FE" w:rsidRPr="001B7102" w:rsidRDefault="00C573FE" w:rsidP="006A2B60">
      <w:pPr>
        <w:jc w:val="both"/>
        <w:rPr>
          <w:lang w:val="bg-BG"/>
        </w:rPr>
      </w:pPr>
    </w:p>
    <w:p w:rsidR="00B24EFD" w:rsidRPr="001B7102" w:rsidRDefault="00B24EFD" w:rsidP="006A2B60">
      <w:pPr>
        <w:pStyle w:val="Heading2"/>
        <w:jc w:val="both"/>
      </w:pPr>
      <w:r w:rsidRPr="001B7102">
        <w:t>Компенсация за собственици на кораби</w:t>
      </w:r>
    </w:p>
    <w:p w:rsidR="00B24EFD" w:rsidRPr="001B7102" w:rsidRDefault="00B24EFD" w:rsidP="006A2B60">
      <w:pPr>
        <w:ind w:left="60"/>
        <w:jc w:val="both"/>
        <w:rPr>
          <w:lang w:val="bg-BG"/>
        </w:rPr>
      </w:pPr>
      <w:r w:rsidRPr="001B7102">
        <w:rPr>
          <w:lang w:val="bg-BG"/>
        </w:rPr>
        <w:t xml:space="preserve">Методът, който е най-удачен за компенсация на собственици на кораби, е базиран на опита на УО с мярката за постоянно прекратяване на риболовните дейности както и на опита на други държави-членки. С оглед краткотрайния и извънреден характер на прилагането на тази мярка в България и сравнително ниския брой (под </w:t>
      </w:r>
      <w:r w:rsidR="00054501">
        <w:rPr>
          <w:lang w:val="bg-BG"/>
        </w:rPr>
        <w:t>6</w:t>
      </w:r>
      <w:r w:rsidRPr="001B7102">
        <w:rPr>
          <w:lang w:val="bg-BG"/>
        </w:rPr>
        <w:t>% от риболовния флот) очаквани потенциални бенефициенти, следва да се възприемат опростени компенсаторни схеми, а именно:</w:t>
      </w:r>
    </w:p>
    <w:p w:rsidR="00B24EFD" w:rsidRPr="001B7102" w:rsidRDefault="00B24EFD" w:rsidP="006A2B60">
      <w:pPr>
        <w:ind w:left="60"/>
        <w:jc w:val="both"/>
        <w:rPr>
          <w:lang w:val="bg-BG"/>
        </w:rPr>
      </w:pPr>
    </w:p>
    <w:p w:rsidR="00B24EFD" w:rsidRPr="001B7102" w:rsidRDefault="00B24EFD" w:rsidP="006A2B60">
      <w:pPr>
        <w:ind w:left="60"/>
        <w:jc w:val="both"/>
        <w:rPr>
          <w:lang w:val="bg-BG"/>
        </w:rPr>
      </w:pPr>
      <w:r w:rsidRPr="001B7102">
        <w:rPr>
          <w:lang w:val="bg-BG"/>
        </w:rPr>
        <w:t xml:space="preserve">Премията се изчислява със следната формула </w:t>
      </w:r>
    </w:p>
    <w:p w:rsidR="005806FA" w:rsidRPr="001B7102" w:rsidRDefault="005806FA" w:rsidP="006A2B60">
      <w:pPr>
        <w:ind w:left="60"/>
        <w:jc w:val="both"/>
        <w:rPr>
          <w:lang w:val="bg-BG"/>
        </w:rPr>
      </w:pPr>
    </w:p>
    <w:p w:rsidR="00B24EFD" w:rsidRPr="001B7102" w:rsidRDefault="00B24EFD" w:rsidP="00B4561B">
      <w:pPr>
        <w:ind w:left="60"/>
        <w:jc w:val="center"/>
        <w:rPr>
          <w:b/>
          <w:lang w:val="bg-BG"/>
        </w:rPr>
      </w:pPr>
      <w:r w:rsidRPr="001B7102">
        <w:rPr>
          <w:b/>
          <w:lang w:val="bg-BG"/>
        </w:rPr>
        <w:t>L = ((P*GT)+А)*d</w:t>
      </w:r>
    </w:p>
    <w:p w:rsidR="00B24EFD" w:rsidRPr="001B7102" w:rsidRDefault="00B24EFD" w:rsidP="006A2B60">
      <w:pPr>
        <w:ind w:left="60"/>
        <w:jc w:val="both"/>
        <w:rPr>
          <w:lang w:val="bg-BG"/>
        </w:rPr>
      </w:pPr>
      <w:r w:rsidRPr="001B7102">
        <w:rPr>
          <w:lang w:val="bg-BG"/>
        </w:rPr>
        <w:t>за която</w:t>
      </w:r>
    </w:p>
    <w:p w:rsidR="00B24EFD" w:rsidRPr="001B7102" w:rsidRDefault="00B24EFD" w:rsidP="006A2B60">
      <w:pPr>
        <w:ind w:left="993"/>
        <w:jc w:val="both"/>
        <w:rPr>
          <w:lang w:val="bg-BG"/>
        </w:rPr>
      </w:pPr>
      <w:r w:rsidRPr="001B7102">
        <w:rPr>
          <w:b/>
          <w:lang w:val="bg-BG"/>
        </w:rPr>
        <w:t>L</w:t>
      </w:r>
      <w:r w:rsidRPr="001B7102">
        <w:rPr>
          <w:lang w:val="bg-BG"/>
        </w:rPr>
        <w:t xml:space="preserve"> </w:t>
      </w:r>
      <w:r w:rsidRPr="001B7102">
        <w:rPr>
          <w:b/>
          <w:lang w:val="bg-BG"/>
        </w:rPr>
        <w:t>–</w:t>
      </w:r>
      <w:r w:rsidRPr="001B7102">
        <w:rPr>
          <w:lang w:val="bg-BG"/>
        </w:rPr>
        <w:t xml:space="preserve"> Общата компенсация за временно преустановяване за кораб;</w:t>
      </w:r>
      <w:r w:rsidRPr="001B7102">
        <w:rPr>
          <w:lang w:val="bg-BG"/>
        </w:rPr>
        <w:br/>
      </w:r>
      <w:r w:rsidRPr="001B7102">
        <w:rPr>
          <w:b/>
          <w:lang w:val="bg-BG"/>
        </w:rPr>
        <w:t>P</w:t>
      </w:r>
      <w:r w:rsidRPr="001B7102">
        <w:rPr>
          <w:lang w:val="bg-BG"/>
        </w:rPr>
        <w:t xml:space="preserve"> </w:t>
      </w:r>
      <w:r w:rsidRPr="001B7102">
        <w:rPr>
          <w:b/>
          <w:lang w:val="bg-BG"/>
        </w:rPr>
        <w:t>-</w:t>
      </w:r>
      <w:r w:rsidRPr="001B7102">
        <w:rPr>
          <w:lang w:val="bg-BG"/>
        </w:rPr>
        <w:t xml:space="preserve"> Дневна премия за преустанвяване за 1 БТ (Таблица 1);</w:t>
      </w:r>
      <w:r w:rsidRPr="001B7102">
        <w:rPr>
          <w:lang w:val="bg-BG"/>
        </w:rPr>
        <w:br/>
      </w:r>
      <w:r w:rsidRPr="001B7102">
        <w:rPr>
          <w:b/>
          <w:lang w:val="bg-BG"/>
        </w:rPr>
        <w:t>GT</w:t>
      </w:r>
      <w:r w:rsidRPr="001B7102">
        <w:rPr>
          <w:lang w:val="bg-BG"/>
        </w:rPr>
        <w:t xml:space="preserve"> </w:t>
      </w:r>
      <w:r w:rsidRPr="001B7102">
        <w:rPr>
          <w:b/>
          <w:lang w:val="bg-BG"/>
        </w:rPr>
        <w:t xml:space="preserve">– </w:t>
      </w:r>
      <w:r w:rsidRPr="001B7102">
        <w:rPr>
          <w:lang w:val="bg-BG"/>
        </w:rPr>
        <w:t>Брутния тонаж на кораба;</w:t>
      </w:r>
    </w:p>
    <w:p w:rsidR="00B24EFD" w:rsidRPr="003716C1" w:rsidRDefault="00B24EFD" w:rsidP="006A2B60">
      <w:pPr>
        <w:ind w:left="993"/>
        <w:jc w:val="both"/>
        <w:rPr>
          <w:rFonts w:cstheme="minorBidi"/>
          <w:lang w:val="bg-BG"/>
        </w:rPr>
      </w:pPr>
      <w:r w:rsidRPr="001B7102">
        <w:rPr>
          <w:b/>
          <w:lang w:val="bg-BG"/>
        </w:rPr>
        <w:t>А –</w:t>
      </w:r>
      <w:r w:rsidRPr="001B7102">
        <w:rPr>
          <w:lang w:val="bg-BG"/>
        </w:rPr>
        <w:t xml:space="preserve"> </w:t>
      </w:r>
      <w:r w:rsidR="001762AC" w:rsidRPr="001B7102">
        <w:t>Допълнителна премия за административни разходи на собствениците</w:t>
      </w:r>
      <w:r w:rsidR="001762AC">
        <w:t xml:space="preserve"> </w:t>
      </w:r>
      <w:r w:rsidR="00B13B98">
        <w:rPr>
          <w:lang w:val="bg-BG"/>
        </w:rPr>
        <w:t>- 5.66</w:t>
      </w:r>
      <w:r w:rsidR="00863CED">
        <w:rPr>
          <w:lang w:val="bg-BG"/>
        </w:rPr>
        <w:t xml:space="preserve"> лв</w:t>
      </w:r>
      <w:r w:rsidR="003865D6">
        <w:rPr>
          <w:lang w:val="bg-BG"/>
        </w:rPr>
        <w:t>.</w:t>
      </w:r>
      <w:r w:rsidR="001762AC">
        <w:t>;</w:t>
      </w:r>
      <w:r w:rsidR="004C7122">
        <w:rPr>
          <w:lang w:val="bg-BG"/>
        </w:rPr>
        <w:t xml:space="preserve"> </w:t>
      </w:r>
    </w:p>
    <w:p w:rsidR="00B24EFD" w:rsidRPr="001B7102" w:rsidRDefault="00B24EFD" w:rsidP="006A2B60">
      <w:pPr>
        <w:ind w:left="993"/>
        <w:jc w:val="both"/>
        <w:rPr>
          <w:lang w:val="bg-BG"/>
        </w:rPr>
      </w:pPr>
      <w:r w:rsidRPr="001B7102">
        <w:rPr>
          <w:b/>
          <w:lang w:val="bg-BG"/>
        </w:rPr>
        <w:t>d</w:t>
      </w:r>
      <w:r w:rsidRPr="001B7102">
        <w:rPr>
          <w:lang w:val="bg-BG"/>
        </w:rPr>
        <w:t xml:space="preserve"> </w:t>
      </w:r>
      <w:r w:rsidRPr="001B7102">
        <w:rPr>
          <w:b/>
          <w:lang w:val="bg-BG"/>
        </w:rPr>
        <w:t xml:space="preserve">– </w:t>
      </w:r>
      <w:r w:rsidRPr="001B7102">
        <w:rPr>
          <w:lang w:val="bg-BG"/>
        </w:rPr>
        <w:t>Дни преустановяване.</w:t>
      </w:r>
    </w:p>
    <w:p w:rsidR="00B24EFD" w:rsidRPr="001B7102" w:rsidRDefault="00B24EFD" w:rsidP="006A2B60">
      <w:pPr>
        <w:ind w:left="60"/>
        <w:jc w:val="both"/>
        <w:rPr>
          <w:lang w:val="bg-BG"/>
        </w:rPr>
      </w:pPr>
    </w:p>
    <w:p w:rsidR="00766CC5" w:rsidRPr="00CE40A8" w:rsidRDefault="00B24EFD" w:rsidP="00CE40A8">
      <w:pPr>
        <w:ind w:left="60"/>
        <w:jc w:val="both"/>
        <w:rPr>
          <w:lang w:val="bg-BG"/>
        </w:rPr>
      </w:pPr>
      <w:r w:rsidRPr="003716C1">
        <w:rPr>
          <w:lang w:val="bg-BG"/>
        </w:rPr>
        <w:t>Този модел взема предвид не само тонажа на кораба, но и неговата дължина.</w:t>
      </w:r>
      <w:r w:rsidRPr="004C7122">
        <w:rPr>
          <w:lang w:val="bg-BG"/>
        </w:rPr>
        <w:t xml:space="preserve"> </w:t>
      </w:r>
      <w:r w:rsidRPr="003716C1">
        <w:rPr>
          <w:lang w:val="bg-BG"/>
        </w:rPr>
        <w:t xml:space="preserve">Той определя вариращи стойности за 1 БТ в зависимост от категорията за дължина, като стойността се променя спрямо съответния сегмент. Разделянето по сегменти </w:t>
      </w:r>
      <w:r w:rsidR="003865D6">
        <w:rPr>
          <w:lang w:val="bg-BG"/>
        </w:rPr>
        <w:t>се основава на</w:t>
      </w:r>
      <w:r w:rsidRPr="003716C1">
        <w:rPr>
          <w:lang w:val="bg-BG"/>
        </w:rPr>
        <w:t xml:space="preserve"> Доклада за съответствие капацитета на риболовния флот с възможностите за риболов</w:t>
      </w:r>
      <w:r w:rsidR="003865D6">
        <w:rPr>
          <w:lang w:val="bg-BG"/>
        </w:rPr>
        <w:t xml:space="preserve"> и </w:t>
      </w:r>
      <w:r w:rsidR="0033792F">
        <w:rPr>
          <w:lang w:val="bg-BG"/>
        </w:rPr>
        <w:t>з</w:t>
      </w:r>
      <w:r w:rsidR="00AA1133">
        <w:rPr>
          <w:lang w:val="bg-BG"/>
        </w:rPr>
        <w:t xml:space="preserve">а целта на настоящата методика някои от сегментите са обединени в общо три групи. </w:t>
      </w:r>
      <w:r w:rsidRPr="003716C1">
        <w:rPr>
          <w:lang w:val="bg-BG"/>
        </w:rPr>
        <w:t xml:space="preserve">За да може да се изчисли дневната премия (Р), ще се вземе информация от дневниците за първа продажба на корабите за всеки сегмент. Тази информация вече е </w:t>
      </w:r>
      <w:r w:rsidR="00AA1133">
        <w:rPr>
          <w:lang w:val="bg-BG"/>
        </w:rPr>
        <w:t>предоставена</w:t>
      </w:r>
      <w:r w:rsidR="00AA1133" w:rsidRPr="003716C1">
        <w:rPr>
          <w:lang w:val="bg-BG"/>
        </w:rPr>
        <w:t xml:space="preserve"> </w:t>
      </w:r>
      <w:r w:rsidRPr="003716C1">
        <w:rPr>
          <w:lang w:val="bg-BG"/>
        </w:rPr>
        <w:t>от ИАРА.</w:t>
      </w:r>
    </w:p>
    <w:p w:rsidR="00766CC5" w:rsidRPr="001762AC" w:rsidRDefault="00766CC5" w:rsidP="006A2B60">
      <w:pPr>
        <w:ind w:left="60"/>
        <w:jc w:val="both"/>
        <w:rPr>
          <w:highlight w:val="yellow"/>
          <w:lang w:val="bg-BG"/>
        </w:rPr>
      </w:pPr>
    </w:p>
    <w:p w:rsidR="00766CC5" w:rsidRPr="00B4561B" w:rsidRDefault="00B24EFD" w:rsidP="00CE40A8">
      <w:pPr>
        <w:ind w:left="60"/>
        <w:jc w:val="both"/>
        <w:rPr>
          <w:b/>
          <w:lang w:val="bg-BG"/>
        </w:rPr>
      </w:pPr>
      <w:r w:rsidRPr="00B4561B">
        <w:rPr>
          <w:b/>
          <w:lang w:val="bg-BG"/>
        </w:rPr>
        <w:t>Таблица 1</w:t>
      </w:r>
    </w:p>
    <w:tbl>
      <w:tblPr>
        <w:tblStyle w:val="TableGrid"/>
        <w:tblW w:w="9450" w:type="dxa"/>
        <w:tblInd w:w="108" w:type="dxa"/>
        <w:tblLook w:val="04A0" w:firstRow="1" w:lastRow="0" w:firstColumn="1" w:lastColumn="0" w:noHBand="0" w:noVBand="1"/>
      </w:tblPr>
      <w:tblGrid>
        <w:gridCol w:w="4395"/>
        <w:gridCol w:w="5055"/>
      </w:tblGrid>
      <w:tr w:rsidR="002D0633" w:rsidRPr="00AA1133" w:rsidTr="00B4561B">
        <w:tc>
          <w:tcPr>
            <w:tcW w:w="4395" w:type="dxa"/>
          </w:tcPr>
          <w:p w:rsidR="002D0633" w:rsidRPr="00B4561B" w:rsidRDefault="002D0633" w:rsidP="006A2B60">
            <w:pPr>
              <w:ind w:right="-283"/>
              <w:jc w:val="both"/>
              <w:rPr>
                <w:lang w:val="bg-BG"/>
              </w:rPr>
            </w:pPr>
            <w:r w:rsidRPr="00B4561B">
              <w:rPr>
                <w:lang w:val="bg-BG"/>
              </w:rPr>
              <w:t>Категоризация по дължина на кораба (m)</w:t>
            </w:r>
          </w:p>
        </w:tc>
        <w:tc>
          <w:tcPr>
            <w:tcW w:w="5055" w:type="dxa"/>
          </w:tcPr>
          <w:p w:rsidR="002D0633" w:rsidRPr="00B4561B" w:rsidRDefault="002D0633" w:rsidP="006A2B60">
            <w:pPr>
              <w:ind w:right="-283"/>
              <w:jc w:val="both"/>
              <w:rPr>
                <w:lang w:val="bg-BG"/>
              </w:rPr>
            </w:pPr>
            <w:r w:rsidRPr="00B4561B">
              <w:rPr>
                <w:lang w:val="bg-BG"/>
              </w:rPr>
              <w:t>Дневна премия за преустан</w:t>
            </w:r>
            <w:r w:rsidR="00827C62">
              <w:rPr>
                <w:lang w:val="bg-BG"/>
              </w:rPr>
              <w:t>о</w:t>
            </w:r>
            <w:r w:rsidRPr="00B4561B">
              <w:rPr>
                <w:lang w:val="bg-BG"/>
              </w:rPr>
              <w:t>вяване за 1 БТ (лв.)</w:t>
            </w:r>
          </w:p>
        </w:tc>
      </w:tr>
      <w:tr w:rsidR="00AA1133" w:rsidRPr="00AA1133" w:rsidTr="00B4561B">
        <w:tc>
          <w:tcPr>
            <w:tcW w:w="4395" w:type="dxa"/>
            <w:vAlign w:val="bottom"/>
          </w:tcPr>
          <w:p w:rsidR="00AA1133" w:rsidRPr="00B4561B" w:rsidRDefault="00AA1133" w:rsidP="00AA1133">
            <w:pPr>
              <w:ind w:right="-283"/>
              <w:jc w:val="both"/>
              <w:rPr>
                <w:lang w:val="bg-BG"/>
              </w:rPr>
            </w:pPr>
            <w:r w:rsidRPr="00AA1133">
              <w:rPr>
                <w:color w:val="000000"/>
              </w:rPr>
              <w:t>До 18 метра</w:t>
            </w:r>
          </w:p>
        </w:tc>
        <w:tc>
          <w:tcPr>
            <w:tcW w:w="5055" w:type="dxa"/>
          </w:tcPr>
          <w:p w:rsidR="00AA1133" w:rsidRPr="00B4561B" w:rsidRDefault="00AA1133" w:rsidP="00AA1133">
            <w:pPr>
              <w:jc w:val="both"/>
              <w:rPr>
                <w:lang w:val="bg-BG"/>
              </w:rPr>
            </w:pPr>
            <w:r w:rsidRPr="00AA1133">
              <w:t xml:space="preserve"> 10,45     </w:t>
            </w:r>
          </w:p>
        </w:tc>
      </w:tr>
      <w:tr w:rsidR="00AA1133" w:rsidRPr="00AA1133" w:rsidTr="00B4561B">
        <w:tc>
          <w:tcPr>
            <w:tcW w:w="4395" w:type="dxa"/>
            <w:vAlign w:val="bottom"/>
          </w:tcPr>
          <w:p w:rsidR="00AA1133" w:rsidRPr="00B4561B" w:rsidRDefault="00AA1133" w:rsidP="00AA1133">
            <w:pPr>
              <w:ind w:right="-283"/>
              <w:jc w:val="both"/>
              <w:rPr>
                <w:lang w:val="bg-BG"/>
              </w:rPr>
            </w:pPr>
            <w:r w:rsidRPr="00AA1133">
              <w:rPr>
                <w:color w:val="000000"/>
              </w:rPr>
              <w:t>18-24 метра</w:t>
            </w:r>
          </w:p>
        </w:tc>
        <w:tc>
          <w:tcPr>
            <w:tcW w:w="5055" w:type="dxa"/>
          </w:tcPr>
          <w:p w:rsidR="00AA1133" w:rsidRPr="00B4561B" w:rsidRDefault="00AA1133" w:rsidP="00AA1133">
            <w:pPr>
              <w:jc w:val="both"/>
              <w:rPr>
                <w:lang w:val="bg-BG"/>
              </w:rPr>
            </w:pPr>
            <w:r w:rsidRPr="00AA1133">
              <w:t xml:space="preserve"> 7,31     </w:t>
            </w:r>
          </w:p>
        </w:tc>
      </w:tr>
      <w:tr w:rsidR="00AA1133" w:rsidRPr="00AA1133" w:rsidTr="00B4561B">
        <w:tc>
          <w:tcPr>
            <w:tcW w:w="4395" w:type="dxa"/>
            <w:vAlign w:val="bottom"/>
          </w:tcPr>
          <w:p w:rsidR="00AA1133" w:rsidRPr="00B4561B" w:rsidRDefault="00AA1133" w:rsidP="00AA1133">
            <w:pPr>
              <w:ind w:right="-283"/>
              <w:jc w:val="both"/>
              <w:rPr>
                <w:lang w:val="bg-BG"/>
              </w:rPr>
            </w:pPr>
            <w:r w:rsidRPr="00AA1133">
              <w:rPr>
                <w:color w:val="000000"/>
              </w:rPr>
              <w:t>Над 24</w:t>
            </w:r>
            <w:r w:rsidR="00D075C2">
              <w:rPr>
                <w:color w:val="000000"/>
                <w:lang w:val="bg-BG"/>
              </w:rPr>
              <w:t xml:space="preserve"> метра</w:t>
            </w:r>
          </w:p>
        </w:tc>
        <w:tc>
          <w:tcPr>
            <w:tcW w:w="5055" w:type="dxa"/>
          </w:tcPr>
          <w:p w:rsidR="00AA1133" w:rsidRPr="00B4561B" w:rsidRDefault="00AA1133" w:rsidP="00AA1133">
            <w:pPr>
              <w:jc w:val="both"/>
              <w:rPr>
                <w:lang w:val="bg-BG"/>
              </w:rPr>
            </w:pPr>
            <w:r w:rsidRPr="00AA1133">
              <w:t xml:space="preserve"> 5,12    </w:t>
            </w:r>
          </w:p>
        </w:tc>
      </w:tr>
    </w:tbl>
    <w:p w:rsidR="002E5409" w:rsidRDefault="002E5409" w:rsidP="002E5409">
      <w:pPr>
        <w:jc w:val="both"/>
        <w:rPr>
          <w:b/>
          <w:lang w:val="bg-BG"/>
        </w:rPr>
      </w:pPr>
      <w:r>
        <w:rPr>
          <w:lang w:val="bg-BG"/>
        </w:rPr>
        <w:lastRenderedPageBreak/>
        <w:t xml:space="preserve">За определяне на стойността на </w:t>
      </w:r>
      <w:r w:rsidRPr="001B7102">
        <w:rPr>
          <w:b/>
          <w:lang w:val="bg-BG"/>
        </w:rPr>
        <w:t>А –</w:t>
      </w:r>
      <w:r w:rsidRPr="001B7102">
        <w:rPr>
          <w:lang w:val="bg-BG"/>
        </w:rPr>
        <w:t xml:space="preserve"> </w:t>
      </w:r>
      <w:r w:rsidRPr="001B7102">
        <w:t>Допълнителна премия за административни разходи на собствениците</w:t>
      </w:r>
      <w:r>
        <w:rPr>
          <w:lang w:val="bg-BG"/>
        </w:rPr>
        <w:t xml:space="preserve"> на риболовни кораби са ползвани официални данни от </w:t>
      </w:r>
      <w:r>
        <w:rPr>
          <w:b/>
          <w:lang w:val="bg-BG"/>
        </w:rPr>
        <w:t>„Рибни ресурси”ЕООД</w:t>
      </w:r>
    </w:p>
    <w:p w:rsidR="002E5409" w:rsidRDefault="002E5409" w:rsidP="002E5409">
      <w:pPr>
        <w:jc w:val="both"/>
        <w:rPr>
          <w:b/>
          <w:lang w:val="bg-BG"/>
        </w:rPr>
      </w:pPr>
    </w:p>
    <w:p w:rsidR="002E5409" w:rsidRPr="004C7122" w:rsidRDefault="002E5409" w:rsidP="002E5409">
      <w:pPr>
        <w:jc w:val="both"/>
        <w:rPr>
          <w:lang w:val="bg-BG"/>
        </w:rPr>
      </w:pPr>
      <w:r>
        <w:rPr>
          <w:lang w:val="bg-BG"/>
        </w:rPr>
        <w:t xml:space="preserve">За определяне на стойността на </w:t>
      </w:r>
      <w:r w:rsidRPr="001B7102">
        <w:rPr>
          <w:b/>
          <w:lang w:val="bg-BG"/>
        </w:rPr>
        <w:t>P</w:t>
      </w:r>
      <w:r w:rsidRPr="001B7102">
        <w:rPr>
          <w:lang w:val="bg-BG"/>
        </w:rPr>
        <w:t xml:space="preserve"> </w:t>
      </w:r>
      <w:r w:rsidRPr="001B7102">
        <w:rPr>
          <w:b/>
          <w:lang w:val="bg-BG"/>
        </w:rPr>
        <w:t xml:space="preserve">- </w:t>
      </w:r>
      <w:r w:rsidRPr="001B7102">
        <w:rPr>
          <w:lang w:val="bg-BG"/>
        </w:rPr>
        <w:t xml:space="preserve"> Дневна премия за преустанвяване за 1 БТ </w:t>
      </w:r>
      <w:r>
        <w:rPr>
          <w:lang w:val="bg-BG"/>
        </w:rPr>
        <w:t>са ползвани официални данни от ИАРА</w:t>
      </w:r>
    </w:p>
    <w:p w:rsidR="002E5409" w:rsidRDefault="002E5409" w:rsidP="006A2B60">
      <w:pPr>
        <w:ind w:left="60"/>
        <w:jc w:val="both"/>
        <w:rPr>
          <w:lang w:val="bg-BG"/>
        </w:rPr>
      </w:pPr>
    </w:p>
    <w:p w:rsidR="002E5409" w:rsidRDefault="002E5409" w:rsidP="00B4561B">
      <w:pPr>
        <w:jc w:val="both"/>
        <w:rPr>
          <w:lang w:val="bg-BG"/>
        </w:rPr>
      </w:pPr>
      <w:r>
        <w:rPr>
          <w:lang w:val="bg-BG"/>
        </w:rPr>
        <w:t>УО предвижда да извършва мониторинг на 100% от договорите за БФП</w:t>
      </w:r>
      <w:r>
        <w:t xml:space="preserve"> </w:t>
      </w:r>
      <w:r>
        <w:rPr>
          <w:lang w:val="bg-BG"/>
        </w:rPr>
        <w:t xml:space="preserve">чрез информация от </w:t>
      </w:r>
      <w:r>
        <w:t>VMS</w:t>
      </w:r>
      <w:r>
        <w:rPr>
          <w:lang w:val="bg-BG"/>
        </w:rPr>
        <w:t xml:space="preserve"> устройствата на корабите над 12 метра дължина и чрез риболовните дневници на корабите от всички сегменти.</w:t>
      </w:r>
    </w:p>
    <w:p w:rsidR="00D075C2" w:rsidRDefault="00D075C2" w:rsidP="00B4561B">
      <w:pPr>
        <w:jc w:val="both"/>
        <w:rPr>
          <w:lang w:val="bg-BG"/>
        </w:rPr>
      </w:pPr>
    </w:p>
    <w:p w:rsidR="00BF67C7" w:rsidRDefault="00D075C2" w:rsidP="00B4561B">
      <w:pPr>
        <w:pStyle w:val="ListParagraph"/>
        <w:ind w:left="0"/>
        <w:jc w:val="both"/>
        <w:rPr>
          <w:lang w:val="bg-BG"/>
        </w:rPr>
      </w:pPr>
      <w:r>
        <w:t>По процедурите няма да има критерии за подбор – „Техническа и финансова оценка”, помощта е предназначена за всички допустими оператори и до изчерпване на бюджета ще се прилага принципът „Първи по ред, първи по право”.</w:t>
      </w:r>
    </w:p>
    <w:p w:rsidR="00BF67C7" w:rsidRPr="00BF67C7" w:rsidRDefault="00BF67C7" w:rsidP="00BF67C7">
      <w:pPr>
        <w:pStyle w:val="ListParagraph"/>
        <w:jc w:val="both"/>
      </w:pPr>
    </w:p>
    <w:p w:rsidR="00BF67C7" w:rsidRPr="00BF67C7" w:rsidRDefault="00BF67C7" w:rsidP="00BF67C7">
      <w:pPr>
        <w:pStyle w:val="ListParagraph"/>
        <w:ind w:left="0"/>
        <w:rPr>
          <w:lang w:val="bg-BG"/>
        </w:rPr>
      </w:pPr>
      <w:r w:rsidRPr="00BF67C7">
        <w:rPr>
          <w:b/>
          <w:bCs/>
          <w:lang w:val="bg-BG"/>
        </w:rPr>
        <w:t>Пример 1</w:t>
      </w:r>
      <w:r w:rsidRPr="00BF67C7">
        <w:rPr>
          <w:lang w:val="bg-BG"/>
        </w:rPr>
        <w:t>: Кораб 13 метра, с БТ – 15</w:t>
      </w:r>
      <w:r w:rsidRPr="00BF67C7">
        <w:t xml:space="preserve">, </w:t>
      </w:r>
      <w:r w:rsidRPr="00BF67C7">
        <w:rPr>
          <w:lang w:val="bg-BG"/>
        </w:rPr>
        <w:t>с преустановена дейност за 35 дни.</w:t>
      </w:r>
    </w:p>
    <w:p w:rsidR="00BF67C7" w:rsidRPr="00BF67C7" w:rsidRDefault="00BF67C7" w:rsidP="00BF67C7">
      <w:pPr>
        <w:pStyle w:val="ListParagraph"/>
        <w:ind w:left="0"/>
        <w:rPr>
          <w:lang w:val="bg-BG"/>
        </w:rPr>
      </w:pPr>
    </w:p>
    <w:p w:rsidR="00BF67C7" w:rsidRPr="00BF67C7" w:rsidRDefault="00BF67C7" w:rsidP="00BF67C7">
      <w:pPr>
        <w:rPr>
          <w:lang w:val="bg-BG"/>
        </w:rPr>
      </w:pPr>
      <w:r w:rsidRPr="00BF67C7">
        <w:rPr>
          <w:lang w:val="bg-BG"/>
        </w:rPr>
        <w:t>Общата компенсация е равна на:   5</w:t>
      </w:r>
      <w:r w:rsidR="00DA709A">
        <w:rPr>
          <w:lang w:val="bg-BG"/>
        </w:rPr>
        <w:t>.</w:t>
      </w:r>
      <w:r w:rsidRPr="00BF67C7">
        <w:rPr>
          <w:lang w:val="bg-BG"/>
        </w:rPr>
        <w:t xml:space="preserve">658,1 </w:t>
      </w:r>
      <w:r w:rsidRPr="00BF67C7">
        <w:t>=</w:t>
      </w:r>
      <w:r w:rsidRPr="00BF67C7">
        <w:rPr>
          <w:lang w:val="bg-BG"/>
        </w:rPr>
        <w:t>( (10,45 х15)+5,66)*35</w:t>
      </w:r>
    </w:p>
    <w:p w:rsidR="00BF67C7" w:rsidRPr="00BF67C7" w:rsidRDefault="00BF67C7" w:rsidP="00BF67C7">
      <w:pPr>
        <w:rPr>
          <w:lang w:val="bg-BG"/>
        </w:rPr>
      </w:pPr>
    </w:p>
    <w:p w:rsidR="00BF67C7" w:rsidRPr="00BF67C7" w:rsidRDefault="00BF67C7" w:rsidP="00BF67C7">
      <w:pPr>
        <w:pStyle w:val="ListParagraph"/>
        <w:ind w:left="0"/>
        <w:rPr>
          <w:lang w:val="bg-BG"/>
        </w:rPr>
      </w:pPr>
      <w:r w:rsidRPr="00BF67C7">
        <w:rPr>
          <w:b/>
          <w:bCs/>
          <w:lang w:val="bg-BG"/>
        </w:rPr>
        <w:t>Пример 2</w:t>
      </w:r>
      <w:r w:rsidRPr="00BF67C7">
        <w:rPr>
          <w:lang w:val="bg-BG"/>
        </w:rPr>
        <w:t>: Кораб 24 метра, с БТ – 117</w:t>
      </w:r>
      <w:r w:rsidRPr="00BF67C7">
        <w:t xml:space="preserve">, </w:t>
      </w:r>
      <w:r w:rsidRPr="00BF67C7">
        <w:rPr>
          <w:lang w:val="bg-BG"/>
        </w:rPr>
        <w:t>с преустановена дейност за 35 дни.</w:t>
      </w:r>
    </w:p>
    <w:p w:rsidR="00BF67C7" w:rsidRPr="00BF67C7" w:rsidRDefault="00BF67C7" w:rsidP="00BF67C7">
      <w:pPr>
        <w:pStyle w:val="ListParagraph"/>
        <w:ind w:left="0"/>
        <w:rPr>
          <w:lang w:val="bg-BG"/>
        </w:rPr>
      </w:pPr>
    </w:p>
    <w:p w:rsidR="00BF67C7" w:rsidRPr="00BF67C7" w:rsidRDefault="00BF67C7" w:rsidP="00DB5E1B">
      <w:pPr>
        <w:rPr>
          <w:lang w:val="bg-BG"/>
        </w:rPr>
      </w:pPr>
      <w:r w:rsidRPr="00BF67C7">
        <w:rPr>
          <w:lang w:val="bg-BG"/>
        </w:rPr>
        <w:t>Общата компенсация е равна на:  21</w:t>
      </w:r>
      <w:r w:rsidR="00DA709A">
        <w:rPr>
          <w:lang w:val="bg-BG"/>
        </w:rPr>
        <w:t>.</w:t>
      </w:r>
      <w:r w:rsidRPr="00BF67C7">
        <w:rPr>
          <w:lang w:val="bg-BG"/>
        </w:rPr>
        <w:t xml:space="preserve">164,5 </w:t>
      </w:r>
      <w:r w:rsidRPr="00BF67C7">
        <w:t>=</w:t>
      </w:r>
      <w:r w:rsidRPr="00BF67C7">
        <w:rPr>
          <w:lang w:val="bg-BG"/>
        </w:rPr>
        <w:t>( (5,12 х117)+5,66)*35</w:t>
      </w:r>
    </w:p>
    <w:p w:rsidR="002E5409" w:rsidRPr="001B7102" w:rsidRDefault="002E5409" w:rsidP="006A2B60">
      <w:pPr>
        <w:ind w:left="60"/>
        <w:jc w:val="both"/>
        <w:rPr>
          <w:lang w:val="bg-BG"/>
        </w:rPr>
      </w:pPr>
    </w:p>
    <w:p w:rsidR="00B24EFD" w:rsidRPr="001B7102" w:rsidRDefault="00B24EFD" w:rsidP="006A2B60">
      <w:pPr>
        <w:pStyle w:val="Heading2"/>
        <w:jc w:val="both"/>
      </w:pPr>
      <w:r w:rsidRPr="001B7102">
        <w:t>Компенсация за екипаж</w:t>
      </w:r>
    </w:p>
    <w:p w:rsidR="00B24EFD" w:rsidRDefault="00B24EFD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Следвайки философията на използване на опростени модели за компенсация, е избран метод, при който се взима предвид </w:t>
      </w:r>
      <w:r w:rsidR="001762AC">
        <w:rPr>
          <w:lang w:val="bg-BG"/>
        </w:rPr>
        <w:t>минималния осигурителен</w:t>
      </w:r>
      <w:r w:rsidRPr="001B7102">
        <w:rPr>
          <w:lang w:val="bg-BG"/>
        </w:rPr>
        <w:t xml:space="preserve"> доход за 2020 г. за членовете на екипажа и</w:t>
      </w:r>
      <w:r w:rsidR="00676824" w:rsidRPr="001B7102">
        <w:rPr>
          <w:lang w:val="bg-BG"/>
        </w:rPr>
        <w:t xml:space="preserve"> на тази база</w:t>
      </w:r>
      <w:r w:rsidRPr="001B7102">
        <w:rPr>
          <w:lang w:val="bg-BG"/>
        </w:rPr>
        <w:t xml:space="preserve"> се изчислява среднодневното възнаграждение. Чрез този метод всички членове на екипаж ще получават компенсация на ден прекъсване. Тази сума е </w:t>
      </w:r>
      <w:r w:rsidRPr="002B04A5">
        <w:rPr>
          <w:lang w:val="bg-BG"/>
        </w:rPr>
        <w:t>29,</w:t>
      </w:r>
      <w:r w:rsidR="00AA1133" w:rsidRPr="002B04A5">
        <w:rPr>
          <w:lang w:val="bg-BG"/>
        </w:rPr>
        <w:t>0</w:t>
      </w:r>
      <w:r w:rsidR="00AA1133">
        <w:rPr>
          <w:lang w:val="bg-BG"/>
        </w:rPr>
        <w:t>5</w:t>
      </w:r>
      <w:r w:rsidRPr="001B7102">
        <w:rPr>
          <w:lang w:val="bg-BG"/>
        </w:rPr>
        <w:t xml:space="preserve"> лв</w:t>
      </w:r>
      <w:r w:rsidR="00676824" w:rsidRPr="001B7102">
        <w:rPr>
          <w:lang w:val="bg-BG"/>
        </w:rPr>
        <w:t>.</w:t>
      </w:r>
      <w:r w:rsidRPr="001B7102">
        <w:rPr>
          <w:lang w:val="bg-BG"/>
        </w:rPr>
        <w:t xml:space="preserve"> на ден. Дните по време на временно спиране, при което член на екипажа използва отпуск по болест или почивка, не се включват в изчислението на премията.</w:t>
      </w:r>
    </w:p>
    <w:p w:rsidR="002E5409" w:rsidRPr="00B4561B" w:rsidRDefault="002E5409" w:rsidP="006A2B60">
      <w:pPr>
        <w:ind w:left="60"/>
        <w:jc w:val="both"/>
      </w:pPr>
    </w:p>
    <w:p w:rsidR="00B24EFD" w:rsidRPr="001B7102" w:rsidRDefault="00B24EFD" w:rsidP="006A2B60">
      <w:pPr>
        <w:pStyle w:val="Heading2"/>
        <w:jc w:val="both"/>
      </w:pPr>
      <w:r w:rsidRPr="001B7102">
        <w:t>Индикатори</w:t>
      </w:r>
    </w:p>
    <w:p w:rsidR="00E740D3" w:rsidRDefault="00E740D3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УО на ПМДР </w:t>
      </w:r>
      <w:r w:rsidR="004308C3">
        <w:rPr>
          <w:lang w:val="bg-BG"/>
        </w:rPr>
        <w:t>извършва двустепенна ревизия на индикаторите, като за първата стъпка се изменят индикаторите на основание на последната</w:t>
      </w:r>
      <w:r w:rsidRPr="001B7102">
        <w:rPr>
          <w:lang w:val="bg-BG"/>
        </w:rPr>
        <w:t xml:space="preserve"> промяна на програмата през </w:t>
      </w:r>
      <w:r w:rsidR="004308C3">
        <w:rPr>
          <w:lang w:val="bg-BG"/>
        </w:rPr>
        <w:t>2019 г.</w:t>
      </w:r>
    </w:p>
    <w:p w:rsidR="00766CC5" w:rsidRPr="001B7102" w:rsidRDefault="00766CC5" w:rsidP="006A2B60">
      <w:pPr>
        <w:jc w:val="both"/>
        <w:rPr>
          <w:lang w:val="bg-BG"/>
        </w:rPr>
      </w:pPr>
    </w:p>
    <w:p w:rsidR="00B24EFD" w:rsidRPr="001B7102" w:rsidRDefault="00B24EFD" w:rsidP="006A2B60">
      <w:pPr>
        <w:ind w:left="60"/>
        <w:jc w:val="both"/>
        <w:rPr>
          <w:lang w:val="bg-BG"/>
        </w:rPr>
      </w:pPr>
    </w:p>
    <w:p w:rsidR="00676824" w:rsidRDefault="00E740D3" w:rsidP="006A2B60">
      <w:pPr>
        <w:pStyle w:val="Heading1"/>
        <w:jc w:val="both"/>
      </w:pPr>
      <w:r w:rsidRPr="001B7102">
        <w:t>Мярка 2.6 Подкрепа за сектора на аквакултурата за временно спиране или намаляване на производството - чл. 55, пар. 1</w:t>
      </w:r>
      <w:r w:rsidR="002E5409">
        <w:t>, буква</w:t>
      </w:r>
      <w:r w:rsidRPr="001B7102">
        <w:t xml:space="preserve"> (б)</w:t>
      </w:r>
    </w:p>
    <w:p w:rsidR="00766CC5" w:rsidRPr="00766CC5" w:rsidRDefault="00766CC5" w:rsidP="00766CC5">
      <w:pPr>
        <w:rPr>
          <w:lang w:val="bg-BG"/>
        </w:rPr>
      </w:pPr>
    </w:p>
    <w:p w:rsidR="00FA02AA" w:rsidRPr="001B7102" w:rsidRDefault="00FA02AA" w:rsidP="006A2B60">
      <w:pPr>
        <w:jc w:val="both"/>
        <w:rPr>
          <w:lang w:val="bg-BG"/>
        </w:rPr>
      </w:pPr>
      <w:r w:rsidRPr="001B7102">
        <w:rPr>
          <w:lang w:val="bg-BG"/>
        </w:rPr>
        <w:t>Според получената от ИАРА информация има общо 561 аквакултурни ферми, които са допустими да кандидатстват по мярката.</w:t>
      </w:r>
    </w:p>
    <w:p w:rsidR="00FA02AA" w:rsidRPr="001B7102" w:rsidRDefault="00FA02AA" w:rsidP="006A2B60">
      <w:pPr>
        <w:jc w:val="both"/>
        <w:rPr>
          <w:lang w:val="bg-BG"/>
        </w:rPr>
      </w:pPr>
    </w:p>
    <w:p w:rsidR="00E740D3" w:rsidRPr="001B7102" w:rsidRDefault="00E740D3" w:rsidP="006A2B60">
      <w:pPr>
        <w:pStyle w:val="Heading2"/>
        <w:jc w:val="both"/>
      </w:pPr>
      <w:r w:rsidRPr="001B7102">
        <w:t>Бюджетен ресурс</w:t>
      </w:r>
    </w:p>
    <w:p w:rsidR="00E740D3" w:rsidRPr="001B7102" w:rsidRDefault="00E740D3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Бюджетният ресурс за мярката е </w:t>
      </w:r>
      <w:r w:rsidR="00021E5F" w:rsidRPr="00021E5F">
        <w:rPr>
          <w:lang w:val="bg-BG"/>
        </w:rPr>
        <w:t>4</w:t>
      </w:r>
      <w:r w:rsidR="002E5409">
        <w:rPr>
          <w:lang w:val="bg-BG"/>
        </w:rPr>
        <w:t>.</w:t>
      </w:r>
      <w:r w:rsidR="00021E5F" w:rsidRPr="00021E5F">
        <w:rPr>
          <w:lang w:val="bg-BG"/>
        </w:rPr>
        <w:t>027</w:t>
      </w:r>
      <w:r w:rsidR="002E5409">
        <w:rPr>
          <w:lang w:val="bg-BG"/>
        </w:rPr>
        <w:t>.</w:t>
      </w:r>
      <w:r w:rsidR="00021E5F" w:rsidRPr="00021E5F">
        <w:rPr>
          <w:lang w:val="bg-BG"/>
        </w:rPr>
        <w:t>769,45</w:t>
      </w:r>
      <w:r w:rsidRPr="001B7102">
        <w:rPr>
          <w:lang w:val="bg-BG"/>
        </w:rPr>
        <w:t xml:space="preserve"> евро ЕФМДР</w:t>
      </w:r>
      <w:r w:rsidR="00994134">
        <w:rPr>
          <w:lang w:val="bg-BG"/>
        </w:rPr>
        <w:t xml:space="preserve"> или 10</w:t>
      </w:r>
      <w:r w:rsidR="002E5409">
        <w:rPr>
          <w:lang w:val="bg-BG"/>
        </w:rPr>
        <w:t>,</w:t>
      </w:r>
      <w:r w:rsidR="00994134">
        <w:rPr>
          <w:lang w:val="bg-BG"/>
        </w:rPr>
        <w:t xml:space="preserve">5 млн. </w:t>
      </w:r>
      <w:r w:rsidR="00800EDF">
        <w:rPr>
          <w:lang w:val="bg-BG"/>
        </w:rPr>
        <w:t xml:space="preserve">лв. </w:t>
      </w:r>
      <w:r w:rsidR="00994134">
        <w:rPr>
          <w:lang w:val="bg-BG"/>
        </w:rPr>
        <w:t>БФП</w:t>
      </w:r>
      <w:r w:rsidRPr="001B7102">
        <w:rPr>
          <w:lang w:val="bg-BG"/>
        </w:rPr>
        <w:t>. Минималният размер на заявената БФП за проектите ще е 2</w:t>
      </w:r>
      <w:r w:rsidR="002E5409">
        <w:rPr>
          <w:lang w:val="bg-BG"/>
        </w:rPr>
        <w:t>.</w:t>
      </w:r>
      <w:r w:rsidRPr="001B7102">
        <w:rPr>
          <w:lang w:val="bg-BG"/>
        </w:rPr>
        <w:t xml:space="preserve">000 лева, а максималният размер </w:t>
      </w:r>
      <w:r w:rsidR="00432BE4" w:rsidRPr="001B7102">
        <w:rPr>
          <w:lang w:val="bg-BG"/>
        </w:rPr>
        <w:t>8</w:t>
      </w:r>
      <w:r w:rsidRPr="001B7102">
        <w:rPr>
          <w:lang w:val="bg-BG"/>
        </w:rPr>
        <w:t>0</w:t>
      </w:r>
      <w:r w:rsidR="002E5409">
        <w:rPr>
          <w:lang w:val="bg-BG"/>
        </w:rPr>
        <w:t>.</w:t>
      </w:r>
      <w:r w:rsidRPr="001B7102">
        <w:rPr>
          <w:lang w:val="bg-BG"/>
        </w:rPr>
        <w:t>000 лева.</w:t>
      </w:r>
    </w:p>
    <w:p w:rsidR="00676824" w:rsidRPr="001B7102" w:rsidRDefault="00676824" w:rsidP="006A2B60">
      <w:pPr>
        <w:jc w:val="both"/>
        <w:rPr>
          <w:lang w:val="bg-BG"/>
        </w:rPr>
      </w:pPr>
    </w:p>
    <w:p w:rsidR="00676824" w:rsidRPr="001B7102" w:rsidRDefault="00FA02AA" w:rsidP="006A2B60">
      <w:pPr>
        <w:pStyle w:val="Heading2"/>
        <w:jc w:val="both"/>
      </w:pPr>
      <w:r w:rsidRPr="001B7102">
        <w:t>Компенсации на собствениците на ферми</w:t>
      </w:r>
    </w:p>
    <w:p w:rsidR="00676824" w:rsidRPr="001B7102" w:rsidRDefault="00676824" w:rsidP="006A2B60">
      <w:pPr>
        <w:pStyle w:val="ListParagraph"/>
        <w:ind w:left="0"/>
        <w:jc w:val="both"/>
        <w:rPr>
          <w:lang w:val="bg-BG"/>
        </w:rPr>
      </w:pPr>
      <w:r w:rsidRPr="001B7102">
        <w:rPr>
          <w:lang w:val="bg-BG"/>
        </w:rPr>
        <w:t xml:space="preserve">Допустими ще са кандидати, които са регистрирали спад </w:t>
      </w:r>
      <w:r w:rsidR="00BA4953" w:rsidRPr="001B7102">
        <w:rPr>
          <w:lang w:val="bg-BG"/>
        </w:rPr>
        <w:t xml:space="preserve">в приходния оборот </w:t>
      </w:r>
      <w:r w:rsidR="00286A0F">
        <w:rPr>
          <w:lang w:val="bg-BG"/>
        </w:rPr>
        <w:t xml:space="preserve">от </w:t>
      </w:r>
      <w:r w:rsidRPr="001B7102">
        <w:rPr>
          <w:lang w:val="bg-BG"/>
        </w:rPr>
        <w:t>поне 20</w:t>
      </w:r>
      <w:r w:rsidR="00203ACD" w:rsidRPr="001B7102">
        <w:rPr>
          <w:lang w:val="bg-BG"/>
        </w:rPr>
        <w:t xml:space="preserve"> </w:t>
      </w:r>
      <w:r w:rsidRPr="001B7102">
        <w:rPr>
          <w:lang w:val="bg-BG"/>
        </w:rPr>
        <w:t>%</w:t>
      </w:r>
      <w:r w:rsidR="00BA4953" w:rsidRPr="001B7102">
        <w:rPr>
          <w:lang w:val="bg-BG"/>
        </w:rPr>
        <w:t xml:space="preserve"> на месец</w:t>
      </w:r>
      <w:r w:rsidRPr="001B7102">
        <w:rPr>
          <w:lang w:val="bg-BG"/>
        </w:rPr>
        <w:t xml:space="preserve"> спрямо средно аритметичния оборот през 2019 г. </w:t>
      </w:r>
      <w:r w:rsidR="001A52AF">
        <w:rPr>
          <w:lang w:val="bg-BG"/>
        </w:rPr>
        <w:t xml:space="preserve">или </w:t>
      </w:r>
      <w:r w:rsidR="001A52AF" w:rsidRPr="001A52AF">
        <w:rPr>
          <w:lang w:val="bg-BG"/>
        </w:rPr>
        <w:t xml:space="preserve">средноаритметичния оборот от 2019, 2018 и 2017 г.  </w:t>
      </w:r>
      <w:bookmarkStart w:id="0" w:name="_GoBack"/>
      <w:bookmarkEnd w:id="0"/>
    </w:p>
    <w:p w:rsidR="002810B4" w:rsidRPr="001B7102" w:rsidRDefault="002810B4" w:rsidP="006A2B60">
      <w:pPr>
        <w:pStyle w:val="ListParagraph"/>
        <w:ind w:left="0"/>
        <w:jc w:val="both"/>
        <w:rPr>
          <w:lang w:val="bg-BG"/>
        </w:rPr>
      </w:pPr>
    </w:p>
    <w:p w:rsidR="00676824" w:rsidRPr="001B7102" w:rsidRDefault="00676824" w:rsidP="006A2B60">
      <w:pPr>
        <w:pStyle w:val="ListParagraph"/>
        <w:ind w:left="0"/>
        <w:jc w:val="both"/>
        <w:rPr>
          <w:rFonts w:eastAsiaTheme="minorEastAsia"/>
          <w:lang w:val="bg-BG"/>
        </w:rPr>
      </w:pPr>
      <w:r w:rsidRPr="001B7102">
        <w:rPr>
          <w:lang w:val="bg-BG" w:eastAsia="bg-BG"/>
        </w:rPr>
        <w:t xml:space="preserve">Допустими ще са разходи, необходими за преодоляване на недостига на средства, настъпили в резултат от </w:t>
      </w:r>
      <w:r w:rsidR="002E5409">
        <w:rPr>
          <w:lang w:val="bg-BG" w:eastAsia="bg-BG"/>
        </w:rPr>
        <w:t>избухването на</w:t>
      </w:r>
      <w:r w:rsidRPr="001B7102">
        <w:rPr>
          <w:lang w:val="bg-BG" w:eastAsia="bg-BG"/>
        </w:rPr>
        <w:t xml:space="preserve"> COVID-19 (разходи за съхранение, разходи за заплати, разходи за суровини, разходи за логистични услуги и подобни</w:t>
      </w:r>
      <w:r w:rsidR="00BA4953" w:rsidRPr="001B7102">
        <w:rPr>
          <w:lang w:val="bg-BG" w:eastAsia="bg-BG"/>
        </w:rPr>
        <w:t xml:space="preserve"> свързани с оборотния капитал). </w:t>
      </w:r>
      <w:r w:rsidRPr="001B7102">
        <w:rPr>
          <w:lang w:val="bg-BG"/>
        </w:rPr>
        <w:t xml:space="preserve">Заявената безвъзмездна финансова помощ не може да надвишава </w:t>
      </w:r>
      <w:r w:rsidR="00021E5F">
        <w:rPr>
          <w:lang w:val="bg-BG"/>
        </w:rPr>
        <w:t>2</w:t>
      </w:r>
      <w:r w:rsidRPr="001B7102">
        <w:rPr>
          <w:lang w:val="bg-BG"/>
        </w:rPr>
        <w:t>0%</w:t>
      </w:r>
      <w:r w:rsidR="00203ACD" w:rsidRPr="001B7102">
        <w:rPr>
          <w:lang w:val="bg-BG"/>
        </w:rPr>
        <w:t xml:space="preserve"> от нетните приходи за продажби</w:t>
      </w:r>
      <w:r w:rsidR="00BA4953" w:rsidRPr="001B7102">
        <w:rPr>
          <w:lang w:val="bg-BG"/>
        </w:rPr>
        <w:t xml:space="preserve"> за 2019 г</w:t>
      </w:r>
      <w:r w:rsidR="00FA02AA" w:rsidRPr="001B7102">
        <w:rPr>
          <w:lang w:val="bg-BG"/>
        </w:rPr>
        <w:t>.</w:t>
      </w:r>
    </w:p>
    <w:p w:rsidR="00676824" w:rsidRPr="001B7102" w:rsidRDefault="00676824" w:rsidP="006A2B60">
      <w:pPr>
        <w:pStyle w:val="ListParagraph"/>
        <w:ind w:left="0" w:hanging="11"/>
        <w:jc w:val="both"/>
        <w:rPr>
          <w:rFonts w:eastAsiaTheme="minorEastAsia"/>
          <w:lang w:val="bg-BG"/>
        </w:rPr>
      </w:pPr>
    </w:p>
    <w:p w:rsidR="00676824" w:rsidRPr="00AA1133" w:rsidRDefault="00FA02AA" w:rsidP="002B04A5">
      <w:pPr>
        <w:rPr>
          <w:rFonts w:eastAsiaTheme="minorEastAsia"/>
          <w:lang w:val="bg-BG"/>
        </w:rPr>
      </w:pPr>
      <w:r w:rsidRPr="001B7102">
        <w:rPr>
          <w:lang w:val="bg-BG"/>
        </w:rPr>
        <w:t>Д</w:t>
      </w:r>
      <w:r w:rsidR="00676824" w:rsidRPr="001B7102">
        <w:rPr>
          <w:lang w:val="bg-BG"/>
        </w:rPr>
        <w:t xml:space="preserve">опустими ще са дейности </w:t>
      </w:r>
      <w:r w:rsidR="00676824" w:rsidRPr="001B7102">
        <w:rPr>
          <w:lang w:val="bg-BG" w:eastAsia="bg-BG"/>
        </w:rPr>
        <w:t xml:space="preserve">направени </w:t>
      </w:r>
      <w:r w:rsidRPr="001B7102">
        <w:rPr>
          <w:lang w:val="bg-BG"/>
        </w:rPr>
        <w:t>след</w:t>
      </w:r>
      <w:r w:rsidR="00676824" w:rsidRPr="001B7102">
        <w:rPr>
          <w:lang w:val="bg-BG"/>
        </w:rPr>
        <w:t xml:space="preserve"> 13.03.2020 г., независимо дали всички свързани плащания са извършени. </w:t>
      </w:r>
      <w:r w:rsidR="00676824" w:rsidRPr="002B04A5">
        <w:rPr>
          <w:lang w:val="bg-BG"/>
        </w:rPr>
        <w:t>Макар Регламент 2020/560 да позволява разходи, направени от 01.02.2020, българското законодателство посочва 13.03.2020 г. като първа възможна дата.</w:t>
      </w:r>
    </w:p>
    <w:p w:rsidR="00676824" w:rsidRPr="00AA1133" w:rsidRDefault="00676824" w:rsidP="006A2B60">
      <w:pPr>
        <w:ind w:hanging="11"/>
        <w:jc w:val="both"/>
        <w:rPr>
          <w:lang w:val="bg-BG"/>
        </w:rPr>
      </w:pPr>
    </w:p>
    <w:p w:rsidR="00676824" w:rsidRDefault="00676824" w:rsidP="006A2B60">
      <w:pPr>
        <w:pStyle w:val="ListParagraph"/>
        <w:ind w:left="0"/>
        <w:jc w:val="both"/>
      </w:pPr>
      <w:r w:rsidRPr="00AA1133">
        <w:rPr>
          <w:lang w:val="bg-BG"/>
        </w:rPr>
        <w:t>Продължителността на изпълнение на всеки проект не следва</w:t>
      </w:r>
      <w:r w:rsidR="00BA4953" w:rsidRPr="00AA1133">
        <w:rPr>
          <w:lang w:val="bg-BG"/>
        </w:rPr>
        <w:t xml:space="preserve"> да надвишава </w:t>
      </w:r>
      <w:r w:rsidR="00BA4953" w:rsidRPr="002B04A5">
        <w:rPr>
          <w:lang w:val="bg-BG"/>
        </w:rPr>
        <w:t>4 (четири)</w:t>
      </w:r>
      <w:r w:rsidR="00BA4953" w:rsidRPr="001B7102">
        <w:rPr>
          <w:lang w:val="bg-BG"/>
        </w:rPr>
        <w:t xml:space="preserve"> месеца</w:t>
      </w:r>
      <w:r w:rsidRPr="001B7102">
        <w:rPr>
          <w:lang w:val="bg-BG"/>
        </w:rPr>
        <w:t>.</w:t>
      </w:r>
    </w:p>
    <w:p w:rsidR="00286A0F" w:rsidRPr="002B04A5" w:rsidRDefault="00286A0F" w:rsidP="006A2B60">
      <w:pPr>
        <w:pStyle w:val="ListParagraph"/>
        <w:ind w:left="0"/>
        <w:jc w:val="both"/>
      </w:pPr>
    </w:p>
    <w:p w:rsidR="00F2089C" w:rsidRDefault="00F2089C" w:rsidP="002E5409">
      <w:pPr>
        <w:pStyle w:val="ListParagraph"/>
        <w:ind w:left="0"/>
        <w:jc w:val="both"/>
      </w:pPr>
      <w:r>
        <w:t>По процедурите няма да има критерии за подбор – „Техническа и финансова оценка”, помощта е предназначена за всички допустими оператори и до изчерпване на бюджета ще се прилага принципът „Първи по ред, първи по право”.</w:t>
      </w:r>
    </w:p>
    <w:p w:rsidR="00F2089C" w:rsidRPr="001B7102" w:rsidRDefault="00F2089C" w:rsidP="002E5409">
      <w:pPr>
        <w:pStyle w:val="ListParagraph"/>
        <w:ind w:left="0"/>
        <w:jc w:val="both"/>
        <w:rPr>
          <w:rFonts w:eastAsiaTheme="minorEastAsia"/>
          <w:lang w:val="bg-BG"/>
        </w:rPr>
      </w:pPr>
    </w:p>
    <w:p w:rsidR="00F2089C" w:rsidRDefault="00F2089C" w:rsidP="002E5409">
      <w:pPr>
        <w:pStyle w:val="ListParagraph"/>
        <w:ind w:left="0"/>
        <w:jc w:val="both"/>
      </w:pPr>
      <w:r w:rsidRPr="00E67AAD">
        <w:rPr>
          <w:b/>
          <w:u w:val="single"/>
        </w:rPr>
        <w:t>Пример</w:t>
      </w:r>
      <w:r>
        <w:t xml:space="preserve">: </w:t>
      </w:r>
      <w:r w:rsidRPr="00E5054E">
        <w:t>Нетните приходи за продажби на ред „Продукция“ (код 15110) от приходната част на ОПР за 2019 г.)</w:t>
      </w:r>
      <w:r>
        <w:t xml:space="preserve"> – 120</w:t>
      </w:r>
      <w:r w:rsidR="002E5409">
        <w:rPr>
          <w:lang w:val="bg-BG"/>
        </w:rPr>
        <w:t>.</w:t>
      </w:r>
      <w:r>
        <w:t>000 лв.,</w:t>
      </w:r>
    </w:p>
    <w:p w:rsidR="00F2089C" w:rsidRDefault="00F2089C" w:rsidP="002E5409">
      <w:pPr>
        <w:pStyle w:val="ListParagraph"/>
        <w:ind w:left="0"/>
        <w:jc w:val="both"/>
      </w:pPr>
      <w:r>
        <w:t>24</w:t>
      </w:r>
      <w:r w:rsidR="002E5409">
        <w:rPr>
          <w:lang w:val="bg-BG"/>
        </w:rPr>
        <w:t>.</w:t>
      </w:r>
      <w:r>
        <w:t xml:space="preserve">000 лв. са -20 % от </w:t>
      </w:r>
      <w:r w:rsidRPr="00E5054E">
        <w:t>Нетните приходи за продажби на ред „Продукция“ (код 15110) от при</w:t>
      </w:r>
      <w:r>
        <w:t>ходната част на ОПР за 2019 г.) и това е БФП, която ще получи.</w:t>
      </w:r>
    </w:p>
    <w:p w:rsidR="00F2089C" w:rsidRDefault="00F2089C" w:rsidP="002E5409">
      <w:pPr>
        <w:pStyle w:val="ListParagraph"/>
        <w:ind w:left="0"/>
        <w:jc w:val="both"/>
      </w:pPr>
    </w:p>
    <w:p w:rsidR="00F2089C" w:rsidRDefault="00F2089C" w:rsidP="002E5409">
      <w:pPr>
        <w:pStyle w:val="ListParagraph"/>
        <w:ind w:left="0"/>
        <w:jc w:val="both"/>
      </w:pPr>
      <w:r w:rsidRPr="00E5054E">
        <w:t>Нетните приходи за продажби на ред „Продукция“ (код 15110) от приходната част на ОПР за 2019 г.)</w:t>
      </w:r>
      <w:r>
        <w:t xml:space="preserve"> – 1</w:t>
      </w:r>
      <w:r w:rsidR="002E5409">
        <w:rPr>
          <w:lang w:val="bg-BG"/>
        </w:rPr>
        <w:t>.</w:t>
      </w:r>
      <w:r>
        <w:t>200</w:t>
      </w:r>
      <w:r w:rsidR="002E5409">
        <w:rPr>
          <w:lang w:val="bg-BG"/>
        </w:rPr>
        <w:t>.</w:t>
      </w:r>
      <w:r>
        <w:t>000 лв.</w:t>
      </w:r>
    </w:p>
    <w:p w:rsidR="00F2089C" w:rsidRPr="001A609B" w:rsidRDefault="00F2089C" w:rsidP="002E5409">
      <w:pPr>
        <w:pStyle w:val="ListParagraph"/>
        <w:ind w:left="0"/>
        <w:jc w:val="both"/>
      </w:pPr>
      <w:r>
        <w:t>240</w:t>
      </w:r>
      <w:r w:rsidR="002E5409">
        <w:rPr>
          <w:lang w:val="bg-BG"/>
        </w:rPr>
        <w:t>.</w:t>
      </w:r>
      <w:r>
        <w:t xml:space="preserve">000 лв. са -20 % от </w:t>
      </w:r>
      <w:r w:rsidRPr="00E5054E">
        <w:t>Нетните приходи за продажби на ред „Продукция“ (код 15110) от при</w:t>
      </w:r>
      <w:r>
        <w:t>ходната част на ОПР за 2019 г.) и в този случай БФП, която ще получи кандидатът е 80</w:t>
      </w:r>
      <w:r w:rsidR="002E5409">
        <w:rPr>
          <w:lang w:val="bg-BG"/>
        </w:rPr>
        <w:t>.</w:t>
      </w:r>
      <w:r>
        <w:t>000 лв.</w:t>
      </w:r>
    </w:p>
    <w:p w:rsidR="00676824" w:rsidRPr="001B7102" w:rsidRDefault="00676824" w:rsidP="006A2B60">
      <w:pPr>
        <w:jc w:val="both"/>
        <w:rPr>
          <w:lang w:val="bg-BG"/>
        </w:rPr>
      </w:pPr>
    </w:p>
    <w:p w:rsidR="00021E5F" w:rsidRPr="001B7102" w:rsidRDefault="00021E5F" w:rsidP="006A2B60">
      <w:pPr>
        <w:pStyle w:val="Heading2"/>
        <w:jc w:val="both"/>
      </w:pPr>
      <w:r w:rsidRPr="001B7102">
        <w:t>Индикатори</w:t>
      </w:r>
    </w:p>
    <w:p w:rsidR="00676824" w:rsidRDefault="00021E5F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УО на ПМДР </w:t>
      </w:r>
      <w:r>
        <w:rPr>
          <w:lang w:val="bg-BG"/>
        </w:rPr>
        <w:t>извършва двустепенна ревизия на индикаторите, като за първата стъпка се изменят индикаторите на основание на последната</w:t>
      </w:r>
      <w:r w:rsidRPr="001B7102">
        <w:rPr>
          <w:lang w:val="bg-BG"/>
        </w:rPr>
        <w:t xml:space="preserve"> промяна на програмата през </w:t>
      </w:r>
      <w:r>
        <w:rPr>
          <w:lang w:val="bg-BG"/>
        </w:rPr>
        <w:t>2019 г.</w:t>
      </w:r>
    </w:p>
    <w:p w:rsidR="00CE40A8" w:rsidRPr="001B7102" w:rsidRDefault="00CE40A8" w:rsidP="006A2B60">
      <w:pPr>
        <w:jc w:val="both"/>
        <w:rPr>
          <w:lang w:val="bg-BG"/>
        </w:rPr>
      </w:pPr>
    </w:p>
    <w:p w:rsidR="002B04A5" w:rsidRDefault="00203ACD" w:rsidP="002B04A5">
      <w:pPr>
        <w:pStyle w:val="Heading1"/>
      </w:pPr>
      <w:r w:rsidRPr="002B04A5">
        <w:t>Мярка 5.4 Преработване на продуктите от риболов и аквакултури - чл. 69</w:t>
      </w:r>
      <w:r w:rsidR="002E5409" w:rsidRPr="002B04A5">
        <w:t>, пар 3</w:t>
      </w:r>
    </w:p>
    <w:p w:rsidR="00766CC5" w:rsidRPr="00766CC5" w:rsidRDefault="00766CC5" w:rsidP="00766CC5">
      <w:pPr>
        <w:rPr>
          <w:lang w:val="bg-BG"/>
        </w:rPr>
      </w:pPr>
    </w:p>
    <w:p w:rsidR="00994134" w:rsidRPr="002E6A3F" w:rsidRDefault="00994134" w:rsidP="002B04A5">
      <w:r w:rsidRPr="002E6A3F">
        <w:t>По официални данни от регистър</w:t>
      </w:r>
      <w:r>
        <w:t>a</w:t>
      </w:r>
      <w:r w:rsidRPr="002E6A3F">
        <w:t xml:space="preserve"> на БАБХ рибопреработвателите предприятия са около 60 бр., от които предприятия със собствени ферми през 2019 са около 19 броя</w:t>
      </w:r>
      <w:r>
        <w:t>.</w:t>
      </w:r>
    </w:p>
    <w:p w:rsidR="000C64A3" w:rsidRPr="001B7102" w:rsidRDefault="000C64A3" w:rsidP="006A2B60">
      <w:pPr>
        <w:jc w:val="both"/>
        <w:rPr>
          <w:lang w:val="bg-BG"/>
        </w:rPr>
      </w:pPr>
    </w:p>
    <w:p w:rsidR="00203ACD" w:rsidRPr="001B7102" w:rsidRDefault="00203ACD" w:rsidP="006A2B60">
      <w:pPr>
        <w:pStyle w:val="Heading2"/>
        <w:jc w:val="both"/>
      </w:pPr>
      <w:r w:rsidRPr="001B7102">
        <w:t>Бюджетен ресурс</w:t>
      </w:r>
    </w:p>
    <w:p w:rsidR="00FA02AA" w:rsidRPr="002F0175" w:rsidRDefault="00203ACD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Мярка 5.4 е действаща. Поради разширяването на обхвата </w:t>
      </w:r>
      <w:r w:rsidR="00A57C9E">
        <w:rPr>
          <w:lang w:val="bg-BG"/>
        </w:rPr>
        <w:t>ѝ</w:t>
      </w:r>
      <w:r w:rsidR="00A57C9E" w:rsidRPr="001B7102">
        <w:rPr>
          <w:lang w:val="bg-BG"/>
        </w:rPr>
        <w:t xml:space="preserve"> </w:t>
      </w:r>
      <w:r w:rsidRPr="001B7102">
        <w:rPr>
          <w:lang w:val="bg-BG"/>
        </w:rPr>
        <w:t>е необходимо и увеличение на наличните финансови ресурси. Към настоящия бюджет от 7</w:t>
      </w:r>
      <w:r w:rsidR="00432BE4" w:rsidRPr="001B7102">
        <w:rPr>
          <w:lang w:val="bg-BG"/>
        </w:rPr>
        <w:t>.</w:t>
      </w:r>
      <w:r w:rsidRPr="001B7102">
        <w:rPr>
          <w:lang w:val="bg-BG"/>
        </w:rPr>
        <w:t>719</w:t>
      </w:r>
      <w:r w:rsidR="00432BE4" w:rsidRPr="001B7102">
        <w:rPr>
          <w:lang w:val="bg-BG"/>
        </w:rPr>
        <w:t>.</w:t>
      </w:r>
      <w:r w:rsidRPr="001B7102">
        <w:rPr>
          <w:lang w:val="bg-BG"/>
        </w:rPr>
        <w:t xml:space="preserve">750,00 евро ЕФМДР се </w:t>
      </w:r>
      <w:r w:rsidRPr="001B7102">
        <w:rPr>
          <w:lang w:val="bg-BG"/>
        </w:rPr>
        <w:lastRenderedPageBreak/>
        <w:t xml:space="preserve">добавят допълнително още </w:t>
      </w:r>
      <w:r w:rsidR="005151F9" w:rsidRPr="005151F9">
        <w:rPr>
          <w:lang w:val="bg-BG"/>
        </w:rPr>
        <w:t>1</w:t>
      </w:r>
      <w:r w:rsidR="002E5409">
        <w:rPr>
          <w:lang w:val="bg-BG"/>
        </w:rPr>
        <w:t>.</w:t>
      </w:r>
      <w:r w:rsidR="005151F9" w:rsidRPr="005151F9">
        <w:rPr>
          <w:lang w:val="bg-BG"/>
        </w:rPr>
        <w:t>835</w:t>
      </w:r>
      <w:r w:rsidR="002E5409">
        <w:rPr>
          <w:lang w:val="bg-BG"/>
        </w:rPr>
        <w:t>.</w:t>
      </w:r>
      <w:r w:rsidR="005151F9" w:rsidRPr="005151F9">
        <w:rPr>
          <w:lang w:val="bg-BG"/>
        </w:rPr>
        <w:t>166,64</w:t>
      </w:r>
      <w:r w:rsidRPr="001B7102">
        <w:rPr>
          <w:lang w:val="bg-BG"/>
        </w:rPr>
        <w:t xml:space="preserve"> евро. Така общата сума по</w:t>
      </w:r>
      <w:r w:rsidR="005151F9">
        <w:rPr>
          <w:lang w:val="bg-BG"/>
        </w:rPr>
        <w:t xml:space="preserve"> мярката се увеличава</w:t>
      </w:r>
      <w:r w:rsidRPr="001B7102">
        <w:rPr>
          <w:lang w:val="bg-BG"/>
        </w:rPr>
        <w:t xml:space="preserve"> на </w:t>
      </w:r>
      <w:r w:rsidR="005151F9">
        <w:rPr>
          <w:lang w:val="bg-BG"/>
        </w:rPr>
        <w:t>9</w:t>
      </w:r>
      <w:r w:rsidR="002E5409">
        <w:rPr>
          <w:lang w:val="bg-BG"/>
        </w:rPr>
        <w:t>.</w:t>
      </w:r>
      <w:r w:rsidR="005151F9">
        <w:rPr>
          <w:lang w:val="bg-BG"/>
        </w:rPr>
        <w:t>554</w:t>
      </w:r>
      <w:r w:rsidR="002E5409">
        <w:rPr>
          <w:lang w:val="bg-BG"/>
        </w:rPr>
        <w:t>.</w:t>
      </w:r>
      <w:r w:rsidR="005151F9">
        <w:rPr>
          <w:lang w:val="bg-BG"/>
        </w:rPr>
        <w:t>916,64</w:t>
      </w:r>
      <w:r w:rsidRPr="001B7102">
        <w:rPr>
          <w:lang w:val="bg-BG"/>
        </w:rPr>
        <w:t xml:space="preserve"> евро ЕФМДР.</w:t>
      </w:r>
      <w:r w:rsidR="002F0175">
        <w:t xml:space="preserve"> </w:t>
      </w:r>
      <w:r w:rsidR="00DA612D">
        <w:rPr>
          <w:lang w:val="bg-BG"/>
        </w:rPr>
        <w:t xml:space="preserve">Общата стойност на </w:t>
      </w:r>
      <w:r w:rsidR="002F0175">
        <w:rPr>
          <w:lang w:val="bg-BG"/>
        </w:rPr>
        <w:t xml:space="preserve">процедурата свързана с предоставяне на помощ във връзка преодоляване щетите от </w:t>
      </w:r>
      <w:r w:rsidR="002F0175">
        <w:t>COVID 19</w:t>
      </w:r>
      <w:r w:rsidR="002F0175">
        <w:rPr>
          <w:lang w:val="bg-BG"/>
        </w:rPr>
        <w:t xml:space="preserve"> е в размер  на </w:t>
      </w:r>
      <w:r w:rsidR="002F0175" w:rsidRPr="005151F9">
        <w:rPr>
          <w:lang w:val="bg-BG"/>
        </w:rPr>
        <w:t>1</w:t>
      </w:r>
      <w:r w:rsidR="002E5409">
        <w:rPr>
          <w:lang w:val="bg-BG"/>
        </w:rPr>
        <w:t>.</w:t>
      </w:r>
      <w:r w:rsidR="002F0175" w:rsidRPr="005151F9">
        <w:rPr>
          <w:lang w:val="bg-BG"/>
        </w:rPr>
        <w:t>835</w:t>
      </w:r>
      <w:r w:rsidR="0033792F">
        <w:rPr>
          <w:lang w:val="bg-BG"/>
        </w:rPr>
        <w:t>.</w:t>
      </w:r>
      <w:r w:rsidR="002F0175" w:rsidRPr="005151F9">
        <w:rPr>
          <w:lang w:val="bg-BG"/>
        </w:rPr>
        <w:t>166,64</w:t>
      </w:r>
      <w:r w:rsidR="002F0175" w:rsidRPr="001B7102">
        <w:rPr>
          <w:lang w:val="bg-BG"/>
        </w:rPr>
        <w:t xml:space="preserve"> евро</w:t>
      </w:r>
      <w:r w:rsidR="002F0175">
        <w:rPr>
          <w:lang w:val="bg-BG"/>
        </w:rPr>
        <w:t xml:space="preserve"> ЕФМДР или 4,7 млн. лева БФП.</w:t>
      </w:r>
    </w:p>
    <w:p w:rsidR="002810B4" w:rsidRPr="001B7102" w:rsidRDefault="002810B4" w:rsidP="006A2B60">
      <w:pPr>
        <w:jc w:val="both"/>
        <w:rPr>
          <w:lang w:val="bg-BG"/>
        </w:rPr>
      </w:pPr>
    </w:p>
    <w:p w:rsidR="00203ACD" w:rsidRPr="001B7102" w:rsidRDefault="00203ACD" w:rsidP="006A2B60">
      <w:pPr>
        <w:jc w:val="both"/>
        <w:rPr>
          <w:lang w:val="bg-BG"/>
        </w:rPr>
      </w:pPr>
      <w:r w:rsidRPr="001B7102">
        <w:rPr>
          <w:lang w:val="bg-BG"/>
        </w:rPr>
        <w:t>Минималният размер на заявената БФП за проектите ще е 2</w:t>
      </w:r>
      <w:r w:rsidR="00C15BD6" w:rsidRPr="001B7102">
        <w:rPr>
          <w:lang w:val="bg-BG"/>
        </w:rPr>
        <w:t>.</w:t>
      </w:r>
      <w:r w:rsidRPr="001B7102">
        <w:rPr>
          <w:lang w:val="bg-BG"/>
        </w:rPr>
        <w:t xml:space="preserve">000 лева, а максималният размер </w:t>
      </w:r>
      <w:r w:rsidR="00C15BD6" w:rsidRPr="001B7102">
        <w:rPr>
          <w:lang w:val="bg-BG"/>
        </w:rPr>
        <w:t>8</w:t>
      </w:r>
      <w:r w:rsidRPr="001B7102">
        <w:rPr>
          <w:lang w:val="bg-BG"/>
        </w:rPr>
        <w:t>0</w:t>
      </w:r>
      <w:r w:rsidR="00C15BD6" w:rsidRPr="001B7102">
        <w:rPr>
          <w:lang w:val="bg-BG"/>
        </w:rPr>
        <w:t>.</w:t>
      </w:r>
      <w:r w:rsidRPr="001B7102">
        <w:rPr>
          <w:lang w:val="bg-BG"/>
        </w:rPr>
        <w:t>000 лева.</w:t>
      </w:r>
    </w:p>
    <w:p w:rsidR="00203ACD" w:rsidRPr="001B7102" w:rsidRDefault="00203ACD" w:rsidP="006A2B60">
      <w:pPr>
        <w:jc w:val="both"/>
        <w:rPr>
          <w:lang w:val="bg-BG"/>
        </w:rPr>
      </w:pPr>
    </w:p>
    <w:p w:rsidR="00BA4953" w:rsidRPr="001B7102" w:rsidRDefault="00BA4953" w:rsidP="006A2B60">
      <w:pPr>
        <w:pStyle w:val="Heading2"/>
        <w:jc w:val="both"/>
      </w:pPr>
      <w:r w:rsidRPr="001B7102">
        <w:t>Компенсации на собствениците на ферми с преработвателно предприятие</w:t>
      </w:r>
    </w:p>
    <w:p w:rsidR="00BA4953" w:rsidRPr="001B7102" w:rsidRDefault="00BA4953" w:rsidP="006A2B60">
      <w:pPr>
        <w:pStyle w:val="ListParagraph"/>
        <w:ind w:left="0"/>
        <w:jc w:val="both"/>
        <w:rPr>
          <w:lang w:val="bg-BG"/>
        </w:rPr>
      </w:pPr>
      <w:r w:rsidRPr="001B7102">
        <w:rPr>
          <w:lang w:val="bg-BG"/>
        </w:rPr>
        <w:t xml:space="preserve">Допустими ще са кандидати, които са регистрирали спад в приходния оборот </w:t>
      </w:r>
      <w:r w:rsidR="00286A0F">
        <w:rPr>
          <w:lang w:val="bg-BG"/>
        </w:rPr>
        <w:t xml:space="preserve">от </w:t>
      </w:r>
      <w:r w:rsidRPr="001B7102">
        <w:rPr>
          <w:lang w:val="bg-BG"/>
        </w:rPr>
        <w:t xml:space="preserve">поне 20 %  на месец спрямо средно аритметичния оборот през 2019 г. </w:t>
      </w:r>
      <w:r w:rsidR="001A52AF">
        <w:rPr>
          <w:lang w:val="bg-BG"/>
        </w:rPr>
        <w:t xml:space="preserve">или </w:t>
      </w:r>
      <w:r w:rsidR="001A52AF" w:rsidRPr="001A52AF">
        <w:rPr>
          <w:lang w:val="bg-BG"/>
        </w:rPr>
        <w:t xml:space="preserve">средноаритметичния оборот от 2019, 2018 и 2017 г.  </w:t>
      </w:r>
    </w:p>
    <w:p w:rsidR="00C1249A" w:rsidRPr="001B7102" w:rsidRDefault="00C1249A" w:rsidP="006A2B60">
      <w:pPr>
        <w:pStyle w:val="ListParagraph"/>
        <w:ind w:left="0"/>
        <w:jc w:val="both"/>
        <w:rPr>
          <w:lang w:val="bg-BG"/>
        </w:rPr>
      </w:pPr>
    </w:p>
    <w:p w:rsidR="00BA4953" w:rsidRPr="001B7102" w:rsidRDefault="00BA4953" w:rsidP="006A2B60">
      <w:pPr>
        <w:pStyle w:val="ListParagraph"/>
        <w:ind w:left="0"/>
        <w:jc w:val="both"/>
        <w:rPr>
          <w:rFonts w:eastAsiaTheme="minorEastAsia"/>
          <w:lang w:val="bg-BG"/>
        </w:rPr>
      </w:pPr>
      <w:r w:rsidRPr="001B7102">
        <w:rPr>
          <w:lang w:val="bg-BG" w:eastAsia="bg-BG"/>
        </w:rPr>
        <w:t xml:space="preserve">Допустими ще са разходи, необходими за преодоляване на недостига на средства, настъпили в резултат от епидемичния взрив от COVID-19 (разходи за съхранение, разходи за заплати, разходи за суровини, разходи за логистични услуги и подобни свързани с оборотния капитал). </w:t>
      </w:r>
      <w:r w:rsidRPr="001B7102">
        <w:rPr>
          <w:lang w:val="bg-BG"/>
        </w:rPr>
        <w:t xml:space="preserve">Заявената безвъзмездна финансова помощ не може да надвишава </w:t>
      </w:r>
      <w:r w:rsidR="005151F9">
        <w:rPr>
          <w:lang w:val="bg-BG"/>
        </w:rPr>
        <w:t>2</w:t>
      </w:r>
      <w:r w:rsidRPr="001B7102">
        <w:rPr>
          <w:lang w:val="bg-BG"/>
        </w:rPr>
        <w:t>0% от нетните приходи за продажби за 2019 г.</w:t>
      </w:r>
    </w:p>
    <w:p w:rsidR="00BA4953" w:rsidRPr="001B7102" w:rsidRDefault="00BA4953" w:rsidP="006A2B60">
      <w:pPr>
        <w:pStyle w:val="ListParagraph"/>
        <w:ind w:left="0" w:hanging="11"/>
        <w:jc w:val="both"/>
        <w:rPr>
          <w:rFonts w:eastAsiaTheme="minorEastAsia"/>
          <w:lang w:val="bg-BG"/>
        </w:rPr>
      </w:pPr>
    </w:p>
    <w:p w:rsidR="00C1249A" w:rsidRPr="001B7102" w:rsidRDefault="00BA4953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Допустими ще са дейности </w:t>
      </w:r>
      <w:r w:rsidRPr="001B7102">
        <w:rPr>
          <w:lang w:val="bg-BG" w:eastAsia="bg-BG"/>
        </w:rPr>
        <w:t xml:space="preserve">направени </w:t>
      </w:r>
      <w:r w:rsidRPr="001B7102">
        <w:rPr>
          <w:lang w:val="bg-BG"/>
        </w:rPr>
        <w:t xml:space="preserve">след </w:t>
      </w:r>
      <w:r w:rsidRPr="002B04A5">
        <w:rPr>
          <w:lang w:val="bg-BG"/>
        </w:rPr>
        <w:t>13.03.2020 г., независимо</w:t>
      </w:r>
      <w:r w:rsidRPr="00DA612D">
        <w:rPr>
          <w:lang w:val="bg-BG"/>
        </w:rPr>
        <w:t xml:space="preserve"> дали всички свързани плащания са извършени. Макар Регламент 2020/560 да позволява разходи</w:t>
      </w:r>
      <w:r w:rsidRPr="001B7102">
        <w:rPr>
          <w:lang w:val="bg-BG"/>
        </w:rPr>
        <w:t>, направени от 01.02.2020, българското законодателство посочва 13.03.2020 г. като първа възможна дата.</w:t>
      </w:r>
    </w:p>
    <w:p w:rsidR="00C1249A" w:rsidRPr="001B7102" w:rsidRDefault="00C1249A" w:rsidP="006A2B60">
      <w:pPr>
        <w:jc w:val="both"/>
        <w:rPr>
          <w:lang w:val="bg-BG"/>
        </w:rPr>
      </w:pPr>
    </w:p>
    <w:p w:rsidR="00BA4953" w:rsidRDefault="00BA4953" w:rsidP="006A2B60">
      <w:pPr>
        <w:pStyle w:val="ListParagraph"/>
        <w:ind w:left="0"/>
        <w:jc w:val="both"/>
        <w:rPr>
          <w:lang w:val="bg-BG"/>
        </w:rPr>
      </w:pPr>
      <w:r w:rsidRPr="001B7102">
        <w:rPr>
          <w:lang w:val="bg-BG"/>
        </w:rPr>
        <w:t>Продължителността на изпълнение на всеки проект не следва да надвишава 4 (четири) месеца.</w:t>
      </w:r>
    </w:p>
    <w:p w:rsidR="003A3518" w:rsidRPr="001B7102" w:rsidRDefault="003A3518" w:rsidP="006A2B60">
      <w:pPr>
        <w:pStyle w:val="ListParagraph"/>
        <w:ind w:left="0"/>
        <w:jc w:val="both"/>
        <w:rPr>
          <w:rFonts w:eastAsiaTheme="minorEastAsia"/>
          <w:lang w:val="bg-BG"/>
        </w:rPr>
      </w:pPr>
    </w:p>
    <w:p w:rsidR="00F2089C" w:rsidRDefault="00F2089C" w:rsidP="002B04A5">
      <w:pPr>
        <w:pStyle w:val="ListParagraph"/>
        <w:ind w:left="0"/>
        <w:jc w:val="both"/>
      </w:pPr>
      <w:r>
        <w:t>По процедурите няма да има критерии за подбор – „Техническа и финансова оценка”, помощта е предназначена за всички допустими оператори и до изчерпване на бюджета ще се прилага принципът „Първи по ред, първи по право”.</w:t>
      </w:r>
    </w:p>
    <w:p w:rsidR="00203ACD" w:rsidRDefault="00203ACD" w:rsidP="006A2B60">
      <w:pPr>
        <w:jc w:val="both"/>
        <w:rPr>
          <w:lang w:val="bg-BG"/>
        </w:rPr>
      </w:pPr>
    </w:p>
    <w:p w:rsidR="00C706CD" w:rsidRDefault="00C706CD" w:rsidP="00C706CD">
      <w:pPr>
        <w:pStyle w:val="ListParagraph"/>
        <w:ind w:left="0"/>
        <w:jc w:val="both"/>
      </w:pPr>
      <w:r w:rsidRPr="00E67AAD">
        <w:rPr>
          <w:b/>
          <w:u w:val="single"/>
        </w:rPr>
        <w:t>Пример</w:t>
      </w:r>
      <w:r>
        <w:t xml:space="preserve">: </w:t>
      </w:r>
      <w:r w:rsidRPr="00E5054E">
        <w:t>Нетните приходи за продажби на ред „Продукция“ (код 15110) от приходната част на ОПР за 2019 г.)</w:t>
      </w:r>
      <w:r>
        <w:t xml:space="preserve"> – 120</w:t>
      </w:r>
      <w:r>
        <w:rPr>
          <w:lang w:val="bg-BG"/>
        </w:rPr>
        <w:t>.</w:t>
      </w:r>
      <w:r>
        <w:t>000 лв.,</w:t>
      </w:r>
    </w:p>
    <w:p w:rsidR="00C706CD" w:rsidRDefault="00C706CD" w:rsidP="00C706CD">
      <w:pPr>
        <w:pStyle w:val="ListParagraph"/>
        <w:ind w:left="0"/>
        <w:jc w:val="both"/>
      </w:pPr>
      <w:r>
        <w:t>24</w:t>
      </w:r>
      <w:r>
        <w:rPr>
          <w:lang w:val="bg-BG"/>
        </w:rPr>
        <w:t>.</w:t>
      </w:r>
      <w:r>
        <w:t xml:space="preserve">000 лв. са -20 % от </w:t>
      </w:r>
      <w:r w:rsidRPr="00E5054E">
        <w:t>Нетните приходи за продажби на ред „Продукция“ (код 15110) от при</w:t>
      </w:r>
      <w:r>
        <w:t>ходната част на ОПР за 2019 г.) и това е БФП, която ще получи.</w:t>
      </w:r>
    </w:p>
    <w:p w:rsidR="00C706CD" w:rsidRDefault="00C706CD" w:rsidP="00C706CD">
      <w:pPr>
        <w:pStyle w:val="ListParagraph"/>
        <w:ind w:left="0"/>
        <w:jc w:val="both"/>
      </w:pPr>
    </w:p>
    <w:p w:rsidR="00C706CD" w:rsidRDefault="00C706CD" w:rsidP="00C706CD">
      <w:pPr>
        <w:pStyle w:val="ListParagraph"/>
        <w:ind w:left="0"/>
        <w:jc w:val="both"/>
      </w:pPr>
      <w:r w:rsidRPr="00E5054E">
        <w:t>Нетните приходи за продажби на ред „Продукция“ (код 15110) от приходната част на ОПР за 2019 г.)</w:t>
      </w:r>
      <w:r>
        <w:t xml:space="preserve"> – 1</w:t>
      </w:r>
      <w:r>
        <w:rPr>
          <w:lang w:val="bg-BG"/>
        </w:rPr>
        <w:t>.</w:t>
      </w:r>
      <w:r>
        <w:t>200</w:t>
      </w:r>
      <w:r>
        <w:rPr>
          <w:lang w:val="bg-BG"/>
        </w:rPr>
        <w:t>.</w:t>
      </w:r>
      <w:r>
        <w:t>000 лв.</w:t>
      </w:r>
    </w:p>
    <w:p w:rsidR="00C706CD" w:rsidRPr="001A609B" w:rsidRDefault="00C706CD" w:rsidP="00C706CD">
      <w:pPr>
        <w:pStyle w:val="ListParagraph"/>
        <w:ind w:left="0"/>
        <w:jc w:val="both"/>
      </w:pPr>
      <w:r>
        <w:t>240</w:t>
      </w:r>
      <w:r>
        <w:rPr>
          <w:lang w:val="bg-BG"/>
        </w:rPr>
        <w:t>.</w:t>
      </w:r>
      <w:r>
        <w:t xml:space="preserve">000 лв. са -20 % от </w:t>
      </w:r>
      <w:r w:rsidRPr="00E5054E">
        <w:t>Нетните приходи за продажби на ред „Продукция“ (код 15110) от при</w:t>
      </w:r>
      <w:r>
        <w:t>ходната част на ОПР за 2019 г.) и в този случай БФП, която ще получи кандидатът е 80</w:t>
      </w:r>
      <w:r>
        <w:rPr>
          <w:lang w:val="bg-BG"/>
        </w:rPr>
        <w:t>.</w:t>
      </w:r>
      <w:r>
        <w:t>000 лв.</w:t>
      </w:r>
    </w:p>
    <w:p w:rsidR="00C706CD" w:rsidRPr="001B7102" w:rsidRDefault="00C706CD" w:rsidP="006A2B60">
      <w:pPr>
        <w:jc w:val="both"/>
        <w:rPr>
          <w:lang w:val="bg-BG"/>
        </w:rPr>
      </w:pPr>
    </w:p>
    <w:p w:rsidR="00203ACD" w:rsidRPr="001B7102" w:rsidRDefault="00203ACD" w:rsidP="006A2B60">
      <w:pPr>
        <w:pStyle w:val="Heading2"/>
        <w:jc w:val="both"/>
      </w:pPr>
      <w:r w:rsidRPr="001B7102">
        <w:t>Индикатори</w:t>
      </w:r>
    </w:p>
    <w:p w:rsidR="00203ACD" w:rsidRDefault="005151F9" w:rsidP="006A2B60">
      <w:pPr>
        <w:jc w:val="both"/>
        <w:rPr>
          <w:lang w:val="bg-BG"/>
        </w:rPr>
      </w:pPr>
      <w:r>
        <w:rPr>
          <w:lang w:val="bg-BG"/>
        </w:rPr>
        <w:t>Индикаторите на мярката ще се променят двустепенно. При второто изменение, индикаторите ще се увеличат пропорционално на увеличението на бюджета й.</w:t>
      </w:r>
    </w:p>
    <w:p w:rsidR="00CE40A8" w:rsidRDefault="00CE40A8" w:rsidP="006A2B60">
      <w:pPr>
        <w:jc w:val="both"/>
        <w:rPr>
          <w:lang w:val="bg-BG"/>
        </w:rPr>
      </w:pPr>
    </w:p>
    <w:p w:rsidR="00CE40A8" w:rsidRDefault="00CE40A8" w:rsidP="006A2B60">
      <w:pPr>
        <w:jc w:val="both"/>
        <w:rPr>
          <w:lang w:val="bg-BG"/>
        </w:rPr>
      </w:pPr>
    </w:p>
    <w:p w:rsidR="00CE40A8" w:rsidRPr="001B7102" w:rsidRDefault="00CE40A8" w:rsidP="006A2B60">
      <w:pPr>
        <w:jc w:val="both"/>
        <w:rPr>
          <w:lang w:val="bg-BG"/>
        </w:rPr>
      </w:pPr>
    </w:p>
    <w:p w:rsidR="005806FA" w:rsidRPr="001B7102" w:rsidRDefault="005806FA" w:rsidP="006A2B60">
      <w:pPr>
        <w:jc w:val="both"/>
        <w:rPr>
          <w:lang w:val="bg-BG"/>
        </w:rPr>
      </w:pPr>
    </w:p>
    <w:p w:rsidR="00313934" w:rsidRDefault="00313934" w:rsidP="006A2B60">
      <w:pPr>
        <w:pStyle w:val="Heading1"/>
        <w:jc w:val="both"/>
      </w:pPr>
      <w:r w:rsidRPr="001B7102">
        <w:lastRenderedPageBreak/>
        <w:t xml:space="preserve">Пренасочване на бюджетите </w:t>
      </w:r>
      <w:r w:rsidR="00B159F6" w:rsidRPr="001B7102">
        <w:t>за осигуряване на ресурс за справяне с икономическите последици от избухването на COVID-19</w:t>
      </w:r>
    </w:p>
    <w:p w:rsidR="00766CC5" w:rsidRPr="00766CC5" w:rsidRDefault="00766CC5" w:rsidP="00766CC5">
      <w:pPr>
        <w:rPr>
          <w:lang w:val="bg-BG"/>
        </w:rPr>
      </w:pPr>
    </w:p>
    <w:p w:rsidR="00D939D1" w:rsidRDefault="00B159F6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За да осигури необходимите финансови средства за мерките срещу икономическите последици от избухването на COVID-19, УО на ПМДР </w:t>
      </w:r>
      <w:r w:rsidR="00D939D1" w:rsidRPr="001B7102">
        <w:rPr>
          <w:lang w:val="bg-BG"/>
        </w:rPr>
        <w:t xml:space="preserve">пренасочва бюджет от първи, втори и </w:t>
      </w:r>
      <w:r w:rsidR="00FF4577">
        <w:rPr>
          <w:lang w:val="bg-BG"/>
        </w:rPr>
        <w:t>четвърти</w:t>
      </w:r>
      <w:r w:rsidR="00FF4577" w:rsidRPr="001B7102">
        <w:rPr>
          <w:lang w:val="bg-BG"/>
        </w:rPr>
        <w:t xml:space="preserve"> </w:t>
      </w:r>
      <w:r w:rsidR="00D939D1" w:rsidRPr="001B7102">
        <w:rPr>
          <w:lang w:val="bg-BG"/>
        </w:rPr>
        <w:t xml:space="preserve">приоритет. </w:t>
      </w:r>
    </w:p>
    <w:p w:rsidR="007B58B0" w:rsidRPr="001B7102" w:rsidRDefault="007B58B0" w:rsidP="006A2B60">
      <w:pPr>
        <w:jc w:val="both"/>
        <w:rPr>
          <w:lang w:val="bg-BG"/>
        </w:rPr>
      </w:pPr>
    </w:p>
    <w:p w:rsidR="00D939D1" w:rsidRPr="001B7102" w:rsidRDefault="00D939D1" w:rsidP="006A2B60">
      <w:pPr>
        <w:pStyle w:val="Heading2"/>
        <w:jc w:val="both"/>
      </w:pPr>
      <w:r w:rsidRPr="001B7102">
        <w:t>Приоритет на съюза 1</w:t>
      </w:r>
    </w:p>
    <w:p w:rsidR="006C58B4" w:rsidRPr="006C58B4" w:rsidRDefault="00D939D1" w:rsidP="006A2B60">
      <w:pPr>
        <w:spacing w:after="200"/>
        <w:jc w:val="both"/>
        <w:rPr>
          <w:lang w:val="bg-BG"/>
        </w:rPr>
      </w:pPr>
      <w:r w:rsidRPr="001B7102">
        <w:rPr>
          <w:lang w:val="bg-BG"/>
        </w:rPr>
        <w:t xml:space="preserve">В </w:t>
      </w:r>
      <w:r w:rsidR="007B58B0">
        <w:rPr>
          <w:lang w:val="bg-BG"/>
        </w:rPr>
        <w:t>ПС</w:t>
      </w:r>
      <w:r w:rsidRPr="001B7102">
        <w:rPr>
          <w:lang w:val="bg-BG"/>
        </w:rPr>
        <w:t xml:space="preserve"> 1</w:t>
      </w:r>
      <w:r w:rsidR="005151F9">
        <w:rPr>
          <w:lang w:val="bg-BG"/>
        </w:rPr>
        <w:t xml:space="preserve"> са намалени бюджетите на мерки 1.2</w:t>
      </w:r>
      <w:r w:rsidR="00FF4577">
        <w:rPr>
          <w:lang w:val="bg-BG"/>
        </w:rPr>
        <w:t xml:space="preserve"> „</w:t>
      </w:r>
      <w:r w:rsidR="00FF4577" w:rsidRPr="00FF4577">
        <w:rPr>
          <w:lang w:val="bg-BG"/>
        </w:rPr>
        <w:t>Здраве и безопасност</w:t>
      </w:r>
      <w:r w:rsidR="00FF4577">
        <w:rPr>
          <w:lang w:val="bg-BG"/>
        </w:rPr>
        <w:t>”</w:t>
      </w:r>
      <w:r w:rsidR="006C58B4">
        <w:rPr>
          <w:lang w:val="bg-BG"/>
        </w:rPr>
        <w:t xml:space="preserve">, 1.4 </w:t>
      </w:r>
      <w:r w:rsidR="00FF4577">
        <w:rPr>
          <w:lang w:val="bg-BG"/>
        </w:rPr>
        <w:t>„</w:t>
      </w:r>
      <w:r w:rsidR="00FF4577" w:rsidRPr="00FF4577">
        <w:rPr>
          <w:lang w:val="bg-BG"/>
        </w:rPr>
        <w:t>Ограничаване на въздействието на риболова върху морската среда и приспособяване на риболова към опазването на видовете</w:t>
      </w:r>
      <w:r w:rsidR="00FF4577">
        <w:rPr>
          <w:lang w:val="bg-BG"/>
        </w:rPr>
        <w:t>”</w:t>
      </w:r>
      <w:r w:rsidR="00FF4577" w:rsidRPr="00FF4577">
        <w:rPr>
          <w:lang w:val="bg-BG"/>
        </w:rPr>
        <w:t xml:space="preserve"> </w:t>
      </w:r>
      <w:r w:rsidR="006C58B4">
        <w:rPr>
          <w:lang w:val="bg-BG"/>
        </w:rPr>
        <w:t>и 1.5</w:t>
      </w:r>
      <w:r w:rsidR="00FF4577">
        <w:rPr>
          <w:lang w:val="bg-BG"/>
        </w:rPr>
        <w:t xml:space="preserve"> „</w:t>
      </w:r>
      <w:r w:rsidR="00FF4577" w:rsidRPr="00FF4577">
        <w:rPr>
          <w:lang w:val="bg-BG"/>
        </w:rPr>
        <w:t>Иновации, свързани с опазването на морските биологични ресурси</w:t>
      </w:r>
      <w:r w:rsidR="00FF4577">
        <w:rPr>
          <w:lang w:val="bg-BG"/>
        </w:rPr>
        <w:t>”</w:t>
      </w:r>
      <w:r w:rsidR="006C58B4">
        <w:rPr>
          <w:lang w:val="bg-BG"/>
        </w:rPr>
        <w:t>, за да се пренасочат</w:t>
      </w:r>
      <w:r w:rsidR="005151F9">
        <w:rPr>
          <w:lang w:val="bg-BG"/>
        </w:rPr>
        <w:t xml:space="preserve"> ресурси </w:t>
      </w:r>
      <w:r w:rsidR="00FF4577">
        <w:rPr>
          <w:lang w:val="bg-BG"/>
        </w:rPr>
        <w:t xml:space="preserve">за </w:t>
      </w:r>
      <w:r w:rsidR="005151F9">
        <w:rPr>
          <w:lang w:val="bg-BG"/>
        </w:rPr>
        <w:t xml:space="preserve">смекчаване на последиците от </w:t>
      </w:r>
      <w:r w:rsidR="005151F9">
        <w:t xml:space="preserve">COVID-19 </w:t>
      </w:r>
      <w:r w:rsidR="005151F9">
        <w:rPr>
          <w:lang w:val="bg-BG"/>
        </w:rPr>
        <w:t xml:space="preserve">пандемията. </w:t>
      </w:r>
      <w:r w:rsidR="006C58B4">
        <w:rPr>
          <w:lang w:val="bg-BG"/>
        </w:rPr>
        <w:t xml:space="preserve">УО на ПМДР избира посочените мерки, поради изразеният от бранша нисък интерес към тях. </w:t>
      </w:r>
      <w:r w:rsidR="006C58B4" w:rsidRPr="006C58B4">
        <w:rPr>
          <w:lang w:val="bg-BG"/>
        </w:rPr>
        <w:t>Този нисък интерес от потенциалните бенефициенти се дължи на нерентабилността на риболовната дейност,  невъзможност да се осигурят н</w:t>
      </w:r>
      <w:r w:rsidR="006C58B4">
        <w:rPr>
          <w:lang w:val="bg-BG"/>
        </w:rPr>
        <w:t>ужните средства за самоучастие,</w:t>
      </w:r>
      <w:r w:rsidR="006C58B4" w:rsidRPr="006C58B4">
        <w:rPr>
          <w:lang w:val="bg-BG"/>
        </w:rPr>
        <w:t xml:space="preserve"> ниско ниво на административна готовност да се използва ИСУН,  липса на изградена достатъчно надеждна пристанищна и обслужваща инфраструктура,  намаляващ интерес к</w:t>
      </w:r>
      <w:r w:rsidR="006C58B4">
        <w:rPr>
          <w:lang w:val="bg-BG"/>
        </w:rPr>
        <w:t>ъм риболовни дейности като цяло</w:t>
      </w:r>
      <w:r w:rsidR="006C58B4" w:rsidRPr="006C58B4">
        <w:rPr>
          <w:lang w:val="bg-BG"/>
        </w:rPr>
        <w:t xml:space="preserve">. </w:t>
      </w:r>
    </w:p>
    <w:p w:rsidR="006C58B4" w:rsidRPr="006C58B4" w:rsidRDefault="006C58B4" w:rsidP="006A2B60">
      <w:pPr>
        <w:spacing w:after="200"/>
        <w:jc w:val="both"/>
        <w:rPr>
          <w:lang w:val="bg-BG"/>
        </w:rPr>
      </w:pPr>
      <w:r w:rsidRPr="006C58B4">
        <w:rPr>
          <w:lang w:val="bg-BG"/>
        </w:rPr>
        <w:t xml:space="preserve">УО направи всичко възможно за да подобри интереса към мерките през досегашния програмен период, а именно УО: </w:t>
      </w:r>
    </w:p>
    <w:p w:rsidR="006C58B4" w:rsidRP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поддържа пряк контакт с представители на бранша, както на Комитетите по наблюдение, така и в процеса на работа по изпъл</w:t>
      </w:r>
      <w:r>
        <w:rPr>
          <w:lang w:val="bg-BG"/>
        </w:rPr>
        <w:t>н</w:t>
      </w:r>
      <w:r w:rsidRPr="006C58B4">
        <w:rPr>
          <w:lang w:val="bg-BG"/>
        </w:rPr>
        <w:t>ение на ПМДР с цел подобряване на интереса към мерките като цяло и идентифициране на причините за ниския интерес и мерките с най-голям интерес;</w:t>
      </w:r>
    </w:p>
    <w:p w:rsidR="006C58B4" w:rsidRP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проведе общо 10 информационни мероприятия в Бургас, Варна, Балчик, Поморие, Царево, Шабла и Несебър;</w:t>
      </w:r>
    </w:p>
    <w:p w:rsidR="006C58B4" w:rsidRP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в Условията за кандидатстване по всяка процедура има ръководство за работа в ИСУН, както и в ИСУН са налични ръководства за всички стъпки, които касаят кандидатите и бенефициентите - https://eumis2020.government.bg/bg/s/Default/Manual в допълнение УО проведе  о</w:t>
      </w:r>
      <w:r>
        <w:rPr>
          <w:lang w:val="bg-BG"/>
        </w:rPr>
        <w:t>бучение на рибари за изпо</w:t>
      </w:r>
      <w:r w:rsidRPr="006C58B4">
        <w:rPr>
          <w:lang w:val="bg-BG"/>
        </w:rPr>
        <w:t>лзване на електронната платформа ИСУН като част от информационно мероприятие във Варна.</w:t>
      </w:r>
    </w:p>
    <w:p w:rsidR="006C58B4" w:rsidRP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многократно отваря мерки (мярка 1.1 – два пъти, мярка 1.2 - един път, мярка 1.3 - един път, мярка 1.7 – три пъти, мярка 1.6 - един път);</w:t>
      </w:r>
    </w:p>
    <w:p w:rsidR="006C58B4" w:rsidRP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удължава крайния срок за получаване на проектни предложения (мярка 1.2)</w:t>
      </w:r>
    </w:p>
    <w:p w:rsidR="006C58B4" w:rsidRDefault="006C58B4" w:rsidP="006A2B60">
      <w:pPr>
        <w:ind w:left="426"/>
        <w:jc w:val="both"/>
        <w:rPr>
          <w:lang w:val="bg-BG"/>
        </w:rPr>
      </w:pPr>
      <w:r w:rsidRPr="006C58B4">
        <w:rPr>
          <w:lang w:val="bg-BG"/>
        </w:rPr>
        <w:t>•</w:t>
      </w:r>
      <w:r w:rsidRPr="006C58B4">
        <w:rPr>
          <w:lang w:val="bg-BG"/>
        </w:rPr>
        <w:tab/>
        <w:t>мерки 1.4 и 1.5 не са били отваряни поради крайно ниския интерес към тях, видно и от проведени допитвания от УО до браншови организации през януари  и същевременно административния ресу</w:t>
      </w:r>
      <w:r>
        <w:rPr>
          <w:lang w:val="bg-BG"/>
        </w:rPr>
        <w:t>рс необходим за разписването им.</w:t>
      </w:r>
    </w:p>
    <w:p w:rsidR="006C58B4" w:rsidRDefault="006C58B4" w:rsidP="006A2B60">
      <w:pPr>
        <w:ind w:left="426"/>
        <w:jc w:val="both"/>
        <w:rPr>
          <w:lang w:val="bg-BG"/>
        </w:rPr>
      </w:pPr>
    </w:p>
    <w:p w:rsidR="006C58B4" w:rsidRDefault="005151F9" w:rsidP="006A2B60">
      <w:pPr>
        <w:spacing w:after="200"/>
        <w:jc w:val="both"/>
        <w:rPr>
          <w:lang w:val="bg-BG"/>
        </w:rPr>
      </w:pPr>
      <w:r>
        <w:rPr>
          <w:lang w:val="bg-BG"/>
        </w:rPr>
        <w:t>От мярка 1.2 „</w:t>
      </w:r>
      <w:r w:rsidRPr="005151F9">
        <w:rPr>
          <w:lang w:val="bg-BG"/>
        </w:rPr>
        <w:t>Здраве и безопасност</w:t>
      </w:r>
      <w:r>
        <w:rPr>
          <w:lang w:val="bg-BG"/>
        </w:rPr>
        <w:t>“</w:t>
      </w:r>
      <w:r w:rsidR="00FB4DB1">
        <w:rPr>
          <w:lang w:val="bg-BG"/>
        </w:rPr>
        <w:t xml:space="preserve"> се прехвърлят средства в размер на </w:t>
      </w:r>
      <w:r w:rsidR="00FB4DB1" w:rsidRPr="00FB4DB1">
        <w:rPr>
          <w:lang w:val="bg-BG"/>
        </w:rPr>
        <w:t>135</w:t>
      </w:r>
      <w:r w:rsidR="007B58B0">
        <w:rPr>
          <w:lang w:val="bg-BG"/>
        </w:rPr>
        <w:t>.</w:t>
      </w:r>
      <w:r w:rsidR="00FB4DB1" w:rsidRPr="00FB4DB1">
        <w:rPr>
          <w:lang w:val="bg-BG"/>
        </w:rPr>
        <w:t>582,28</w:t>
      </w:r>
      <w:r w:rsidR="00FB4DB1">
        <w:rPr>
          <w:lang w:val="bg-BG"/>
        </w:rPr>
        <w:t xml:space="preserve"> евро ЕФМДР. Бюджетът на мярката се променя от </w:t>
      </w:r>
      <w:r w:rsidR="00FB4DB1" w:rsidRPr="00FB4DB1">
        <w:rPr>
          <w:lang w:val="bg-BG"/>
        </w:rPr>
        <w:t>169</w:t>
      </w:r>
      <w:r w:rsidR="007B58B0">
        <w:rPr>
          <w:lang w:val="bg-BG"/>
        </w:rPr>
        <w:t>.</w:t>
      </w:r>
      <w:r w:rsidR="00FB4DB1" w:rsidRPr="00FB4DB1">
        <w:rPr>
          <w:lang w:val="bg-BG"/>
        </w:rPr>
        <w:t>477,85</w:t>
      </w:r>
      <w:r w:rsidR="00FB4DB1">
        <w:rPr>
          <w:lang w:val="bg-BG"/>
        </w:rPr>
        <w:t xml:space="preserve"> на </w:t>
      </w:r>
      <w:r w:rsidR="00FB4DB1" w:rsidRPr="00FB4DB1">
        <w:rPr>
          <w:lang w:val="bg-BG"/>
        </w:rPr>
        <w:t>33</w:t>
      </w:r>
      <w:r w:rsidR="007B58B0">
        <w:rPr>
          <w:lang w:val="bg-BG"/>
        </w:rPr>
        <w:t>.</w:t>
      </w:r>
      <w:r w:rsidR="00FB4DB1" w:rsidRPr="00FB4DB1">
        <w:rPr>
          <w:lang w:val="bg-BG"/>
        </w:rPr>
        <w:t xml:space="preserve">895,57 </w:t>
      </w:r>
      <w:r w:rsidR="00FB4DB1">
        <w:rPr>
          <w:lang w:val="bg-BG"/>
        </w:rPr>
        <w:t xml:space="preserve">евро ЕФМДР. </w:t>
      </w:r>
      <w:r w:rsidR="006C58B4">
        <w:rPr>
          <w:lang w:val="bg-BG"/>
        </w:rPr>
        <w:t>Оставени са средства, които да финансират проекти по вече открита процедура.</w:t>
      </w:r>
      <w:r>
        <w:rPr>
          <w:lang w:val="bg-BG"/>
        </w:rPr>
        <w:t xml:space="preserve"> </w:t>
      </w:r>
    </w:p>
    <w:p w:rsidR="006C58B4" w:rsidRDefault="006C58B4" w:rsidP="0033792F">
      <w:pPr>
        <w:jc w:val="both"/>
        <w:rPr>
          <w:lang w:val="bg-BG"/>
        </w:rPr>
      </w:pPr>
      <w:r>
        <w:rPr>
          <w:lang w:val="bg-BG"/>
        </w:rPr>
        <w:t>От мярка 1.4 „</w:t>
      </w:r>
      <w:r w:rsidRPr="006C58B4">
        <w:rPr>
          <w:lang w:val="bg-BG"/>
        </w:rPr>
        <w:t>Ограничаване на въздействието на риболова върху морската среда и приспособяване на риболова към опазването на видовете</w:t>
      </w:r>
      <w:r>
        <w:rPr>
          <w:lang w:val="bg-BG"/>
        </w:rPr>
        <w:t xml:space="preserve">“ се прехвърлят средства в размер на </w:t>
      </w:r>
      <w:r w:rsidR="00DC3A95">
        <w:rPr>
          <w:lang w:val="bg-BG"/>
        </w:rPr>
        <w:lastRenderedPageBreak/>
        <w:t>390</w:t>
      </w:r>
      <w:r w:rsidR="007B58B0">
        <w:rPr>
          <w:lang w:val="bg-BG"/>
        </w:rPr>
        <w:t>.</w:t>
      </w:r>
      <w:r w:rsidR="00DC3A95">
        <w:rPr>
          <w:lang w:val="bg-BG"/>
        </w:rPr>
        <w:t xml:space="preserve">259,40 </w:t>
      </w:r>
      <w:r>
        <w:rPr>
          <w:lang w:val="bg-BG"/>
        </w:rPr>
        <w:t xml:space="preserve">евро ЕФМДР. Бюджетът на мярката се променя от </w:t>
      </w:r>
      <w:r w:rsidR="00DC3A95" w:rsidRPr="00DC3A95">
        <w:rPr>
          <w:lang w:val="bg-BG"/>
        </w:rPr>
        <w:t>487</w:t>
      </w:r>
      <w:r w:rsidR="007B58B0">
        <w:rPr>
          <w:lang w:val="bg-BG"/>
        </w:rPr>
        <w:t>.</w:t>
      </w:r>
      <w:r w:rsidR="00DC3A95" w:rsidRPr="00DC3A95">
        <w:rPr>
          <w:lang w:val="bg-BG"/>
        </w:rPr>
        <w:t>824,2</w:t>
      </w:r>
      <w:r w:rsidR="00DC3A95">
        <w:rPr>
          <w:lang w:val="bg-BG"/>
        </w:rPr>
        <w:t xml:space="preserve">5 </w:t>
      </w:r>
      <w:r>
        <w:rPr>
          <w:lang w:val="bg-BG"/>
        </w:rPr>
        <w:t xml:space="preserve">на </w:t>
      </w:r>
      <w:r w:rsidR="00DC3A95">
        <w:rPr>
          <w:lang w:val="bg-BG"/>
        </w:rPr>
        <w:t>97</w:t>
      </w:r>
      <w:r w:rsidR="007B58B0">
        <w:rPr>
          <w:lang w:val="bg-BG"/>
        </w:rPr>
        <w:t>.</w:t>
      </w:r>
      <w:r w:rsidR="00DC3A95">
        <w:rPr>
          <w:lang w:val="bg-BG"/>
        </w:rPr>
        <w:t xml:space="preserve">564,85 </w:t>
      </w:r>
      <w:r>
        <w:rPr>
          <w:lang w:val="bg-BG"/>
        </w:rPr>
        <w:t xml:space="preserve">евро ЕФМДР. Оставени са средства, които да финансират проекти по вече открита процедура. </w:t>
      </w:r>
    </w:p>
    <w:p w:rsidR="006C58B4" w:rsidRDefault="005151F9" w:rsidP="0033792F">
      <w:pPr>
        <w:jc w:val="both"/>
        <w:rPr>
          <w:lang w:val="bg-BG"/>
        </w:rPr>
      </w:pPr>
      <w:r>
        <w:rPr>
          <w:lang w:val="bg-BG"/>
        </w:rPr>
        <w:t>О</w:t>
      </w:r>
      <w:r w:rsidR="00D939D1" w:rsidRPr="001B7102">
        <w:rPr>
          <w:lang w:val="bg-BG"/>
        </w:rPr>
        <w:t xml:space="preserve">т мярка 1.5 „Иновации, свързани с опазването на морските биологични ресурси“ е пренасочен целия бюджет в размер на 902 851,00 евро ЕФМДР и мярката се закрива. </w:t>
      </w:r>
    </w:p>
    <w:p w:rsidR="007B58B0" w:rsidRDefault="007B58B0" w:rsidP="0033792F">
      <w:pPr>
        <w:jc w:val="both"/>
        <w:rPr>
          <w:lang w:val="bg-BG"/>
        </w:rPr>
      </w:pPr>
    </w:p>
    <w:p w:rsidR="00D939D1" w:rsidRPr="001B7102" w:rsidRDefault="00D939D1" w:rsidP="006A2B60">
      <w:pPr>
        <w:pStyle w:val="Heading2"/>
        <w:jc w:val="both"/>
      </w:pPr>
      <w:r w:rsidRPr="001B7102">
        <w:t>Приоритет на съюза 2</w:t>
      </w:r>
    </w:p>
    <w:p w:rsidR="00DC3A95" w:rsidRDefault="00D939D1" w:rsidP="006A2B60">
      <w:pPr>
        <w:jc w:val="both"/>
        <w:rPr>
          <w:lang w:val="bg-BG"/>
        </w:rPr>
      </w:pPr>
      <w:r w:rsidRPr="001B7102">
        <w:rPr>
          <w:lang w:val="bg-BG"/>
        </w:rPr>
        <w:t xml:space="preserve">В </w:t>
      </w:r>
      <w:r w:rsidR="007B58B0">
        <w:rPr>
          <w:lang w:val="bg-BG"/>
        </w:rPr>
        <w:t>ПС</w:t>
      </w:r>
      <w:r w:rsidRPr="001B7102">
        <w:rPr>
          <w:lang w:val="bg-BG"/>
        </w:rPr>
        <w:t xml:space="preserve"> 2 УО интервенира в мерки </w:t>
      </w:r>
      <w:r w:rsidR="00DC3A95">
        <w:rPr>
          <w:lang w:val="bg-BG"/>
        </w:rPr>
        <w:t xml:space="preserve">2.1, </w:t>
      </w:r>
      <w:r w:rsidRPr="001B7102">
        <w:rPr>
          <w:lang w:val="bg-BG"/>
        </w:rPr>
        <w:t>2.4  и 2.5</w:t>
      </w:r>
      <w:r w:rsidR="00DC3A95">
        <w:rPr>
          <w:lang w:val="bg-BG"/>
        </w:rPr>
        <w:t xml:space="preserve">, поради </w:t>
      </w:r>
      <w:r w:rsidR="00DC3A95" w:rsidRPr="00DC3A95">
        <w:rPr>
          <w:lang w:val="bg-BG"/>
        </w:rPr>
        <w:t>идентифицира</w:t>
      </w:r>
      <w:r w:rsidR="00DC3A95">
        <w:rPr>
          <w:lang w:val="bg-BG"/>
        </w:rPr>
        <w:t>н</w:t>
      </w:r>
      <w:r w:rsidR="00DC3A95" w:rsidRPr="00DC3A95">
        <w:rPr>
          <w:lang w:val="bg-BG"/>
        </w:rPr>
        <w:t xml:space="preserve"> много нисък интерес към </w:t>
      </w:r>
      <w:r w:rsidR="00DC3A95">
        <w:rPr>
          <w:lang w:val="bg-BG"/>
        </w:rPr>
        <w:t>тях.</w:t>
      </w:r>
      <w:r w:rsidR="00DC3A95" w:rsidRPr="00DC3A95">
        <w:rPr>
          <w:lang w:val="bg-BG"/>
        </w:rPr>
        <w:t xml:space="preserve"> </w:t>
      </w:r>
    </w:p>
    <w:p w:rsidR="007B58B0" w:rsidRPr="00DC3A95" w:rsidRDefault="007B58B0" w:rsidP="006A2B60">
      <w:pPr>
        <w:jc w:val="both"/>
        <w:rPr>
          <w:lang w:val="bg-BG"/>
        </w:rPr>
      </w:pPr>
    </w:p>
    <w:p w:rsidR="00DC3A95" w:rsidRDefault="00DC3A95" w:rsidP="006A2B60">
      <w:pPr>
        <w:jc w:val="both"/>
        <w:rPr>
          <w:lang w:val="bg-BG"/>
        </w:rPr>
      </w:pPr>
      <w:r w:rsidRPr="00DC3A95">
        <w:rPr>
          <w:lang w:val="bg-BG"/>
        </w:rPr>
        <w:t>По мярка 2.1 липсва реален интерес поради общата липса на готовност на потенциалните бенефициенти за изпълнение на проекти по правилата на ПМДР. УО отвори мярката и тя получи привидно висок интерес с голям брой проектни предложения. Този интерес обаче не се оказа реален, защото външната експертна оценка на предложенията отхвърли всички предложения за липса на иновации, което е и смисъл</w:t>
      </w:r>
      <w:r w:rsidR="007B58B0">
        <w:rPr>
          <w:lang w:val="bg-BG"/>
        </w:rPr>
        <w:t>ът</w:t>
      </w:r>
      <w:r w:rsidR="00DA612D">
        <w:rPr>
          <w:lang w:val="bg-BG"/>
        </w:rPr>
        <w:t xml:space="preserve"> </w:t>
      </w:r>
      <w:r w:rsidRPr="00DC3A95">
        <w:rPr>
          <w:lang w:val="bg-BG"/>
        </w:rPr>
        <w:t>на мярката. Според експертите в тези предложения кандидатите търсят да възстановят и/или модернизират основните си средства за производство, но не и да въвеждат иновации. Същия бе опит</w:t>
      </w:r>
      <w:r w:rsidR="007B58B0">
        <w:rPr>
          <w:lang w:val="bg-BG"/>
        </w:rPr>
        <w:t>ът</w:t>
      </w:r>
      <w:r w:rsidRPr="00DC3A95">
        <w:rPr>
          <w:lang w:val="bg-BG"/>
        </w:rPr>
        <w:t xml:space="preserve"> на УО от предходния програмен период, когато по този тип дейност бе сключен само един договор.</w:t>
      </w:r>
    </w:p>
    <w:p w:rsidR="007B58B0" w:rsidRPr="00DC3A95" w:rsidRDefault="007B58B0" w:rsidP="006A2B60">
      <w:pPr>
        <w:jc w:val="both"/>
        <w:rPr>
          <w:lang w:val="bg-BG"/>
        </w:rPr>
      </w:pPr>
    </w:p>
    <w:p w:rsidR="00DC3A95" w:rsidRDefault="00DC3A95" w:rsidP="006A2B60">
      <w:pPr>
        <w:jc w:val="both"/>
        <w:rPr>
          <w:lang w:val="bg-BG"/>
        </w:rPr>
      </w:pPr>
      <w:r w:rsidRPr="00DC3A95">
        <w:rPr>
          <w:lang w:val="bg-BG"/>
        </w:rPr>
        <w:t>По мярка 2.4 ниския</w:t>
      </w:r>
      <w:r w:rsidR="007B58B0">
        <w:rPr>
          <w:lang w:val="bg-BG"/>
        </w:rPr>
        <w:t>т</w:t>
      </w:r>
      <w:r w:rsidRPr="00DC3A95">
        <w:rPr>
          <w:lang w:val="bg-BG"/>
        </w:rPr>
        <w:t xml:space="preserve"> интерес се дължи на неустойчивостта на инвестицията в дългосрочен план на българския пазар.  Това е видно от факта, че в момента има регистриран само един сертифициран производител на биологична продукция (мидена ферма) в съответствие с Регламент (ЕО) № 834/2007 и правилата за неговото прилагане.  УО направи всичко възможно за да повиши интереса към тази мярка като поддържа пряк контакт с потенциални бенефициенти, както на Комитетите по наблюдение, така и в процеса на работа по изпълняване на ПМДР с цел подобряване на интереса към мерките като цяло и индетифициране на причините за ниския интерес.</w:t>
      </w:r>
    </w:p>
    <w:p w:rsidR="007B58B0" w:rsidRPr="00DC3A95" w:rsidRDefault="007B58B0" w:rsidP="006A2B60">
      <w:pPr>
        <w:jc w:val="both"/>
        <w:rPr>
          <w:lang w:val="bg-BG"/>
        </w:rPr>
      </w:pPr>
    </w:p>
    <w:p w:rsidR="00DC3A95" w:rsidRDefault="00DC3A95" w:rsidP="006A2B60">
      <w:pPr>
        <w:jc w:val="both"/>
        <w:rPr>
          <w:lang w:val="bg-BG"/>
        </w:rPr>
      </w:pPr>
      <w:r w:rsidRPr="00DC3A95">
        <w:rPr>
          <w:lang w:val="bg-BG"/>
        </w:rPr>
        <w:t xml:space="preserve">По мярка 2.5 УО отчита интерес, който обаче е нисък спрямо размера на наличния бюджет на мярката. Мярката вече е отваряна с над половината бюджет. Постъпилите проекти (всички са одобрени) могат да усвоят едва 25,24% от бюджета на приема (или 15,15% от целия бюджет). За УО е очевидно, че, макар да има интерес по нея, в условията на оставащо време от една година до края на програмния период, е ненужно за бъдещи приеми да се оставя целия сегашен остатъчен бюджет, при бюджетни нужди в други мерки. </w:t>
      </w:r>
    </w:p>
    <w:p w:rsidR="00522E7D" w:rsidRPr="00DC3A95" w:rsidRDefault="00522E7D" w:rsidP="006A2B60">
      <w:pPr>
        <w:jc w:val="both"/>
        <w:rPr>
          <w:lang w:val="bg-BG"/>
        </w:rPr>
      </w:pPr>
    </w:p>
    <w:p w:rsidR="00DC3A95" w:rsidRDefault="00DC3A95" w:rsidP="006A2B60">
      <w:pPr>
        <w:jc w:val="both"/>
        <w:rPr>
          <w:lang w:val="bg-BG"/>
        </w:rPr>
      </w:pPr>
      <w:r w:rsidRPr="00DC3A95">
        <w:rPr>
          <w:lang w:val="bg-BG"/>
        </w:rPr>
        <w:t>Поради липсата на достатъчен интерес към тези мерки и в условията на оставащо време от една година до края на програмния период, е ненужно за бъдещи приеми да се оставя целият им сегашен остатъчен бюджет, при бюджетни нужди в други мерки.</w:t>
      </w:r>
    </w:p>
    <w:p w:rsidR="007374C2" w:rsidRDefault="007374C2" w:rsidP="006A2B60">
      <w:pPr>
        <w:jc w:val="both"/>
        <w:rPr>
          <w:lang w:val="bg-BG"/>
        </w:rPr>
      </w:pPr>
    </w:p>
    <w:p w:rsidR="00DC3A95" w:rsidRDefault="00DC3A95" w:rsidP="006A2B60">
      <w:pPr>
        <w:jc w:val="both"/>
        <w:rPr>
          <w:lang w:val="bg-BG"/>
        </w:rPr>
      </w:pPr>
      <w:r w:rsidRPr="001B7102">
        <w:rPr>
          <w:lang w:val="bg-BG"/>
        </w:rPr>
        <w:t>От мярка 2.</w:t>
      </w:r>
      <w:r>
        <w:rPr>
          <w:lang w:val="bg-BG"/>
        </w:rPr>
        <w:t xml:space="preserve">1 </w:t>
      </w:r>
      <w:r w:rsidRPr="001B7102">
        <w:rPr>
          <w:lang w:val="bg-BG"/>
        </w:rPr>
        <w:t>„</w:t>
      </w:r>
      <w:r>
        <w:rPr>
          <w:lang w:val="bg-BG"/>
        </w:rPr>
        <w:t>Иновации</w:t>
      </w:r>
      <w:r w:rsidRPr="001B7102">
        <w:rPr>
          <w:lang w:val="bg-BG"/>
        </w:rPr>
        <w:t xml:space="preserve">“ е пренасочен целия бюджет в размер на </w:t>
      </w:r>
      <w:r w:rsidRPr="00DC3A95">
        <w:rPr>
          <w:lang w:val="bg-BG"/>
        </w:rPr>
        <w:t>1</w:t>
      </w:r>
      <w:r w:rsidR="004748B3">
        <w:rPr>
          <w:lang w:val="bg-BG"/>
        </w:rPr>
        <w:t>.</w:t>
      </w:r>
      <w:r w:rsidRPr="00DC3A95">
        <w:rPr>
          <w:lang w:val="bg-BG"/>
        </w:rPr>
        <w:t>163</w:t>
      </w:r>
      <w:r w:rsidR="004748B3">
        <w:rPr>
          <w:lang w:val="bg-BG"/>
        </w:rPr>
        <w:t>.</w:t>
      </w:r>
      <w:r w:rsidRPr="00DC3A95">
        <w:rPr>
          <w:lang w:val="bg-BG"/>
        </w:rPr>
        <w:t xml:space="preserve">250,00 </w:t>
      </w:r>
      <w:r w:rsidRPr="001B7102">
        <w:rPr>
          <w:b/>
          <w:lang w:val="bg-BG"/>
        </w:rPr>
        <w:t xml:space="preserve"> </w:t>
      </w:r>
      <w:r w:rsidRPr="001B7102">
        <w:rPr>
          <w:lang w:val="bg-BG"/>
        </w:rPr>
        <w:t xml:space="preserve">евро ЕФМДР и мярката се закрива. </w:t>
      </w:r>
    </w:p>
    <w:p w:rsidR="00DC3A95" w:rsidRDefault="00D939D1" w:rsidP="006A2B60">
      <w:pPr>
        <w:jc w:val="both"/>
        <w:rPr>
          <w:lang w:val="bg-BG"/>
        </w:rPr>
      </w:pPr>
      <w:r w:rsidRPr="001B7102">
        <w:rPr>
          <w:lang w:val="bg-BG"/>
        </w:rPr>
        <w:t>От мярка 2.4</w:t>
      </w:r>
      <w:r w:rsidR="00DC3A95">
        <w:rPr>
          <w:lang w:val="bg-BG"/>
        </w:rPr>
        <w:t xml:space="preserve"> </w:t>
      </w:r>
      <w:r w:rsidR="00DC3A95" w:rsidRPr="001B7102">
        <w:rPr>
          <w:lang w:val="bg-BG"/>
        </w:rPr>
        <w:t>„Преминаване към схеми по управление на околната среда и одитиране и към биологични аквакултури“</w:t>
      </w:r>
      <w:r w:rsidRPr="001B7102">
        <w:rPr>
          <w:lang w:val="bg-BG"/>
        </w:rPr>
        <w:t xml:space="preserve"> е пренасочен целия</w:t>
      </w:r>
      <w:r w:rsidR="00C4629A">
        <w:rPr>
          <w:lang w:val="bg-BG"/>
        </w:rPr>
        <w:t>т</w:t>
      </w:r>
      <w:r w:rsidRPr="001B7102">
        <w:rPr>
          <w:lang w:val="bg-BG"/>
        </w:rPr>
        <w:t xml:space="preserve"> бюджет в размер на 398</w:t>
      </w:r>
      <w:r w:rsidR="00C4629A">
        <w:rPr>
          <w:lang w:val="bg-BG"/>
        </w:rPr>
        <w:t>.</w:t>
      </w:r>
      <w:r w:rsidRPr="001B7102">
        <w:rPr>
          <w:lang w:val="bg-BG"/>
        </w:rPr>
        <w:t>325,00</w:t>
      </w:r>
      <w:r w:rsidRPr="001B7102">
        <w:rPr>
          <w:b/>
          <w:lang w:val="bg-BG"/>
        </w:rPr>
        <w:t xml:space="preserve"> </w:t>
      </w:r>
      <w:r w:rsidRPr="001B7102">
        <w:rPr>
          <w:lang w:val="bg-BG"/>
        </w:rPr>
        <w:t xml:space="preserve">евро ЕФМДР и мярката се закрива. </w:t>
      </w:r>
    </w:p>
    <w:p w:rsidR="00C4629A" w:rsidRDefault="00C4629A" w:rsidP="006A2B60">
      <w:pPr>
        <w:jc w:val="both"/>
        <w:rPr>
          <w:lang w:val="bg-BG"/>
        </w:rPr>
      </w:pPr>
    </w:p>
    <w:p w:rsidR="00D939D1" w:rsidRDefault="00D939D1" w:rsidP="006A2B60">
      <w:pPr>
        <w:spacing w:line="259" w:lineRule="auto"/>
        <w:jc w:val="both"/>
        <w:rPr>
          <w:lang w:val="bg-BG"/>
        </w:rPr>
      </w:pPr>
      <w:r w:rsidRPr="001B7102">
        <w:rPr>
          <w:lang w:val="bg-BG"/>
        </w:rPr>
        <w:lastRenderedPageBreak/>
        <w:t>Бюджетът на мярка 2.5</w:t>
      </w:r>
      <w:r w:rsidR="00DC3A95">
        <w:rPr>
          <w:lang w:val="bg-BG"/>
        </w:rPr>
        <w:t xml:space="preserve"> </w:t>
      </w:r>
      <w:r w:rsidR="00DC3A95" w:rsidRPr="001B7102">
        <w:rPr>
          <w:lang w:val="bg-BG"/>
        </w:rPr>
        <w:t>„Аквакултури, осигуряващи екологични услуги“</w:t>
      </w:r>
      <w:r w:rsidRPr="001B7102">
        <w:rPr>
          <w:lang w:val="bg-BG"/>
        </w:rPr>
        <w:t xml:space="preserve"> се намалява с </w:t>
      </w:r>
      <w:r w:rsidR="004C4C7F" w:rsidRPr="004C4C7F">
        <w:rPr>
          <w:lang w:val="bg-BG"/>
        </w:rPr>
        <w:t>3</w:t>
      </w:r>
      <w:r w:rsidR="00C4629A">
        <w:rPr>
          <w:lang w:val="bg-BG"/>
        </w:rPr>
        <w:t>.</w:t>
      </w:r>
      <w:r w:rsidR="004C4C7F" w:rsidRPr="004C4C7F">
        <w:rPr>
          <w:lang w:val="bg-BG"/>
        </w:rPr>
        <w:t>310</w:t>
      </w:r>
      <w:r w:rsidR="00C4629A">
        <w:rPr>
          <w:lang w:val="bg-BG"/>
        </w:rPr>
        <w:t>.</w:t>
      </w:r>
      <w:r w:rsidR="004C4C7F" w:rsidRPr="004C4C7F">
        <w:rPr>
          <w:lang w:val="bg-BG"/>
        </w:rPr>
        <w:t>114,22</w:t>
      </w:r>
      <w:r w:rsidRPr="001B7102">
        <w:rPr>
          <w:lang w:val="bg-BG"/>
        </w:rPr>
        <w:t xml:space="preserve"> евро ЕФМДР. Бюджетът се променя от 3</w:t>
      </w:r>
      <w:r w:rsidR="00C4629A">
        <w:rPr>
          <w:lang w:val="bg-BG"/>
        </w:rPr>
        <w:t>.</w:t>
      </w:r>
      <w:r w:rsidRPr="001B7102">
        <w:rPr>
          <w:lang w:val="bg-BG"/>
        </w:rPr>
        <w:t>965</w:t>
      </w:r>
      <w:r w:rsidR="00C4629A">
        <w:rPr>
          <w:lang w:val="bg-BG"/>
        </w:rPr>
        <w:t>.</w:t>
      </w:r>
      <w:r w:rsidRPr="001B7102">
        <w:rPr>
          <w:lang w:val="bg-BG"/>
        </w:rPr>
        <w:t>625,</w:t>
      </w:r>
      <w:r w:rsidR="004C4C7F">
        <w:rPr>
          <w:lang w:val="bg-BG"/>
        </w:rPr>
        <w:t xml:space="preserve">00 </w:t>
      </w:r>
      <w:r w:rsidRPr="001B7102">
        <w:rPr>
          <w:lang w:val="bg-BG"/>
        </w:rPr>
        <w:t xml:space="preserve">евро ЕФМДР на </w:t>
      </w:r>
      <w:r w:rsidR="004C4C7F">
        <w:rPr>
          <w:lang w:val="bg-BG"/>
        </w:rPr>
        <w:t>655</w:t>
      </w:r>
      <w:r w:rsidR="00C4629A">
        <w:rPr>
          <w:lang w:val="bg-BG"/>
        </w:rPr>
        <w:t>.</w:t>
      </w:r>
      <w:r w:rsidR="004C4C7F">
        <w:rPr>
          <w:lang w:val="bg-BG"/>
        </w:rPr>
        <w:t xml:space="preserve">510,78 </w:t>
      </w:r>
      <w:r w:rsidRPr="001B7102">
        <w:rPr>
          <w:lang w:val="bg-BG"/>
        </w:rPr>
        <w:t>евро ЕФМДР.</w:t>
      </w:r>
    </w:p>
    <w:p w:rsidR="00C4629A" w:rsidRPr="001B7102" w:rsidRDefault="00C4629A" w:rsidP="006A2B60">
      <w:pPr>
        <w:spacing w:line="259" w:lineRule="auto"/>
        <w:jc w:val="both"/>
        <w:rPr>
          <w:lang w:val="bg-BG"/>
        </w:rPr>
      </w:pPr>
    </w:p>
    <w:p w:rsidR="00D939D1" w:rsidRDefault="00D939D1" w:rsidP="006A2B60">
      <w:pPr>
        <w:pStyle w:val="Heading2"/>
        <w:jc w:val="both"/>
      </w:pPr>
      <w:r w:rsidRPr="001B7102">
        <w:t xml:space="preserve">Приоритет на съюза </w:t>
      </w:r>
      <w:r w:rsidR="004C4C7F">
        <w:t>4</w:t>
      </w:r>
    </w:p>
    <w:p w:rsidR="004C4C7F" w:rsidRDefault="004C4C7F" w:rsidP="006A2B60">
      <w:pPr>
        <w:jc w:val="both"/>
        <w:rPr>
          <w:lang w:val="bg-BG"/>
        </w:rPr>
      </w:pPr>
      <w:r w:rsidRPr="004C4C7F">
        <w:rPr>
          <w:lang w:val="bg-BG"/>
        </w:rPr>
        <w:t>УО идентифицира остатъчни бюджетни средства по мерки 4.1 и 4.2, които с оглед наближаващия край на програмния период няма да могат да бъдат усвоени и следва да бъдат прехвърли към други мерки. Мярка 4.1 цели подготвително подпомагане и 99 % от нея е ангажиран. Остатъкът от 0,6 % (1</w:t>
      </w:r>
      <w:r w:rsidR="00C4629A">
        <w:rPr>
          <w:lang w:val="bg-BG"/>
        </w:rPr>
        <w:t>.</w:t>
      </w:r>
      <w:r w:rsidRPr="004C4C7F">
        <w:rPr>
          <w:lang w:val="bg-BG"/>
        </w:rPr>
        <w:t>533 евро) е неизползваем и следва да се прехвърли. Мярка 4.2 има свободен ресурс от 324</w:t>
      </w:r>
      <w:r w:rsidR="00C4629A">
        <w:rPr>
          <w:lang w:val="bg-BG"/>
        </w:rPr>
        <w:t>.</w:t>
      </w:r>
      <w:r w:rsidRPr="004C4C7F">
        <w:rPr>
          <w:lang w:val="bg-BG"/>
        </w:rPr>
        <w:t>855,48</w:t>
      </w:r>
      <w:r>
        <w:rPr>
          <w:lang w:val="bg-BG"/>
        </w:rPr>
        <w:t xml:space="preserve"> </w:t>
      </w:r>
      <w:r w:rsidRPr="004C4C7F">
        <w:rPr>
          <w:lang w:val="bg-BG"/>
        </w:rPr>
        <w:t xml:space="preserve">евро </w:t>
      </w:r>
      <w:r>
        <w:rPr>
          <w:lang w:val="bg-BG"/>
        </w:rPr>
        <w:t xml:space="preserve">ЕФМДР </w:t>
      </w:r>
      <w:r w:rsidRPr="004C4C7F">
        <w:rPr>
          <w:lang w:val="bg-BG"/>
        </w:rPr>
        <w:t>поради отпадането на една канди</w:t>
      </w:r>
      <w:r>
        <w:rPr>
          <w:lang w:val="bg-BG"/>
        </w:rPr>
        <w:t>дат МИРГ в процеса на одобрение</w:t>
      </w:r>
      <w:r w:rsidRPr="004C4C7F">
        <w:rPr>
          <w:lang w:val="bg-BG"/>
        </w:rPr>
        <w:t xml:space="preserve">. </w:t>
      </w:r>
    </w:p>
    <w:p w:rsidR="00C4629A" w:rsidRDefault="00C4629A" w:rsidP="006A2B60">
      <w:pPr>
        <w:jc w:val="both"/>
        <w:rPr>
          <w:lang w:val="bg-BG"/>
        </w:rPr>
      </w:pPr>
    </w:p>
    <w:p w:rsidR="004C4C7F" w:rsidRDefault="004C4C7F" w:rsidP="006A2B60">
      <w:pPr>
        <w:jc w:val="both"/>
        <w:rPr>
          <w:lang w:val="bg-BG"/>
        </w:rPr>
      </w:pPr>
      <w:r>
        <w:rPr>
          <w:lang w:val="bg-BG"/>
        </w:rPr>
        <w:t>Бюджетът на Мярка 4.1 „</w:t>
      </w:r>
      <w:r w:rsidRPr="004C4C7F">
        <w:rPr>
          <w:lang w:val="bg-BG"/>
        </w:rPr>
        <w:t>Подготвително подпомагане</w:t>
      </w:r>
      <w:r>
        <w:rPr>
          <w:lang w:val="bg-BG"/>
        </w:rPr>
        <w:t xml:space="preserve">“ се намалява с </w:t>
      </w:r>
      <w:r w:rsidRPr="004C4C7F">
        <w:rPr>
          <w:lang w:val="bg-BG"/>
        </w:rPr>
        <w:t>1</w:t>
      </w:r>
      <w:r w:rsidR="00C4629A">
        <w:rPr>
          <w:lang w:val="bg-BG"/>
        </w:rPr>
        <w:t>.</w:t>
      </w:r>
      <w:r w:rsidRPr="004C4C7F">
        <w:rPr>
          <w:lang w:val="bg-BG"/>
        </w:rPr>
        <w:t xml:space="preserve">533 евро </w:t>
      </w:r>
      <w:r>
        <w:rPr>
          <w:lang w:val="bg-BG"/>
        </w:rPr>
        <w:t xml:space="preserve">ЕФМДР и от </w:t>
      </w:r>
      <w:r>
        <w:rPr>
          <w:color w:val="000000"/>
        </w:rPr>
        <w:t>233</w:t>
      </w:r>
      <w:r w:rsidR="00C4629A">
        <w:rPr>
          <w:color w:val="000000"/>
          <w:lang w:val="bg-BG"/>
        </w:rPr>
        <w:t>.</w:t>
      </w:r>
      <w:r>
        <w:rPr>
          <w:color w:val="000000"/>
        </w:rPr>
        <w:t xml:space="preserve">311,42 </w:t>
      </w:r>
      <w:r>
        <w:rPr>
          <w:color w:val="000000"/>
          <w:lang w:val="bg-BG"/>
        </w:rPr>
        <w:t>се променя на</w:t>
      </w:r>
      <w:r w:rsidRPr="004C4C7F">
        <w:rPr>
          <w:color w:val="000000"/>
        </w:rPr>
        <w:t xml:space="preserve"> 231</w:t>
      </w:r>
      <w:r w:rsidR="00C4629A">
        <w:rPr>
          <w:color w:val="000000"/>
          <w:lang w:val="bg-BG"/>
        </w:rPr>
        <w:t>.</w:t>
      </w:r>
      <w:r w:rsidRPr="004C4C7F">
        <w:rPr>
          <w:color w:val="000000"/>
        </w:rPr>
        <w:t xml:space="preserve">777,43 </w:t>
      </w:r>
      <w:r w:rsidRPr="004C4C7F">
        <w:rPr>
          <w:lang w:val="bg-BG"/>
        </w:rPr>
        <w:t xml:space="preserve">евро </w:t>
      </w:r>
      <w:r>
        <w:rPr>
          <w:lang w:val="bg-BG"/>
        </w:rPr>
        <w:t>ЕФМДР.</w:t>
      </w:r>
    </w:p>
    <w:p w:rsidR="00C4629A" w:rsidRDefault="00C4629A" w:rsidP="006A2B60">
      <w:pPr>
        <w:jc w:val="both"/>
        <w:rPr>
          <w:lang w:val="bg-BG"/>
        </w:rPr>
      </w:pPr>
    </w:p>
    <w:p w:rsidR="004C4C7F" w:rsidRPr="004C4C7F" w:rsidRDefault="004C4C7F" w:rsidP="006A2B60">
      <w:pPr>
        <w:jc w:val="both"/>
        <w:rPr>
          <w:color w:val="000000"/>
        </w:rPr>
      </w:pPr>
      <w:r>
        <w:rPr>
          <w:lang w:val="bg-BG"/>
        </w:rPr>
        <w:t>Бюджетът на Мярка 4.2 „</w:t>
      </w:r>
      <w:r w:rsidRPr="004C4C7F">
        <w:rPr>
          <w:lang w:val="bg-BG"/>
        </w:rPr>
        <w:t>Изпълнение на стратегиите за водено от общностите местно развитие подбор на местни инициативни рибарски групи (МИРГ)</w:t>
      </w:r>
      <w:r>
        <w:rPr>
          <w:lang w:val="bg-BG"/>
        </w:rPr>
        <w:t xml:space="preserve">“ се намалява с </w:t>
      </w:r>
      <w:r w:rsidRPr="004C4C7F">
        <w:rPr>
          <w:lang w:val="bg-BG"/>
        </w:rPr>
        <w:t>324</w:t>
      </w:r>
      <w:r w:rsidR="00C4629A">
        <w:rPr>
          <w:lang w:val="bg-BG"/>
        </w:rPr>
        <w:t>.</w:t>
      </w:r>
      <w:r w:rsidRPr="004C4C7F">
        <w:rPr>
          <w:lang w:val="bg-BG"/>
        </w:rPr>
        <w:t>855,48</w:t>
      </w:r>
      <w:r>
        <w:rPr>
          <w:lang w:val="bg-BG"/>
        </w:rPr>
        <w:t xml:space="preserve"> </w:t>
      </w:r>
      <w:r w:rsidRPr="004C4C7F">
        <w:rPr>
          <w:lang w:val="bg-BG"/>
        </w:rPr>
        <w:t xml:space="preserve">евро </w:t>
      </w:r>
      <w:r>
        <w:rPr>
          <w:lang w:val="bg-BG"/>
        </w:rPr>
        <w:t>ЕФМДР и от</w:t>
      </w:r>
      <w:r w:rsidRPr="004C4C7F">
        <w:rPr>
          <w:color w:val="000000"/>
        </w:rPr>
        <w:t xml:space="preserve"> 15</w:t>
      </w:r>
      <w:r w:rsidR="00C4629A">
        <w:rPr>
          <w:color w:val="000000"/>
          <w:lang w:val="bg-BG"/>
        </w:rPr>
        <w:t>.</w:t>
      </w:r>
      <w:r w:rsidRPr="004C4C7F">
        <w:rPr>
          <w:color w:val="000000"/>
        </w:rPr>
        <w:t>885</w:t>
      </w:r>
      <w:r w:rsidR="00C4629A">
        <w:rPr>
          <w:color w:val="000000"/>
          <w:lang w:val="bg-BG"/>
        </w:rPr>
        <w:t>.</w:t>
      </w:r>
      <w:r w:rsidRPr="004C4C7F">
        <w:rPr>
          <w:color w:val="000000"/>
        </w:rPr>
        <w:t xml:space="preserve">853,02 </w:t>
      </w:r>
      <w:r>
        <w:rPr>
          <w:color w:val="000000"/>
          <w:lang w:val="bg-BG"/>
        </w:rPr>
        <w:t xml:space="preserve">се променя на </w:t>
      </w:r>
      <w:r w:rsidRPr="004C4C7F">
        <w:rPr>
          <w:color w:val="000000"/>
        </w:rPr>
        <w:t>15</w:t>
      </w:r>
      <w:r w:rsidR="00C4629A">
        <w:rPr>
          <w:color w:val="000000"/>
          <w:lang w:val="bg-BG"/>
        </w:rPr>
        <w:t>.</w:t>
      </w:r>
      <w:r w:rsidRPr="004C4C7F">
        <w:rPr>
          <w:color w:val="000000"/>
        </w:rPr>
        <w:t>560</w:t>
      </w:r>
      <w:r w:rsidR="00C4629A">
        <w:rPr>
          <w:color w:val="000000"/>
          <w:lang w:val="bg-BG"/>
        </w:rPr>
        <w:t>.</w:t>
      </w:r>
      <w:r w:rsidRPr="004C4C7F">
        <w:rPr>
          <w:color w:val="000000"/>
        </w:rPr>
        <w:t xml:space="preserve">997,54  </w:t>
      </w:r>
      <w:r w:rsidRPr="004C4C7F">
        <w:rPr>
          <w:lang w:val="bg-BG"/>
        </w:rPr>
        <w:t xml:space="preserve">евро </w:t>
      </w:r>
      <w:r>
        <w:rPr>
          <w:lang w:val="bg-BG"/>
        </w:rPr>
        <w:t>ЕФМДР.</w:t>
      </w:r>
    </w:p>
    <w:p w:rsidR="004C4C7F" w:rsidRPr="004C4C7F" w:rsidRDefault="004C4C7F" w:rsidP="006A2B60">
      <w:pPr>
        <w:jc w:val="both"/>
        <w:rPr>
          <w:color w:val="000000"/>
        </w:rPr>
      </w:pPr>
    </w:p>
    <w:p w:rsidR="008B153A" w:rsidRDefault="008B153A" w:rsidP="006A2B60">
      <w:pPr>
        <w:pStyle w:val="Heading1"/>
        <w:ind w:left="431" w:hanging="431"/>
        <w:jc w:val="both"/>
      </w:pPr>
      <w:r w:rsidRPr="008B153A">
        <w:t>Релокация на бюджети в табличен вид</w:t>
      </w:r>
    </w:p>
    <w:p w:rsidR="00766CC5" w:rsidRPr="00766CC5" w:rsidRDefault="00766CC5" w:rsidP="00766CC5">
      <w:pPr>
        <w:rPr>
          <w:lang w:val="bg-BG"/>
        </w:rPr>
      </w:pPr>
    </w:p>
    <w:p w:rsidR="004C4C7F" w:rsidRPr="004C4C7F" w:rsidRDefault="008B153A" w:rsidP="006A2B60">
      <w:pPr>
        <w:jc w:val="both"/>
        <w:rPr>
          <w:color w:val="000000"/>
          <w:lang w:val="bg-BG"/>
        </w:rPr>
      </w:pPr>
      <w:r w:rsidRPr="008B153A">
        <w:rPr>
          <w:color w:val="000000"/>
          <w:lang w:val="bg-BG"/>
        </w:rPr>
        <w:t>Релокацията на бюджетите на ниво мерки</w:t>
      </w:r>
      <w:r w:rsidR="00800EDF">
        <w:rPr>
          <w:color w:val="000000"/>
          <w:lang w:val="bg-BG"/>
        </w:rPr>
        <w:t xml:space="preserve"> е приложение към настоящата обосновка</w:t>
      </w:r>
      <w:r w:rsidRPr="008B153A">
        <w:rPr>
          <w:color w:val="000000"/>
          <w:lang w:val="bg-BG"/>
        </w:rPr>
        <w:t>.</w:t>
      </w:r>
    </w:p>
    <w:p w:rsidR="008C03B5" w:rsidRDefault="008C03B5" w:rsidP="006A2B60">
      <w:pPr>
        <w:ind w:left="60"/>
        <w:jc w:val="both"/>
        <w:rPr>
          <w:lang w:val="bg-BG"/>
        </w:rPr>
      </w:pPr>
    </w:p>
    <w:p w:rsidR="008C03B5" w:rsidRDefault="008C03B5" w:rsidP="006A2B60">
      <w:pPr>
        <w:pStyle w:val="Heading1"/>
        <w:ind w:left="431" w:hanging="431"/>
        <w:jc w:val="both"/>
      </w:pPr>
      <w:r w:rsidRPr="008C03B5">
        <w:t>Промяна в рамката за изпълнение</w:t>
      </w:r>
    </w:p>
    <w:p w:rsidR="00766CC5" w:rsidRPr="00766CC5" w:rsidRDefault="00766CC5" w:rsidP="00766CC5">
      <w:pPr>
        <w:rPr>
          <w:lang w:val="bg-BG"/>
        </w:rPr>
      </w:pPr>
    </w:p>
    <w:p w:rsidR="008C03B5" w:rsidRPr="008C03B5" w:rsidRDefault="008C03B5" w:rsidP="006A2B60">
      <w:pPr>
        <w:ind w:left="60"/>
        <w:jc w:val="both"/>
        <w:rPr>
          <w:lang w:val="bg-BG"/>
        </w:rPr>
      </w:pPr>
      <w:r w:rsidRPr="008C03B5">
        <w:rPr>
          <w:lang w:val="bg-BG"/>
        </w:rPr>
        <w:t>Предложеното изменение на програмата води до промени в целите на рамката за изпълнение на ПМДР поради пренасочване на бюджетите по всички ПС</w:t>
      </w:r>
      <w:r>
        <w:rPr>
          <w:lang w:val="bg-BG"/>
        </w:rPr>
        <w:t xml:space="preserve"> и създаването на две нови мерки</w:t>
      </w:r>
      <w:r w:rsidRPr="008C03B5">
        <w:rPr>
          <w:lang w:val="bg-BG"/>
        </w:rPr>
        <w:t>. Стойностите на междинните цели не се изменят с настоящото изменение на ПМДР, тъй като са за приключил период. Крайните цели за 2023, касаещи финансовите индикатори се изменят на база единствено промените свързани с релокацията на средства по различните мерки предложени и одобрени на Комитет за наблюдение от 12.02.2020 г. Индикаторите за изпълнение – брой проектни предложения се изменят в две стъпки, по методологията за промяна в индикаторите по-горе (</w:t>
      </w:r>
      <w:r>
        <w:rPr>
          <w:lang w:val="bg-BG"/>
        </w:rPr>
        <w:t>2</w:t>
      </w:r>
      <w:r w:rsidRPr="008C03B5">
        <w:rPr>
          <w:lang w:val="bg-BG"/>
        </w:rPr>
        <w:tab/>
        <w:t xml:space="preserve">Промяна в индикаторите). </w:t>
      </w:r>
    </w:p>
    <w:p w:rsidR="008C03B5" w:rsidRDefault="008C03B5" w:rsidP="006A2B60">
      <w:pPr>
        <w:ind w:left="60"/>
        <w:jc w:val="both"/>
      </w:pPr>
      <w:r w:rsidRPr="008C03B5">
        <w:rPr>
          <w:lang w:val="bg-BG"/>
        </w:rPr>
        <w:t>Промяната в целите на рамката за изпълнение на ПМДР е следната:</w:t>
      </w:r>
    </w:p>
    <w:p w:rsidR="00CA0CC3" w:rsidRPr="00CA0CC3" w:rsidRDefault="00CA0CC3" w:rsidP="006A2B60">
      <w:pPr>
        <w:ind w:left="60"/>
        <w:jc w:val="both"/>
      </w:pPr>
    </w:p>
    <w:p w:rsidR="008C03B5" w:rsidRDefault="008C03B5" w:rsidP="006A2B60">
      <w:pPr>
        <w:ind w:left="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8470"/>
      </w:tblGrid>
      <w:tr w:rsidR="00DC3191" w:rsidTr="00AA1133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t>Union priority</w:t>
            </w:r>
          </w:p>
        </w:tc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Promoting environmentally sustainable, resource efficient, innovative, competitive and knowledge based fisheries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2"/>
        <w:gridCol w:w="1677"/>
        <w:gridCol w:w="1676"/>
        <w:gridCol w:w="1678"/>
      </w:tblGrid>
      <w:tr w:rsidR="00A322BE" w:rsidTr="0033792F">
        <w:tc>
          <w:tcPr>
            <w:tcW w:w="2457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847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847" w:type="pct"/>
            <w:shd w:val="clear" w:color="auto" w:fill="auto"/>
          </w:tcPr>
          <w:p w:rsidR="00A322BE" w:rsidRPr="007D4C1B" w:rsidRDefault="00A322BE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848" w:type="pct"/>
            <w:shd w:val="clear" w:color="auto" w:fill="auto"/>
          </w:tcPr>
          <w:p w:rsidR="00A322BE" w:rsidRPr="007D4C1B" w:rsidRDefault="00A322BE" w:rsidP="00A322BE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</w:tc>
      </w:tr>
      <w:tr w:rsidR="00A322BE" w:rsidTr="0033792F">
        <w:tc>
          <w:tcPr>
            <w:tcW w:w="2457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4,348,000.00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19,766,556.00</w:t>
            </w:r>
          </w:p>
        </w:tc>
        <w:tc>
          <w:tcPr>
            <w:tcW w:w="848" w:type="pct"/>
            <w:shd w:val="clear" w:color="auto" w:fill="auto"/>
          </w:tcPr>
          <w:p w:rsidR="00A322BE" w:rsidRPr="002874F4" w:rsidRDefault="00A322BE" w:rsidP="003379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18 859 064,26</w:t>
            </w:r>
          </w:p>
        </w:tc>
      </w:tr>
      <w:tr w:rsidR="00A322BE" w:rsidTr="0033792F">
        <w:tc>
          <w:tcPr>
            <w:tcW w:w="2457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1.3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added value, quality, use of unwanted catches and fishing ports, landing sites, actions halls and shelters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10.00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45.00</w:t>
            </w:r>
          </w:p>
        </w:tc>
        <w:tc>
          <w:tcPr>
            <w:tcW w:w="848" w:type="pct"/>
            <w:shd w:val="clear" w:color="auto" w:fill="auto"/>
          </w:tcPr>
          <w:p w:rsidR="00A322BE" w:rsidRPr="002874F4" w:rsidRDefault="00A322BE" w:rsidP="00A322BE">
            <w:pPr>
              <w:jc w:val="right"/>
              <w:rPr>
                <w:lang w:val="it-IT"/>
              </w:rPr>
            </w:pPr>
          </w:p>
        </w:tc>
      </w:tr>
      <w:tr w:rsidR="00A322BE" w:rsidTr="0033792F">
        <w:tc>
          <w:tcPr>
            <w:tcW w:w="2457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1.5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permanent cessation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8.00</w:t>
            </w:r>
          </w:p>
        </w:tc>
        <w:tc>
          <w:tcPr>
            <w:tcW w:w="84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8.00</w:t>
            </w:r>
          </w:p>
        </w:tc>
        <w:tc>
          <w:tcPr>
            <w:tcW w:w="848" w:type="pct"/>
            <w:shd w:val="clear" w:color="auto" w:fill="auto"/>
          </w:tcPr>
          <w:p w:rsidR="00A322BE" w:rsidRPr="002874F4" w:rsidRDefault="00A322BE" w:rsidP="00A322BE">
            <w:pPr>
              <w:jc w:val="right"/>
              <w:rPr>
                <w:lang w:val="it-IT"/>
              </w:rPr>
            </w:pP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8479"/>
      </w:tblGrid>
      <w:tr w:rsidR="00DC3191" w:rsidTr="00AA1133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t>Union priority</w:t>
            </w:r>
          </w:p>
        </w:tc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Fostering environmentally sustainable, resource efficient, innovative, competitive and knowledge based aquaculture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2"/>
        <w:gridCol w:w="1773"/>
        <w:gridCol w:w="1675"/>
        <w:gridCol w:w="1649"/>
      </w:tblGrid>
      <w:tr w:rsidR="00A322BE" w:rsidTr="0033792F">
        <w:tc>
          <w:tcPr>
            <w:tcW w:w="2441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890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841" w:type="pct"/>
            <w:shd w:val="clear" w:color="auto" w:fill="auto"/>
          </w:tcPr>
          <w:p w:rsidR="00A322BE" w:rsidRPr="007D4C1B" w:rsidRDefault="00A322BE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828" w:type="pct"/>
            <w:shd w:val="clear" w:color="auto" w:fill="auto"/>
          </w:tcPr>
          <w:p w:rsidR="00A322BE" w:rsidRPr="007D4C1B" w:rsidRDefault="00A322BE" w:rsidP="00A322BE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</w:tc>
      </w:tr>
      <w:tr w:rsidR="00A322BE" w:rsidTr="0033792F">
        <w:tc>
          <w:tcPr>
            <w:tcW w:w="2441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89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10,000,000.00</w:t>
            </w:r>
          </w:p>
        </w:tc>
        <w:tc>
          <w:tcPr>
            <w:tcW w:w="841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34,042,100.00</w:t>
            </w:r>
          </w:p>
        </w:tc>
        <w:tc>
          <w:tcPr>
            <w:tcW w:w="828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>
              <w:rPr>
                <w:lang w:val="it-IT"/>
              </w:rPr>
              <w:t>32 916873,64</w:t>
            </w:r>
          </w:p>
        </w:tc>
      </w:tr>
      <w:tr w:rsidR="00A322BE" w:rsidTr="0033792F">
        <w:tc>
          <w:tcPr>
            <w:tcW w:w="2441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2.2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productive investments in aquaculture</w:t>
            </w:r>
          </w:p>
        </w:tc>
        <w:tc>
          <w:tcPr>
            <w:tcW w:w="89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30.00</w:t>
            </w:r>
          </w:p>
        </w:tc>
        <w:tc>
          <w:tcPr>
            <w:tcW w:w="841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70.00</w:t>
            </w:r>
          </w:p>
        </w:tc>
        <w:tc>
          <w:tcPr>
            <w:tcW w:w="828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</w:p>
        </w:tc>
      </w:tr>
      <w:tr w:rsidR="00A322BE" w:rsidTr="0033792F">
        <w:tc>
          <w:tcPr>
            <w:tcW w:w="2441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2.5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promoting human capital of aquaculture in general and of new aquaculture farmers</w:t>
            </w:r>
          </w:p>
        </w:tc>
        <w:tc>
          <w:tcPr>
            <w:tcW w:w="89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7.00</w:t>
            </w:r>
          </w:p>
        </w:tc>
        <w:tc>
          <w:tcPr>
            <w:tcW w:w="841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20.00</w:t>
            </w:r>
          </w:p>
        </w:tc>
        <w:tc>
          <w:tcPr>
            <w:tcW w:w="828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208"/>
      </w:tblGrid>
      <w:tr w:rsidR="00DC3191" w:rsidTr="00AA1133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t>Union priority</w:t>
            </w:r>
          </w:p>
        </w:tc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Fostering the implementation of the CFP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  <w:gridCol w:w="1614"/>
        <w:gridCol w:w="1676"/>
        <w:gridCol w:w="1678"/>
      </w:tblGrid>
      <w:tr w:rsidR="00A322BE" w:rsidTr="0033792F">
        <w:trPr>
          <w:trHeight w:val="725"/>
        </w:trPr>
        <w:tc>
          <w:tcPr>
            <w:tcW w:w="2513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808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839" w:type="pct"/>
            <w:shd w:val="clear" w:color="auto" w:fill="auto"/>
          </w:tcPr>
          <w:p w:rsidR="00A322BE" w:rsidRPr="007D4C1B" w:rsidRDefault="00A322BE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840" w:type="pct"/>
            <w:shd w:val="clear" w:color="auto" w:fill="auto"/>
          </w:tcPr>
          <w:p w:rsidR="00A322BE" w:rsidRPr="007D4C1B" w:rsidRDefault="00A322BE" w:rsidP="00A322BE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</w:tc>
      </w:tr>
      <w:tr w:rsidR="0033792F" w:rsidTr="0033792F">
        <w:trPr>
          <w:trHeight w:val="287"/>
        </w:trPr>
        <w:tc>
          <w:tcPr>
            <w:tcW w:w="2513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80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3,000,000.00</w:t>
            </w:r>
          </w:p>
        </w:tc>
        <w:tc>
          <w:tcPr>
            <w:tcW w:w="839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11,602,340.00</w:t>
            </w:r>
          </w:p>
        </w:tc>
        <w:tc>
          <w:tcPr>
            <w:tcW w:w="840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11,602,340.00</w:t>
            </w:r>
          </w:p>
        </w:tc>
      </w:tr>
      <w:tr w:rsidR="0033792F" w:rsidTr="0033792F">
        <w:trPr>
          <w:trHeight w:val="544"/>
        </w:trPr>
        <w:tc>
          <w:tcPr>
            <w:tcW w:w="2513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3.1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implementing the Union's control, inspections and enforcement system</w:t>
            </w:r>
          </w:p>
        </w:tc>
        <w:tc>
          <w:tcPr>
            <w:tcW w:w="80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12.00</w:t>
            </w:r>
          </w:p>
        </w:tc>
        <w:tc>
          <w:tcPr>
            <w:tcW w:w="839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20.00</w:t>
            </w:r>
          </w:p>
        </w:tc>
        <w:tc>
          <w:tcPr>
            <w:tcW w:w="840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</w:p>
        </w:tc>
      </w:tr>
      <w:tr w:rsidR="0033792F" w:rsidTr="0033792F">
        <w:trPr>
          <w:trHeight w:val="574"/>
        </w:trPr>
        <w:tc>
          <w:tcPr>
            <w:tcW w:w="2513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3.2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supporting the collection, management and use of data</w:t>
            </w:r>
          </w:p>
        </w:tc>
        <w:tc>
          <w:tcPr>
            <w:tcW w:w="80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1.00</w:t>
            </w:r>
          </w:p>
        </w:tc>
        <w:tc>
          <w:tcPr>
            <w:tcW w:w="839" w:type="pct"/>
            <w:shd w:val="clear" w:color="auto" w:fill="auto"/>
          </w:tcPr>
          <w:p w:rsidR="0033792F" w:rsidRPr="002874F4" w:rsidRDefault="0033792F" w:rsidP="00A322BE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2.00</w:t>
            </w:r>
          </w:p>
        </w:tc>
        <w:tc>
          <w:tcPr>
            <w:tcW w:w="840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7459"/>
      </w:tblGrid>
      <w:tr w:rsidR="00DC3191" w:rsidTr="00AA1133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t>Union priority</w:t>
            </w:r>
          </w:p>
        </w:tc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4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Increasing employment and territorial cohesion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3"/>
        <w:gridCol w:w="1772"/>
        <w:gridCol w:w="1678"/>
        <w:gridCol w:w="1584"/>
      </w:tblGrid>
      <w:tr w:rsidR="00A322BE" w:rsidTr="0033792F">
        <w:tc>
          <w:tcPr>
            <w:tcW w:w="2480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887" w:type="pct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840" w:type="pct"/>
            <w:shd w:val="clear" w:color="auto" w:fill="auto"/>
          </w:tcPr>
          <w:p w:rsidR="00A322BE" w:rsidRPr="007D4C1B" w:rsidRDefault="00A322BE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793" w:type="pct"/>
            <w:shd w:val="clear" w:color="auto" w:fill="auto"/>
          </w:tcPr>
          <w:p w:rsidR="00A322BE" w:rsidRPr="007D4C1B" w:rsidRDefault="005E22E6" w:rsidP="00A322BE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</w:tc>
      </w:tr>
      <w:tr w:rsidR="00A322BE" w:rsidTr="0033792F">
        <w:tc>
          <w:tcPr>
            <w:tcW w:w="2480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88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2,270,000.00</w:t>
            </w:r>
          </w:p>
        </w:tc>
        <w:tc>
          <w:tcPr>
            <w:tcW w:w="84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18,963,723.00</w:t>
            </w:r>
          </w:p>
        </w:tc>
        <w:tc>
          <w:tcPr>
            <w:tcW w:w="793" w:type="pct"/>
            <w:shd w:val="clear" w:color="auto" w:fill="auto"/>
          </w:tcPr>
          <w:p w:rsidR="00A322BE" w:rsidRPr="002874F4" w:rsidRDefault="005E22E6" w:rsidP="00A322BE">
            <w:pPr>
              <w:jc w:val="right"/>
              <w:rPr>
                <w:lang w:val="it-IT"/>
              </w:rPr>
            </w:pPr>
            <w:r>
              <w:rPr>
                <w:lang w:val="it-IT"/>
              </w:rPr>
              <w:t>18 579 735,26</w:t>
            </w:r>
          </w:p>
        </w:tc>
      </w:tr>
      <w:tr w:rsidR="00A322BE" w:rsidTr="0033792F">
        <w:tc>
          <w:tcPr>
            <w:tcW w:w="2480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4.1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local development strategies selected</w:t>
            </w:r>
          </w:p>
        </w:tc>
        <w:tc>
          <w:tcPr>
            <w:tcW w:w="88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10.00</w:t>
            </w:r>
          </w:p>
        </w:tc>
        <w:tc>
          <w:tcPr>
            <w:tcW w:w="84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10.00</w:t>
            </w:r>
          </w:p>
        </w:tc>
        <w:tc>
          <w:tcPr>
            <w:tcW w:w="793" w:type="pct"/>
            <w:shd w:val="clear" w:color="auto" w:fill="auto"/>
          </w:tcPr>
          <w:p w:rsidR="00A322BE" w:rsidRPr="002874F4" w:rsidRDefault="00A322BE" w:rsidP="00A322BE">
            <w:pPr>
              <w:jc w:val="right"/>
              <w:rPr>
                <w:lang w:val="it-IT"/>
              </w:rPr>
            </w:pPr>
          </w:p>
        </w:tc>
      </w:tr>
      <w:tr w:rsidR="00A322BE" w:rsidTr="0033792F">
        <w:tc>
          <w:tcPr>
            <w:tcW w:w="2480" w:type="pct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4.2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preparatory support</w:t>
            </w:r>
          </w:p>
        </w:tc>
        <w:tc>
          <w:tcPr>
            <w:tcW w:w="887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8.00</w:t>
            </w:r>
          </w:p>
        </w:tc>
        <w:tc>
          <w:tcPr>
            <w:tcW w:w="840" w:type="pct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8.00</w:t>
            </w:r>
          </w:p>
        </w:tc>
        <w:tc>
          <w:tcPr>
            <w:tcW w:w="793" w:type="pct"/>
            <w:shd w:val="clear" w:color="auto" w:fill="auto"/>
          </w:tcPr>
          <w:p w:rsidR="00A322BE" w:rsidRPr="002874F4" w:rsidRDefault="00A322BE" w:rsidP="00A322BE">
            <w:pPr>
              <w:jc w:val="right"/>
              <w:rPr>
                <w:lang w:val="it-IT"/>
              </w:rPr>
            </w:pP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6969"/>
      </w:tblGrid>
      <w:tr w:rsidR="00DC3191" w:rsidTr="00AA1133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t>Union priority</w:t>
            </w:r>
          </w:p>
        </w:tc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5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Fostering marketing and processing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1"/>
        <w:gridCol w:w="2048"/>
        <w:gridCol w:w="1304"/>
        <w:gridCol w:w="1740"/>
      </w:tblGrid>
      <w:tr w:rsidR="005A1C9B" w:rsidTr="0033792F">
        <w:tc>
          <w:tcPr>
            <w:tcW w:w="2418" w:type="pct"/>
            <w:shd w:val="clear" w:color="auto" w:fill="auto"/>
          </w:tcPr>
          <w:p w:rsidR="005A1C9B" w:rsidRPr="007D4C1B" w:rsidRDefault="005A1C9B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1038" w:type="pct"/>
            <w:shd w:val="clear" w:color="auto" w:fill="auto"/>
          </w:tcPr>
          <w:p w:rsidR="005A1C9B" w:rsidRPr="007D4C1B" w:rsidRDefault="005A1C9B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661" w:type="pct"/>
            <w:shd w:val="clear" w:color="auto" w:fill="auto"/>
          </w:tcPr>
          <w:p w:rsidR="005A1C9B" w:rsidRPr="007D4C1B" w:rsidRDefault="005A1C9B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882" w:type="pct"/>
            <w:shd w:val="clear" w:color="auto" w:fill="auto"/>
          </w:tcPr>
          <w:p w:rsidR="005A1C9B" w:rsidRPr="007D4C1B" w:rsidRDefault="005A1C9B" w:rsidP="005A1C9B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</w:tc>
      </w:tr>
      <w:tr w:rsidR="0033792F" w:rsidTr="0033792F">
        <w:tc>
          <w:tcPr>
            <w:tcW w:w="2418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103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3,500,000.00</w:t>
            </w:r>
          </w:p>
        </w:tc>
        <w:tc>
          <w:tcPr>
            <w:tcW w:w="661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11,295,980.00</w:t>
            </w:r>
          </w:p>
        </w:tc>
        <w:tc>
          <w:tcPr>
            <w:tcW w:w="882" w:type="pct"/>
            <w:shd w:val="clear" w:color="auto" w:fill="auto"/>
          </w:tcPr>
          <w:p w:rsidR="0033792F" w:rsidRPr="002874F4" w:rsidRDefault="0033792F" w:rsidP="005A1C9B">
            <w:pPr>
              <w:jc w:val="right"/>
              <w:rPr>
                <w:lang w:val="it-IT"/>
              </w:rPr>
            </w:pPr>
            <w:r>
              <w:rPr>
                <w:lang w:val="it-IT"/>
              </w:rPr>
              <w:t>13 742868,85</w:t>
            </w:r>
          </w:p>
        </w:tc>
      </w:tr>
      <w:tr w:rsidR="0033792F" w:rsidTr="0033792F">
        <w:tc>
          <w:tcPr>
            <w:tcW w:w="2418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5.1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producers organisations or associations of producers organisations supported for production and marketing plans</w:t>
            </w:r>
          </w:p>
        </w:tc>
        <w:tc>
          <w:tcPr>
            <w:tcW w:w="103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1.00</w:t>
            </w:r>
          </w:p>
        </w:tc>
        <w:tc>
          <w:tcPr>
            <w:tcW w:w="661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2.00</w:t>
            </w:r>
          </w:p>
        </w:tc>
        <w:tc>
          <w:tcPr>
            <w:tcW w:w="882" w:type="pct"/>
            <w:shd w:val="clear" w:color="auto" w:fill="auto"/>
          </w:tcPr>
          <w:p w:rsidR="0033792F" w:rsidRPr="002874F4" w:rsidRDefault="0033792F" w:rsidP="005A1C9B">
            <w:pPr>
              <w:jc w:val="right"/>
              <w:rPr>
                <w:lang w:val="it-IT"/>
              </w:rPr>
            </w:pPr>
          </w:p>
        </w:tc>
      </w:tr>
      <w:tr w:rsidR="0033792F" w:rsidTr="0033792F">
        <w:tc>
          <w:tcPr>
            <w:tcW w:w="2418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5.2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marketing measures and storage aid</w:t>
            </w:r>
          </w:p>
        </w:tc>
        <w:tc>
          <w:tcPr>
            <w:tcW w:w="103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10.00</w:t>
            </w:r>
          </w:p>
        </w:tc>
        <w:tc>
          <w:tcPr>
            <w:tcW w:w="661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30.00</w:t>
            </w:r>
          </w:p>
        </w:tc>
        <w:tc>
          <w:tcPr>
            <w:tcW w:w="882" w:type="pct"/>
            <w:shd w:val="clear" w:color="auto" w:fill="auto"/>
          </w:tcPr>
          <w:p w:rsidR="0033792F" w:rsidRPr="002874F4" w:rsidRDefault="0033792F" w:rsidP="005A1C9B">
            <w:pPr>
              <w:jc w:val="right"/>
              <w:rPr>
                <w:lang w:val="it-IT"/>
              </w:rPr>
            </w:pPr>
          </w:p>
        </w:tc>
      </w:tr>
      <w:tr w:rsidR="0033792F" w:rsidTr="0033792F">
        <w:tc>
          <w:tcPr>
            <w:tcW w:w="2418" w:type="pct"/>
            <w:shd w:val="clear" w:color="auto" w:fill="auto"/>
          </w:tcPr>
          <w:p w:rsidR="0033792F" w:rsidRPr="002874F4" w:rsidRDefault="0033792F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5.3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of projects on processing</w:t>
            </w:r>
          </w:p>
        </w:tc>
        <w:tc>
          <w:tcPr>
            <w:tcW w:w="1038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5.00</w:t>
            </w:r>
          </w:p>
        </w:tc>
        <w:tc>
          <w:tcPr>
            <w:tcW w:w="661" w:type="pct"/>
            <w:shd w:val="clear" w:color="auto" w:fill="auto"/>
          </w:tcPr>
          <w:p w:rsidR="0033792F" w:rsidRPr="002874F4" w:rsidRDefault="0033792F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15.00</w:t>
            </w:r>
          </w:p>
        </w:tc>
        <w:tc>
          <w:tcPr>
            <w:tcW w:w="882" w:type="pct"/>
            <w:shd w:val="clear" w:color="auto" w:fill="auto"/>
          </w:tcPr>
          <w:p w:rsidR="0033792F" w:rsidRPr="002874F4" w:rsidRDefault="0033792F" w:rsidP="005A1C9B">
            <w:pPr>
              <w:jc w:val="right"/>
              <w:rPr>
                <w:lang w:val="it-IT"/>
              </w:rPr>
            </w:pP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7859"/>
      </w:tblGrid>
      <w:tr w:rsidR="00DC3191" w:rsidTr="0033792F">
        <w:tc>
          <w:tcPr>
            <w:tcW w:w="0" w:type="auto"/>
            <w:shd w:val="clear" w:color="auto" w:fill="auto"/>
          </w:tcPr>
          <w:p w:rsidR="00DC3191" w:rsidRPr="002874F4" w:rsidRDefault="00DC3191" w:rsidP="00AA1133">
            <w:pPr>
              <w:rPr>
                <w:b/>
                <w:lang w:val="it-IT"/>
              </w:rPr>
            </w:pPr>
            <w:r w:rsidRPr="002874F4">
              <w:rPr>
                <w:b/>
                <w:noProof/>
                <w:lang w:val="it-IT"/>
              </w:rPr>
              <w:lastRenderedPageBreak/>
              <w:t>Union priority</w:t>
            </w:r>
          </w:p>
        </w:tc>
        <w:tc>
          <w:tcPr>
            <w:tcW w:w="3972" w:type="pct"/>
            <w:shd w:val="clear" w:color="auto" w:fill="auto"/>
          </w:tcPr>
          <w:p w:rsidR="00DC3191" w:rsidRPr="002874F4" w:rsidRDefault="00DC3191" w:rsidP="00AA1133">
            <w:pPr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6</w:t>
            </w:r>
            <w:r w:rsidRPr="002874F4">
              <w:rPr>
                <w:lang w:val="it-IT"/>
              </w:rPr>
              <w:t xml:space="preserve"> - </w:t>
            </w:r>
            <w:r w:rsidRPr="002874F4">
              <w:rPr>
                <w:noProof/>
                <w:lang w:val="it-IT"/>
              </w:rPr>
              <w:t>Fostering the implementation of the Integrated Maritime Policy</w:t>
            </w:r>
          </w:p>
        </w:tc>
      </w:tr>
    </w:tbl>
    <w:p w:rsidR="00DC3191" w:rsidRDefault="00DC3191" w:rsidP="00DC3191">
      <w:pPr>
        <w:rPr>
          <w:lang w:val="it-IT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0"/>
        <w:gridCol w:w="1677"/>
        <w:gridCol w:w="2049"/>
        <w:gridCol w:w="1584"/>
      </w:tblGrid>
      <w:tr w:rsidR="00A322BE" w:rsidTr="00742204">
        <w:tc>
          <w:tcPr>
            <w:tcW w:w="4338" w:type="dxa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Indicator and measurement unit, where appropriate</w:t>
            </w:r>
          </w:p>
        </w:tc>
        <w:tc>
          <w:tcPr>
            <w:tcW w:w="1620" w:type="dxa"/>
            <w:shd w:val="clear" w:color="auto" w:fill="auto"/>
          </w:tcPr>
          <w:p w:rsidR="00A322BE" w:rsidRPr="007D4C1B" w:rsidRDefault="00A322BE" w:rsidP="00AA1133">
            <w:pPr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Milestone for 2018</w:t>
            </w:r>
          </w:p>
        </w:tc>
        <w:tc>
          <w:tcPr>
            <w:tcW w:w="1980" w:type="dxa"/>
            <w:shd w:val="clear" w:color="auto" w:fill="auto"/>
          </w:tcPr>
          <w:p w:rsidR="00A322BE" w:rsidRPr="007D4C1B" w:rsidRDefault="00A322BE" w:rsidP="00AA1133">
            <w:pPr>
              <w:jc w:val="center"/>
              <w:rPr>
                <w:b/>
                <w:lang w:val="it-IT"/>
              </w:rPr>
            </w:pPr>
            <w:r w:rsidRPr="007D4C1B">
              <w:rPr>
                <w:b/>
                <w:noProof/>
                <w:lang w:val="it-IT"/>
              </w:rPr>
              <w:t>Targets for 2023</w:t>
            </w:r>
          </w:p>
        </w:tc>
        <w:tc>
          <w:tcPr>
            <w:tcW w:w="1530" w:type="dxa"/>
            <w:shd w:val="clear" w:color="auto" w:fill="auto"/>
          </w:tcPr>
          <w:p w:rsidR="00A322BE" w:rsidRDefault="005A1C9B">
            <w:pPr>
              <w:spacing w:after="160" w:line="259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New target for 2023</w:t>
            </w:r>
          </w:p>
          <w:p w:rsidR="00A322BE" w:rsidRPr="007D4C1B" w:rsidRDefault="00A322BE" w:rsidP="00A322BE">
            <w:pPr>
              <w:jc w:val="center"/>
              <w:rPr>
                <w:b/>
                <w:lang w:val="it-IT"/>
              </w:rPr>
            </w:pPr>
          </w:p>
        </w:tc>
      </w:tr>
      <w:tr w:rsidR="00A322BE" w:rsidTr="00742204">
        <w:tc>
          <w:tcPr>
            <w:tcW w:w="4338" w:type="dxa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Financial indicator</w:t>
            </w:r>
          </w:p>
        </w:tc>
        <w:tc>
          <w:tcPr>
            <w:tcW w:w="1620" w:type="dxa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500,000.00</w:t>
            </w:r>
          </w:p>
        </w:tc>
        <w:tc>
          <w:tcPr>
            <w:tcW w:w="1980" w:type="dxa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3,100,000.00</w:t>
            </w:r>
          </w:p>
        </w:tc>
        <w:tc>
          <w:tcPr>
            <w:tcW w:w="1530" w:type="dxa"/>
            <w:shd w:val="clear" w:color="auto" w:fill="auto"/>
          </w:tcPr>
          <w:p w:rsidR="00A322BE" w:rsidRPr="002874F4" w:rsidRDefault="002A6ABD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3,100,000.00</w:t>
            </w:r>
          </w:p>
        </w:tc>
      </w:tr>
      <w:tr w:rsidR="00A322BE" w:rsidTr="00742204">
        <w:tc>
          <w:tcPr>
            <w:tcW w:w="4338" w:type="dxa"/>
            <w:shd w:val="clear" w:color="auto" w:fill="auto"/>
          </w:tcPr>
          <w:p w:rsidR="00A322BE" w:rsidRPr="002874F4" w:rsidRDefault="00A322BE" w:rsidP="00AA1133">
            <w:pPr>
              <w:rPr>
                <w:lang w:val="it-IT"/>
              </w:rPr>
            </w:pPr>
            <w:r>
              <w:rPr>
                <w:noProof/>
                <w:lang w:val="it-IT"/>
              </w:rPr>
              <w:t>6.2</w:t>
            </w:r>
            <w:r>
              <w:rPr>
                <w:lang w:val="it-IT"/>
              </w:rPr>
              <w:t xml:space="preserve"> - </w:t>
            </w:r>
            <w:r>
              <w:rPr>
                <w:noProof/>
                <w:lang w:val="it-IT"/>
              </w:rPr>
              <w:t>N° projects on the protection and improvement of knowledge on marine environment</w:t>
            </w:r>
          </w:p>
        </w:tc>
        <w:tc>
          <w:tcPr>
            <w:tcW w:w="1620" w:type="dxa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1.00</w:t>
            </w:r>
          </w:p>
        </w:tc>
        <w:tc>
          <w:tcPr>
            <w:tcW w:w="1980" w:type="dxa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  <w:r w:rsidRPr="002874F4">
              <w:rPr>
                <w:noProof/>
                <w:lang w:val="it-IT"/>
              </w:rPr>
              <w:t>3.00</w:t>
            </w:r>
          </w:p>
        </w:tc>
        <w:tc>
          <w:tcPr>
            <w:tcW w:w="1530" w:type="dxa"/>
            <w:shd w:val="clear" w:color="auto" w:fill="auto"/>
          </w:tcPr>
          <w:p w:rsidR="00A322BE" w:rsidRPr="002874F4" w:rsidRDefault="00A322BE" w:rsidP="00AA1133">
            <w:pPr>
              <w:jc w:val="right"/>
              <w:rPr>
                <w:lang w:val="it-IT"/>
              </w:rPr>
            </w:pPr>
          </w:p>
        </w:tc>
      </w:tr>
    </w:tbl>
    <w:p w:rsidR="00414274" w:rsidRDefault="00414274" w:rsidP="006A2B60">
      <w:pPr>
        <w:ind w:left="60"/>
        <w:jc w:val="both"/>
      </w:pPr>
    </w:p>
    <w:p w:rsidR="00414274" w:rsidRPr="0033792F" w:rsidRDefault="00414274" w:rsidP="0033792F">
      <w:pPr>
        <w:jc w:val="both"/>
        <w:rPr>
          <w:lang w:val="bg-BG"/>
        </w:rPr>
      </w:pPr>
    </w:p>
    <w:p w:rsidR="00414274" w:rsidRPr="0033792F" w:rsidRDefault="00414274" w:rsidP="006A2B60">
      <w:pPr>
        <w:ind w:left="60"/>
        <w:jc w:val="both"/>
      </w:pPr>
    </w:p>
    <w:p w:rsidR="008C03B5" w:rsidRDefault="008C03B5" w:rsidP="006A2B60">
      <w:pPr>
        <w:pStyle w:val="Heading1"/>
        <w:jc w:val="both"/>
      </w:pPr>
      <w:r w:rsidRPr="008C03B5">
        <w:t>Промяна в секция 8.3 „Участие на ЕФМДР по отношение на тематичните цели на ЕСИ фондовете“</w:t>
      </w:r>
    </w:p>
    <w:p w:rsidR="00766CC5" w:rsidRPr="00766CC5" w:rsidRDefault="00766CC5" w:rsidP="00766CC5">
      <w:pPr>
        <w:rPr>
          <w:lang w:val="bg-BG"/>
        </w:rPr>
      </w:pPr>
    </w:p>
    <w:p w:rsidR="008C03B5" w:rsidRDefault="008C03B5" w:rsidP="0033792F">
      <w:pPr>
        <w:jc w:val="both"/>
        <w:rPr>
          <w:lang w:val="bg-BG"/>
        </w:rPr>
      </w:pPr>
      <w:r w:rsidRPr="008C03B5">
        <w:rPr>
          <w:lang w:val="bg-BG"/>
        </w:rPr>
        <w:t>Предложеното изменение на програмата води до промени в приноса на по различните тематични цели към ПМДР, както следва: Тематична цел  03: 1.1, 1.2, 1.7, 1.8(1+3), 2.1, 2.2 (а-г и е-з), 2.3, 5.1 (без промяна в бюджета), 5.3 (без промяна в бюджета), 5.4. Тематична цел 04: 2.2 (к). Тематична цел 06: 1.3(без промяна в бюджета), 1.4, 1.5, 1.6, 1.8 (2), 2.2(д,й,к), 2.4, 2.5, 3.1, 3.2, 6.1, 6.2 (отписана от Програмата) и 6.3.  Тематична цел 08: 4.1 и 4.2.</w:t>
      </w:r>
    </w:p>
    <w:p w:rsidR="00DA77DB" w:rsidRPr="008C03B5" w:rsidRDefault="00DA77DB" w:rsidP="0033792F">
      <w:pPr>
        <w:jc w:val="both"/>
        <w:rPr>
          <w:lang w:val="bg-BG"/>
        </w:rPr>
      </w:pPr>
    </w:p>
    <w:p w:rsidR="008C03B5" w:rsidRPr="008C03B5" w:rsidRDefault="008C03B5" w:rsidP="0033792F">
      <w:pPr>
        <w:jc w:val="both"/>
        <w:rPr>
          <w:lang w:val="bg-BG"/>
        </w:rPr>
      </w:pPr>
      <w:r w:rsidRPr="008C03B5">
        <w:rPr>
          <w:lang w:val="bg-BG"/>
        </w:rPr>
        <w:t xml:space="preserve"> Промяната в приноса на ПМДР към тематични цели 3, 4, 6 и 8 е следната: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3112"/>
        <w:gridCol w:w="3112"/>
        <w:gridCol w:w="3112"/>
      </w:tblGrid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2E0E5A">
              <w:t>Thematic objective</w:t>
            </w:r>
          </w:p>
        </w:tc>
        <w:tc>
          <w:tcPr>
            <w:tcW w:w="3112" w:type="dxa"/>
          </w:tcPr>
          <w:p w:rsidR="00C96C2C" w:rsidRPr="00C96C2C" w:rsidRDefault="00C96C2C" w:rsidP="006A2B60">
            <w:pPr>
              <w:jc w:val="both"/>
              <w:rPr>
                <w:lang w:val="bg-BG"/>
              </w:rPr>
            </w:pPr>
            <w:r w:rsidRPr="002E0E5A">
              <w:t>EMFF contribution, euro</w:t>
            </w:r>
            <w:r>
              <w:rPr>
                <w:lang w:val="bg-BG"/>
              </w:rPr>
              <w:t xml:space="preserve"> (</w:t>
            </w:r>
            <w:r>
              <w:t>current</w:t>
            </w:r>
            <w:r>
              <w:rPr>
                <w:lang w:val="bg-BG"/>
              </w:rPr>
              <w:t>)</w:t>
            </w:r>
          </w:p>
        </w:tc>
        <w:tc>
          <w:tcPr>
            <w:tcW w:w="3112" w:type="dxa"/>
          </w:tcPr>
          <w:p w:rsidR="00C96C2C" w:rsidRPr="00C96C2C" w:rsidRDefault="00C96C2C" w:rsidP="006A2B60">
            <w:pPr>
              <w:jc w:val="both"/>
            </w:pPr>
            <w:r w:rsidRPr="002E0E5A">
              <w:t>EMFF contribution, euro</w:t>
            </w:r>
            <w:r>
              <w:rPr>
                <w:lang w:val="bg-BG"/>
              </w:rPr>
              <w:t xml:space="preserve"> </w:t>
            </w:r>
            <w:r>
              <w:t>(new)</w:t>
            </w:r>
          </w:p>
        </w:tc>
      </w:tr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(3) enhancing the competitiveness of SMEs, of the agricultural sector (for the EAFRD) and of the fishery and aquaculture sector (for the EMFF)</w:t>
            </w: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34,606,447.00</w:t>
            </w:r>
          </w:p>
        </w:tc>
        <w:tc>
          <w:tcPr>
            <w:tcW w:w="3112" w:type="dxa"/>
          </w:tcPr>
          <w:p w:rsidR="00C96C2C" w:rsidRPr="0033792F" w:rsidRDefault="0092104C" w:rsidP="006A2B60">
            <w:pPr>
              <w:jc w:val="both"/>
            </w:pPr>
            <w:r>
              <w:t>39 863 026,81</w:t>
            </w:r>
          </w:p>
        </w:tc>
      </w:tr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(4) supporting the shift towards a low-carbon economy in all sectors;</w:t>
            </w: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969,375.00</w:t>
            </w:r>
          </w:p>
        </w:tc>
        <w:tc>
          <w:tcPr>
            <w:tcW w:w="3112" w:type="dxa"/>
          </w:tcPr>
          <w:p w:rsidR="00C96C2C" w:rsidRPr="0033792F" w:rsidRDefault="0092104C" w:rsidP="006A2B60">
            <w:pPr>
              <w:jc w:val="both"/>
            </w:pPr>
            <w:r>
              <w:t>980 831,25</w:t>
            </w:r>
          </w:p>
        </w:tc>
      </w:tr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(6) preserving and protecting the environment and promoting resource efficiency;</w:t>
            </w: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25,003,741.00</w:t>
            </w:r>
          </w:p>
        </w:tc>
        <w:tc>
          <w:tcPr>
            <w:tcW w:w="3112" w:type="dxa"/>
          </w:tcPr>
          <w:p w:rsidR="00C96C2C" w:rsidRPr="0033792F" w:rsidRDefault="004B236E" w:rsidP="006A2B60">
            <w:pPr>
              <w:jc w:val="both"/>
            </w:pPr>
            <w:r>
              <w:t>20 062 093,71</w:t>
            </w:r>
          </w:p>
        </w:tc>
      </w:tr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(8) promoting sustainable and quality employment and supporting labour mobility.</w:t>
            </w: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D76E8E">
              <w:t>16,119,164.00</w:t>
            </w:r>
          </w:p>
        </w:tc>
        <w:tc>
          <w:tcPr>
            <w:tcW w:w="3112" w:type="dxa"/>
          </w:tcPr>
          <w:p w:rsidR="00C96C2C" w:rsidRPr="0033792F" w:rsidRDefault="004B236E" w:rsidP="006A2B60">
            <w:pPr>
              <w:jc w:val="both"/>
            </w:pPr>
            <w:r>
              <w:t>15 792 774,97</w:t>
            </w:r>
          </w:p>
        </w:tc>
      </w:tr>
      <w:tr w:rsidR="00C96C2C" w:rsidTr="00C96C2C"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</w:p>
        </w:tc>
        <w:tc>
          <w:tcPr>
            <w:tcW w:w="3112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</w:p>
        </w:tc>
      </w:tr>
    </w:tbl>
    <w:p w:rsidR="008C03B5" w:rsidRDefault="008C03B5" w:rsidP="006A2B60">
      <w:pPr>
        <w:ind w:left="60"/>
        <w:jc w:val="both"/>
        <w:rPr>
          <w:lang w:val="bg-BG"/>
        </w:rPr>
      </w:pPr>
    </w:p>
    <w:p w:rsidR="00CE40A8" w:rsidRDefault="00CE40A8" w:rsidP="006A2B60">
      <w:pPr>
        <w:ind w:left="60"/>
        <w:jc w:val="both"/>
        <w:rPr>
          <w:lang w:val="bg-BG"/>
        </w:rPr>
      </w:pPr>
    </w:p>
    <w:p w:rsidR="008C03B5" w:rsidRPr="008C03B5" w:rsidRDefault="008C03B5" w:rsidP="006A2B60">
      <w:pPr>
        <w:ind w:left="60"/>
        <w:jc w:val="both"/>
        <w:rPr>
          <w:lang w:val="bg-BG"/>
        </w:rPr>
      </w:pPr>
    </w:p>
    <w:p w:rsidR="008C03B5" w:rsidRPr="008C03B5" w:rsidRDefault="008C03B5" w:rsidP="006A2B60">
      <w:pPr>
        <w:pStyle w:val="Heading1"/>
        <w:jc w:val="both"/>
      </w:pPr>
      <w:r w:rsidRPr="008C03B5">
        <w:rPr>
          <w:rStyle w:val="Heading1Char"/>
          <w:b/>
        </w:rPr>
        <w:lastRenderedPageBreak/>
        <w:t>Промяна в секция 9.2 „Определяне на ориентировъчния размер на подкрепата за</w:t>
      </w:r>
      <w:r w:rsidRPr="008C03B5">
        <w:t xml:space="preserve"> постигането на целите, свързани със смекчаване и приспособяване към изменението на климата (в съответствие с чл. 18, параграф 1, буква а от Регламент (ЕС) № 508/2014)“ </w:t>
      </w:r>
    </w:p>
    <w:p w:rsidR="00766CC5" w:rsidRDefault="00766CC5" w:rsidP="00766CC5">
      <w:pPr>
        <w:ind w:left="60"/>
        <w:jc w:val="both"/>
        <w:rPr>
          <w:lang w:val="bg-BG"/>
        </w:rPr>
      </w:pPr>
    </w:p>
    <w:p w:rsidR="008C03B5" w:rsidRDefault="008C03B5" w:rsidP="00766CC5">
      <w:pPr>
        <w:ind w:left="60"/>
        <w:jc w:val="both"/>
        <w:rPr>
          <w:lang w:val="bg-BG"/>
        </w:rPr>
      </w:pPr>
      <w:r w:rsidRPr="008C03B5">
        <w:rPr>
          <w:lang w:val="bg-BG"/>
        </w:rPr>
        <w:t xml:space="preserve">Предложеното изменение на </w:t>
      </w:r>
      <w:r w:rsidR="0033792F">
        <w:rPr>
          <w:lang w:val="bg-BG"/>
        </w:rPr>
        <w:t>програмата</w:t>
      </w:r>
      <w:r w:rsidRPr="008C03B5">
        <w:rPr>
          <w:lang w:val="bg-BG"/>
        </w:rPr>
        <w:t xml:space="preserve"> води до промени в приноса на ПМДР към изменението на климата поради пренасочване на бюджетите на следните релевантни мерки от таблица 9.2 на ПМДР</w:t>
      </w:r>
      <w:r w:rsidRPr="00800EDF">
        <w:rPr>
          <w:lang w:val="bg-BG"/>
        </w:rPr>
        <w:t xml:space="preserve">: </w:t>
      </w:r>
      <w:r w:rsidRPr="002B04A5">
        <w:rPr>
          <w:lang w:val="bg-BG"/>
        </w:rPr>
        <w:t>1.4, 1.</w:t>
      </w:r>
      <w:r w:rsidR="00013E2E" w:rsidRPr="002B04A5">
        <w:rPr>
          <w:lang w:val="bg-BG"/>
        </w:rPr>
        <w:t>5</w:t>
      </w:r>
      <w:r w:rsidR="00013E2E" w:rsidRPr="002B04A5">
        <w:t xml:space="preserve"> </w:t>
      </w:r>
      <w:r w:rsidR="00013E2E" w:rsidRPr="002B04A5">
        <w:rPr>
          <w:lang w:val="bg-BG"/>
        </w:rPr>
        <w:t xml:space="preserve">и 4.2 </w:t>
      </w:r>
      <w:r w:rsidR="00800EDF">
        <w:rPr>
          <w:lang w:val="bg-BG"/>
        </w:rPr>
        <w:t xml:space="preserve"> и от друга страна добавянето на бюджет в мярка 1.9</w:t>
      </w:r>
      <w:r w:rsidRPr="008C03B5">
        <w:rPr>
          <w:lang w:val="bg-BG"/>
        </w:rPr>
        <w:t>. Промяната в приноса на ПМДР към изменението на климата е следната:</w:t>
      </w:r>
    </w:p>
    <w:p w:rsidR="00766CC5" w:rsidRDefault="00766CC5" w:rsidP="00766CC5">
      <w:pPr>
        <w:ind w:left="60"/>
        <w:jc w:val="both"/>
        <w:rPr>
          <w:lang w:val="bg-BG"/>
        </w:rPr>
      </w:pP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2335"/>
        <w:gridCol w:w="2335"/>
        <w:gridCol w:w="2333"/>
        <w:gridCol w:w="2333"/>
      </w:tblGrid>
      <w:tr w:rsidR="008C03B5" w:rsidTr="00C96C2C">
        <w:tc>
          <w:tcPr>
            <w:tcW w:w="2335" w:type="dxa"/>
          </w:tcPr>
          <w:p w:rsidR="008C03B5" w:rsidRP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 xml:space="preserve">The indicative EMFF contribution (euro) </w:t>
            </w:r>
          </w:p>
          <w:p w:rsidR="008C03B5" w:rsidRP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>(current)</w:t>
            </w:r>
            <w:r w:rsidRPr="008C03B5">
              <w:rPr>
                <w:lang w:val="bg-BG"/>
              </w:rPr>
              <w:tab/>
            </w:r>
            <w:r w:rsidRPr="008C03B5">
              <w:rPr>
                <w:lang w:val="bg-BG"/>
              </w:rPr>
              <w:tab/>
            </w:r>
          </w:p>
          <w:p w:rsidR="008C03B5" w:rsidRP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ab/>
            </w:r>
          </w:p>
          <w:p w:rsidR="008C03B5" w:rsidRDefault="008C03B5" w:rsidP="006A2B60">
            <w:pPr>
              <w:jc w:val="both"/>
              <w:rPr>
                <w:lang w:val="bg-BG"/>
              </w:rPr>
            </w:pPr>
          </w:p>
        </w:tc>
        <w:tc>
          <w:tcPr>
            <w:tcW w:w="2335" w:type="dxa"/>
          </w:tcPr>
          <w:p w:rsid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>The indicative EMFF contribution (euro) (new)</w:t>
            </w:r>
          </w:p>
        </w:tc>
        <w:tc>
          <w:tcPr>
            <w:tcW w:w="2333" w:type="dxa"/>
          </w:tcPr>
          <w:p w:rsidR="008C03B5" w:rsidRP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 xml:space="preserve">Share of the total EMFF allocation to the operational programme (%) </w:t>
            </w:r>
          </w:p>
          <w:p w:rsid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>(current)</w:t>
            </w:r>
          </w:p>
        </w:tc>
        <w:tc>
          <w:tcPr>
            <w:tcW w:w="2333" w:type="dxa"/>
          </w:tcPr>
          <w:p w:rsidR="008C03B5" w:rsidRDefault="008C03B5" w:rsidP="006A2B60">
            <w:pPr>
              <w:jc w:val="both"/>
              <w:rPr>
                <w:lang w:val="bg-BG"/>
              </w:rPr>
            </w:pPr>
            <w:r w:rsidRPr="008C03B5">
              <w:rPr>
                <w:lang w:val="bg-BG"/>
              </w:rPr>
              <w:t>Share of the total EMFF allocation to the operational programme (%) (new)</w:t>
            </w:r>
          </w:p>
        </w:tc>
      </w:tr>
      <w:tr w:rsidR="00C96C2C" w:rsidTr="00C96C2C">
        <w:tc>
          <w:tcPr>
            <w:tcW w:w="2335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B01112">
              <w:t>11,878,790.52</w:t>
            </w:r>
          </w:p>
        </w:tc>
        <w:tc>
          <w:tcPr>
            <w:tcW w:w="2335" w:type="dxa"/>
          </w:tcPr>
          <w:p w:rsidR="00C96C2C" w:rsidRPr="002B04A5" w:rsidRDefault="00932FE3" w:rsidP="006A2B60">
            <w:pPr>
              <w:jc w:val="both"/>
              <w:rPr>
                <w:lang w:val="bg-BG"/>
              </w:rPr>
            </w:pPr>
            <w:r>
              <w:t>11 524 649,80</w:t>
            </w:r>
          </w:p>
        </w:tc>
        <w:tc>
          <w:tcPr>
            <w:tcW w:w="2333" w:type="dxa"/>
          </w:tcPr>
          <w:p w:rsidR="00C96C2C" w:rsidRDefault="00C96C2C" w:rsidP="006A2B60">
            <w:pPr>
              <w:jc w:val="both"/>
              <w:rPr>
                <w:lang w:val="bg-BG"/>
              </w:rPr>
            </w:pPr>
            <w:r w:rsidRPr="00B01112">
              <w:t>14.70 %</w:t>
            </w:r>
          </w:p>
        </w:tc>
        <w:tc>
          <w:tcPr>
            <w:tcW w:w="2333" w:type="dxa"/>
          </w:tcPr>
          <w:p w:rsidR="00C96C2C" w:rsidRPr="002B04A5" w:rsidRDefault="00932FE3" w:rsidP="006A2B60">
            <w:pPr>
              <w:jc w:val="both"/>
              <w:rPr>
                <w:lang w:val="bg-BG"/>
              </w:rPr>
            </w:pPr>
            <w:r>
              <w:t>14,26 %</w:t>
            </w:r>
          </w:p>
        </w:tc>
      </w:tr>
    </w:tbl>
    <w:p w:rsidR="008C03B5" w:rsidRPr="008C03B5" w:rsidRDefault="008C03B5" w:rsidP="006A2B60">
      <w:pPr>
        <w:ind w:left="60"/>
        <w:jc w:val="both"/>
        <w:rPr>
          <w:lang w:val="bg-BG"/>
        </w:rPr>
      </w:pPr>
    </w:p>
    <w:p w:rsidR="00766CC5" w:rsidRDefault="00766CC5" w:rsidP="00766CC5">
      <w:pPr>
        <w:pStyle w:val="Heading1"/>
        <w:numPr>
          <w:ilvl w:val="0"/>
          <w:numId w:val="0"/>
        </w:numPr>
        <w:ind w:left="432"/>
        <w:jc w:val="both"/>
      </w:pPr>
    </w:p>
    <w:p w:rsidR="008C03B5" w:rsidRDefault="008C03B5" w:rsidP="006A2B60">
      <w:pPr>
        <w:pStyle w:val="Heading1"/>
        <w:jc w:val="both"/>
      </w:pPr>
      <w:r w:rsidRPr="008C03B5">
        <w:t>Промяна в Приложение III към ПМДР</w:t>
      </w:r>
    </w:p>
    <w:p w:rsidR="00766CC5" w:rsidRPr="00766CC5" w:rsidRDefault="00766CC5" w:rsidP="00766CC5">
      <w:pPr>
        <w:rPr>
          <w:lang w:val="bg-BG"/>
        </w:rPr>
      </w:pPr>
    </w:p>
    <w:p w:rsidR="008C03B5" w:rsidRPr="008C03B5" w:rsidRDefault="008C03B5" w:rsidP="006A2B60">
      <w:pPr>
        <w:ind w:left="60"/>
        <w:jc w:val="both"/>
        <w:rPr>
          <w:lang w:val="bg-BG"/>
        </w:rPr>
      </w:pPr>
      <w:r w:rsidRPr="008C03B5">
        <w:rPr>
          <w:lang w:val="bg-BG"/>
        </w:rPr>
        <w:t xml:space="preserve"> В приложение III са нанесени промени, касаещи звената, отговорни за прилагането и изпълнението на ПМДР 2014-2020, с настъпили законодателни промени е сменен отговорен одитен орган от ИА ОСЕС на ИА СОСЕЗФ, а ИАРА не е второ междинно звено. Съгласно промененото Споразумение за делегиране на функции по прилагане на програма за морско дело и рибарство 2014 - 2020 г. между УО на МДР и ДФЗ-РА през септември 2019 г. свързано с делегиране и на функция – мониторинг на проектните предложения са нанесени съответните промени и в приложението.</w:t>
      </w:r>
    </w:p>
    <w:p w:rsidR="008C03B5" w:rsidRPr="001B7102" w:rsidRDefault="008C03B5" w:rsidP="006A2B60">
      <w:pPr>
        <w:ind w:left="60"/>
        <w:jc w:val="both"/>
        <w:rPr>
          <w:lang w:val="bg-BG"/>
        </w:rPr>
      </w:pPr>
    </w:p>
    <w:sectPr w:rsidR="008C03B5" w:rsidRPr="001B7102" w:rsidSect="00F34C02">
      <w:footerReference w:type="default" r:id="rId9"/>
      <w:pgSz w:w="12240" w:h="15840"/>
      <w:pgMar w:top="1417" w:right="108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87" w:rsidRDefault="004C0C87" w:rsidP="00B159F6">
      <w:r>
        <w:separator/>
      </w:r>
    </w:p>
  </w:endnote>
  <w:endnote w:type="continuationSeparator" w:id="0">
    <w:p w:rsidR="004C0C87" w:rsidRDefault="004C0C87" w:rsidP="00B1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7722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A1133" w:rsidRPr="00F308DE" w:rsidRDefault="00AA1133" w:rsidP="00F308DE">
            <w:pPr>
              <w:pStyle w:val="Footer"/>
              <w:jc w:val="right"/>
            </w:pPr>
            <w:r w:rsidRPr="00F308DE">
              <w:rPr>
                <w:lang w:val="bg-BG"/>
              </w:rPr>
              <w:t>Стр</w:t>
            </w:r>
            <w:r w:rsidRPr="00F308DE">
              <w:t xml:space="preserve"> </w:t>
            </w:r>
            <w:r w:rsidRPr="00F308DE">
              <w:rPr>
                <w:b/>
                <w:bCs/>
              </w:rPr>
              <w:fldChar w:fldCharType="begin"/>
            </w:r>
            <w:r w:rsidRPr="00F308DE">
              <w:rPr>
                <w:b/>
                <w:bCs/>
              </w:rPr>
              <w:instrText xml:space="preserve"> PAGE </w:instrText>
            </w:r>
            <w:r w:rsidRPr="00F308DE">
              <w:rPr>
                <w:b/>
                <w:bCs/>
              </w:rPr>
              <w:fldChar w:fldCharType="separate"/>
            </w:r>
            <w:r w:rsidR="001A52AF">
              <w:rPr>
                <w:b/>
                <w:bCs/>
                <w:noProof/>
              </w:rPr>
              <w:t>4</w:t>
            </w:r>
            <w:r w:rsidRPr="00F308DE">
              <w:rPr>
                <w:b/>
                <w:bCs/>
              </w:rPr>
              <w:fldChar w:fldCharType="end"/>
            </w:r>
            <w:r w:rsidRPr="00F308DE">
              <w:t xml:space="preserve"> </w:t>
            </w:r>
            <w:r w:rsidRPr="00F308DE">
              <w:rPr>
                <w:lang w:val="bg-BG"/>
              </w:rPr>
              <w:t>от</w:t>
            </w:r>
            <w:r w:rsidRPr="00F308DE">
              <w:t xml:space="preserve"> </w:t>
            </w:r>
            <w:r w:rsidRPr="00F308DE">
              <w:rPr>
                <w:b/>
                <w:bCs/>
              </w:rPr>
              <w:fldChar w:fldCharType="begin"/>
            </w:r>
            <w:r w:rsidRPr="00F308DE">
              <w:rPr>
                <w:b/>
                <w:bCs/>
              </w:rPr>
              <w:instrText xml:space="preserve"> NUMPAGES  </w:instrText>
            </w:r>
            <w:r w:rsidRPr="00F308DE">
              <w:rPr>
                <w:b/>
                <w:bCs/>
              </w:rPr>
              <w:fldChar w:fldCharType="separate"/>
            </w:r>
            <w:r w:rsidR="001A52AF">
              <w:rPr>
                <w:b/>
                <w:bCs/>
                <w:noProof/>
              </w:rPr>
              <w:t>12</w:t>
            </w:r>
            <w:r w:rsidRPr="00F308DE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87" w:rsidRDefault="004C0C87" w:rsidP="00B159F6">
      <w:r>
        <w:separator/>
      </w:r>
    </w:p>
  </w:footnote>
  <w:footnote w:type="continuationSeparator" w:id="0">
    <w:p w:rsidR="004C0C87" w:rsidRDefault="004C0C87" w:rsidP="00B159F6">
      <w:r>
        <w:continuationSeparator/>
      </w:r>
    </w:p>
  </w:footnote>
  <w:footnote w:id="1">
    <w:p w:rsidR="00AA1133" w:rsidRPr="00D939D1" w:rsidRDefault="00AA1133">
      <w:pPr>
        <w:pStyle w:val="FootnoteText"/>
        <w:rPr>
          <w:lang w:val="en-US"/>
        </w:rPr>
      </w:pPr>
      <w:r w:rsidRPr="00D939D1">
        <w:rPr>
          <w:rStyle w:val="FootnoteReference"/>
        </w:rPr>
        <w:footnoteRef/>
      </w:r>
      <w:r w:rsidRPr="00D939D1">
        <w:t xml:space="preserve"> </w:t>
      </w:r>
      <w:r w:rsidR="00354668">
        <w:t xml:space="preserve">Изпратено запитване до всички заинтересовани браншови лица и групи и получено Писмо от </w:t>
      </w:r>
      <w:r w:rsidR="00354668" w:rsidRPr="00354668">
        <w:t>"Асоциация на производителите на риба и рибни продукти БГ Фиш"</w:t>
      </w:r>
      <w:r w:rsidR="00354668">
        <w:t>.</w:t>
      </w:r>
    </w:p>
  </w:footnote>
  <w:footnote w:id="2">
    <w:p w:rsidR="00AA1133" w:rsidRPr="001762AC" w:rsidRDefault="00AA1133">
      <w:pPr>
        <w:pStyle w:val="FootnoteText"/>
      </w:pPr>
      <w:r w:rsidRPr="00D939D1">
        <w:rPr>
          <w:rStyle w:val="FootnoteReference"/>
        </w:rPr>
        <w:footnoteRef/>
      </w:r>
      <w:r w:rsidRPr="00D939D1">
        <w:t xml:space="preserve"> </w:t>
      </w:r>
      <w:r>
        <w:t>Официална информация за активните кораби и техните улови за последните 2 години, предоставена от ИАРА на 05.05.2020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559"/>
    <w:multiLevelType w:val="hybridMultilevel"/>
    <w:tmpl w:val="1AA0B0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7C7E11"/>
    <w:multiLevelType w:val="hybridMultilevel"/>
    <w:tmpl w:val="8AFE96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116CD"/>
    <w:multiLevelType w:val="hybridMultilevel"/>
    <w:tmpl w:val="7CE25E5A"/>
    <w:lvl w:ilvl="0" w:tplc="257682C8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23363F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C6EF7"/>
    <w:multiLevelType w:val="hybridMultilevel"/>
    <w:tmpl w:val="8A8233E2"/>
    <w:lvl w:ilvl="0" w:tplc="08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5BA57F8A"/>
    <w:multiLevelType w:val="multilevel"/>
    <w:tmpl w:val="54F0162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0293262"/>
    <w:multiLevelType w:val="hybridMultilevel"/>
    <w:tmpl w:val="2F9037D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F51144B"/>
    <w:multiLevelType w:val="hybridMultilevel"/>
    <w:tmpl w:val="787CB45A"/>
    <w:lvl w:ilvl="0" w:tplc="29C4AE5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82"/>
    <w:rsid w:val="00013E2E"/>
    <w:rsid w:val="00017B48"/>
    <w:rsid w:val="00021E5F"/>
    <w:rsid w:val="00054501"/>
    <w:rsid w:val="000661E9"/>
    <w:rsid w:val="000B53BB"/>
    <w:rsid w:val="000B6339"/>
    <w:rsid w:val="000C64A3"/>
    <w:rsid w:val="000E547F"/>
    <w:rsid w:val="0011429B"/>
    <w:rsid w:val="00121B9E"/>
    <w:rsid w:val="00126784"/>
    <w:rsid w:val="001762AC"/>
    <w:rsid w:val="00190119"/>
    <w:rsid w:val="001A52AF"/>
    <w:rsid w:val="001B7102"/>
    <w:rsid w:val="00203ACD"/>
    <w:rsid w:val="00226F8F"/>
    <w:rsid w:val="002400AA"/>
    <w:rsid w:val="002810B4"/>
    <w:rsid w:val="00286A0F"/>
    <w:rsid w:val="002A6ABD"/>
    <w:rsid w:val="002B04A5"/>
    <w:rsid w:val="002D0633"/>
    <w:rsid w:val="002E1FE4"/>
    <w:rsid w:val="002E5409"/>
    <w:rsid w:val="002F0175"/>
    <w:rsid w:val="002F34EB"/>
    <w:rsid w:val="003055B5"/>
    <w:rsid w:val="0030778C"/>
    <w:rsid w:val="00313934"/>
    <w:rsid w:val="0033792F"/>
    <w:rsid w:val="00354668"/>
    <w:rsid w:val="003716C1"/>
    <w:rsid w:val="003865D6"/>
    <w:rsid w:val="003A3518"/>
    <w:rsid w:val="003E7A38"/>
    <w:rsid w:val="00414274"/>
    <w:rsid w:val="00421908"/>
    <w:rsid w:val="004308C3"/>
    <w:rsid w:val="00432BE4"/>
    <w:rsid w:val="0044174F"/>
    <w:rsid w:val="00454CF2"/>
    <w:rsid w:val="004748B3"/>
    <w:rsid w:val="004A4BDD"/>
    <w:rsid w:val="004B236E"/>
    <w:rsid w:val="004C0C87"/>
    <w:rsid w:val="004C4C7F"/>
    <w:rsid w:val="004C68DF"/>
    <w:rsid w:val="004C7122"/>
    <w:rsid w:val="005151F9"/>
    <w:rsid w:val="00522E7D"/>
    <w:rsid w:val="00542F54"/>
    <w:rsid w:val="005806FA"/>
    <w:rsid w:val="0058142E"/>
    <w:rsid w:val="005A1C9B"/>
    <w:rsid w:val="005E22E6"/>
    <w:rsid w:val="006617EA"/>
    <w:rsid w:val="00676824"/>
    <w:rsid w:val="006A2B60"/>
    <w:rsid w:val="006C58B4"/>
    <w:rsid w:val="006F1113"/>
    <w:rsid w:val="007374C2"/>
    <w:rsid w:val="00742204"/>
    <w:rsid w:val="007457EB"/>
    <w:rsid w:val="00766CC5"/>
    <w:rsid w:val="0078743D"/>
    <w:rsid w:val="00791984"/>
    <w:rsid w:val="007B58B0"/>
    <w:rsid w:val="007E4346"/>
    <w:rsid w:val="00800EDF"/>
    <w:rsid w:val="00821D38"/>
    <w:rsid w:val="00827C62"/>
    <w:rsid w:val="00863CED"/>
    <w:rsid w:val="00871585"/>
    <w:rsid w:val="008A7E23"/>
    <w:rsid w:val="008B153A"/>
    <w:rsid w:val="008B705E"/>
    <w:rsid w:val="008C03B5"/>
    <w:rsid w:val="008F00F2"/>
    <w:rsid w:val="00902FFA"/>
    <w:rsid w:val="0092104C"/>
    <w:rsid w:val="00932FE3"/>
    <w:rsid w:val="00994134"/>
    <w:rsid w:val="009B03FC"/>
    <w:rsid w:val="009B51DB"/>
    <w:rsid w:val="00A0077C"/>
    <w:rsid w:val="00A10982"/>
    <w:rsid w:val="00A322BE"/>
    <w:rsid w:val="00A57C9E"/>
    <w:rsid w:val="00AA1133"/>
    <w:rsid w:val="00AC3137"/>
    <w:rsid w:val="00AF05C3"/>
    <w:rsid w:val="00B13B98"/>
    <w:rsid w:val="00B159F6"/>
    <w:rsid w:val="00B24EFD"/>
    <w:rsid w:val="00B4561B"/>
    <w:rsid w:val="00B5193E"/>
    <w:rsid w:val="00B559BA"/>
    <w:rsid w:val="00BA4953"/>
    <w:rsid w:val="00BF67C7"/>
    <w:rsid w:val="00C01947"/>
    <w:rsid w:val="00C1249A"/>
    <w:rsid w:val="00C15BD6"/>
    <w:rsid w:val="00C4629A"/>
    <w:rsid w:val="00C506AA"/>
    <w:rsid w:val="00C573FE"/>
    <w:rsid w:val="00C706CD"/>
    <w:rsid w:val="00C96C2C"/>
    <w:rsid w:val="00CA0CC3"/>
    <w:rsid w:val="00CE40A8"/>
    <w:rsid w:val="00D075C2"/>
    <w:rsid w:val="00D30778"/>
    <w:rsid w:val="00D85611"/>
    <w:rsid w:val="00D939D1"/>
    <w:rsid w:val="00DA4228"/>
    <w:rsid w:val="00DA612D"/>
    <w:rsid w:val="00DA709A"/>
    <w:rsid w:val="00DA77DB"/>
    <w:rsid w:val="00DB5E1B"/>
    <w:rsid w:val="00DB775A"/>
    <w:rsid w:val="00DC3191"/>
    <w:rsid w:val="00DC3A95"/>
    <w:rsid w:val="00DC7A96"/>
    <w:rsid w:val="00E24952"/>
    <w:rsid w:val="00E24FA7"/>
    <w:rsid w:val="00E678DF"/>
    <w:rsid w:val="00E70A40"/>
    <w:rsid w:val="00E73F7C"/>
    <w:rsid w:val="00E740D3"/>
    <w:rsid w:val="00EA3DA1"/>
    <w:rsid w:val="00EE153F"/>
    <w:rsid w:val="00EF34B8"/>
    <w:rsid w:val="00F2089C"/>
    <w:rsid w:val="00F308DE"/>
    <w:rsid w:val="00F34C02"/>
    <w:rsid w:val="00F37EA8"/>
    <w:rsid w:val="00F50D54"/>
    <w:rsid w:val="00F63FCD"/>
    <w:rsid w:val="00F85266"/>
    <w:rsid w:val="00FA02AA"/>
    <w:rsid w:val="00FA093F"/>
    <w:rsid w:val="00FB4DB1"/>
    <w:rsid w:val="00FE50B7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B05F9"/>
  <w15:docId w15:val="{EF394D9F-2806-455C-8135-3030F42D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06FA"/>
    <w:pPr>
      <w:numPr>
        <w:numId w:val="3"/>
      </w:numPr>
      <w:outlineLvl w:val="0"/>
    </w:pPr>
    <w:rPr>
      <w:b/>
      <w:noProof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39D1"/>
    <w:pPr>
      <w:numPr>
        <w:ilvl w:val="1"/>
        <w:numId w:val="3"/>
      </w:numPr>
      <w:ind w:right="-283"/>
      <w:contextualSpacing/>
      <w:outlineLvl w:val="1"/>
    </w:pPr>
    <w:rPr>
      <w:rFonts w:eastAsiaTheme="majorEastAsia"/>
      <w:i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4EFD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82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82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82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82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82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82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6FA"/>
    <w:rPr>
      <w:rFonts w:ascii="Times New Roman" w:hAnsi="Times New Roman" w:cs="Times New Roman"/>
      <w:b/>
      <w:noProof/>
      <w:sz w:val="28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E24F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07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7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7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7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77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07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7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939D1"/>
    <w:rPr>
      <w:rFonts w:ascii="Times New Roman" w:eastAsiaTheme="majorEastAsia" w:hAnsi="Times New Roman" w:cs="Times New Roman"/>
      <w:i/>
      <w:sz w:val="24"/>
      <w:szCs w:val="24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B24E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B24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6768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8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8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8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8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8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59F6"/>
    <w:pPr>
      <w:jc w:val="both"/>
    </w:pPr>
    <w:rPr>
      <w:noProof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59F6"/>
    <w:rPr>
      <w:rFonts w:ascii="Times New Roman" w:hAnsi="Times New Roman" w:cs="Times New Roman"/>
      <w:noProof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159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308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8DE"/>
  </w:style>
  <w:style w:type="paragraph" w:styleId="Footer">
    <w:name w:val="footer"/>
    <w:basedOn w:val="Normal"/>
    <w:link w:val="FooterChar"/>
    <w:uiPriority w:val="99"/>
    <w:unhideWhenUsed/>
    <w:rsid w:val="00F308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C9FD1-835C-400C-B9DC-49BC302C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3981</Words>
  <Characters>22695</Characters>
  <Application>Microsoft Office Word</Application>
  <DocSecurity>0</DocSecurity>
  <Lines>189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Krasimira Dankova</cp:lastModifiedBy>
  <cp:revision>47</cp:revision>
  <dcterms:created xsi:type="dcterms:W3CDTF">2020-05-07T07:17:00Z</dcterms:created>
  <dcterms:modified xsi:type="dcterms:W3CDTF">2020-05-07T10:54:00Z</dcterms:modified>
</cp:coreProperties>
</file>