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97F4A8" w14:textId="77777777" w:rsidR="00E67BF2" w:rsidRPr="00D33D68" w:rsidRDefault="00E67BF2" w:rsidP="00591849">
      <w:pPr>
        <w:pStyle w:val="Heading1"/>
        <w:rPr>
          <w:b/>
          <w:sz w:val="24"/>
        </w:rPr>
      </w:pPr>
      <w:r w:rsidRPr="00D33D68">
        <w:rPr>
          <w:b/>
          <w:sz w:val="24"/>
        </w:rPr>
        <w:t xml:space="preserve">Обосновка за изменение на </w:t>
      </w:r>
      <w:r w:rsidR="00F27B8A" w:rsidRPr="00D33D68">
        <w:rPr>
          <w:b/>
          <w:sz w:val="24"/>
        </w:rPr>
        <w:t>ПМДР 2014-2020</w:t>
      </w:r>
    </w:p>
    <w:p w14:paraId="1B91D548" w14:textId="77777777" w:rsidR="0052662C" w:rsidRPr="00D33D68" w:rsidRDefault="00BA6332" w:rsidP="00E80DDF">
      <w:pPr>
        <w:pStyle w:val="Heading2"/>
        <w:rPr>
          <w:rFonts w:ascii="Times New Roman" w:hAnsi="Times New Roman" w:cs="Times New Roman"/>
        </w:rPr>
      </w:pPr>
      <w:r w:rsidRPr="00D33D68">
        <w:rPr>
          <w:rFonts w:ascii="Times New Roman" w:hAnsi="Times New Roman" w:cs="Times New Roman"/>
        </w:rPr>
        <w:t>П</w:t>
      </w:r>
      <w:r w:rsidR="00663796" w:rsidRPr="00D33D68">
        <w:rPr>
          <w:rFonts w:ascii="Times New Roman" w:hAnsi="Times New Roman" w:cs="Times New Roman"/>
        </w:rPr>
        <w:t>ренасочване</w:t>
      </w:r>
      <w:r w:rsidR="0052662C" w:rsidRPr="00D33D68">
        <w:rPr>
          <w:rFonts w:ascii="Times New Roman" w:hAnsi="Times New Roman" w:cs="Times New Roman"/>
        </w:rPr>
        <w:t xml:space="preserve"> на бюджетите </w:t>
      </w:r>
      <w:r w:rsidR="009F2AEA" w:rsidRPr="00D33D68">
        <w:rPr>
          <w:rFonts w:ascii="Times New Roman" w:hAnsi="Times New Roman" w:cs="Times New Roman"/>
        </w:rPr>
        <w:t>по</w:t>
      </w:r>
      <w:r w:rsidR="00CA308C" w:rsidRPr="00D33D68">
        <w:rPr>
          <w:rFonts w:ascii="Times New Roman" w:hAnsi="Times New Roman" w:cs="Times New Roman"/>
        </w:rPr>
        <w:t xml:space="preserve"> Приоритети на Съюза</w:t>
      </w:r>
    </w:p>
    <w:p w14:paraId="44AFF58F" w14:textId="48560B35" w:rsidR="00A963CE" w:rsidRPr="00D33D68" w:rsidRDefault="00A963CE" w:rsidP="00655182">
      <w:pPr>
        <w:pStyle w:val="Heading3"/>
        <w:rPr>
          <w:rFonts w:ascii="Times New Roman" w:hAnsi="Times New Roman" w:cs="Times New Roman"/>
          <w:sz w:val="24"/>
          <w:szCs w:val="24"/>
          <w:lang w:val="bg-BG"/>
        </w:rPr>
      </w:pPr>
      <w:r w:rsidRPr="00D33D68">
        <w:rPr>
          <w:rFonts w:ascii="Times New Roman" w:hAnsi="Times New Roman" w:cs="Times New Roman"/>
          <w:sz w:val="24"/>
          <w:szCs w:val="24"/>
          <w:lang w:val="bg-BG"/>
        </w:rPr>
        <w:t xml:space="preserve">По </w:t>
      </w:r>
      <w:r w:rsidR="007D6A24" w:rsidRPr="00D33D68">
        <w:rPr>
          <w:rFonts w:ascii="Times New Roman" w:hAnsi="Times New Roman" w:cs="Times New Roman"/>
          <w:sz w:val="24"/>
          <w:szCs w:val="24"/>
          <w:lang w:val="bg-BG"/>
        </w:rPr>
        <w:t>ПС</w:t>
      </w:r>
      <w:r w:rsidRPr="00D33D68">
        <w:rPr>
          <w:rFonts w:ascii="Times New Roman" w:hAnsi="Times New Roman" w:cs="Times New Roman"/>
          <w:sz w:val="24"/>
          <w:szCs w:val="24"/>
          <w:lang w:val="bg-BG"/>
        </w:rPr>
        <w:t xml:space="preserve"> 1</w:t>
      </w:r>
      <w:r w:rsidR="00655182" w:rsidRPr="00D33D68">
        <w:rPr>
          <w:rFonts w:ascii="Times New Roman" w:hAnsi="Times New Roman" w:cs="Times New Roman"/>
          <w:sz w:val="24"/>
          <w:szCs w:val="24"/>
          <w:lang w:val="bg-BG"/>
        </w:rPr>
        <w:t xml:space="preserve">  „Насърчаване на устойчиво в екологично отношение, иновативно, конкурентоспособно и основано на знания рибарство, характеризиращо се с ефективно използване на ресурсите“</w:t>
      </w:r>
    </w:p>
    <w:p w14:paraId="2D6C56F3" w14:textId="5DD74B35" w:rsidR="00663796" w:rsidRPr="00D33D68" w:rsidRDefault="00BA2013" w:rsidP="00663796">
      <w:r w:rsidRPr="00D33D68">
        <w:t xml:space="preserve">УО </w:t>
      </w:r>
      <w:r w:rsidR="008974BC" w:rsidRPr="00D33D68">
        <w:t xml:space="preserve">идентифицира много нисък интерес към повечето мерки по ПС 1 – от 1.1 до 1.7. </w:t>
      </w:r>
      <w:r w:rsidR="00083AAC" w:rsidRPr="00D33D68">
        <w:t>Този нисък интерес</w:t>
      </w:r>
      <w:r w:rsidR="004701F7" w:rsidRPr="00D33D68">
        <w:t xml:space="preserve"> от потенциалните бенефициенти</w:t>
      </w:r>
      <w:r w:rsidR="00083AAC" w:rsidRPr="00D33D68">
        <w:t xml:space="preserve"> се дължи на </w:t>
      </w:r>
      <w:r w:rsidR="006F2B26" w:rsidRPr="00D33D68">
        <w:t>нерентабилност</w:t>
      </w:r>
      <w:r w:rsidR="00AD49E4" w:rsidRPr="00D33D68">
        <w:t>та</w:t>
      </w:r>
      <w:r w:rsidR="006F2B26" w:rsidRPr="00D33D68">
        <w:t xml:space="preserve"> на </w:t>
      </w:r>
      <w:r w:rsidR="00AD49E4" w:rsidRPr="00D33D68">
        <w:t>риболовната дейност</w:t>
      </w:r>
      <w:r w:rsidR="006F046D" w:rsidRPr="00D33D68">
        <w:t>,</w:t>
      </w:r>
      <w:r w:rsidR="00AB1960" w:rsidRPr="00D33D68">
        <w:rPr>
          <w:rStyle w:val="FootnoteReference"/>
        </w:rPr>
        <w:footnoteReference w:id="1"/>
      </w:r>
      <w:r w:rsidR="006F046D" w:rsidRPr="00D33D68">
        <w:t xml:space="preserve"> невъзможност да се осигурят нужните средства за самоучастие,</w:t>
      </w:r>
      <w:r w:rsidR="00AC0B4D" w:rsidRPr="00D33D68">
        <w:rPr>
          <w:rStyle w:val="FootnoteReference"/>
        </w:rPr>
        <w:footnoteReference w:id="2"/>
      </w:r>
      <w:r w:rsidR="00722906" w:rsidRPr="00D33D68">
        <w:t xml:space="preserve"> </w:t>
      </w:r>
      <w:r w:rsidR="00A16618" w:rsidRPr="00D33D68">
        <w:t>ниско ниво на администрат</w:t>
      </w:r>
      <w:r w:rsidR="005E4071" w:rsidRPr="00D33D68">
        <w:t>ивна готовност да се използва ИСУН</w:t>
      </w:r>
      <w:r w:rsidR="00A16618" w:rsidRPr="00D33D68">
        <w:t>,</w:t>
      </w:r>
      <w:r w:rsidR="005E4071" w:rsidRPr="00D33D68">
        <w:rPr>
          <w:rStyle w:val="FootnoteReference"/>
        </w:rPr>
        <w:footnoteReference w:id="3"/>
      </w:r>
      <w:r w:rsidR="00A16618" w:rsidRPr="00D33D68">
        <w:t xml:space="preserve"> </w:t>
      </w:r>
      <w:r w:rsidR="003E4DA9" w:rsidRPr="00D33D68">
        <w:t>липса на изградена достатъчно надеждна пристанищна и обслужваща инфраструктура,</w:t>
      </w:r>
      <w:r w:rsidR="003E4DA9" w:rsidRPr="00D33D68">
        <w:rPr>
          <w:rStyle w:val="FootnoteReference"/>
        </w:rPr>
        <w:footnoteReference w:id="4"/>
      </w:r>
      <w:r w:rsidR="003E4DA9" w:rsidRPr="00D33D68">
        <w:t xml:space="preserve"> </w:t>
      </w:r>
      <w:r w:rsidR="00105B0A" w:rsidRPr="00D33D68">
        <w:t>намаляващ интерес към риболовни дейности</w:t>
      </w:r>
      <w:r w:rsidR="007019E0" w:rsidRPr="00D33D68">
        <w:t xml:space="preserve"> като цяло</w:t>
      </w:r>
      <w:r w:rsidR="00C059D9" w:rsidRPr="00D33D68">
        <w:rPr>
          <w:rStyle w:val="FootnoteReference"/>
        </w:rPr>
        <w:footnoteReference w:id="5"/>
      </w:r>
      <w:r w:rsidR="00722906" w:rsidRPr="00D33D68">
        <w:t>.</w:t>
      </w:r>
      <w:r w:rsidR="00352638" w:rsidRPr="00D33D68">
        <w:t xml:space="preserve"> За разлика от тези мерки, мярка 1.8 се радва на висок интерес</w:t>
      </w:r>
      <w:r w:rsidR="001F725A" w:rsidRPr="00D33D68">
        <w:t xml:space="preserve"> поради </w:t>
      </w:r>
      <w:r w:rsidR="00C05B0E" w:rsidRPr="00D33D68">
        <w:t xml:space="preserve">горепосочената нужда от </w:t>
      </w:r>
      <w:r w:rsidR="00CA7803" w:rsidRPr="00D33D68">
        <w:t xml:space="preserve">модернизация и </w:t>
      </w:r>
      <w:r w:rsidR="00C05B0E" w:rsidRPr="00D33D68">
        <w:t>изграждане на достатъчно надеждна пристанищна и обслужваща инфраструктура</w:t>
      </w:r>
      <w:r w:rsidR="00F37A9C" w:rsidRPr="00D33D68">
        <w:t xml:space="preserve"> и виден от високия процент </w:t>
      </w:r>
      <w:r w:rsidR="00CD446A" w:rsidRPr="00D33D68">
        <w:t>ангажирани</w:t>
      </w:r>
      <w:r w:rsidR="00F37A9C" w:rsidRPr="00D33D68">
        <w:t xml:space="preserve"> средства (</w:t>
      </w:r>
      <w:r w:rsidR="00C70673" w:rsidRPr="00D33D68">
        <w:t>101</w:t>
      </w:r>
      <w:r w:rsidR="00F37A9C" w:rsidRPr="00D33D68">
        <w:t>%)</w:t>
      </w:r>
      <w:r w:rsidR="001F725A" w:rsidRPr="00D33D68">
        <w:t>. Този интерес</w:t>
      </w:r>
      <w:r w:rsidR="00352638" w:rsidRPr="00D33D68">
        <w:t xml:space="preserve"> се очаква да продължи до края на програмния период включително поради действията на УО за изменение на нормативната уредба касаеща лодкостоянките,</w:t>
      </w:r>
      <w:r w:rsidR="00994808" w:rsidRPr="00D33D68">
        <w:rPr>
          <w:rStyle w:val="FootnoteReference"/>
        </w:rPr>
        <w:footnoteReference w:id="6"/>
      </w:r>
      <w:r w:rsidR="00352638" w:rsidRPr="00D33D68">
        <w:t xml:space="preserve"> която лимитираше интереса към рехаблитацията им.</w:t>
      </w:r>
    </w:p>
    <w:p w14:paraId="3050869D" w14:textId="77777777" w:rsidR="00722906" w:rsidRPr="00D33D68" w:rsidRDefault="00722906" w:rsidP="002F5AAA">
      <w:pPr>
        <w:spacing w:after="0"/>
      </w:pPr>
      <w:r w:rsidRPr="00D33D68">
        <w:t>УО направи всичко възможно за да подобри интереса към мерките през досегашния програмен период, а именно УО</w:t>
      </w:r>
      <w:r w:rsidR="00911936" w:rsidRPr="00D33D68">
        <w:t>:</w:t>
      </w:r>
      <w:r w:rsidRPr="00D33D68">
        <w:t xml:space="preserve"> </w:t>
      </w:r>
    </w:p>
    <w:p w14:paraId="1C4902D0" w14:textId="77777777" w:rsidR="00A33855" w:rsidRPr="00D33D68" w:rsidRDefault="00A33855" w:rsidP="00581FBD">
      <w:pPr>
        <w:pStyle w:val="ListParagraph"/>
        <w:numPr>
          <w:ilvl w:val="0"/>
          <w:numId w:val="5"/>
        </w:numPr>
      </w:pPr>
      <w:r w:rsidRPr="00D33D68">
        <w:t>поддържа пряк контакт с представители на бранша, както на Комитетите по наблюдение, така и в процеса на работа по изпълн</w:t>
      </w:r>
      <w:r w:rsidR="00AD49E4" w:rsidRPr="00D33D68">
        <w:t>не</w:t>
      </w:r>
      <w:r w:rsidRPr="00D33D68">
        <w:t>н</w:t>
      </w:r>
      <w:r w:rsidR="00AD49E4" w:rsidRPr="00D33D68">
        <w:t>и</w:t>
      </w:r>
      <w:r w:rsidRPr="00D33D68">
        <w:t>е на ПМДР с цел подобряване на интереса към мерките като цяло и индетифициране на причините за ниския интерес и мерките с най-голям интерес;</w:t>
      </w:r>
    </w:p>
    <w:p w14:paraId="37FDADDE" w14:textId="77777777" w:rsidR="00A33855" w:rsidRPr="00D33D68" w:rsidRDefault="00A33855" w:rsidP="00581FBD">
      <w:pPr>
        <w:pStyle w:val="ListParagraph"/>
        <w:numPr>
          <w:ilvl w:val="0"/>
          <w:numId w:val="5"/>
        </w:numPr>
      </w:pPr>
      <w:r w:rsidRPr="00D33D68">
        <w:t xml:space="preserve">проведе общо </w:t>
      </w:r>
      <w:r w:rsidR="00E345A0" w:rsidRPr="00D33D68">
        <w:t>10</w:t>
      </w:r>
      <w:r w:rsidRPr="00D33D68">
        <w:t xml:space="preserve"> информационни мероприятия в </w:t>
      </w:r>
      <w:r w:rsidR="00E345A0" w:rsidRPr="00D33D68">
        <w:t>Бургас, Варна, Балчик, Поморие, Царево, Шабла и Несебър</w:t>
      </w:r>
      <w:r w:rsidRPr="00D33D68">
        <w:t>;</w:t>
      </w:r>
    </w:p>
    <w:p w14:paraId="1A04025B" w14:textId="553EC88B" w:rsidR="00A16618" w:rsidRPr="00D33D68" w:rsidRDefault="00A463A3" w:rsidP="00581FBD">
      <w:pPr>
        <w:pStyle w:val="ListParagraph"/>
        <w:numPr>
          <w:ilvl w:val="0"/>
          <w:numId w:val="5"/>
        </w:numPr>
      </w:pPr>
      <w:r w:rsidRPr="00D33D68">
        <w:lastRenderedPageBreak/>
        <w:t>в</w:t>
      </w:r>
      <w:r w:rsidR="005E4DFE" w:rsidRPr="00D33D68">
        <w:t xml:space="preserve"> Условията за кандидатстване по всяка процедура има ръководство за работа в ИСУН, както и в ИСУН са налични ръководства за всички стъпки, които касаят кандидатите и бенефициентите - </w:t>
      </w:r>
      <w:hyperlink r:id="rId9" w:history="1">
        <w:r w:rsidR="00C9783E" w:rsidRPr="00D33D68">
          <w:rPr>
            <w:rStyle w:val="Hyperlink"/>
            <w:color w:val="auto"/>
          </w:rPr>
          <w:t>https://eumis2020.government.bg/bg/s/Default/Manual</w:t>
        </w:r>
      </w:hyperlink>
      <w:r w:rsidR="00C9783E" w:rsidRPr="00D33D68">
        <w:t xml:space="preserve"> </w:t>
      </w:r>
      <w:r w:rsidR="00DC4F50" w:rsidRPr="00D33D68">
        <w:t xml:space="preserve">в допълнение УО </w:t>
      </w:r>
      <w:r w:rsidR="00A16618" w:rsidRPr="00D33D68">
        <w:t>проведе  обучени</w:t>
      </w:r>
      <w:r w:rsidR="00DC4F50" w:rsidRPr="00D33D68">
        <w:t>е</w:t>
      </w:r>
      <w:r w:rsidR="00A16618" w:rsidRPr="00D33D68">
        <w:t xml:space="preserve"> </w:t>
      </w:r>
      <w:r w:rsidR="00DC4F50" w:rsidRPr="00D33D68">
        <w:t xml:space="preserve">на рибари </w:t>
      </w:r>
      <w:r w:rsidR="00A16618" w:rsidRPr="00D33D68">
        <w:t>за изпозлване на електронната платформа ИСУН</w:t>
      </w:r>
      <w:r w:rsidR="00DC4F50" w:rsidRPr="00D33D68">
        <w:t xml:space="preserve"> </w:t>
      </w:r>
      <w:r w:rsidR="00C462E6" w:rsidRPr="00D33D68">
        <w:t>като част</w:t>
      </w:r>
      <w:r w:rsidR="009D11EA" w:rsidRPr="00D33D68">
        <w:t xml:space="preserve"> от</w:t>
      </w:r>
      <w:r w:rsidR="00C462E6" w:rsidRPr="00D33D68">
        <w:t xml:space="preserve"> информационно мероприятие във Варна</w:t>
      </w:r>
      <w:r w:rsidR="00DC4F50" w:rsidRPr="00D33D68">
        <w:t>.</w:t>
      </w:r>
    </w:p>
    <w:p w14:paraId="26DB1555" w14:textId="2815A7C9" w:rsidR="00722906" w:rsidRPr="00D33D68" w:rsidRDefault="00722906" w:rsidP="00581FBD">
      <w:pPr>
        <w:pStyle w:val="ListParagraph"/>
        <w:numPr>
          <w:ilvl w:val="0"/>
          <w:numId w:val="5"/>
        </w:numPr>
      </w:pPr>
      <w:r w:rsidRPr="00D33D68">
        <w:t xml:space="preserve">многократно отваря мерки (мярка </w:t>
      </w:r>
      <w:r w:rsidR="00FF23B9" w:rsidRPr="00D33D68">
        <w:t>1.1</w:t>
      </w:r>
      <w:r w:rsidRPr="00D33D68">
        <w:t xml:space="preserve"> </w:t>
      </w:r>
      <w:r w:rsidR="00FF23B9" w:rsidRPr="00D33D68">
        <w:t>–</w:t>
      </w:r>
      <w:r w:rsidRPr="00D33D68">
        <w:t xml:space="preserve"> </w:t>
      </w:r>
      <w:r w:rsidR="00FF23B9" w:rsidRPr="00D33D68">
        <w:t xml:space="preserve">два </w:t>
      </w:r>
      <w:r w:rsidRPr="00D33D68">
        <w:t xml:space="preserve">пъти, </w:t>
      </w:r>
      <w:r w:rsidR="00FC3E1C" w:rsidRPr="00D33D68">
        <w:t xml:space="preserve">мярка </w:t>
      </w:r>
      <w:r w:rsidR="00FF23B9" w:rsidRPr="00D33D68">
        <w:t>1.2</w:t>
      </w:r>
      <w:r w:rsidR="00FC3E1C" w:rsidRPr="00D33D68">
        <w:t xml:space="preserve"> -</w:t>
      </w:r>
      <w:r w:rsidR="00FF23B9" w:rsidRPr="00D33D68">
        <w:t xml:space="preserve"> </w:t>
      </w:r>
      <w:r w:rsidR="007B22D5" w:rsidRPr="00D33D68">
        <w:t xml:space="preserve">два </w:t>
      </w:r>
      <w:r w:rsidR="00FC3E1C" w:rsidRPr="00D33D68">
        <w:t>път</w:t>
      </w:r>
      <w:r w:rsidR="007B22D5" w:rsidRPr="00D33D68">
        <w:t>и</w:t>
      </w:r>
      <w:r w:rsidR="00FF23B9" w:rsidRPr="00D33D68">
        <w:t xml:space="preserve">, мярка 1.3 - един път, мярка 1.7 – три пъти, </w:t>
      </w:r>
      <w:r w:rsidR="00D30164" w:rsidRPr="00D33D68">
        <w:t xml:space="preserve">мярка </w:t>
      </w:r>
      <w:r w:rsidR="00FF23B9" w:rsidRPr="00D33D68">
        <w:t xml:space="preserve">1.6 - </w:t>
      </w:r>
      <w:r w:rsidR="007B22D5" w:rsidRPr="00D33D68">
        <w:t xml:space="preserve">два </w:t>
      </w:r>
      <w:r w:rsidR="00FF23B9" w:rsidRPr="00D33D68">
        <w:t>път</w:t>
      </w:r>
      <w:r w:rsidR="007B22D5" w:rsidRPr="00D33D68">
        <w:t>и</w:t>
      </w:r>
      <w:r w:rsidRPr="00D33D68">
        <w:t>)</w:t>
      </w:r>
      <w:r w:rsidR="00A33855" w:rsidRPr="00D33D68">
        <w:t>;</w:t>
      </w:r>
    </w:p>
    <w:p w14:paraId="3DCE212A" w14:textId="2CED863C" w:rsidR="00074A37" w:rsidRPr="00D33D68" w:rsidRDefault="00074A37" w:rsidP="00581FBD">
      <w:pPr>
        <w:pStyle w:val="ListParagraph"/>
        <w:numPr>
          <w:ilvl w:val="0"/>
          <w:numId w:val="5"/>
        </w:numPr>
      </w:pPr>
      <w:r w:rsidRPr="00D33D68">
        <w:t xml:space="preserve">удължава крайния срок за получаване на проектни предложения </w:t>
      </w:r>
      <w:r w:rsidR="001B2427" w:rsidRPr="00D33D68">
        <w:t xml:space="preserve">(мярка </w:t>
      </w:r>
      <w:r w:rsidR="00FF23B9" w:rsidRPr="00D33D68">
        <w:t>1.</w:t>
      </w:r>
      <w:r w:rsidR="00F160EC" w:rsidRPr="00D33D68">
        <w:t>2</w:t>
      </w:r>
      <w:r w:rsidR="001B2427" w:rsidRPr="00D33D68">
        <w:t>)</w:t>
      </w:r>
    </w:p>
    <w:p w14:paraId="27DB2672" w14:textId="1F33581A" w:rsidR="00A33855" w:rsidRPr="00D33D68" w:rsidRDefault="007B22D5" w:rsidP="00581FBD">
      <w:pPr>
        <w:pStyle w:val="ListParagraph"/>
        <w:numPr>
          <w:ilvl w:val="0"/>
          <w:numId w:val="5"/>
        </w:numPr>
      </w:pPr>
      <w:r w:rsidRPr="00D33D68">
        <w:t xml:space="preserve">по </w:t>
      </w:r>
      <w:r w:rsidR="00A33855" w:rsidRPr="00D33D68">
        <w:t>м</w:t>
      </w:r>
      <w:r w:rsidRPr="00D33D68">
        <w:t>я</w:t>
      </w:r>
      <w:r w:rsidR="00A33855" w:rsidRPr="00D33D68">
        <w:t>рк</w:t>
      </w:r>
      <w:r w:rsidRPr="00D33D68">
        <w:t>а</w:t>
      </w:r>
      <w:r w:rsidR="00A33855" w:rsidRPr="00D33D68">
        <w:t xml:space="preserve"> </w:t>
      </w:r>
      <w:r w:rsidR="00E2654F" w:rsidRPr="00D33D68">
        <w:t xml:space="preserve">1.4 </w:t>
      </w:r>
      <w:r w:rsidRPr="00D33D68">
        <w:t>има</w:t>
      </w:r>
      <w:r w:rsidR="00A33855" w:rsidRPr="00D33D68">
        <w:t xml:space="preserve"> крайно ниск</w:t>
      </w:r>
      <w:r w:rsidRPr="00D33D68">
        <w:t>ък</w:t>
      </w:r>
      <w:r w:rsidR="00A33855" w:rsidRPr="00D33D68">
        <w:t xml:space="preserve"> интерес</w:t>
      </w:r>
      <w:r w:rsidR="00053EBC" w:rsidRPr="00D33D68">
        <w:t>, видно и от проведени допитвания</w:t>
      </w:r>
      <w:r w:rsidR="0095181F" w:rsidRPr="00D33D68">
        <w:t xml:space="preserve"> от УО</w:t>
      </w:r>
      <w:r w:rsidR="00053EBC" w:rsidRPr="00D33D68">
        <w:t xml:space="preserve"> до браншови организации</w:t>
      </w:r>
      <w:r w:rsidR="0095181F" w:rsidRPr="00D33D68">
        <w:t xml:space="preserve"> през януари</w:t>
      </w:r>
      <w:r w:rsidR="00B25E14" w:rsidRPr="00D33D68">
        <w:rPr>
          <w:rStyle w:val="FootnoteReference"/>
        </w:rPr>
        <w:footnoteReference w:id="7"/>
      </w:r>
      <w:r w:rsidR="00F160EC" w:rsidRPr="00D33D68">
        <w:t xml:space="preserve"> и </w:t>
      </w:r>
      <w:r w:rsidR="00D46407" w:rsidRPr="00D33D68">
        <w:t>липсата на подадени</w:t>
      </w:r>
      <w:r w:rsidRPr="00D33D68">
        <w:t xml:space="preserve"> проектни предложения при отваряне на прием през 2020 г.</w:t>
      </w:r>
      <w:r w:rsidR="00714083" w:rsidRPr="00D33D68">
        <w:t>, който приключи в края на месец юни</w:t>
      </w:r>
      <w:r w:rsidR="00252A60" w:rsidRPr="00D33D68">
        <w:t>;</w:t>
      </w:r>
    </w:p>
    <w:p w14:paraId="1D5EA341" w14:textId="77777777" w:rsidR="00D514C3" w:rsidRPr="00D33D68" w:rsidRDefault="00D514C3" w:rsidP="00581FBD">
      <w:pPr>
        <w:pStyle w:val="ListParagraph"/>
        <w:numPr>
          <w:ilvl w:val="0"/>
          <w:numId w:val="5"/>
        </w:numPr>
      </w:pPr>
      <w:r w:rsidRPr="00D33D68">
        <w:t>инициира процес за законодателни промени, които да подобрят усвоимостта по мярката, която се радва на най-висок интерес и ефективно допринася към изпълнението на ПМДР</w:t>
      </w:r>
      <w:r w:rsidR="00053121" w:rsidRPr="00D33D68">
        <w:t xml:space="preserve"> (1.8)</w:t>
      </w:r>
      <w:r w:rsidRPr="00D33D68">
        <w:t>.</w:t>
      </w:r>
    </w:p>
    <w:p w14:paraId="52A9C529" w14:textId="018692F1" w:rsidR="00D80F27" w:rsidRPr="00D33D68" w:rsidRDefault="00C436A1" w:rsidP="00663796">
      <w:r w:rsidRPr="00D33D68">
        <w:t xml:space="preserve">В резултат на невъзможността да се повиши интереса по мерки </w:t>
      </w:r>
      <w:r w:rsidR="00F160EC" w:rsidRPr="00D33D68">
        <w:t xml:space="preserve">от </w:t>
      </w:r>
      <w:r w:rsidR="00370AA1" w:rsidRPr="00D33D68">
        <w:t>1.1</w:t>
      </w:r>
      <w:r w:rsidR="00AA77D9" w:rsidRPr="00D33D68">
        <w:t xml:space="preserve"> </w:t>
      </w:r>
      <w:r w:rsidR="00F160EC" w:rsidRPr="00D33D68">
        <w:t>до</w:t>
      </w:r>
      <w:r w:rsidR="00AA77D9" w:rsidRPr="00D33D68">
        <w:t xml:space="preserve"> </w:t>
      </w:r>
      <w:r w:rsidR="00370AA1" w:rsidRPr="00D33D68">
        <w:t xml:space="preserve">1.7 </w:t>
      </w:r>
      <w:r w:rsidR="00AC6FD4" w:rsidRPr="00D33D68">
        <w:t xml:space="preserve">въпреки положените усилия от УО и с оглед наближаващия край на програмния период, УО </w:t>
      </w:r>
      <w:r w:rsidR="007B22D5" w:rsidRPr="00D33D68">
        <w:t xml:space="preserve">прави следните промени в </w:t>
      </w:r>
      <w:r w:rsidR="00540B2D" w:rsidRPr="00D33D68">
        <w:t>бюджета</w:t>
      </w:r>
      <w:r w:rsidR="00896142" w:rsidRPr="00D33D68">
        <w:t xml:space="preserve">: </w:t>
      </w:r>
    </w:p>
    <w:p w14:paraId="19B9715C" w14:textId="59C61803" w:rsidR="007B22D5" w:rsidRPr="00D33D68" w:rsidRDefault="007B22D5" w:rsidP="00663796">
      <w:r w:rsidRPr="00D33D68">
        <w:t>От мярка 1.1 „</w:t>
      </w:r>
      <w:r w:rsidR="007E3A6A" w:rsidRPr="00D33D68">
        <w:t>Диверсификация и нови форми на доход</w:t>
      </w:r>
      <w:r w:rsidRPr="00D33D68">
        <w:t xml:space="preserve">“ се прехвърлят средства в размер на </w:t>
      </w:r>
      <w:r w:rsidR="00FB304D" w:rsidRPr="00D33D68">
        <w:t>429 71</w:t>
      </w:r>
      <w:r w:rsidR="00D46407" w:rsidRPr="00D33D68">
        <w:t>2</w:t>
      </w:r>
      <w:r w:rsidRPr="00D33D68">
        <w:t xml:space="preserve"> евро ЕФМДР</w:t>
      </w:r>
      <w:r w:rsidR="007E3A6A" w:rsidRPr="00D33D68">
        <w:t xml:space="preserve"> към мярка 1.8 „Рибарски пристанища, кейове за разтоварване, рибни борси и покрити лодкостоянки“</w:t>
      </w:r>
      <w:r w:rsidRPr="00D33D68">
        <w:t xml:space="preserve"> </w:t>
      </w:r>
      <w:r w:rsidR="007E3A6A" w:rsidRPr="00D33D68">
        <w:t xml:space="preserve">и средства в размер на </w:t>
      </w:r>
      <w:r w:rsidR="00880F93" w:rsidRPr="00D33D68">
        <w:t>228 700</w:t>
      </w:r>
      <w:r w:rsidR="007E3A6A" w:rsidRPr="00D33D68">
        <w:t xml:space="preserve"> евро ЕФМДР към мярка 5.4 „Преработване на продуктите от риболов и аквакултури“</w:t>
      </w:r>
      <w:r w:rsidR="0060698D" w:rsidRPr="00D33D68">
        <w:t>.</w:t>
      </w:r>
      <w:r w:rsidR="007E3A6A" w:rsidRPr="00D33D68">
        <w:t xml:space="preserve"> </w:t>
      </w:r>
      <w:r w:rsidR="00CA7803" w:rsidRPr="00D33D68">
        <w:t>Остатъкът от 164 640 евро ЕФМДР по мярката ще се използва за изпълнение на вече сключени договори.</w:t>
      </w:r>
    </w:p>
    <w:p w14:paraId="011D0C6C" w14:textId="4E375864" w:rsidR="007E3A6A" w:rsidRPr="00D33D68" w:rsidRDefault="007E3A6A" w:rsidP="007E3A6A">
      <w:r w:rsidRPr="00D33D68">
        <w:t xml:space="preserve">От мярка 1.2 „Здраве и безопасност“ се прехвърлят средства в размер на </w:t>
      </w:r>
      <w:r w:rsidR="00880F93" w:rsidRPr="00D33D68">
        <w:t>2</w:t>
      </w:r>
      <w:r w:rsidR="00F972B9" w:rsidRPr="00D33D68">
        <w:t>2</w:t>
      </w:r>
      <w:r w:rsidR="00880F93" w:rsidRPr="00D33D68">
        <w:t xml:space="preserve"> </w:t>
      </w:r>
      <w:r w:rsidR="00F972B9" w:rsidRPr="00D33D68">
        <w:t>066</w:t>
      </w:r>
      <w:r w:rsidRPr="00D33D68">
        <w:t xml:space="preserve"> евро ЕФМДР към мярка </w:t>
      </w:r>
      <w:r w:rsidR="00AB48F8" w:rsidRPr="00D33D68">
        <w:t>5.4 „Преработване на продуктите от риболов и аквакултури“</w:t>
      </w:r>
      <w:r w:rsidRPr="00D33D68">
        <w:t>.</w:t>
      </w:r>
      <w:r w:rsidR="00CA7803" w:rsidRPr="00D33D68">
        <w:t xml:space="preserve"> Остатъкът от </w:t>
      </w:r>
      <w:r w:rsidR="00F972B9" w:rsidRPr="00D33D68">
        <w:t>11 829</w:t>
      </w:r>
      <w:r w:rsidR="00CA7803" w:rsidRPr="00D33D68">
        <w:t xml:space="preserve"> евро ЕФМДР по мярката ще се използва за изпълнение на вече сключени договори.</w:t>
      </w:r>
    </w:p>
    <w:p w14:paraId="6BB9D2E0" w14:textId="03560773" w:rsidR="007E3A6A" w:rsidRPr="00D33D68" w:rsidRDefault="002365C3" w:rsidP="00663796">
      <w:r w:rsidRPr="00D33D68">
        <w:t xml:space="preserve">От мярка 1.4 „Ограничаване на въздействието на риболова върху морската среда и за адаптиране на риболова към защита на видовете“ се прехвърлят средства в размер на </w:t>
      </w:r>
      <w:r w:rsidR="00AB48F8" w:rsidRPr="00D33D68">
        <w:t>97 565</w:t>
      </w:r>
      <w:r w:rsidRPr="00D33D68">
        <w:t xml:space="preserve"> евро ЕФМДР към мярка </w:t>
      </w:r>
      <w:r w:rsidR="00AB48F8" w:rsidRPr="00D33D68">
        <w:t>5.4 „Преработване на продуктите от риболов и аквакултури“.</w:t>
      </w:r>
      <w:r w:rsidRPr="00D33D68">
        <w:t xml:space="preserve"> Мярката се закрива.</w:t>
      </w:r>
    </w:p>
    <w:p w14:paraId="239D617C" w14:textId="6E1BEF84" w:rsidR="00F139CA" w:rsidRPr="00D33D68" w:rsidRDefault="002365C3" w:rsidP="00F139CA">
      <w:r w:rsidRPr="00D33D68">
        <w:t xml:space="preserve">От мярка 1.6 „Опазване и възстановяване на морското биологично разнообразие и екосистеми и компенсационни режими в рамките на устойчивите риболовни дейности“ се прехвърлят средства в размер на </w:t>
      </w:r>
      <w:r w:rsidR="000F58D9" w:rsidRPr="00D33D68">
        <w:t>1 068 601</w:t>
      </w:r>
      <w:r w:rsidRPr="00D33D68">
        <w:t xml:space="preserve"> евро ЕФМДР към мярка 1.8 „Рибарски пристанища, кейове за разтоварване, рибни борси и покрити лодкостоянки“. </w:t>
      </w:r>
      <w:r w:rsidR="00F139CA" w:rsidRPr="00D33D68">
        <w:t xml:space="preserve">Като </w:t>
      </w:r>
      <w:r w:rsidR="00F139CA" w:rsidRPr="00D33D68">
        <w:lastRenderedPageBreak/>
        <w:t>запазения бюджет по мярката в размер на 968 80</w:t>
      </w:r>
      <w:r w:rsidR="00012C62" w:rsidRPr="00D33D68">
        <w:t>5</w:t>
      </w:r>
      <w:r w:rsidR="00F139CA" w:rsidRPr="00D33D68">
        <w:t xml:space="preserve"> евро ЕФМДР се разпределя, както следва:</w:t>
      </w:r>
    </w:p>
    <w:p w14:paraId="6CDEF487" w14:textId="307B07D9" w:rsidR="00F139CA" w:rsidRPr="00D33D68" w:rsidRDefault="00F139CA" w:rsidP="00F139CA">
      <w:r w:rsidRPr="00D33D68">
        <w:t xml:space="preserve">- по буква а) събиране на отпадъци в морето от рибарите, например отстраняване на изгубени риболовни уреди и морски отпадъци  - </w:t>
      </w:r>
      <w:r w:rsidR="00B06164" w:rsidRPr="00D33D68">
        <w:t>695 76</w:t>
      </w:r>
      <w:r w:rsidR="00012C62" w:rsidRPr="00D33D68">
        <w:t>2</w:t>
      </w:r>
      <w:r w:rsidR="00B06164" w:rsidRPr="00D33D68">
        <w:t xml:space="preserve"> </w:t>
      </w:r>
      <w:r w:rsidRPr="00D33D68">
        <w:t>евро ЕФМДР и</w:t>
      </w:r>
      <w:r w:rsidR="00B06164" w:rsidRPr="00D33D68">
        <w:t xml:space="preserve"> общо по букви:</w:t>
      </w:r>
    </w:p>
    <w:p w14:paraId="0F386FB7" w14:textId="54CEA7DB" w:rsidR="00F139CA" w:rsidRPr="00D33D68" w:rsidRDefault="00F139CA" w:rsidP="00F139CA">
      <w:r w:rsidRPr="00D33D68">
        <w:t>- по букви б) изграждане, монтаж или осъвременяване на стационарни или преносими съоръжения, целящи опазването и развитието на морската флора и фауна, включително тяхната подготовка и оценка с научен характер; в)принос за по-доброто управление или съхранение на морските биологични ресурси; г) подготовка, включително проучвания, изготвяне, мониторинг и актуализиране на планове за опазване и управление на дейностите, свързани с риболова, по отношение на обекти по „Натура 2000“ и специални защитени територии, посочени в Директива 2008/56/ЕО и свързани с други специални местообитания; д) управление, възстановяване и мониторинг на обекти по „Натура 2000“ в съответствие с директиви 92/43/ЕИО и 2009/147/ЕО в съответствие с рамките за приоритетно действие, изготвени съгласно Директива 92/43/ЕИО; е) управление, възстановяване и мониторинг на морските защитени територии с оглед на прилагането на мерките за пространствена защита, посочени в член 13, параграф 4 от Директива 2008/56/ЕО; ж) повишаване на осведомеността по въпросите на околната среда с участието на рибарите по отношение на опазването и възстановяването на морското биологично разнообразие и и) участие в други действия, насочени към поддържане и подобряване на биологичното разнообразие и екосистемните услуги, като възстановяване на специфични морски и крайбрежни местообитания с цел подкрепа на устойчивите рибни запаси, включително тяхната подготовка и оценка с научен характер</w:t>
      </w:r>
      <w:r w:rsidR="00B06164" w:rsidRPr="00D33D68">
        <w:t xml:space="preserve"> – в размер на </w:t>
      </w:r>
      <w:r w:rsidR="00CB3884" w:rsidRPr="00D33D68">
        <w:t>273,043</w:t>
      </w:r>
      <w:r w:rsidR="00B06164" w:rsidRPr="00D33D68">
        <w:t xml:space="preserve">евро ЕФМДР. </w:t>
      </w:r>
    </w:p>
    <w:p w14:paraId="7A3E91C3" w14:textId="40F7B32A" w:rsidR="007B22D5" w:rsidRPr="00D33D68" w:rsidRDefault="0060698D" w:rsidP="00663796">
      <w:r w:rsidRPr="00D33D68">
        <w:t xml:space="preserve">От мярка 1.7 „Добавена стойност, качество на продуктите и използване на нежелания улов“ се прехвърлят средства в размер на </w:t>
      </w:r>
      <w:r w:rsidR="00802BE6" w:rsidRPr="00D33D68">
        <w:t>777 27</w:t>
      </w:r>
      <w:r w:rsidR="00D46407" w:rsidRPr="00D33D68">
        <w:t xml:space="preserve">3 </w:t>
      </w:r>
      <w:r w:rsidRPr="00D33D68">
        <w:t xml:space="preserve">евро ЕФМДР към мярка 5.4 „Преработване на продуктите от риболов и аквакултури“. </w:t>
      </w:r>
      <w:r w:rsidR="00CA7803" w:rsidRPr="00D33D68">
        <w:t>Остатъкът от 177 497 евро ЕФМДР по мярката ще се използва за изпълнение на вече сключени договори.</w:t>
      </w:r>
    </w:p>
    <w:p w14:paraId="1298D841" w14:textId="2A055B09" w:rsidR="009179B3" w:rsidRPr="00D33D68" w:rsidRDefault="009179B3" w:rsidP="00663796">
      <w:r w:rsidRPr="00D33D68">
        <w:t xml:space="preserve">Към мярка 1.8 „Рибарски пристанища, кейове за разтоварване, рибни борси и покрити лодкостоянки“ се прехвърлят средства в размер на </w:t>
      </w:r>
      <w:r w:rsidR="00E223EA" w:rsidRPr="00D33D68">
        <w:t>1 498 31</w:t>
      </w:r>
      <w:r w:rsidR="00D46407" w:rsidRPr="00D33D68">
        <w:t xml:space="preserve">3 </w:t>
      </w:r>
      <w:r w:rsidRPr="00D33D68">
        <w:t>евро ЕФМДР.</w:t>
      </w:r>
    </w:p>
    <w:p w14:paraId="48073A4C" w14:textId="50F908B1" w:rsidR="00200DA1" w:rsidRPr="00D33D68" w:rsidRDefault="00AD0375" w:rsidP="00200DA1">
      <w:r w:rsidRPr="00D33D68">
        <w:t xml:space="preserve">Финансови средства се пренасочват към Мярка 1.8 </w:t>
      </w:r>
      <w:r w:rsidR="00200DA1" w:rsidRPr="00D33D68">
        <w:t xml:space="preserve"> </w:t>
      </w:r>
      <w:r w:rsidRPr="00D33D68">
        <w:t>„Рибарски пристанища, кейове за разтоварване, рибни борси и покрити лодкостоянки“</w:t>
      </w:r>
      <w:r w:rsidRPr="00D33D68" w:rsidDel="00AD0375">
        <w:t xml:space="preserve"> </w:t>
      </w:r>
      <w:r w:rsidRPr="00D33D68">
        <w:t xml:space="preserve">защото мярката: </w:t>
      </w:r>
      <w:r w:rsidR="00200DA1" w:rsidRPr="00D33D68">
        <w:t>(1) се радва на висок интерес; (2) има доказан висок праг на усвоимост на бюджетни средства (101% ангажирани); (3) спомага за справянето с някои от причините за ниския интерес по другите мерки, а именно липса на стабилни доходи на рибарите; (4) има директен принос към прилагането на Общата политика в областта на рибарството, чрез подпомагане</w:t>
      </w:r>
      <w:r w:rsidR="00200DA1" w:rsidRPr="00D33D68">
        <w:rPr>
          <w:b/>
        </w:rPr>
        <w:t xml:space="preserve"> изпълнението на задължението за разтоварване на улова (landing obligation)</w:t>
      </w:r>
      <w:r w:rsidR="00200DA1" w:rsidRPr="00D33D68">
        <w:t xml:space="preserve">, (5) е предпоставка за устойчива инфраструктура за риболовните кораби и (6) </w:t>
      </w:r>
      <w:r w:rsidRPr="00D33D68">
        <w:t>осигурява</w:t>
      </w:r>
      <w:r w:rsidR="00200DA1" w:rsidRPr="00D33D68">
        <w:t xml:space="preserve"> изпълнение и на препоръки от междинната оценка на ПМДР.</w:t>
      </w:r>
    </w:p>
    <w:p w14:paraId="1AB769F4" w14:textId="2916F5C7" w:rsidR="00200DA1" w:rsidRPr="00D33D68" w:rsidRDefault="00200DA1" w:rsidP="00200DA1">
      <w:r w:rsidRPr="00D33D68">
        <w:t xml:space="preserve">Бюджетът на мярката става </w:t>
      </w:r>
      <w:r w:rsidR="00880F93" w:rsidRPr="00D33D68">
        <w:t>10 423 573</w:t>
      </w:r>
      <w:r w:rsidRPr="00D33D68">
        <w:t xml:space="preserve"> евро ЕФМДР.</w:t>
      </w:r>
    </w:p>
    <w:p w14:paraId="365C2C73" w14:textId="3A4675B1" w:rsidR="00612015" w:rsidRPr="00D33D68" w:rsidRDefault="001F2A5C" w:rsidP="00801401">
      <w:pPr>
        <w:pStyle w:val="ListParagraph"/>
        <w:spacing w:after="0"/>
        <w:ind w:left="0"/>
      </w:pPr>
      <w:r w:rsidRPr="00D33D68">
        <w:lastRenderedPageBreak/>
        <w:t>П</w:t>
      </w:r>
      <w:r w:rsidR="00540B2D" w:rsidRPr="00D33D68">
        <w:t>отенциалните бенефициенти</w:t>
      </w:r>
      <w:r w:rsidR="00655182" w:rsidRPr="00D33D68">
        <w:t>, в случай на поява на интерес,</w:t>
      </w:r>
      <w:r w:rsidR="00540B2D" w:rsidRPr="00D33D68">
        <w:t xml:space="preserve"> ще имат възможност да получат подкрепа за дейности </w:t>
      </w:r>
      <w:r w:rsidR="00B569F3" w:rsidRPr="00D33D68">
        <w:t xml:space="preserve">по закритите мерки </w:t>
      </w:r>
      <w:r w:rsidR="00540B2D" w:rsidRPr="00D33D68">
        <w:t>чрез Местните инициативни рибарски групи</w:t>
      </w:r>
      <w:r w:rsidR="00466A69" w:rsidRPr="00D33D68">
        <w:t xml:space="preserve"> (МИРГ)</w:t>
      </w:r>
      <w:r w:rsidR="00540B2D" w:rsidRPr="00D33D68">
        <w:t>.</w:t>
      </w:r>
      <w:r w:rsidR="00C34DC6" w:rsidRPr="00D33D68">
        <w:t xml:space="preserve"> </w:t>
      </w:r>
      <w:r w:rsidR="00CA7803" w:rsidRPr="00D33D68">
        <w:t xml:space="preserve">Релокацията на средствата няма да ограничи потенциалните кандидати, защото такива мерки (от ПС 1) са достъпни чрез водените от общностите местно развитие стратегии.  </w:t>
      </w:r>
    </w:p>
    <w:p w14:paraId="54BC0228" w14:textId="4984727D" w:rsidR="000F7098" w:rsidRPr="00D33D68" w:rsidRDefault="000F7098" w:rsidP="00801401">
      <w:pPr>
        <w:pStyle w:val="ListParagraph"/>
        <w:spacing w:after="0"/>
        <w:ind w:left="0"/>
      </w:pPr>
    </w:p>
    <w:p w14:paraId="7929126D" w14:textId="71732199" w:rsidR="000F7098" w:rsidRPr="00D33D68" w:rsidRDefault="000F7098" w:rsidP="00801401">
      <w:pPr>
        <w:spacing w:after="0"/>
      </w:pPr>
      <w:r w:rsidRPr="00D33D68">
        <w:t>Към мярка 1.9 „</w:t>
      </w:r>
      <w:r w:rsidR="00D46107" w:rsidRPr="00D33D68">
        <w:t>Подкрепа за собственици на риболовни кораби и рибари за преодоляване на икономическите последствия от избухването на COVID-19, поради временно преустановяване на риболовната дейност</w:t>
      </w:r>
      <w:r w:rsidRPr="00D33D68">
        <w:t xml:space="preserve">“ се прехвърлят средства в размер на </w:t>
      </w:r>
      <w:r w:rsidR="00D46107" w:rsidRPr="00D33D68">
        <w:rPr>
          <w:lang w:val="en-US"/>
        </w:rPr>
        <w:t>763.800</w:t>
      </w:r>
      <w:r w:rsidRPr="00D33D68">
        <w:t xml:space="preserve"> евро ЕФМДР. </w:t>
      </w:r>
      <w:r w:rsidR="00427F4D" w:rsidRPr="00D33D68">
        <w:t xml:space="preserve">Интересът към тази мярка при </w:t>
      </w:r>
      <w:r w:rsidR="00845E2E" w:rsidRPr="00D33D68">
        <w:t>първия ѝ прием</w:t>
      </w:r>
      <w:r w:rsidR="00427F4D" w:rsidRPr="00D33D68">
        <w:t xml:space="preserve"> беше голям и в очакваните от УО размери (ангажирани са</w:t>
      </w:r>
      <w:r w:rsidR="00D46107" w:rsidRPr="00D33D68">
        <w:rPr>
          <w:lang w:val="en-US"/>
        </w:rPr>
        <w:t xml:space="preserve"> </w:t>
      </w:r>
      <w:r w:rsidR="00D46107" w:rsidRPr="00D33D68">
        <w:t>близо</w:t>
      </w:r>
      <w:r w:rsidR="00427F4D" w:rsidRPr="00D33D68">
        <w:t xml:space="preserve"> </w:t>
      </w:r>
      <w:r w:rsidR="00D46107" w:rsidRPr="00D33D68">
        <w:rPr>
          <w:lang w:val="en-US"/>
        </w:rPr>
        <w:t>97</w:t>
      </w:r>
      <w:r w:rsidR="00427F4D" w:rsidRPr="00D33D68">
        <w:t>% от нейния бюджет). С оглед продължаващата епидемиологична обстановка в световен мащаб, включително и</w:t>
      </w:r>
      <w:r w:rsidR="0043055E" w:rsidRPr="00D33D68">
        <w:t xml:space="preserve"> в България</w:t>
      </w:r>
      <w:r w:rsidR="00D46107" w:rsidRPr="00D33D68">
        <w:t xml:space="preserve"> и трудностите, пред</w:t>
      </w:r>
      <w:r w:rsidR="00427F4D" w:rsidRPr="00D33D68">
        <w:t xml:space="preserve"> които е изправен сектор</w:t>
      </w:r>
      <w:r w:rsidR="00D46107" w:rsidRPr="00D33D68">
        <w:t>ът</w:t>
      </w:r>
      <w:r w:rsidR="00427F4D" w:rsidRPr="00D33D68">
        <w:t xml:space="preserve"> </w:t>
      </w:r>
      <w:r w:rsidR="00D46107" w:rsidRPr="00D33D68">
        <w:t>вследствие на пандемията</w:t>
      </w:r>
      <w:r w:rsidR="00427F4D" w:rsidRPr="00D33D68">
        <w:t>, УО проведе обществена консултация</w:t>
      </w:r>
      <w:r w:rsidR="00427F4D" w:rsidRPr="00D33D68">
        <w:rPr>
          <w:rStyle w:val="FootnoteReference"/>
        </w:rPr>
        <w:footnoteReference w:id="8"/>
      </w:r>
      <w:r w:rsidR="00427F4D" w:rsidRPr="00D33D68">
        <w:t xml:space="preserve"> с представители от сектора за нуждите на </w:t>
      </w:r>
      <w:r w:rsidR="00D46107" w:rsidRPr="00D33D68">
        <w:t>засегнатите оператори от</w:t>
      </w:r>
      <w:r w:rsidR="00427F4D" w:rsidRPr="00D33D68">
        <w:t xml:space="preserve"> допълнително</w:t>
      </w:r>
      <w:r w:rsidR="001823EB" w:rsidRPr="00D33D68">
        <w:t xml:space="preserve"> подпомагане. Изводите от ко</w:t>
      </w:r>
      <w:r w:rsidR="00D46107" w:rsidRPr="00D33D68">
        <w:t xml:space="preserve">нсултацията са, че секторът изпитва необходимост </w:t>
      </w:r>
      <w:r w:rsidR="001823EB" w:rsidRPr="00D33D68">
        <w:t>от допълнително подпомагане в унисон с предложенията на УО. Поради това УО прехвърля горепосочените сред</w:t>
      </w:r>
      <w:r w:rsidR="00D46107" w:rsidRPr="00D33D68">
        <w:t>с</w:t>
      </w:r>
      <w:r w:rsidR="001823EB" w:rsidRPr="00D33D68">
        <w:t>тва</w:t>
      </w:r>
      <w:r w:rsidR="00D46107" w:rsidRPr="00D33D68">
        <w:t>,</w:t>
      </w:r>
      <w:r w:rsidR="001823EB" w:rsidRPr="00D33D68">
        <w:t xml:space="preserve"> за да отвори </w:t>
      </w:r>
      <w:r w:rsidR="00845E2E" w:rsidRPr="00D33D68">
        <w:t>още един прием</w:t>
      </w:r>
      <w:r w:rsidR="001823EB" w:rsidRPr="00D33D68">
        <w:t xml:space="preserve"> </w:t>
      </w:r>
      <w:r w:rsidR="00ED2B30" w:rsidRPr="00D33D68">
        <w:t xml:space="preserve">със същия </w:t>
      </w:r>
      <w:r w:rsidR="00D46107" w:rsidRPr="00D33D68">
        <w:t>бюджет</w:t>
      </w:r>
      <w:r w:rsidR="00ED2B30" w:rsidRPr="00D33D68">
        <w:t xml:space="preserve"> </w:t>
      </w:r>
      <w:r w:rsidR="00D46107" w:rsidRPr="00D33D68">
        <w:t>за периода, допустим съгласно чл. 33 от Ре</w:t>
      </w:r>
      <w:r w:rsidR="00A42FCD" w:rsidRPr="00D33D68">
        <w:t>г</w:t>
      </w:r>
      <w:r w:rsidR="00D46107" w:rsidRPr="00D33D68">
        <w:t>ламент (ЕС) 508/2014</w:t>
      </w:r>
      <w:r w:rsidR="001823EB" w:rsidRPr="00D33D68">
        <w:t>.</w:t>
      </w:r>
      <w:r w:rsidR="00CB3884" w:rsidRPr="00D33D68">
        <w:rPr>
          <w:lang w:val="en-US"/>
        </w:rPr>
        <w:t xml:space="preserve"> </w:t>
      </w:r>
      <w:r w:rsidR="00CB3884" w:rsidRPr="00D33D68">
        <w:t xml:space="preserve">Бюджетът на мярката става 1 </w:t>
      </w:r>
      <w:r w:rsidR="00CB3884" w:rsidRPr="00D33D68">
        <w:rPr>
          <w:lang w:val="en-US"/>
        </w:rPr>
        <w:t>5</w:t>
      </w:r>
      <w:r w:rsidR="00CB3884" w:rsidRPr="00D33D68">
        <w:t>2</w:t>
      </w:r>
      <w:r w:rsidR="00CB3884" w:rsidRPr="00D33D68">
        <w:rPr>
          <w:lang w:val="en-US"/>
        </w:rPr>
        <w:t>7</w:t>
      </w:r>
      <w:r w:rsidR="00CB3884" w:rsidRPr="00D33D68">
        <w:t xml:space="preserve"> </w:t>
      </w:r>
      <w:r w:rsidR="00CB3884" w:rsidRPr="00D33D68">
        <w:rPr>
          <w:lang w:val="en-US"/>
        </w:rPr>
        <w:t>6</w:t>
      </w:r>
      <w:r w:rsidR="00CB3884" w:rsidRPr="00D33D68">
        <w:t>3</w:t>
      </w:r>
      <w:r w:rsidR="00CB3884" w:rsidRPr="00D33D68">
        <w:rPr>
          <w:lang w:val="en-US"/>
        </w:rPr>
        <w:t>5</w:t>
      </w:r>
      <w:r w:rsidR="00CB3884" w:rsidRPr="00D33D68">
        <w:t xml:space="preserve"> евро ЕФМДР</w:t>
      </w:r>
      <w:r w:rsidR="00403D15" w:rsidRPr="00D33D68">
        <w:rPr>
          <w:lang w:val="en-US"/>
        </w:rPr>
        <w:t>.</w:t>
      </w:r>
    </w:p>
    <w:p w14:paraId="5AC9BB01" w14:textId="77777777" w:rsidR="0043055E" w:rsidRPr="00D33D68" w:rsidRDefault="0043055E" w:rsidP="00801401">
      <w:pPr>
        <w:spacing w:after="0"/>
      </w:pPr>
    </w:p>
    <w:p w14:paraId="5281DB5F" w14:textId="5FA050F5" w:rsidR="0043055E" w:rsidRPr="00D33D68" w:rsidRDefault="0043055E" w:rsidP="0043055E">
      <w:pPr>
        <w:pStyle w:val="ListParagraph"/>
        <w:spacing w:after="0"/>
        <w:ind w:left="0"/>
      </w:pPr>
      <w:r w:rsidRPr="00D33D68">
        <w:t>Глава 3.1 на оперативната програма е изменена в съответствие на промение в бюджета.</w:t>
      </w:r>
    </w:p>
    <w:p w14:paraId="3C89325E" w14:textId="77777777" w:rsidR="000F7098" w:rsidRPr="00D33D68" w:rsidRDefault="000F7098" w:rsidP="001823EB">
      <w:pPr>
        <w:spacing w:after="0"/>
      </w:pPr>
    </w:p>
    <w:p w14:paraId="270D0CAB" w14:textId="2C825C4D" w:rsidR="00215E25" w:rsidRPr="00D33D68" w:rsidRDefault="00215E25" w:rsidP="001823EB">
      <w:pPr>
        <w:pStyle w:val="Heading3"/>
        <w:rPr>
          <w:rFonts w:ascii="Times New Roman" w:hAnsi="Times New Roman" w:cs="Times New Roman"/>
          <w:sz w:val="24"/>
          <w:szCs w:val="24"/>
          <w:lang w:val="bg-BG"/>
        </w:rPr>
      </w:pPr>
      <w:r w:rsidRPr="00D33D68">
        <w:rPr>
          <w:rFonts w:ascii="Times New Roman" w:hAnsi="Times New Roman" w:cs="Times New Roman"/>
          <w:sz w:val="24"/>
          <w:szCs w:val="24"/>
          <w:lang w:val="bg-BG"/>
        </w:rPr>
        <w:t xml:space="preserve">По </w:t>
      </w:r>
      <w:r w:rsidR="007D6A24" w:rsidRPr="00D33D68">
        <w:rPr>
          <w:rFonts w:ascii="Times New Roman" w:hAnsi="Times New Roman" w:cs="Times New Roman"/>
          <w:sz w:val="24"/>
          <w:szCs w:val="24"/>
          <w:lang w:val="bg-BG"/>
        </w:rPr>
        <w:t>ПС</w:t>
      </w:r>
      <w:r w:rsidRPr="00D33D68">
        <w:rPr>
          <w:rFonts w:ascii="Times New Roman" w:hAnsi="Times New Roman" w:cs="Times New Roman"/>
          <w:sz w:val="24"/>
          <w:szCs w:val="24"/>
          <w:lang w:val="bg-BG"/>
        </w:rPr>
        <w:t xml:space="preserve"> 2</w:t>
      </w:r>
      <w:r w:rsidR="006420AE" w:rsidRPr="00D33D68">
        <w:rPr>
          <w:rFonts w:ascii="Times New Roman" w:hAnsi="Times New Roman" w:cs="Times New Roman"/>
          <w:sz w:val="24"/>
          <w:szCs w:val="24"/>
          <w:lang w:val="bg-BG"/>
        </w:rPr>
        <w:t xml:space="preserve">  „Насърчаване на устойчиви в екологично отношение, иновативни, конкурентоспособни и основани на знания аквакултури, характеризиращи се с ефективно използване на ресурсите”</w:t>
      </w:r>
    </w:p>
    <w:p w14:paraId="445B6681" w14:textId="5A9B8BC3" w:rsidR="0059311A" w:rsidRPr="00D33D68" w:rsidRDefault="00EF1D7F" w:rsidP="00D1626F">
      <w:r w:rsidRPr="00D33D68">
        <w:t xml:space="preserve">УО индентифицира повишен интерес към </w:t>
      </w:r>
      <w:r w:rsidR="00190572" w:rsidRPr="00D33D68">
        <w:t>инвестиции</w:t>
      </w:r>
      <w:r w:rsidRPr="00D33D68">
        <w:t xml:space="preserve"> по мерки</w:t>
      </w:r>
      <w:r w:rsidR="00215E25" w:rsidRPr="00D33D68">
        <w:t xml:space="preserve"> </w:t>
      </w:r>
      <w:r w:rsidRPr="00D33D68">
        <w:t xml:space="preserve">2.2 </w:t>
      </w:r>
      <w:r w:rsidR="000F7536" w:rsidRPr="00D33D68">
        <w:t>„Продуктивни инвестиции в аквакултура</w:t>
      </w:r>
      <w:r w:rsidR="0043055E" w:rsidRPr="00D33D68">
        <w:t>та</w:t>
      </w:r>
      <w:r w:rsidR="000F7536" w:rsidRPr="00D33D68">
        <w:t xml:space="preserve">“ </w:t>
      </w:r>
      <w:r w:rsidRPr="00D33D68">
        <w:t xml:space="preserve">и </w:t>
      </w:r>
      <w:r w:rsidR="00AB379A" w:rsidRPr="00D33D68">
        <w:t>2.3</w:t>
      </w:r>
      <w:r w:rsidR="00F655AF" w:rsidRPr="00D33D68">
        <w:t xml:space="preserve"> </w:t>
      </w:r>
      <w:r w:rsidR="000F7536" w:rsidRPr="00D33D68">
        <w:t xml:space="preserve">„Насърчаване на нови производители на аквакултури, развиващи устойчиви аквакултури“. </w:t>
      </w:r>
      <w:r w:rsidR="00B01D23" w:rsidRPr="00D33D68">
        <w:t>Това е обосновано и от повишеното производство на аквакултури през последните години.</w:t>
      </w:r>
      <w:r w:rsidR="00B01D23" w:rsidRPr="00D33D68">
        <w:rPr>
          <w:rStyle w:val="FootnoteReference"/>
        </w:rPr>
        <w:footnoteReference w:id="9"/>
      </w:r>
      <w:r w:rsidR="00B01D23" w:rsidRPr="00D33D68">
        <w:t xml:space="preserve"> </w:t>
      </w:r>
      <w:r w:rsidR="00F655AF" w:rsidRPr="00D33D68">
        <w:t>По мярка 2.2 то</w:t>
      </w:r>
      <w:r w:rsidR="00190572" w:rsidRPr="00D33D68">
        <w:t xml:space="preserve">ва </w:t>
      </w:r>
      <w:r w:rsidR="00F655AF" w:rsidRPr="00D33D68">
        <w:t xml:space="preserve">се дължи на </w:t>
      </w:r>
      <w:r w:rsidR="00C1748D" w:rsidRPr="00D33D68">
        <w:t>повишения интерес към рециркулационните системи от бенефициентите</w:t>
      </w:r>
      <w:r w:rsidR="00F655AF" w:rsidRPr="00D33D68">
        <w:t>.</w:t>
      </w:r>
      <w:r w:rsidR="00E65A4D" w:rsidRPr="00D33D68">
        <w:t xml:space="preserve"> Тези системи привличат повече </w:t>
      </w:r>
      <w:r w:rsidR="00190572" w:rsidRPr="00D33D68">
        <w:t>внимание</w:t>
      </w:r>
      <w:r w:rsidR="00E65A4D" w:rsidRPr="00D33D68">
        <w:t xml:space="preserve"> сега поради </w:t>
      </w:r>
      <w:r w:rsidR="00190572" w:rsidRPr="00D33D68">
        <w:t>засилената</w:t>
      </w:r>
      <w:r w:rsidR="00E65A4D" w:rsidRPr="00D33D68">
        <w:t xml:space="preserve"> </w:t>
      </w:r>
      <w:r w:rsidR="00190572" w:rsidRPr="00D33D68">
        <w:t>конкуренция</w:t>
      </w:r>
      <w:r w:rsidR="00E65A4D" w:rsidRPr="00D33D68">
        <w:t xml:space="preserve"> за водни ресурси в България в последните години. Пример за изострянето на тази надпревара е сериозния дефицит на водни ресурси, довел до водната криза в Перник,</w:t>
      </w:r>
      <w:r w:rsidR="00E65A4D" w:rsidRPr="00D33D68">
        <w:rPr>
          <w:vertAlign w:val="superscript"/>
        </w:rPr>
        <w:footnoteReference w:id="10"/>
      </w:r>
      <w:r w:rsidR="00E65A4D" w:rsidRPr="00D33D68">
        <w:t xml:space="preserve"> и високият риск за материализиране на подобни кризи в други части на България.</w:t>
      </w:r>
      <w:r w:rsidR="00EA7E15" w:rsidRPr="00D33D68">
        <w:t xml:space="preserve"> Поради това УО преразпределя бюджет в р</w:t>
      </w:r>
      <w:r w:rsidR="00403D15" w:rsidRPr="00D33D68">
        <w:t>амките на мярка 2.2</w:t>
      </w:r>
      <w:r w:rsidR="00403D15" w:rsidRPr="00D33D68">
        <w:rPr>
          <w:lang w:val="en-US"/>
        </w:rPr>
        <w:t xml:space="preserve">. </w:t>
      </w:r>
      <w:r w:rsidR="00403D15" w:rsidRPr="00D33D68">
        <w:t>Разпределението на средствата е както следва:</w:t>
      </w:r>
      <w:r w:rsidR="00EA7E15" w:rsidRPr="00D33D68">
        <w:t xml:space="preserve"> </w:t>
      </w:r>
    </w:p>
    <w:p w14:paraId="7ACF2D4E" w14:textId="77777777" w:rsidR="0059311A" w:rsidRPr="00D33D68" w:rsidRDefault="00403D15" w:rsidP="00581FBD">
      <w:pPr>
        <w:pStyle w:val="ListParagraph"/>
        <w:numPr>
          <w:ilvl w:val="0"/>
          <w:numId w:val="11"/>
        </w:numPr>
      </w:pPr>
      <w:r w:rsidRPr="00D33D68">
        <w:t xml:space="preserve">7,103,703 </w:t>
      </w:r>
      <w:r w:rsidR="00EA7E15" w:rsidRPr="00D33D68">
        <w:t xml:space="preserve">евро </w:t>
      </w:r>
      <w:r w:rsidRPr="00D33D68">
        <w:t>по</w:t>
      </w:r>
      <w:r w:rsidR="00EA7E15" w:rsidRPr="00D33D68">
        <w:t xml:space="preserve"> чл. 48, параграф 1, букви а-г и е-з Продуктивни инвестиции в аквакултурите</w:t>
      </w:r>
      <w:r w:rsidR="0059311A" w:rsidRPr="00D33D68">
        <w:t>;</w:t>
      </w:r>
      <w:r w:rsidR="00EA7E15" w:rsidRPr="00D33D68">
        <w:t xml:space="preserve"> </w:t>
      </w:r>
    </w:p>
    <w:p w14:paraId="1CEE736B" w14:textId="2AE43EA5" w:rsidR="008D2971" w:rsidRPr="00D33D68" w:rsidRDefault="0059311A" w:rsidP="00581FBD">
      <w:pPr>
        <w:pStyle w:val="ListParagraph"/>
        <w:numPr>
          <w:ilvl w:val="0"/>
          <w:numId w:val="11"/>
        </w:numPr>
      </w:pPr>
      <w:r w:rsidRPr="00D33D68">
        <w:lastRenderedPageBreak/>
        <w:t>3,800,000 евро в</w:t>
      </w:r>
      <w:r w:rsidR="00EA7E15" w:rsidRPr="00D33D68">
        <w:t xml:space="preserve"> чл. 48, параграф 1, букви д, и и й – Продуктивни инвестиции в аквакултурите – ефективност на ресурсите, намаляване на използаването на вода и химикали, рециркулационни системи, които свеждат до минимум потреблението на вода. </w:t>
      </w:r>
      <w:r w:rsidR="0089136F" w:rsidRPr="00D33D68">
        <w:t>УО прави това и в изпълнение на препоръките от Междинната оценка на ПМДР.</w:t>
      </w:r>
      <w:r w:rsidR="0089136F" w:rsidRPr="00D33D68">
        <w:rPr>
          <w:rStyle w:val="FootnoteReference"/>
        </w:rPr>
        <w:footnoteReference w:id="11"/>
      </w:r>
      <w:r w:rsidR="00AD0375" w:rsidRPr="00D33D68">
        <w:t xml:space="preserve"> </w:t>
      </w:r>
    </w:p>
    <w:p w14:paraId="71114912" w14:textId="720C3AAC" w:rsidR="0059311A" w:rsidRPr="00D33D68" w:rsidRDefault="0059311A" w:rsidP="00581FBD">
      <w:pPr>
        <w:pStyle w:val="ListParagraph"/>
        <w:numPr>
          <w:ilvl w:val="0"/>
          <w:numId w:val="11"/>
        </w:numPr>
        <w:spacing w:after="0" w:line="240" w:lineRule="auto"/>
        <w:rPr>
          <w:rFonts w:eastAsia="Times New Roman"/>
          <w:noProof w:val="0"/>
          <w:lang w:val="en-US"/>
        </w:rPr>
      </w:pPr>
      <w:r w:rsidRPr="00D33D68">
        <w:rPr>
          <w:rFonts w:eastAsia="Times New Roman"/>
          <w:noProof w:val="0"/>
          <w:lang w:val="en-US"/>
        </w:rPr>
        <w:t>1,961,66</w:t>
      </w:r>
      <w:r w:rsidRPr="00D33D68">
        <w:rPr>
          <w:rFonts w:eastAsia="Times New Roman"/>
          <w:noProof w:val="0"/>
        </w:rPr>
        <w:t xml:space="preserve">3 евро в </w:t>
      </w:r>
      <w:r w:rsidRPr="00D33D68">
        <w:rPr>
          <w:rFonts w:eastAsia="Times New Roman"/>
          <w:noProof w:val="0"/>
          <w:lang w:val="en-US"/>
        </w:rPr>
        <w:t>48.1.</w:t>
      </w:r>
      <w:r w:rsidR="0043055E" w:rsidRPr="00D33D68">
        <w:rPr>
          <w:rFonts w:eastAsia="Times New Roman"/>
          <w:noProof w:val="0"/>
        </w:rPr>
        <w:t xml:space="preserve"> </w:t>
      </w:r>
      <w:r w:rsidRPr="00D33D68">
        <w:rPr>
          <w:rFonts w:eastAsia="Times New Roman"/>
          <w:noProof w:val="0"/>
          <w:lang w:val="en-US"/>
        </w:rPr>
        <w:t xml:space="preserve">д, и </w:t>
      </w:r>
      <w:proofErr w:type="spellStart"/>
      <w:r w:rsidRPr="00D33D68">
        <w:rPr>
          <w:rFonts w:eastAsia="Times New Roman"/>
          <w:noProof w:val="0"/>
          <w:lang w:val="en-US"/>
        </w:rPr>
        <w:t>и</w:t>
      </w:r>
      <w:proofErr w:type="spellEnd"/>
      <w:r w:rsidRPr="00D33D68">
        <w:rPr>
          <w:rFonts w:eastAsia="Times New Roman"/>
          <w:noProof w:val="0"/>
          <w:lang w:val="en-US"/>
        </w:rPr>
        <w:t xml:space="preserve"> й </w:t>
      </w:r>
      <w:proofErr w:type="spellStart"/>
      <w:r w:rsidRPr="00D33D68">
        <w:rPr>
          <w:rFonts w:eastAsia="Times New Roman"/>
          <w:noProof w:val="0"/>
          <w:lang w:val="en-US"/>
        </w:rPr>
        <w:t>Продуктивни</w:t>
      </w:r>
      <w:proofErr w:type="spellEnd"/>
      <w:r w:rsidRPr="00D33D68">
        <w:rPr>
          <w:rFonts w:eastAsia="Times New Roman"/>
          <w:noProof w:val="0"/>
          <w:lang w:val="en-US"/>
        </w:rPr>
        <w:t xml:space="preserve"> </w:t>
      </w:r>
      <w:proofErr w:type="spellStart"/>
      <w:r w:rsidRPr="00D33D68">
        <w:rPr>
          <w:rFonts w:eastAsia="Times New Roman"/>
          <w:noProof w:val="0"/>
          <w:lang w:val="en-US"/>
        </w:rPr>
        <w:t>инвестиции</w:t>
      </w:r>
      <w:proofErr w:type="spellEnd"/>
      <w:r w:rsidRPr="00D33D68">
        <w:rPr>
          <w:rFonts w:eastAsia="Times New Roman"/>
          <w:noProof w:val="0"/>
          <w:lang w:val="en-US"/>
        </w:rPr>
        <w:t xml:space="preserve"> в </w:t>
      </w:r>
      <w:proofErr w:type="spellStart"/>
      <w:r w:rsidRPr="00D33D68">
        <w:rPr>
          <w:rFonts w:eastAsia="Times New Roman"/>
          <w:noProof w:val="0"/>
          <w:lang w:val="en-US"/>
        </w:rPr>
        <w:t>аквакултурите</w:t>
      </w:r>
      <w:proofErr w:type="spellEnd"/>
      <w:r w:rsidRPr="00D33D68">
        <w:rPr>
          <w:rFonts w:eastAsia="Times New Roman"/>
          <w:noProof w:val="0"/>
          <w:lang w:val="en-US"/>
        </w:rPr>
        <w:t xml:space="preserve">  -  </w:t>
      </w:r>
      <w:proofErr w:type="spellStart"/>
      <w:r w:rsidRPr="00D33D68">
        <w:rPr>
          <w:rFonts w:eastAsia="Times New Roman"/>
          <w:noProof w:val="0"/>
          <w:lang w:val="en-US"/>
        </w:rPr>
        <w:t>Продуктивни</w:t>
      </w:r>
      <w:proofErr w:type="spellEnd"/>
      <w:r w:rsidRPr="00D33D68">
        <w:rPr>
          <w:rFonts w:eastAsia="Times New Roman"/>
          <w:noProof w:val="0"/>
          <w:lang w:val="en-US"/>
        </w:rPr>
        <w:t xml:space="preserve"> </w:t>
      </w:r>
      <w:proofErr w:type="spellStart"/>
      <w:r w:rsidRPr="00D33D68">
        <w:rPr>
          <w:rFonts w:eastAsia="Times New Roman"/>
          <w:noProof w:val="0"/>
          <w:lang w:val="en-US"/>
        </w:rPr>
        <w:t>инвестиции</w:t>
      </w:r>
      <w:proofErr w:type="spellEnd"/>
      <w:r w:rsidRPr="00D33D68">
        <w:rPr>
          <w:rFonts w:eastAsia="Times New Roman"/>
          <w:noProof w:val="0"/>
          <w:lang w:val="en-US"/>
        </w:rPr>
        <w:t xml:space="preserve"> в </w:t>
      </w:r>
      <w:proofErr w:type="spellStart"/>
      <w:r w:rsidRPr="00D33D68">
        <w:rPr>
          <w:rFonts w:eastAsia="Times New Roman"/>
          <w:noProof w:val="0"/>
          <w:lang w:val="en-US"/>
        </w:rPr>
        <w:t>аквакултурите</w:t>
      </w:r>
      <w:proofErr w:type="spellEnd"/>
      <w:r w:rsidRPr="00D33D68">
        <w:rPr>
          <w:rFonts w:eastAsia="Times New Roman"/>
          <w:noProof w:val="0"/>
          <w:lang w:val="en-US"/>
        </w:rPr>
        <w:t xml:space="preserve"> — </w:t>
      </w:r>
      <w:proofErr w:type="spellStart"/>
      <w:r w:rsidRPr="00D33D68">
        <w:rPr>
          <w:rFonts w:eastAsia="Times New Roman"/>
          <w:noProof w:val="0"/>
          <w:lang w:val="en-US"/>
        </w:rPr>
        <w:t>ефективност</w:t>
      </w:r>
      <w:proofErr w:type="spellEnd"/>
      <w:r w:rsidRPr="00D33D68">
        <w:rPr>
          <w:rFonts w:eastAsia="Times New Roman"/>
          <w:noProof w:val="0"/>
          <w:lang w:val="en-US"/>
        </w:rPr>
        <w:t xml:space="preserve"> на </w:t>
      </w:r>
      <w:proofErr w:type="spellStart"/>
      <w:r w:rsidRPr="00D33D68">
        <w:rPr>
          <w:rFonts w:eastAsia="Times New Roman"/>
          <w:noProof w:val="0"/>
          <w:lang w:val="en-US"/>
        </w:rPr>
        <w:t>ресурсите</w:t>
      </w:r>
      <w:proofErr w:type="spellEnd"/>
      <w:r w:rsidRPr="00D33D68">
        <w:rPr>
          <w:rFonts w:eastAsia="Times New Roman"/>
          <w:noProof w:val="0"/>
          <w:lang w:val="en-US"/>
        </w:rPr>
        <w:t xml:space="preserve">, </w:t>
      </w:r>
      <w:proofErr w:type="spellStart"/>
      <w:r w:rsidRPr="00D33D68">
        <w:rPr>
          <w:rFonts w:eastAsia="Times New Roman"/>
          <w:noProof w:val="0"/>
          <w:lang w:val="en-US"/>
        </w:rPr>
        <w:t>намаляване</w:t>
      </w:r>
      <w:proofErr w:type="spellEnd"/>
      <w:r w:rsidRPr="00D33D68">
        <w:rPr>
          <w:rFonts w:eastAsia="Times New Roman"/>
          <w:noProof w:val="0"/>
          <w:lang w:val="en-US"/>
        </w:rPr>
        <w:t xml:space="preserve"> на </w:t>
      </w:r>
      <w:proofErr w:type="spellStart"/>
      <w:r w:rsidRPr="00D33D68">
        <w:rPr>
          <w:rFonts w:eastAsia="Times New Roman"/>
          <w:noProof w:val="0"/>
          <w:lang w:val="en-US"/>
        </w:rPr>
        <w:t>използването</w:t>
      </w:r>
      <w:proofErr w:type="spellEnd"/>
      <w:r w:rsidRPr="00D33D68">
        <w:rPr>
          <w:rFonts w:eastAsia="Times New Roman"/>
          <w:noProof w:val="0"/>
          <w:lang w:val="en-US"/>
        </w:rPr>
        <w:t xml:space="preserve"> на </w:t>
      </w:r>
      <w:proofErr w:type="spellStart"/>
      <w:r w:rsidRPr="00D33D68">
        <w:rPr>
          <w:rFonts w:eastAsia="Times New Roman"/>
          <w:noProof w:val="0"/>
          <w:lang w:val="en-US"/>
        </w:rPr>
        <w:t>вода</w:t>
      </w:r>
      <w:proofErr w:type="spellEnd"/>
      <w:r w:rsidRPr="00D33D68">
        <w:rPr>
          <w:rFonts w:eastAsia="Times New Roman"/>
          <w:noProof w:val="0"/>
          <w:lang w:val="en-US"/>
        </w:rPr>
        <w:t xml:space="preserve"> и </w:t>
      </w:r>
      <w:proofErr w:type="spellStart"/>
      <w:r w:rsidRPr="00D33D68">
        <w:rPr>
          <w:rFonts w:eastAsia="Times New Roman"/>
          <w:noProof w:val="0"/>
          <w:lang w:val="en-US"/>
        </w:rPr>
        <w:t>химикали</w:t>
      </w:r>
      <w:proofErr w:type="spellEnd"/>
      <w:r w:rsidRPr="00D33D68">
        <w:rPr>
          <w:rFonts w:eastAsia="Times New Roman"/>
          <w:noProof w:val="0"/>
          <w:lang w:val="en-US"/>
        </w:rPr>
        <w:t xml:space="preserve">, </w:t>
      </w:r>
      <w:proofErr w:type="spellStart"/>
      <w:r w:rsidRPr="00D33D68">
        <w:rPr>
          <w:rFonts w:eastAsia="Times New Roman"/>
          <w:noProof w:val="0"/>
          <w:lang w:val="en-US"/>
        </w:rPr>
        <w:t>рециркулационни</w:t>
      </w:r>
      <w:proofErr w:type="spellEnd"/>
      <w:r w:rsidRPr="00D33D68">
        <w:rPr>
          <w:rFonts w:eastAsia="Times New Roman"/>
          <w:noProof w:val="0"/>
          <w:lang w:val="en-US"/>
        </w:rPr>
        <w:t xml:space="preserve"> </w:t>
      </w:r>
      <w:proofErr w:type="spellStart"/>
      <w:r w:rsidRPr="00D33D68">
        <w:rPr>
          <w:rFonts w:eastAsia="Times New Roman"/>
          <w:noProof w:val="0"/>
          <w:lang w:val="en-US"/>
        </w:rPr>
        <w:t>системи</w:t>
      </w:r>
      <w:proofErr w:type="spellEnd"/>
      <w:r w:rsidRPr="00D33D68">
        <w:rPr>
          <w:rFonts w:eastAsia="Times New Roman"/>
          <w:noProof w:val="0"/>
          <w:lang w:val="en-US"/>
        </w:rPr>
        <w:t xml:space="preserve">, </w:t>
      </w:r>
      <w:proofErr w:type="spellStart"/>
      <w:r w:rsidRPr="00D33D68">
        <w:rPr>
          <w:rFonts w:eastAsia="Times New Roman"/>
          <w:noProof w:val="0"/>
          <w:lang w:val="en-US"/>
        </w:rPr>
        <w:t>които</w:t>
      </w:r>
      <w:proofErr w:type="spellEnd"/>
      <w:r w:rsidRPr="00D33D68">
        <w:rPr>
          <w:rFonts w:eastAsia="Times New Roman"/>
          <w:noProof w:val="0"/>
          <w:lang w:val="en-US"/>
        </w:rPr>
        <w:t xml:space="preserve"> </w:t>
      </w:r>
      <w:proofErr w:type="spellStart"/>
      <w:r w:rsidRPr="00D33D68">
        <w:rPr>
          <w:rFonts w:eastAsia="Times New Roman"/>
          <w:noProof w:val="0"/>
          <w:lang w:val="en-US"/>
        </w:rPr>
        <w:t>свеждат</w:t>
      </w:r>
      <w:proofErr w:type="spellEnd"/>
      <w:r w:rsidRPr="00D33D68">
        <w:rPr>
          <w:rFonts w:eastAsia="Times New Roman"/>
          <w:noProof w:val="0"/>
          <w:lang w:val="en-US"/>
        </w:rPr>
        <w:t xml:space="preserve"> до </w:t>
      </w:r>
      <w:proofErr w:type="spellStart"/>
      <w:r w:rsidRPr="00D33D68">
        <w:rPr>
          <w:rFonts w:eastAsia="Times New Roman"/>
          <w:noProof w:val="0"/>
          <w:lang w:val="en-US"/>
        </w:rPr>
        <w:t>минимум</w:t>
      </w:r>
      <w:proofErr w:type="spellEnd"/>
      <w:r w:rsidRPr="00D33D68">
        <w:rPr>
          <w:rFonts w:eastAsia="Times New Roman"/>
          <w:noProof w:val="0"/>
          <w:lang w:val="en-US"/>
        </w:rPr>
        <w:t xml:space="preserve"> </w:t>
      </w:r>
      <w:proofErr w:type="spellStart"/>
      <w:r w:rsidRPr="00D33D68">
        <w:rPr>
          <w:rFonts w:eastAsia="Times New Roman"/>
          <w:noProof w:val="0"/>
          <w:lang w:val="en-US"/>
        </w:rPr>
        <w:t>потреблението</w:t>
      </w:r>
      <w:proofErr w:type="spellEnd"/>
      <w:r w:rsidRPr="00D33D68">
        <w:rPr>
          <w:rFonts w:eastAsia="Times New Roman"/>
          <w:noProof w:val="0"/>
          <w:lang w:val="en-US"/>
        </w:rPr>
        <w:t xml:space="preserve"> на </w:t>
      </w:r>
      <w:proofErr w:type="spellStart"/>
      <w:r w:rsidRPr="00D33D68">
        <w:rPr>
          <w:rFonts w:eastAsia="Times New Roman"/>
          <w:noProof w:val="0"/>
          <w:lang w:val="en-US"/>
        </w:rPr>
        <w:t>вода</w:t>
      </w:r>
      <w:proofErr w:type="spellEnd"/>
    </w:p>
    <w:p w14:paraId="11441C55" w14:textId="77777777" w:rsidR="0059311A" w:rsidRPr="00D33D68" w:rsidRDefault="0059311A" w:rsidP="00D1626F"/>
    <w:p w14:paraId="528E89A8" w14:textId="02E2AA6A" w:rsidR="00B26FA8" w:rsidRPr="00D33D68" w:rsidRDefault="00997983" w:rsidP="00D1626F">
      <w:r w:rsidRPr="00D33D68">
        <w:t xml:space="preserve">Бюджетът </w:t>
      </w:r>
      <w:r w:rsidR="00AD0375" w:rsidRPr="00D33D68">
        <w:t>на мярка</w:t>
      </w:r>
      <w:r w:rsidR="0045514D" w:rsidRPr="00D33D68">
        <w:t xml:space="preserve"> 2.2</w:t>
      </w:r>
      <w:r w:rsidR="00AD0375" w:rsidRPr="00D33D68">
        <w:t xml:space="preserve"> позволява да се отдели сума в размер на общо 2 </w:t>
      </w:r>
      <w:r w:rsidR="000940F7" w:rsidRPr="00D33D68">
        <w:t>076</w:t>
      </w:r>
      <w:r w:rsidR="00AD0375" w:rsidRPr="00D33D68">
        <w:t xml:space="preserve"> </w:t>
      </w:r>
      <w:r w:rsidR="000940F7" w:rsidRPr="00D33D68">
        <w:t>922</w:t>
      </w:r>
      <w:r w:rsidR="00AD0375" w:rsidRPr="00D33D68">
        <w:t xml:space="preserve"> евро ЕФМДР, за да се посрещнат нуждите на бенефициентите и големия интерес по Мярка 2.3 и по Мярка 5.4. </w:t>
      </w:r>
      <w:r w:rsidR="00CB6EEC" w:rsidRPr="00D33D68">
        <w:t>Високия интерес по мярка</w:t>
      </w:r>
      <w:r w:rsidR="0045514D" w:rsidRPr="00D33D68">
        <w:t xml:space="preserve"> 2.3</w:t>
      </w:r>
      <w:r w:rsidR="00CB6EEC" w:rsidRPr="00D33D68">
        <w:t xml:space="preserve"> е виден от</w:t>
      </w:r>
      <w:r w:rsidR="00483058" w:rsidRPr="00D33D68">
        <w:t xml:space="preserve"> висок</w:t>
      </w:r>
      <w:r w:rsidR="00B5134A" w:rsidRPr="00D33D68">
        <w:t>о</w:t>
      </w:r>
      <w:r w:rsidR="0045514D" w:rsidRPr="00D33D68">
        <w:t>то</w:t>
      </w:r>
      <w:r w:rsidR="00483058" w:rsidRPr="00D33D68">
        <w:t xml:space="preserve"> </w:t>
      </w:r>
      <w:r w:rsidR="00B5134A" w:rsidRPr="00D33D68">
        <w:t>ниво</w:t>
      </w:r>
      <w:r w:rsidR="00483058" w:rsidRPr="00D33D68">
        <w:t xml:space="preserve"> на </w:t>
      </w:r>
      <w:r w:rsidR="00112599" w:rsidRPr="00D33D68">
        <w:t>ангажираност на бюджетни средства (61%</w:t>
      </w:r>
      <w:r w:rsidR="00483058" w:rsidRPr="00D33D68">
        <w:t>)</w:t>
      </w:r>
      <w:r w:rsidR="004A7A81" w:rsidRPr="00D33D68">
        <w:t>. Това</w:t>
      </w:r>
      <w:r w:rsidR="00B5134A" w:rsidRPr="00D33D68">
        <w:t xml:space="preserve"> показва и висока </w:t>
      </w:r>
      <w:r w:rsidR="00071025" w:rsidRPr="00D33D68">
        <w:t xml:space="preserve">усвояемост </w:t>
      </w:r>
      <w:r w:rsidR="004A7A81" w:rsidRPr="00D33D68">
        <w:t>на бюджтните средства</w:t>
      </w:r>
      <w:r w:rsidR="00B5134A" w:rsidRPr="00D33D68">
        <w:t>.</w:t>
      </w:r>
      <w:r w:rsidR="00AD0375" w:rsidRPr="00D33D68">
        <w:t xml:space="preserve"> С пренасочените средства ще се финансират одобрени проектни предложения, за които не достигат наличните такива в мярката</w:t>
      </w:r>
      <w:r w:rsidR="0045514D" w:rsidRPr="00D33D68">
        <w:t xml:space="preserve"> (</w:t>
      </w:r>
      <w:r w:rsidR="0043055E" w:rsidRPr="00D33D68">
        <w:t xml:space="preserve">одобрените проектни предложения по последната процедура надхвърля наличния бюджет с </w:t>
      </w:r>
      <w:r w:rsidR="00AF5B7C" w:rsidRPr="00D33D68">
        <w:t>678.016</w:t>
      </w:r>
      <w:r w:rsidR="0043055E" w:rsidRPr="00D33D68">
        <w:t xml:space="preserve"> евро ЕФМДР</w:t>
      </w:r>
      <w:r w:rsidR="0045514D" w:rsidRPr="00D33D68">
        <w:t>)</w:t>
      </w:r>
      <w:r w:rsidR="00AD0375" w:rsidRPr="00D33D68">
        <w:t xml:space="preserve"> и ще се предоставят средства за финансов инструмент</w:t>
      </w:r>
      <w:r w:rsidR="0045514D" w:rsidRPr="00D33D68">
        <w:t xml:space="preserve"> (</w:t>
      </w:r>
      <w:r w:rsidR="00C65F0D" w:rsidRPr="00D33D68">
        <w:t xml:space="preserve">EUR </w:t>
      </w:r>
      <w:r w:rsidR="0045514D" w:rsidRPr="00D33D68">
        <w:t>613</w:t>
      </w:r>
      <w:r w:rsidR="00C65F0D" w:rsidRPr="00D33D68">
        <w:t xml:space="preserve"> </w:t>
      </w:r>
      <w:r w:rsidR="0045514D" w:rsidRPr="00D33D68">
        <w:t>854)</w:t>
      </w:r>
      <w:r w:rsidR="00AD0375" w:rsidRPr="00D33D68">
        <w:t xml:space="preserve"> за бенефициентите по мярката. </w:t>
      </w:r>
      <w:r w:rsidR="00E01991" w:rsidRPr="00D33D68">
        <w:t xml:space="preserve"> </w:t>
      </w:r>
    </w:p>
    <w:p w14:paraId="3D13AD00" w14:textId="667F9C89" w:rsidR="00D1626F" w:rsidRPr="00D33D68" w:rsidRDefault="00C6513A" w:rsidP="00061E49">
      <w:pPr>
        <w:spacing w:after="0"/>
      </w:pPr>
      <w:r w:rsidRPr="00D33D68">
        <w:t xml:space="preserve">Поради това </w:t>
      </w:r>
      <w:r w:rsidR="00FD7B5B" w:rsidRPr="00D33D68">
        <w:t xml:space="preserve">УО </w:t>
      </w:r>
      <w:r w:rsidRPr="00D33D68">
        <w:t xml:space="preserve">увеличава бюджета на мярка 2.3 от </w:t>
      </w:r>
      <w:r w:rsidR="00190572" w:rsidRPr="00D33D68">
        <w:t xml:space="preserve">5 992 500 </w:t>
      </w:r>
      <w:r w:rsidR="00267672" w:rsidRPr="00D33D68">
        <w:t>е</w:t>
      </w:r>
      <w:r w:rsidR="00190572" w:rsidRPr="00D33D68">
        <w:t>вро</w:t>
      </w:r>
      <w:r w:rsidRPr="00D33D68">
        <w:t xml:space="preserve"> на </w:t>
      </w:r>
      <w:r w:rsidR="00190572" w:rsidRPr="00D33D68">
        <w:t>7</w:t>
      </w:r>
      <w:r w:rsidR="0004027A" w:rsidRPr="00D33D68">
        <w:t> </w:t>
      </w:r>
      <w:r w:rsidR="00AF5B7C" w:rsidRPr="00D33D68">
        <w:t>284</w:t>
      </w:r>
      <w:r w:rsidR="0004027A" w:rsidRPr="00D33D68">
        <w:t> </w:t>
      </w:r>
      <w:r w:rsidR="00AF5B7C" w:rsidRPr="00D33D68">
        <w:t>369</w:t>
      </w:r>
      <w:r w:rsidR="0004027A" w:rsidRPr="00D33D68">
        <w:t xml:space="preserve">  </w:t>
      </w:r>
      <w:r w:rsidR="00267672" w:rsidRPr="00D33D68">
        <w:t>е</w:t>
      </w:r>
      <w:r w:rsidR="0004027A" w:rsidRPr="00D33D68">
        <w:t>вро ЕФ</w:t>
      </w:r>
      <w:r w:rsidR="008C1345" w:rsidRPr="00D33D68">
        <w:t>М</w:t>
      </w:r>
      <w:r w:rsidR="0004027A" w:rsidRPr="00D33D68">
        <w:t>ДР</w:t>
      </w:r>
      <w:r w:rsidRPr="00D33D68">
        <w:t xml:space="preserve"> като </w:t>
      </w:r>
      <w:r w:rsidR="00FD7B5B" w:rsidRPr="00D33D68">
        <w:t xml:space="preserve">пренасочва </w:t>
      </w:r>
      <w:r w:rsidR="0004027A" w:rsidRPr="00D33D68">
        <w:t xml:space="preserve">1 </w:t>
      </w:r>
      <w:r w:rsidR="00AF5B7C" w:rsidRPr="00D33D68">
        <w:t>291</w:t>
      </w:r>
      <w:r w:rsidR="0004027A" w:rsidRPr="00D33D68">
        <w:t> </w:t>
      </w:r>
      <w:r w:rsidR="00AF5B7C" w:rsidRPr="00D33D68">
        <w:t>869</w:t>
      </w:r>
      <w:r w:rsidR="00FD7B5B" w:rsidRPr="00D33D68">
        <w:t xml:space="preserve"> евро </w:t>
      </w:r>
      <w:r w:rsidR="0004027A" w:rsidRPr="00D33D68">
        <w:t>ЕФМДР от мярка 2.2</w:t>
      </w:r>
      <w:r w:rsidR="00FD7B5B" w:rsidRPr="00D33D68">
        <w:t xml:space="preserve">. </w:t>
      </w:r>
      <w:r w:rsidR="007130CB" w:rsidRPr="00D33D68">
        <w:t>Същевременно УО предвижда въвеждането на финансов инструмент за бенефициентите, правейки мярката още по-достъпна.</w:t>
      </w:r>
      <w:r w:rsidR="00997983" w:rsidRPr="00D33D68">
        <w:t xml:space="preserve"> В тази сума влизат и предвидените средства за финансови инструменти по мярката в размер на 613 853,70 Евро ЕФМДР, а останалите пренасочени средства ще финансират одобрени проектни предложения, за които не достигат наличните средства в размер на 678 016 Евро ЕФМДР и са в списък на резервите.</w:t>
      </w:r>
    </w:p>
    <w:p w14:paraId="03F6FC7A" w14:textId="77777777" w:rsidR="00061E49" w:rsidRPr="00D33D68" w:rsidRDefault="00061E49" w:rsidP="00061E49">
      <w:pPr>
        <w:spacing w:after="0"/>
      </w:pPr>
    </w:p>
    <w:p w14:paraId="46BCB893" w14:textId="434B91E3" w:rsidR="00061E49" w:rsidRPr="00D33D68" w:rsidRDefault="0043055E" w:rsidP="00061E49">
      <w:pPr>
        <w:spacing w:after="0"/>
      </w:pPr>
      <w:r w:rsidRPr="00D33D68">
        <w:t>Тези промени няма да попречат на изпълнението на Многогодишния стратегически план за аквакултури 2014-2020.</w:t>
      </w:r>
    </w:p>
    <w:p w14:paraId="7E558BF7" w14:textId="30767C61" w:rsidR="00061E49" w:rsidRPr="00D33D68" w:rsidRDefault="00061E49" w:rsidP="00061E49">
      <w:pPr>
        <w:spacing w:after="0"/>
      </w:pPr>
    </w:p>
    <w:p w14:paraId="5A6AA170" w14:textId="77777777" w:rsidR="00E54FFD" w:rsidRPr="00D33D68" w:rsidRDefault="008F154F" w:rsidP="00E54FFD">
      <w:pPr>
        <w:pStyle w:val="ListParagraph"/>
        <w:spacing w:after="0"/>
        <w:ind w:left="0"/>
      </w:pPr>
      <w:r w:rsidRPr="00D33D68">
        <w:t>От мярка 2.6 „</w:t>
      </w:r>
      <w:r w:rsidR="00DD07C0" w:rsidRPr="00D33D68">
        <w:t>Подкрепа за производители на риба и други водни организми за преодоляване на икономическите последствия от пандемията COVID-19</w:t>
      </w:r>
      <w:r w:rsidRPr="00D33D68">
        <w:t xml:space="preserve">“ се прехвърлят средства в размер на </w:t>
      </w:r>
      <w:r w:rsidRPr="00D33D68">
        <w:rPr>
          <w:lang w:val="en-US"/>
        </w:rPr>
        <w:t>763.800</w:t>
      </w:r>
      <w:r w:rsidRPr="00D33D68">
        <w:t xml:space="preserve"> евро ЕФМДР. Интересът към тази мярка при първия ѝ прием беше </w:t>
      </w:r>
      <w:r w:rsidR="000F7941" w:rsidRPr="00D33D68">
        <w:t xml:space="preserve">в </w:t>
      </w:r>
      <w:r w:rsidRPr="00D33D68">
        <w:t>по-малки от очакваните от УО размери (ангажирани са</w:t>
      </w:r>
      <w:r w:rsidRPr="00D33D68">
        <w:rPr>
          <w:lang w:val="en-US"/>
        </w:rPr>
        <w:t xml:space="preserve"> </w:t>
      </w:r>
      <w:r w:rsidR="0043055E" w:rsidRPr="00D33D68">
        <w:t>28</w:t>
      </w:r>
      <w:r w:rsidRPr="00D33D68">
        <w:t>% от нейния бюджет). С оглед продължаващата епидемиологична обстановка в световен мащаб, включително и в България, и трудностите, пред които е изправен секторът вследствие на пандемията, УО проведе обществена консултация</w:t>
      </w:r>
      <w:r w:rsidRPr="00D33D68">
        <w:rPr>
          <w:rStyle w:val="FootnoteReference"/>
        </w:rPr>
        <w:footnoteReference w:id="12"/>
      </w:r>
      <w:r w:rsidRPr="00D33D68">
        <w:t xml:space="preserve"> с представители от сектора за нуждите на засегнатите оператори от допълнително подпомагане. Изводите от </w:t>
      </w:r>
      <w:r w:rsidRPr="00D33D68">
        <w:lastRenderedPageBreak/>
        <w:t xml:space="preserve">консултацията са, че макар секторът да изпитва необходимост от допълнително подпомагане в унисон с предложенията на УО, потенциалните бенефициенти </w:t>
      </w:r>
      <w:r w:rsidR="00C66D7F" w:rsidRPr="00D33D68">
        <w:t>по мярка 2.6 са по-малко от очакваното и планираният нов прием по тази мярка няма да изисква всичкия остатъчен бюджет по мярката</w:t>
      </w:r>
      <w:r w:rsidRPr="00D33D68">
        <w:t>. Поради това УО прехвърля горепосочените средства към мярка 1.9.</w:t>
      </w:r>
      <w:r w:rsidR="00E54FFD" w:rsidRPr="00D33D68">
        <w:t xml:space="preserve"> </w:t>
      </w:r>
    </w:p>
    <w:p w14:paraId="3274B979" w14:textId="77777777" w:rsidR="00E54FFD" w:rsidRPr="00D33D68" w:rsidRDefault="00E54FFD" w:rsidP="00E54FFD">
      <w:pPr>
        <w:pStyle w:val="ListParagraph"/>
        <w:spacing w:after="0"/>
        <w:ind w:left="0"/>
      </w:pPr>
    </w:p>
    <w:p w14:paraId="33AE2A17" w14:textId="47C02C6A" w:rsidR="00E54FFD" w:rsidRPr="00D33D68" w:rsidRDefault="00E54FFD" w:rsidP="00E54FFD">
      <w:pPr>
        <w:pStyle w:val="ListParagraph"/>
        <w:spacing w:after="0"/>
        <w:ind w:left="0"/>
      </w:pPr>
      <w:r w:rsidRPr="00D33D68">
        <w:t>Глава 3.1 на оперативната програма е изменена в съответствие на промение в бюджета.</w:t>
      </w:r>
    </w:p>
    <w:p w14:paraId="49884880" w14:textId="45287A38" w:rsidR="008F154F" w:rsidRPr="00D33D68" w:rsidRDefault="008F154F" w:rsidP="008F154F">
      <w:pPr>
        <w:spacing w:after="0"/>
        <w:rPr>
          <w:lang w:val="en-US"/>
        </w:rPr>
      </w:pPr>
    </w:p>
    <w:p w14:paraId="6C3C40B4" w14:textId="73F7B45E" w:rsidR="001E2646" w:rsidRPr="00D33D68" w:rsidRDefault="001E2646" w:rsidP="006420AE">
      <w:pPr>
        <w:pStyle w:val="Heading3"/>
        <w:rPr>
          <w:rFonts w:ascii="Times New Roman" w:hAnsi="Times New Roman" w:cs="Times New Roman"/>
          <w:sz w:val="24"/>
          <w:szCs w:val="24"/>
          <w:lang w:val="bg-BG"/>
        </w:rPr>
      </w:pPr>
      <w:r w:rsidRPr="00D33D68">
        <w:rPr>
          <w:rFonts w:ascii="Times New Roman" w:hAnsi="Times New Roman" w:cs="Times New Roman"/>
          <w:sz w:val="24"/>
          <w:szCs w:val="24"/>
          <w:lang w:val="bg-BG"/>
        </w:rPr>
        <w:t xml:space="preserve">По </w:t>
      </w:r>
      <w:r w:rsidR="007D6A24" w:rsidRPr="00D33D68">
        <w:rPr>
          <w:rFonts w:ascii="Times New Roman" w:hAnsi="Times New Roman" w:cs="Times New Roman"/>
          <w:sz w:val="24"/>
          <w:szCs w:val="24"/>
          <w:lang w:val="bg-BG"/>
        </w:rPr>
        <w:t>ПС</w:t>
      </w:r>
      <w:r w:rsidRPr="00D33D68">
        <w:rPr>
          <w:rFonts w:ascii="Times New Roman" w:hAnsi="Times New Roman" w:cs="Times New Roman"/>
          <w:sz w:val="24"/>
          <w:szCs w:val="24"/>
          <w:lang w:val="bg-BG"/>
        </w:rPr>
        <w:t xml:space="preserve"> 4</w:t>
      </w:r>
      <w:r w:rsidR="006420AE" w:rsidRPr="00D33D68">
        <w:rPr>
          <w:rFonts w:ascii="Times New Roman" w:hAnsi="Times New Roman" w:cs="Times New Roman"/>
          <w:sz w:val="24"/>
          <w:szCs w:val="24"/>
          <w:lang w:val="bg-BG"/>
        </w:rPr>
        <w:t xml:space="preserve"> „Повишаване на заетостта и териториалното сближаване”</w:t>
      </w:r>
    </w:p>
    <w:p w14:paraId="5E8B218A" w14:textId="524EAEBE" w:rsidR="001E2646" w:rsidRPr="00D33D68" w:rsidRDefault="001E2646" w:rsidP="001E2646">
      <w:r w:rsidRPr="00D33D68">
        <w:t xml:space="preserve">УО идентифицира </w:t>
      </w:r>
      <w:r w:rsidR="00B9299D" w:rsidRPr="00D33D68">
        <w:t>остатъчни бюджетни средства по м</w:t>
      </w:r>
      <w:r w:rsidR="0045147E" w:rsidRPr="00D33D68">
        <w:t>я</w:t>
      </w:r>
      <w:r w:rsidR="00B9299D" w:rsidRPr="00D33D68">
        <w:t>рк</w:t>
      </w:r>
      <w:r w:rsidR="0045147E" w:rsidRPr="00D33D68">
        <w:t>а</w:t>
      </w:r>
      <w:r w:rsidR="00B9299D" w:rsidRPr="00D33D68">
        <w:t xml:space="preserve"> 4.2</w:t>
      </w:r>
      <w:r w:rsidR="0045147E" w:rsidRPr="00D33D68">
        <w:t xml:space="preserve"> в размер на </w:t>
      </w:r>
      <w:r w:rsidR="00986DE7" w:rsidRPr="00D33D68">
        <w:t>260 76</w:t>
      </w:r>
      <w:r w:rsidR="008C1345" w:rsidRPr="00D33D68">
        <w:t>3</w:t>
      </w:r>
      <w:r w:rsidR="00B9299D" w:rsidRPr="00D33D68">
        <w:t xml:space="preserve"> </w:t>
      </w:r>
      <w:r w:rsidR="008C1345" w:rsidRPr="00D33D68">
        <w:t>евро ЕФМДР</w:t>
      </w:r>
      <w:r w:rsidR="00333CA4" w:rsidRPr="00D33D68">
        <w:t>,</w:t>
      </w:r>
      <w:r w:rsidR="008C1345" w:rsidRPr="00D33D68">
        <w:t xml:space="preserve"> </w:t>
      </w:r>
      <w:r w:rsidR="00B9299D" w:rsidRPr="00D33D68">
        <w:t xml:space="preserve">които </w:t>
      </w:r>
      <w:r w:rsidR="0004580B" w:rsidRPr="00D33D68">
        <w:t>няма да могат да бъдат усвоени</w:t>
      </w:r>
      <w:r w:rsidR="00E54FFD" w:rsidRPr="00D33D68">
        <w:t>, защото планираният десети МИРГ не се е стартиран</w:t>
      </w:r>
      <w:r w:rsidR="00986DE7" w:rsidRPr="00D33D68">
        <w:t>.</w:t>
      </w:r>
      <w:r w:rsidR="00A63B89" w:rsidRPr="00D33D68">
        <w:t xml:space="preserve"> </w:t>
      </w:r>
      <w:r w:rsidR="0045147E" w:rsidRPr="00D33D68">
        <w:t>Т</w:t>
      </w:r>
      <w:r w:rsidR="00BC3016" w:rsidRPr="00D33D68">
        <w:t xml:space="preserve">ози </w:t>
      </w:r>
      <w:r w:rsidR="00444B7C" w:rsidRPr="00D33D68">
        <w:t>свободен ресурс</w:t>
      </w:r>
      <w:r w:rsidR="00BC3016" w:rsidRPr="00D33D68">
        <w:t xml:space="preserve"> ще се използва от финансовия </w:t>
      </w:r>
      <w:r w:rsidR="00880F93" w:rsidRPr="00D33D68">
        <w:t xml:space="preserve">инструмент </w:t>
      </w:r>
      <w:r w:rsidR="00BC3016" w:rsidRPr="00D33D68">
        <w:t>в рамките на мярката</w:t>
      </w:r>
      <w:r w:rsidR="00E54FFD" w:rsidRPr="00D33D68">
        <w:t xml:space="preserve"> от бенефициентите по вече одобрените девет МИРГ.</w:t>
      </w:r>
      <w:r w:rsidR="0004580B" w:rsidRPr="00D33D68">
        <w:t xml:space="preserve"> </w:t>
      </w:r>
      <w:r w:rsidR="00BC3016" w:rsidRPr="00D33D68">
        <w:t xml:space="preserve"> </w:t>
      </w:r>
    </w:p>
    <w:p w14:paraId="1A92978F" w14:textId="6E640722" w:rsidR="001E2646" w:rsidRPr="00D33D68" w:rsidRDefault="001E2646" w:rsidP="006420AE">
      <w:pPr>
        <w:pStyle w:val="Heading3"/>
        <w:rPr>
          <w:rFonts w:ascii="Times New Roman" w:hAnsi="Times New Roman" w:cs="Times New Roman"/>
          <w:sz w:val="24"/>
          <w:szCs w:val="24"/>
          <w:lang w:val="bg-BG"/>
        </w:rPr>
      </w:pPr>
      <w:r w:rsidRPr="00D33D68">
        <w:rPr>
          <w:rFonts w:ascii="Times New Roman" w:hAnsi="Times New Roman" w:cs="Times New Roman"/>
          <w:sz w:val="24"/>
          <w:szCs w:val="24"/>
          <w:lang w:val="bg-BG"/>
        </w:rPr>
        <w:t xml:space="preserve">По </w:t>
      </w:r>
      <w:r w:rsidR="007D6A24" w:rsidRPr="00D33D68">
        <w:rPr>
          <w:rFonts w:ascii="Times New Roman" w:hAnsi="Times New Roman" w:cs="Times New Roman"/>
          <w:sz w:val="24"/>
          <w:szCs w:val="24"/>
          <w:lang w:val="bg-BG"/>
        </w:rPr>
        <w:t>ПС</w:t>
      </w:r>
      <w:r w:rsidRPr="00D33D68">
        <w:rPr>
          <w:rFonts w:ascii="Times New Roman" w:hAnsi="Times New Roman" w:cs="Times New Roman"/>
          <w:sz w:val="24"/>
          <w:szCs w:val="24"/>
          <w:lang w:val="bg-BG"/>
        </w:rPr>
        <w:t xml:space="preserve"> 5</w:t>
      </w:r>
      <w:r w:rsidR="006420AE" w:rsidRPr="00D33D68">
        <w:rPr>
          <w:rFonts w:ascii="Times New Roman" w:hAnsi="Times New Roman" w:cs="Times New Roman"/>
          <w:sz w:val="24"/>
          <w:szCs w:val="24"/>
          <w:lang w:val="bg-BG"/>
        </w:rPr>
        <w:t xml:space="preserve"> „Насърчаване на предлагането на пазара и преработването”</w:t>
      </w:r>
    </w:p>
    <w:p w14:paraId="512186E9" w14:textId="6CD5F50C" w:rsidR="00001220" w:rsidRPr="00D33D68" w:rsidRDefault="00001220" w:rsidP="007B24EE">
      <w:r w:rsidRPr="00D33D68">
        <w:t xml:space="preserve">За мярка 5.3 е определен конкретен бенефициент – Министерство на земеделието храните и горите. </w:t>
      </w:r>
      <w:r w:rsidR="0032144C" w:rsidRPr="00D33D68">
        <w:t xml:space="preserve">Има сключен договор </w:t>
      </w:r>
      <w:r w:rsidRPr="00D33D68">
        <w:t xml:space="preserve"> </w:t>
      </w:r>
      <w:r w:rsidR="0032144C" w:rsidRPr="00D33D68">
        <w:t>за  510 81</w:t>
      </w:r>
      <w:r w:rsidR="008C1345" w:rsidRPr="00D33D68">
        <w:t xml:space="preserve">4 </w:t>
      </w:r>
      <w:r w:rsidRPr="00D33D68">
        <w:t>евро БФП</w:t>
      </w:r>
      <w:r w:rsidR="0032144C" w:rsidRPr="00D33D68">
        <w:t>, от които 383 110</w:t>
      </w:r>
      <w:r w:rsidR="008C1345" w:rsidRPr="00D33D68">
        <w:t xml:space="preserve"> </w:t>
      </w:r>
      <w:r w:rsidR="0032144C" w:rsidRPr="00D33D68">
        <w:t>евро ЕФМДР</w:t>
      </w:r>
      <w:r w:rsidRPr="00D33D68">
        <w:t xml:space="preserve"> Поради тази причина УО редуцира индикатор 5.2 пропорционално на осреднената стойност на едно проектно предложение </w:t>
      </w:r>
      <w:r w:rsidR="00EB42DE" w:rsidRPr="00D33D68">
        <w:t xml:space="preserve">от 30 </w:t>
      </w:r>
      <w:r w:rsidRPr="00D33D68">
        <w:t>на 18 броя.</w:t>
      </w:r>
    </w:p>
    <w:p w14:paraId="04CCF60F" w14:textId="0823BD43" w:rsidR="001E2646" w:rsidRDefault="001E2646" w:rsidP="007B24EE">
      <w:pPr>
        <w:rPr>
          <w:lang w:val="en-US"/>
        </w:rPr>
      </w:pPr>
      <w:r w:rsidRPr="00D33D68">
        <w:t xml:space="preserve">УО идентифицира много </w:t>
      </w:r>
      <w:r w:rsidR="007B24EE" w:rsidRPr="00D33D68">
        <w:t>висок</w:t>
      </w:r>
      <w:r w:rsidRPr="00D33D68">
        <w:t xml:space="preserve"> интерес към </w:t>
      </w:r>
      <w:r w:rsidR="004D6477" w:rsidRPr="00D33D68">
        <w:t>мярка 5.4</w:t>
      </w:r>
      <w:r w:rsidR="00BA0323" w:rsidRPr="00D33D68">
        <w:t xml:space="preserve">. Към настоящия момент </w:t>
      </w:r>
      <w:r w:rsidR="0036104B" w:rsidRPr="00D33D68">
        <w:t>93</w:t>
      </w:r>
      <w:r w:rsidR="00CF590B" w:rsidRPr="00D33D68">
        <w:t xml:space="preserve">% от </w:t>
      </w:r>
      <w:r w:rsidR="00BA0323" w:rsidRPr="00D33D68">
        <w:t xml:space="preserve">бюджета на мярката е </w:t>
      </w:r>
      <w:r w:rsidR="004D6477" w:rsidRPr="00D33D68">
        <w:t>ангажиран</w:t>
      </w:r>
      <w:r w:rsidR="007534C4" w:rsidRPr="00D33D68">
        <w:t xml:space="preserve">. Този интерес </w:t>
      </w:r>
      <w:r w:rsidR="00F66B1E" w:rsidRPr="00D33D68">
        <w:t>се основава на повишение на добавената стойност в сектор Рибарство.</w:t>
      </w:r>
      <w:r w:rsidR="00F66B1E" w:rsidRPr="00D33D68">
        <w:rPr>
          <w:vertAlign w:val="superscript"/>
        </w:rPr>
        <w:footnoteReference w:id="13"/>
      </w:r>
      <w:r w:rsidR="00ED303C" w:rsidRPr="00D33D68">
        <w:t xml:space="preserve"> В контекста на настоящия процес за изменение</w:t>
      </w:r>
      <w:r w:rsidR="00DF124C" w:rsidRPr="00D33D68">
        <w:t>,</w:t>
      </w:r>
      <w:r w:rsidR="00ED303C" w:rsidRPr="00D33D68">
        <w:t xml:space="preserve"> УО получи писмо от междубраншовата организация „Асоциация на производителите на рибни продукти БГ Фиш“, подкрепящо вижданията на УО за увеличаване на бюджета по тази мярка.</w:t>
      </w:r>
      <w:r w:rsidR="00ED303C" w:rsidRPr="00D33D68">
        <w:rPr>
          <w:rStyle w:val="FootnoteReference"/>
        </w:rPr>
        <w:footnoteReference w:id="14"/>
      </w:r>
      <w:r w:rsidR="007660C8" w:rsidRPr="00D33D68">
        <w:t xml:space="preserve"> В това писмо организацията казва, че след направено проучване сред своите членове относно нагласата им към мярка 5.4, става ясно, че „дружества с традиции в преработвателната промишленост в сектор „Рибарство“ имат готовност за реализация на инвестиции в размер на около  8 000 000,00 лв.“ </w:t>
      </w:r>
      <w:r w:rsidRPr="00D33D68">
        <w:t xml:space="preserve">В резултат на </w:t>
      </w:r>
      <w:r w:rsidR="007B24EE" w:rsidRPr="00D33D68">
        <w:t>нестихващия интерес и високия праг на усвоимост на бюджетни средства (</w:t>
      </w:r>
      <w:r w:rsidR="00D558CB" w:rsidRPr="00D33D68">
        <w:t xml:space="preserve">93 </w:t>
      </w:r>
      <w:r w:rsidR="007B24EE" w:rsidRPr="00D33D68">
        <w:t xml:space="preserve">% </w:t>
      </w:r>
      <w:r w:rsidR="00CF590B" w:rsidRPr="00D33D68">
        <w:t>ангажира</w:t>
      </w:r>
      <w:r w:rsidR="007B24EE" w:rsidRPr="00D33D68">
        <w:t>ни) и въпреки</w:t>
      </w:r>
      <w:r w:rsidRPr="00D33D68">
        <w:t xml:space="preserve"> наближаващия край на програмния период, УО промен</w:t>
      </w:r>
      <w:r w:rsidR="00CF590B" w:rsidRPr="00D33D68">
        <w:t>я</w:t>
      </w:r>
      <w:r w:rsidRPr="00D33D68">
        <w:t xml:space="preserve"> бю</w:t>
      </w:r>
      <w:r w:rsidR="007B24EE" w:rsidRPr="00D33D68">
        <w:t>джета на мярка</w:t>
      </w:r>
      <w:r w:rsidR="00CF590B" w:rsidRPr="00D33D68">
        <w:t>та,</w:t>
      </w:r>
      <w:r w:rsidR="00ED4E21" w:rsidRPr="00D33D68">
        <w:t xml:space="preserve"> като го увелич</w:t>
      </w:r>
      <w:r w:rsidR="00CF590B" w:rsidRPr="00D33D68">
        <w:t>ава</w:t>
      </w:r>
      <w:r w:rsidR="00ED4E21" w:rsidRPr="00D33D68">
        <w:t xml:space="preserve"> </w:t>
      </w:r>
      <w:r w:rsidR="008610C6" w:rsidRPr="00D33D68">
        <w:t>от</w:t>
      </w:r>
      <w:r w:rsidR="00D558CB" w:rsidRPr="00D33D68">
        <w:t xml:space="preserve">  </w:t>
      </w:r>
      <w:r w:rsidR="008C1345" w:rsidRPr="00D33D68">
        <w:t>9 554 917</w:t>
      </w:r>
      <w:r w:rsidR="00CF590B" w:rsidRPr="00D33D68">
        <w:t xml:space="preserve"> Евро </w:t>
      </w:r>
      <w:r w:rsidR="008610C6" w:rsidRPr="00D33D68">
        <w:t xml:space="preserve">на </w:t>
      </w:r>
      <w:r w:rsidR="008C1345" w:rsidRPr="00D33D68">
        <w:t xml:space="preserve">11 </w:t>
      </w:r>
      <w:r w:rsidR="00880F93" w:rsidRPr="00D33D68">
        <w:t>4</w:t>
      </w:r>
      <w:r w:rsidR="00F972B9" w:rsidRPr="00D33D68">
        <w:t>65</w:t>
      </w:r>
      <w:r w:rsidR="00880F93" w:rsidRPr="00D33D68">
        <w:t xml:space="preserve"> </w:t>
      </w:r>
      <w:r w:rsidR="00F972B9" w:rsidRPr="00D33D68">
        <w:t>573</w:t>
      </w:r>
      <w:r w:rsidR="00ED4E21" w:rsidRPr="00D33D68">
        <w:t xml:space="preserve"> </w:t>
      </w:r>
      <w:r w:rsidR="006E62EA" w:rsidRPr="00D33D68">
        <w:t>Евро</w:t>
      </w:r>
      <w:r w:rsidR="00ED4E21" w:rsidRPr="00D33D68">
        <w:t>.</w:t>
      </w:r>
      <w:r w:rsidR="00BA0323" w:rsidRPr="00D33D68">
        <w:t xml:space="preserve"> За това увеличение УО пренасочва средства </w:t>
      </w:r>
      <w:r w:rsidR="00B176EA" w:rsidRPr="00D33D68">
        <w:t xml:space="preserve">към тази мярка </w:t>
      </w:r>
      <w:r w:rsidR="007704C5" w:rsidRPr="00D33D68">
        <w:t xml:space="preserve">от </w:t>
      </w:r>
      <w:r w:rsidR="006E62EA" w:rsidRPr="00D33D68">
        <w:t>ПС 1</w:t>
      </w:r>
      <w:r w:rsidR="008562B8" w:rsidRPr="00D33D68">
        <w:t>(от мярка 1.1,1.2</w:t>
      </w:r>
      <w:r w:rsidR="00880F93" w:rsidRPr="00D33D68">
        <w:t xml:space="preserve"> 1.4</w:t>
      </w:r>
      <w:r w:rsidR="008562B8" w:rsidRPr="00D33D68">
        <w:t xml:space="preserve"> и 1.7)</w:t>
      </w:r>
      <w:r w:rsidR="00DF124C" w:rsidRPr="00D33D68">
        <w:t xml:space="preserve"> </w:t>
      </w:r>
      <w:r w:rsidR="008562B8" w:rsidRPr="00D33D68">
        <w:t xml:space="preserve">и </w:t>
      </w:r>
      <w:r w:rsidR="00DF124C" w:rsidRPr="00D33D68">
        <w:t>ПС 2 (от мярка 2.2)</w:t>
      </w:r>
      <w:r w:rsidR="00BA0323" w:rsidRPr="00D33D68">
        <w:t>.</w:t>
      </w:r>
      <w:r w:rsidR="00EB42DE" w:rsidRPr="00D33D68">
        <w:t xml:space="preserve"> </w:t>
      </w:r>
      <w:r w:rsidR="00E54FFD" w:rsidRPr="00D33D68">
        <w:t xml:space="preserve">От тази сума </w:t>
      </w:r>
      <w:r w:rsidR="00EB42DE" w:rsidRPr="00D33D68">
        <w:t xml:space="preserve">613 854 </w:t>
      </w:r>
      <w:r w:rsidR="00E54FFD" w:rsidRPr="00D33D68">
        <w:t>евро ЕФМДР ще се използват за финансови инструменти.</w:t>
      </w:r>
    </w:p>
    <w:p w14:paraId="1D4F138E" w14:textId="15A91040" w:rsidR="00875681" w:rsidRDefault="00875681" w:rsidP="00875681">
      <w:pPr>
        <w:pStyle w:val="ListParagraph"/>
        <w:spacing w:after="0"/>
        <w:ind w:left="0"/>
        <w:rPr>
          <w:lang w:val="en-US"/>
        </w:rPr>
      </w:pPr>
      <w:r w:rsidRPr="00D33D68">
        <w:t>Глава 3.1 на оперативната програма е изменена в съответствие на промение в бю</w:t>
      </w:r>
      <w:r>
        <w:t>джета.</w:t>
      </w:r>
    </w:p>
    <w:p w14:paraId="11E1296A" w14:textId="77777777" w:rsidR="00875681" w:rsidRPr="00875681" w:rsidRDefault="00875681" w:rsidP="00875681">
      <w:pPr>
        <w:pStyle w:val="ListParagraph"/>
        <w:spacing w:after="0"/>
        <w:ind w:left="0"/>
        <w:rPr>
          <w:lang w:val="en-US"/>
        </w:rPr>
      </w:pPr>
    </w:p>
    <w:p w14:paraId="46085E43" w14:textId="49A49198" w:rsidR="001E2646" w:rsidRPr="00D33D68" w:rsidRDefault="001E2646" w:rsidP="006420AE">
      <w:pPr>
        <w:pStyle w:val="Heading3"/>
        <w:rPr>
          <w:rFonts w:ascii="Times New Roman" w:hAnsi="Times New Roman" w:cs="Times New Roman"/>
          <w:sz w:val="24"/>
          <w:szCs w:val="24"/>
          <w:lang w:val="bg-BG"/>
        </w:rPr>
      </w:pPr>
      <w:r w:rsidRPr="00D33D68">
        <w:rPr>
          <w:rFonts w:ascii="Times New Roman" w:hAnsi="Times New Roman" w:cs="Times New Roman"/>
          <w:sz w:val="24"/>
          <w:szCs w:val="24"/>
          <w:lang w:val="bg-BG"/>
        </w:rPr>
        <w:t xml:space="preserve">По </w:t>
      </w:r>
      <w:r w:rsidR="007D6A24" w:rsidRPr="00D33D68">
        <w:rPr>
          <w:rFonts w:ascii="Times New Roman" w:hAnsi="Times New Roman" w:cs="Times New Roman"/>
          <w:sz w:val="24"/>
          <w:szCs w:val="24"/>
          <w:lang w:val="bg-BG"/>
        </w:rPr>
        <w:t>ПС</w:t>
      </w:r>
      <w:r w:rsidRPr="00D33D68">
        <w:rPr>
          <w:rFonts w:ascii="Times New Roman" w:hAnsi="Times New Roman" w:cs="Times New Roman"/>
          <w:sz w:val="24"/>
          <w:szCs w:val="24"/>
          <w:lang w:val="bg-BG"/>
        </w:rPr>
        <w:t xml:space="preserve"> 6</w:t>
      </w:r>
      <w:r w:rsidR="006420AE" w:rsidRPr="00D33D68">
        <w:rPr>
          <w:rFonts w:ascii="Times New Roman" w:hAnsi="Times New Roman" w:cs="Times New Roman"/>
          <w:sz w:val="24"/>
          <w:szCs w:val="24"/>
          <w:lang w:val="bg-BG"/>
        </w:rPr>
        <w:t xml:space="preserve"> „Интегрирана морска политика”</w:t>
      </w:r>
    </w:p>
    <w:p w14:paraId="4A150EC0" w14:textId="78431933" w:rsidR="001E2646" w:rsidRPr="00D33D68" w:rsidRDefault="001E2646" w:rsidP="001E2646">
      <w:r w:rsidRPr="00D33D68">
        <w:t xml:space="preserve">УО </w:t>
      </w:r>
      <w:r w:rsidR="0042694F" w:rsidRPr="00D33D68">
        <w:t xml:space="preserve">е идентифицирал </w:t>
      </w:r>
      <w:r w:rsidR="00077D55" w:rsidRPr="00D33D68">
        <w:t>празноти</w:t>
      </w:r>
      <w:r w:rsidR="0042694F" w:rsidRPr="00D33D68">
        <w:t xml:space="preserve"> в нормативната рамка</w:t>
      </w:r>
      <w:r w:rsidR="00077D55" w:rsidRPr="00D33D68">
        <w:t xml:space="preserve"> – Закона за биологичното разнообразие</w:t>
      </w:r>
      <w:r w:rsidR="00752836" w:rsidRPr="00D33D68">
        <w:t xml:space="preserve">, които </w:t>
      </w:r>
      <w:r w:rsidR="008A17C2" w:rsidRPr="00D33D68">
        <w:t>възпрепятсват отварянето на мярка 6.2</w:t>
      </w:r>
      <w:r w:rsidR="00E42002" w:rsidRPr="00D33D68">
        <w:t xml:space="preserve"> „Насърчаване на </w:t>
      </w:r>
      <w:r w:rsidR="00E42002" w:rsidRPr="00D33D68">
        <w:lastRenderedPageBreak/>
        <w:t>опазването на морската среда и устойчиво използване на морските и крайбрежните ресурси“, член 80.1б,</w:t>
      </w:r>
      <w:r w:rsidR="008A17C2" w:rsidRPr="00D33D68">
        <w:t xml:space="preserve"> още в началото на програмния период. </w:t>
      </w:r>
      <w:r w:rsidR="006E62EA" w:rsidRPr="00D33D68">
        <w:t xml:space="preserve">Това се предизвиква </w:t>
      </w:r>
      <w:r w:rsidR="00077D55" w:rsidRPr="00D33D68">
        <w:t>поради липса на определен подход на национално ниво от отговорното ведомство за „Натура 2000“ – Министерство на околната среда и водите (МОСВ).</w:t>
      </w:r>
      <w:r w:rsidR="00BC5336" w:rsidRPr="00D33D68">
        <w:t xml:space="preserve"> УО поддържаше</w:t>
      </w:r>
      <w:r w:rsidR="006E62EA" w:rsidRPr="00D33D68">
        <w:t xml:space="preserve"> бюджет за</w:t>
      </w:r>
      <w:r w:rsidR="00BC5336" w:rsidRPr="00D33D68">
        <w:t xml:space="preserve"> мярката и изчак</w:t>
      </w:r>
      <w:r w:rsidR="006E62EA" w:rsidRPr="00D33D68">
        <w:t>в</w:t>
      </w:r>
      <w:r w:rsidR="00BC5336" w:rsidRPr="00D33D68">
        <w:t>а</w:t>
      </w:r>
      <w:r w:rsidR="006E62EA" w:rsidRPr="00D33D68">
        <w:t>ше</w:t>
      </w:r>
      <w:r w:rsidR="00BC5336" w:rsidRPr="00D33D68">
        <w:t xml:space="preserve"> за нейното отваряне с надеждата да се премахнат тези пречки. </w:t>
      </w:r>
      <w:r w:rsidR="006E62EA" w:rsidRPr="00D33D68">
        <w:t>УО води</w:t>
      </w:r>
      <w:r w:rsidR="00A21512" w:rsidRPr="00D33D68">
        <w:t xml:space="preserve"> </w:t>
      </w:r>
      <w:r w:rsidR="006E62EA" w:rsidRPr="00D33D68">
        <w:t xml:space="preserve">регулярна </w:t>
      </w:r>
      <w:r w:rsidR="001C53C7" w:rsidRPr="00D33D68">
        <w:t>кореспонденция с МОСВ</w:t>
      </w:r>
      <w:r w:rsidR="006E62EA" w:rsidRPr="00D33D68">
        <w:t xml:space="preserve"> относно развитието на въпроса</w:t>
      </w:r>
      <w:r w:rsidR="00DB4602" w:rsidRPr="00D33D68">
        <w:t>.</w:t>
      </w:r>
      <w:r w:rsidR="001C53C7" w:rsidRPr="00D33D68">
        <w:t xml:space="preserve"> </w:t>
      </w:r>
      <w:r w:rsidR="006E62EA" w:rsidRPr="00D33D68">
        <w:t>Последното</w:t>
      </w:r>
      <w:r w:rsidR="001C53C7" w:rsidRPr="00D33D68">
        <w:t xml:space="preserve"> запитване </w:t>
      </w:r>
      <w:r w:rsidR="00DB4602" w:rsidRPr="00D33D68">
        <w:t xml:space="preserve">е </w:t>
      </w:r>
      <w:r w:rsidR="00A43889" w:rsidRPr="00D33D68">
        <w:t>от</w:t>
      </w:r>
      <w:r w:rsidR="001C53C7" w:rsidRPr="00D33D68">
        <w:t xml:space="preserve"> 24.01.2020</w:t>
      </w:r>
      <w:r w:rsidR="006E62EA" w:rsidRPr="00D33D68">
        <w:t xml:space="preserve"> </w:t>
      </w:r>
      <w:r w:rsidR="001C53C7" w:rsidRPr="00D33D68">
        <w:t>г.</w:t>
      </w:r>
      <w:r w:rsidR="006E62EA" w:rsidRPr="00D33D68">
        <w:t>, получен е отговор</w:t>
      </w:r>
      <w:r w:rsidR="001C53C7" w:rsidRPr="00D33D68">
        <w:t xml:space="preserve"> на 27.01.2020</w:t>
      </w:r>
      <w:r w:rsidR="006E62EA" w:rsidRPr="00D33D68">
        <w:t xml:space="preserve"> </w:t>
      </w:r>
      <w:r w:rsidR="001C53C7" w:rsidRPr="00D33D68">
        <w:t xml:space="preserve">г. </w:t>
      </w:r>
      <w:r w:rsidR="00DB4602" w:rsidRPr="00D33D68">
        <w:t>От отговора става ясно</w:t>
      </w:r>
      <w:r w:rsidR="001C53C7" w:rsidRPr="00D33D68">
        <w:t>, че</w:t>
      </w:r>
      <w:r w:rsidR="00324FBA" w:rsidRPr="00D33D68">
        <w:t xml:space="preserve"> макар МОСВ да е предприело  действия по този въпрос, (1) измението на Закона все още не е прието и (2) </w:t>
      </w:r>
      <w:r w:rsidR="00DB4602" w:rsidRPr="00D33D68">
        <w:t>до края на програмния период от МОСВ не могат да планират нужните цели и дейности, които допринасят за опазване на морската среда, по-специално на биологичното ѝ разнообразие и на морските защитени територии, като обектите по „Натура 2000“, в съответствие със задълженията, установени в директиви 92/43/ЕИО и 2009/147/ЕО, в съответствие с чл. 80, параграф 1, буква „б“ от Регламент (ЕС) № 508/2014</w:t>
      </w:r>
      <w:r w:rsidR="001C53C7" w:rsidRPr="00D33D68">
        <w:t>.</w:t>
      </w:r>
      <w:r w:rsidR="00C8209D" w:rsidRPr="00D33D68">
        <w:t xml:space="preserve"> </w:t>
      </w:r>
      <w:r w:rsidR="00DB4602" w:rsidRPr="00D33D68">
        <w:t>Поради продължаващата невъзможност да се стартира мярката,</w:t>
      </w:r>
      <w:r w:rsidRPr="00D33D68">
        <w:t xml:space="preserve"> въпреки положените усилия от УО и с оглед наближаващия край на програмния период, УО </w:t>
      </w:r>
      <w:r w:rsidR="00DB4602" w:rsidRPr="00D33D68">
        <w:t>ще</w:t>
      </w:r>
      <w:r w:rsidR="00A40F63" w:rsidRPr="00D33D68">
        <w:t xml:space="preserve"> затвори мярка 6.2 </w:t>
      </w:r>
      <w:r w:rsidR="00DB4602" w:rsidRPr="00D33D68">
        <w:t xml:space="preserve">с настоящ бюджет от </w:t>
      </w:r>
      <w:r w:rsidR="007911E2" w:rsidRPr="00D33D68">
        <w:t>581 250</w:t>
      </w:r>
      <w:r w:rsidR="000F2883" w:rsidRPr="00D33D68">
        <w:t xml:space="preserve"> </w:t>
      </w:r>
      <w:r w:rsidR="007911E2" w:rsidRPr="00D33D68">
        <w:t>E</w:t>
      </w:r>
      <w:r w:rsidR="000F2883" w:rsidRPr="00D33D68">
        <w:t>вро</w:t>
      </w:r>
      <w:r w:rsidR="000E29D7" w:rsidRPr="00D33D68">
        <w:t>.</w:t>
      </w:r>
      <w:r w:rsidR="00DB4602" w:rsidRPr="00D33D68">
        <w:t xml:space="preserve"> </w:t>
      </w:r>
      <w:r w:rsidR="000E29D7" w:rsidRPr="00D33D68">
        <w:t>УО</w:t>
      </w:r>
      <w:r w:rsidR="00A40F63" w:rsidRPr="00D33D68">
        <w:t xml:space="preserve"> </w:t>
      </w:r>
      <w:r w:rsidR="00DB4602" w:rsidRPr="00D33D68">
        <w:t xml:space="preserve">ще </w:t>
      </w:r>
      <w:r w:rsidR="00A40F63" w:rsidRPr="00D33D68">
        <w:t>пренасочи</w:t>
      </w:r>
      <w:r w:rsidR="00DB4602" w:rsidRPr="00D33D68">
        <w:t xml:space="preserve"> нейния бюджет </w:t>
      </w:r>
      <w:r w:rsidR="00A40F63" w:rsidRPr="00D33D68">
        <w:t xml:space="preserve">към </w:t>
      </w:r>
      <w:r w:rsidR="00DB4602" w:rsidRPr="00D33D68">
        <w:t>мярка 6.3</w:t>
      </w:r>
      <w:r w:rsidR="00E42002" w:rsidRPr="00D33D68">
        <w:t xml:space="preserve"> „Повишаване на знанията за състоянието на морската среда“, член 80.1в</w:t>
      </w:r>
      <w:r w:rsidR="009F4BDB" w:rsidRPr="00D33D68">
        <w:t>, тъй като средствата по ПС 6 не могат да се пренасочат към други ПС</w:t>
      </w:r>
      <w:r w:rsidR="006420AE" w:rsidRPr="00D33D68">
        <w:t>, а същевременно по мярка 6.3 е регистриран голям интерес. По последния прием с бюджет по процедурата – 637 920,76 лв. БФП са постъпили проектни предложения на стойност 2 455 00,00 лв.</w:t>
      </w:r>
      <w:r w:rsidR="007C61C0" w:rsidRPr="00D33D68">
        <w:t xml:space="preserve"> </w:t>
      </w:r>
      <w:r w:rsidR="006420AE" w:rsidRPr="00D33D68">
        <w:t>БФП.</w:t>
      </w:r>
      <w:r w:rsidR="00DB4602" w:rsidRPr="00D33D68">
        <w:t xml:space="preserve"> </w:t>
      </w:r>
    </w:p>
    <w:p w14:paraId="24E3B07F" w14:textId="2A0B09A8" w:rsidR="00E10964" w:rsidRPr="00D33D68" w:rsidRDefault="00736737" w:rsidP="0074496F">
      <w:r w:rsidRPr="00D33D68">
        <w:t>В т</w:t>
      </w:r>
      <w:r w:rsidR="003B7F11" w:rsidRPr="00D33D68">
        <w:t>ази връзка се правят изменения в Оперативната програма в „</w:t>
      </w:r>
      <w:bookmarkStart w:id="0" w:name="_Toc256000009"/>
      <w:r w:rsidR="00E10964" w:rsidRPr="00D33D68">
        <w:t>3.1 Description of the strategy of the Operational Programme</w:t>
      </w:r>
      <w:bookmarkEnd w:id="0"/>
      <w:r w:rsidR="003B7F11" w:rsidRPr="00D33D68">
        <w:t>“</w:t>
      </w:r>
      <w:r w:rsidR="00E10964" w:rsidRPr="00D33D68">
        <w:t>, в частта касаеща П</w:t>
      </w:r>
      <w:r w:rsidRPr="00D33D68">
        <w:t>С</w:t>
      </w:r>
      <w:r w:rsidR="00E10964" w:rsidRPr="00D33D68">
        <w:t xml:space="preserve"> 6</w:t>
      </w:r>
      <w:r w:rsidRPr="00D33D68">
        <w:t>;</w:t>
      </w:r>
      <w:r w:rsidR="00D565A0" w:rsidRPr="00D33D68">
        <w:t xml:space="preserve"> в 3.2 </w:t>
      </w:r>
      <w:r w:rsidRPr="00D33D68">
        <w:t>„</w:t>
      </w:r>
      <w:r w:rsidR="00D565A0" w:rsidRPr="00D33D68">
        <w:t>Specific objectives and result indicators</w:t>
      </w:r>
      <w:r w:rsidRPr="00D33D68">
        <w:t>”</w:t>
      </w:r>
      <w:r w:rsidR="00D565A0" w:rsidRPr="00D33D68">
        <w:t xml:space="preserve"> се заличават стойностите на индикатор 6.2.a - Change in the coverage of Natura 2000 areas designated under the Birds and Habitats directives и съ</w:t>
      </w:r>
      <w:r w:rsidRPr="00D33D68">
        <w:t>щ</w:t>
      </w:r>
      <w:r w:rsidR="00D565A0" w:rsidRPr="00D33D68">
        <w:t>ия се отбелязва като неприложим.</w:t>
      </w:r>
    </w:p>
    <w:p w14:paraId="4DF6BC52" w14:textId="77777777" w:rsidR="00D565A0" w:rsidRPr="00D33D68" w:rsidRDefault="00E10964" w:rsidP="00D6532E">
      <w:r w:rsidRPr="00D33D68">
        <w:t xml:space="preserve">В </w:t>
      </w:r>
      <w:r w:rsidR="00D6532E" w:rsidRPr="00D33D68">
        <w:t>„</w:t>
      </w:r>
      <w:r w:rsidRPr="00D33D68">
        <w:t>4.1 Description of the specific needs of natura 2000 areas and the contribution of the programme to the establishment of a coherent network of fish stock recovery areas as laid out in Article 8 of the CFP Regulation</w:t>
      </w:r>
      <w:r w:rsidR="00D6532E" w:rsidRPr="00D33D68">
        <w:t>“ се редактира текстът в подкрепяните дейности.</w:t>
      </w:r>
    </w:p>
    <w:p w14:paraId="60935CEB" w14:textId="10609604" w:rsidR="00A463A3" w:rsidRPr="00D33D68" w:rsidRDefault="00D6532E" w:rsidP="00D6532E">
      <w:r w:rsidRPr="00D33D68">
        <w:t>Поради същите причини чл. 80.1.b се изтрива от точка „5.2 Information on integrated territorial investments“</w:t>
      </w:r>
      <w:r w:rsidR="000E305A" w:rsidRPr="00D33D68">
        <w:t xml:space="preserve"> и от 9.2 Indication of the indicative amount of support to be used for climate change objectives.</w:t>
      </w:r>
    </w:p>
    <w:p w14:paraId="246D24B7" w14:textId="1CE60AC0" w:rsidR="008C6893" w:rsidRPr="00D33D68" w:rsidRDefault="00875681" w:rsidP="00D6532E">
      <w:r w:rsidRPr="00875681">
        <w:t>Глава 3.1 на оперативната програма е изменена в съответствие на промение в бюджета.</w:t>
      </w:r>
      <w:r w:rsidR="008C6893" w:rsidRPr="00D33D68">
        <w:br w:type="page"/>
      </w:r>
    </w:p>
    <w:p w14:paraId="275FE882" w14:textId="1C642493" w:rsidR="007C61C0" w:rsidRPr="00D33D68" w:rsidRDefault="0093358C" w:rsidP="005D3E78">
      <w:pPr>
        <w:pStyle w:val="Heading3"/>
        <w:rPr>
          <w:rFonts w:ascii="Times New Roman" w:hAnsi="Times New Roman" w:cs="Times New Roman"/>
        </w:rPr>
      </w:pPr>
      <w:r w:rsidRPr="00D33D68">
        <w:rPr>
          <w:rFonts w:ascii="Times New Roman" w:hAnsi="Times New Roman" w:cs="Times New Roman"/>
          <w:lang w:val="bg-BG"/>
        </w:rPr>
        <w:lastRenderedPageBreak/>
        <w:t>Рело</w:t>
      </w:r>
      <w:r w:rsidR="001C66BB" w:rsidRPr="00D33D68">
        <w:rPr>
          <w:rFonts w:ascii="Times New Roman" w:hAnsi="Times New Roman" w:cs="Times New Roman"/>
          <w:lang w:val="bg-BG"/>
        </w:rPr>
        <w:t>кация на бюджети в табличен вид</w:t>
      </w:r>
      <w:r w:rsidR="007C61C0" w:rsidRPr="00D33D68">
        <w:rPr>
          <w:rFonts w:ascii="Times New Roman" w:hAnsi="Times New Roman" w:cs="Times New Roman"/>
          <w:lang w:val="bg-BG"/>
        </w:rPr>
        <w:t xml:space="preserve"> на ниво мерки. </w:t>
      </w:r>
    </w:p>
    <w:p w14:paraId="05A4AB0E" w14:textId="77777777" w:rsidR="00C37BDA" w:rsidRPr="00D33D68" w:rsidRDefault="00C37BDA" w:rsidP="00C37BDA">
      <w:pPr>
        <w:rPr>
          <w:lang w:val="en-US"/>
        </w:rPr>
      </w:pPr>
    </w:p>
    <w:p w14:paraId="48DBCDFB" w14:textId="2FC80349" w:rsidR="00C37BDA" w:rsidRPr="00D33D68" w:rsidRDefault="00C37BDA" w:rsidP="00C37BDA">
      <w:pPr>
        <w:rPr>
          <w:lang w:val="en-US"/>
        </w:rPr>
      </w:pPr>
      <w:r w:rsidRPr="00D33D68">
        <w:rPr>
          <w:lang w:val="en-US"/>
        </w:rPr>
        <w:drawing>
          <wp:inline distT="0" distB="0" distL="0" distR="0" wp14:anchorId="10B68AE7" wp14:editId="675A1356">
            <wp:extent cx="5760720" cy="6925203"/>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720" cy="6925203"/>
                    </a:xfrm>
                    <a:prstGeom prst="rect">
                      <a:avLst/>
                    </a:prstGeom>
                    <a:noFill/>
                    <a:ln>
                      <a:noFill/>
                    </a:ln>
                  </pic:spPr>
                </pic:pic>
              </a:graphicData>
            </a:graphic>
          </wp:inline>
        </w:drawing>
      </w:r>
    </w:p>
    <w:p w14:paraId="5B0EBAA6" w14:textId="4BFF1F62" w:rsidR="007C76BF" w:rsidRPr="00D33D68" w:rsidRDefault="007C76BF" w:rsidP="007C76BF">
      <w:pPr>
        <w:rPr>
          <w:lang w:val="en-US"/>
        </w:rPr>
      </w:pPr>
    </w:p>
    <w:p w14:paraId="6192A439" w14:textId="77777777" w:rsidR="00730541" w:rsidRPr="00D33D68" w:rsidRDefault="00730541" w:rsidP="007C76BF">
      <w:pPr>
        <w:rPr>
          <w:lang w:val="en-US"/>
        </w:rPr>
      </w:pPr>
    </w:p>
    <w:p w14:paraId="1A6FC3BC" w14:textId="77777777" w:rsidR="00730541" w:rsidRPr="00D33D68" w:rsidRDefault="00730541" w:rsidP="00BA6332">
      <w:pPr>
        <w:pStyle w:val="Heading2"/>
        <w:rPr>
          <w:rFonts w:ascii="Times New Roman" w:hAnsi="Times New Roman" w:cs="Times New Roman"/>
          <w:bCs/>
        </w:rPr>
      </w:pPr>
      <w:r w:rsidRPr="00D33D68">
        <w:rPr>
          <w:rFonts w:ascii="Times New Roman" w:hAnsi="Times New Roman" w:cs="Times New Roman"/>
          <w:bCs/>
        </w:rPr>
        <w:br w:type="page"/>
      </w:r>
    </w:p>
    <w:p w14:paraId="11EE6D84" w14:textId="355BB65C" w:rsidR="00BA6332" w:rsidRPr="00D33D68" w:rsidRDefault="00BA6332" w:rsidP="00581FBD">
      <w:pPr>
        <w:pStyle w:val="Heading2"/>
        <w:numPr>
          <w:ilvl w:val="0"/>
          <w:numId w:val="10"/>
        </w:numPr>
        <w:rPr>
          <w:rFonts w:ascii="Times New Roman" w:hAnsi="Times New Roman" w:cs="Times New Roman"/>
        </w:rPr>
      </w:pPr>
      <w:r w:rsidRPr="00D33D68">
        <w:rPr>
          <w:rFonts w:ascii="Times New Roman" w:hAnsi="Times New Roman" w:cs="Times New Roman"/>
          <w:bCs/>
        </w:rPr>
        <w:lastRenderedPageBreak/>
        <w:t>Въвеждане на финансови инструменти</w:t>
      </w:r>
      <w:r w:rsidR="00692382" w:rsidRPr="00D33D68">
        <w:rPr>
          <w:rFonts w:ascii="Times New Roman" w:hAnsi="Times New Roman" w:cs="Times New Roman"/>
        </w:rPr>
        <w:t xml:space="preserve"> и промяна в секция 14.1</w:t>
      </w:r>
    </w:p>
    <w:p w14:paraId="02EC2584" w14:textId="77777777" w:rsidR="00C66261" w:rsidRPr="00D33D68" w:rsidRDefault="00032C0B" w:rsidP="00C66261">
      <w:pPr>
        <w:pStyle w:val="Heading3"/>
        <w:rPr>
          <w:rFonts w:ascii="Times New Roman" w:hAnsi="Times New Roman" w:cs="Times New Roman"/>
          <w:sz w:val="24"/>
          <w:szCs w:val="24"/>
          <w:lang w:val="bg-BG"/>
        </w:rPr>
      </w:pPr>
      <w:r w:rsidRPr="00D33D68">
        <w:rPr>
          <w:rFonts w:ascii="Times New Roman" w:hAnsi="Times New Roman" w:cs="Times New Roman"/>
          <w:sz w:val="24"/>
          <w:szCs w:val="24"/>
          <w:lang w:val="bg-BG"/>
        </w:rPr>
        <w:t>Изпълнение на процедурни изисквания</w:t>
      </w:r>
    </w:p>
    <w:p w14:paraId="7EBB86ED" w14:textId="15CC8F5F" w:rsidR="00BE7B2A" w:rsidRPr="00D33D68" w:rsidRDefault="009E34C0" w:rsidP="00FE7740">
      <w:r w:rsidRPr="00D33D68">
        <w:t xml:space="preserve">Правното основание </w:t>
      </w:r>
      <w:r w:rsidR="005C1A06" w:rsidRPr="00D33D68">
        <w:t xml:space="preserve">за въвеждане на Финансови инструмент е разпоредбите на чл. 37 и чл. 38 от Регламент (ЕС) № 1303/2013. </w:t>
      </w:r>
      <w:r w:rsidR="007D323B" w:rsidRPr="00D33D68">
        <w:t xml:space="preserve">Според чл. 37 </w:t>
      </w:r>
      <w:r w:rsidR="00032753" w:rsidRPr="00D33D68">
        <w:t>подкрепата за финансови инструменти се основава на предварителна</w:t>
      </w:r>
      <w:r w:rsidR="004C6CF5" w:rsidRPr="00D33D68">
        <w:t xml:space="preserve"> (</w:t>
      </w:r>
      <w:r w:rsidR="004C6CF5" w:rsidRPr="00D33D68">
        <w:rPr>
          <w:i/>
        </w:rPr>
        <w:t>ex-ante</w:t>
      </w:r>
      <w:r w:rsidR="004C6CF5" w:rsidRPr="00D33D68">
        <w:t>)</w:t>
      </w:r>
      <w:r w:rsidR="00032753" w:rsidRPr="00D33D68">
        <w:t xml:space="preserve"> оценка</w:t>
      </w:r>
      <w:r w:rsidR="0044058C" w:rsidRPr="00D33D68">
        <w:t>.</w:t>
      </w:r>
      <w:r w:rsidR="00032753" w:rsidRPr="00D33D68">
        <w:t xml:space="preserve"> </w:t>
      </w:r>
      <w:r w:rsidR="00621B4B" w:rsidRPr="00D33D68">
        <w:t>Т</w:t>
      </w:r>
      <w:r w:rsidR="00CA5166" w:rsidRPr="00D33D68">
        <w:t xml:space="preserve">акава предварителна оценка </w:t>
      </w:r>
      <w:r w:rsidR="001D2329" w:rsidRPr="00D33D68">
        <w:t>за програмен период 2014-2020</w:t>
      </w:r>
      <w:r w:rsidR="007A2D5F" w:rsidRPr="00D33D68">
        <w:t xml:space="preserve"> г. </w:t>
      </w:r>
      <w:r w:rsidR="00CA5166" w:rsidRPr="00D33D68">
        <w:t xml:space="preserve">е направена </w:t>
      </w:r>
      <w:r w:rsidR="007F6C44" w:rsidRPr="00D33D68">
        <w:t>през 2014 г.</w:t>
      </w:r>
      <w:r w:rsidR="00FE7740" w:rsidRPr="00D33D68">
        <w:t xml:space="preserve"> УО на ПМДР </w:t>
      </w:r>
      <w:r w:rsidR="001D2329" w:rsidRPr="00D33D68">
        <w:t xml:space="preserve">предприе действия за </w:t>
      </w:r>
      <w:r w:rsidR="00FE7740" w:rsidRPr="00D33D68">
        <w:t xml:space="preserve"> актуализиране на изготвeната през 2014 г. предварителна оценка за прилагане на финансови инструменти</w:t>
      </w:r>
      <w:r w:rsidR="00147FC2" w:rsidRPr="00D33D68">
        <w:t xml:space="preserve"> по ПМДР</w:t>
      </w:r>
      <w:r w:rsidR="00FE7740" w:rsidRPr="00D33D68">
        <w:t xml:space="preserve">. </w:t>
      </w:r>
      <w:r w:rsidR="00621B4B" w:rsidRPr="00D33D68">
        <w:t>А</w:t>
      </w:r>
      <w:r w:rsidR="007F6C44" w:rsidRPr="00D33D68">
        <w:t xml:space="preserve">ктуализираната предварителна оценка беше </w:t>
      </w:r>
      <w:r w:rsidR="00BB40B4" w:rsidRPr="00D33D68">
        <w:t>предоставена на</w:t>
      </w:r>
      <w:r w:rsidR="00621B4B" w:rsidRPr="00D33D68">
        <w:t xml:space="preserve"> деветото заседание на Комитета за наблюдение на ПМДР 2014-2020 г., проведено на 12 февруари 2020 г. в гр. София</w:t>
      </w:r>
      <w:r w:rsidR="00044107" w:rsidRPr="00D33D68">
        <w:t xml:space="preserve">. </w:t>
      </w:r>
      <w:r w:rsidR="0016050C" w:rsidRPr="00D33D68">
        <w:t xml:space="preserve">Следващите </w:t>
      </w:r>
      <w:r w:rsidR="00A661A4" w:rsidRPr="00D33D68">
        <w:t xml:space="preserve">две подсекции на настоящата обосновка </w:t>
      </w:r>
      <w:r w:rsidR="00EE7078" w:rsidRPr="00D33D68">
        <w:t xml:space="preserve">обясняват </w:t>
      </w:r>
      <w:r w:rsidR="00AF74AD" w:rsidRPr="00D33D68">
        <w:t xml:space="preserve">административната рамка </w:t>
      </w:r>
      <w:r w:rsidR="00D32179" w:rsidRPr="00D33D68">
        <w:t xml:space="preserve">и начина за прилагане на финансовите инструменти </w:t>
      </w:r>
      <w:r w:rsidR="00C72FEC" w:rsidRPr="00D33D68">
        <w:t>в изпълнение на разпоредбите на чл. 37 и чл. 38</w:t>
      </w:r>
      <w:r w:rsidR="00386641" w:rsidRPr="00D33D68">
        <w:t xml:space="preserve"> и с оглед констатциите и заключенията на предварителната оценка.</w:t>
      </w:r>
    </w:p>
    <w:p w14:paraId="7B3439F0" w14:textId="77777777" w:rsidR="004318EA" w:rsidRPr="00D33D68" w:rsidRDefault="004318EA" w:rsidP="004318EA">
      <w:pPr>
        <w:pStyle w:val="Heading3"/>
        <w:rPr>
          <w:rFonts w:ascii="Times New Roman" w:hAnsi="Times New Roman" w:cs="Times New Roman"/>
          <w:sz w:val="24"/>
          <w:szCs w:val="24"/>
          <w:lang w:val="bg-BG"/>
        </w:rPr>
      </w:pPr>
      <w:r w:rsidRPr="00D33D68">
        <w:rPr>
          <w:rFonts w:ascii="Times New Roman" w:hAnsi="Times New Roman" w:cs="Times New Roman"/>
          <w:sz w:val="24"/>
          <w:szCs w:val="24"/>
          <w:lang w:val="bg-BG"/>
        </w:rPr>
        <w:t>Н</w:t>
      </w:r>
      <w:r w:rsidR="005B69EF" w:rsidRPr="00D33D68">
        <w:rPr>
          <w:rFonts w:ascii="Times New Roman" w:hAnsi="Times New Roman" w:cs="Times New Roman"/>
          <w:sz w:val="24"/>
          <w:szCs w:val="24"/>
          <w:lang w:val="bg-BG"/>
        </w:rPr>
        <w:t>ужда от прилагане на финансови</w:t>
      </w:r>
      <w:r w:rsidRPr="00D33D68">
        <w:rPr>
          <w:rFonts w:ascii="Times New Roman" w:hAnsi="Times New Roman" w:cs="Times New Roman"/>
          <w:sz w:val="24"/>
          <w:szCs w:val="24"/>
          <w:lang w:val="bg-BG"/>
        </w:rPr>
        <w:t xml:space="preserve"> инструменти</w:t>
      </w:r>
    </w:p>
    <w:p w14:paraId="1D9FB888" w14:textId="77777777" w:rsidR="00C10FA0" w:rsidRPr="00D33D68" w:rsidRDefault="00D40611" w:rsidP="00122287">
      <w:r w:rsidRPr="00D33D68">
        <w:t>УО смята за нужно да използва финансови инструменти</w:t>
      </w:r>
      <w:r w:rsidR="00D948FC" w:rsidRPr="00D33D68">
        <w:t>,</w:t>
      </w:r>
      <w:r w:rsidRPr="00D33D68">
        <w:t xml:space="preserve"> за да подпомогне достъпа на сектора до средствата на </w:t>
      </w:r>
      <w:r w:rsidR="00D948FC" w:rsidRPr="00D33D68">
        <w:t xml:space="preserve">ПМДР </w:t>
      </w:r>
      <w:r w:rsidRPr="00D33D68">
        <w:t xml:space="preserve">и да подобри нейното изпълнение. </w:t>
      </w:r>
      <w:r w:rsidR="001474BE" w:rsidRPr="00D33D68">
        <w:t>В изпълнение на чл. 37, параграф 1, финансовите инструменти се прилагат за да допринесат за постигането на специфични цели</w:t>
      </w:r>
      <w:r w:rsidR="00D30164" w:rsidRPr="00D33D68">
        <w:t xml:space="preserve"> и да осигурят постигането на целите по-конкретно</w:t>
      </w:r>
      <w:r w:rsidR="001474BE" w:rsidRPr="00D33D68">
        <w:t xml:space="preserve"> по ПС 2, 4 и 5.</w:t>
      </w:r>
      <w:r w:rsidR="005830FD" w:rsidRPr="00D33D68">
        <w:t xml:space="preserve"> </w:t>
      </w:r>
      <w:r w:rsidR="00560E1A" w:rsidRPr="00D33D68">
        <w:t>Отново в изпълнение на чл. 37, параграф 1, ф</w:t>
      </w:r>
      <w:r w:rsidR="001474BE" w:rsidRPr="00D33D68">
        <w:t>инансовите инструменти се използват за подкрепа на инвестиции, които се очаква да бъдат финансово жизнеспособни, но не могат да генерират достатъчно финансиране от пазарни източници.</w:t>
      </w:r>
      <w:r w:rsidR="007C450E" w:rsidRPr="00D33D68">
        <w:t xml:space="preserve"> Това е видно </w:t>
      </w:r>
      <w:r w:rsidR="00122287" w:rsidRPr="00D33D68">
        <w:t>от три основни причини:</w:t>
      </w:r>
    </w:p>
    <w:p w14:paraId="1376F521" w14:textId="2B5B5ED6" w:rsidR="00C10FA0" w:rsidRPr="00D33D68" w:rsidRDefault="00324F23" w:rsidP="00581FBD">
      <w:pPr>
        <w:pStyle w:val="ListParagraph"/>
        <w:numPr>
          <w:ilvl w:val="0"/>
          <w:numId w:val="3"/>
        </w:numPr>
      </w:pPr>
      <w:r w:rsidRPr="00D33D68">
        <w:t xml:space="preserve">Неизпълнение на 9 проектни предложения </w:t>
      </w:r>
      <w:r w:rsidR="00C10FA0" w:rsidRPr="00D33D68">
        <w:t xml:space="preserve">от бенефициенти </w:t>
      </w:r>
      <w:r w:rsidRPr="00D33D68">
        <w:t>с</w:t>
      </w:r>
      <w:r w:rsidR="00C10FA0" w:rsidRPr="00D33D68">
        <w:t xml:space="preserve"> подписани договори поради липса на</w:t>
      </w:r>
      <w:r w:rsidRPr="00D33D68">
        <w:t xml:space="preserve"> възможности за</w:t>
      </w:r>
      <w:r w:rsidR="00AD46AD" w:rsidRPr="00D33D68">
        <w:t xml:space="preserve"> </w:t>
      </w:r>
      <w:r w:rsidR="00C10FA0" w:rsidRPr="00D33D68">
        <w:t>финансиране.</w:t>
      </w:r>
    </w:p>
    <w:p w14:paraId="55A69D8C" w14:textId="7FAA579D" w:rsidR="00C10FA0" w:rsidRPr="00D33D68" w:rsidRDefault="00294B26" w:rsidP="00581FBD">
      <w:pPr>
        <w:pStyle w:val="ListParagraph"/>
        <w:numPr>
          <w:ilvl w:val="0"/>
          <w:numId w:val="3"/>
        </w:numPr>
      </w:pPr>
      <w:r w:rsidRPr="00D33D68">
        <w:t xml:space="preserve">Проведени социологически проучвания </w:t>
      </w:r>
      <w:r w:rsidR="00C10FA0" w:rsidRPr="00D33D68">
        <w:t>в сектора</w:t>
      </w:r>
      <w:r w:rsidR="00C10FA0" w:rsidRPr="00D33D68">
        <w:rPr>
          <w:rStyle w:val="FootnoteReference"/>
        </w:rPr>
        <w:footnoteReference w:id="15"/>
      </w:r>
      <w:r w:rsidR="00C10FA0" w:rsidRPr="00D33D68">
        <w:t>, което показва висок интерес към мерки 2.2, 2.3, 4.2 и 5.4. Въпреки това много от кандидатите не пристъпват към кандидатстване, поради липса на финансова сигурност.</w:t>
      </w:r>
    </w:p>
    <w:p w14:paraId="73F6E44A" w14:textId="77777777" w:rsidR="00C10FA0" w:rsidRPr="00D33D68" w:rsidRDefault="00C10FA0" w:rsidP="00581FBD">
      <w:pPr>
        <w:pStyle w:val="ListParagraph"/>
        <w:numPr>
          <w:ilvl w:val="0"/>
          <w:numId w:val="3"/>
        </w:numPr>
      </w:pPr>
      <w:r w:rsidRPr="00D33D68">
        <w:t>Тежки и тромави процедури от страна на банковите институции за отпускане на кредит, липса или недостатъчна на кредитна история на кредитоискателите, по-ограничаващи условия за юридически лица.</w:t>
      </w:r>
    </w:p>
    <w:p w14:paraId="74D9318C" w14:textId="5DF3583B" w:rsidR="005D1607" w:rsidRPr="00D33D68" w:rsidRDefault="00147FC2" w:rsidP="005D1607">
      <w:pPr>
        <w:keepNext/>
        <w:spacing w:after="120"/>
        <w:rPr>
          <w:bCs/>
          <w:noProof w:val="0"/>
        </w:rPr>
      </w:pPr>
      <w:r w:rsidRPr="00D33D68">
        <w:t>С Предварителната оценка са проучени предлагането и търсенето на финансиране в сектор „Рибарство“, като</w:t>
      </w:r>
      <w:r w:rsidR="00DE7D8D" w:rsidRPr="00D33D68">
        <w:t xml:space="preserve"> </w:t>
      </w:r>
      <w:r w:rsidR="005D1607" w:rsidRPr="00D33D68">
        <w:rPr>
          <w:bCs/>
          <w:noProof w:val="0"/>
        </w:rPr>
        <w:t>са идентифицирани случаите на пазарна неефективност, довели до наблюдаваните неоптимални инвестиционни ситуации и пазарни дефекти, както следва:</w:t>
      </w:r>
    </w:p>
    <w:p w14:paraId="3286C5E9" w14:textId="331C6497" w:rsidR="00147FC2" w:rsidRPr="00D33D68" w:rsidRDefault="00147FC2" w:rsidP="007718C6">
      <w:pPr>
        <w:spacing w:after="0" w:line="240" w:lineRule="auto"/>
        <w:ind w:firstLine="720"/>
        <w:contextualSpacing/>
        <w:rPr>
          <w:rFonts w:eastAsia="Times New Roman"/>
          <w:noProof w:val="0"/>
        </w:rPr>
      </w:pPr>
      <w:r w:rsidRPr="00D33D68">
        <w:rPr>
          <w:rFonts w:eastAsia="Times New Roman"/>
          <w:noProof w:val="0"/>
        </w:rPr>
        <w:t xml:space="preserve">- Съществува затруднен достъп до финансиране в сектор „Рибарство“, </w:t>
      </w:r>
      <w:r w:rsidR="00225EE6" w:rsidRPr="00D33D68">
        <w:rPr>
          <w:rFonts w:eastAsia="Times New Roman"/>
          <w:noProof w:val="0"/>
        </w:rPr>
        <w:t>съпътстван</w:t>
      </w:r>
      <w:r w:rsidRPr="00D33D68">
        <w:rPr>
          <w:rFonts w:eastAsia="Times New Roman"/>
          <w:noProof w:val="0"/>
        </w:rPr>
        <w:t xml:space="preserve"> от утежняване на условията за </w:t>
      </w:r>
      <w:r w:rsidR="00225EE6" w:rsidRPr="00D33D68">
        <w:rPr>
          <w:rFonts w:eastAsia="Times New Roman"/>
          <w:noProof w:val="0"/>
        </w:rPr>
        <w:t>финансиране</w:t>
      </w:r>
      <w:r w:rsidRPr="00D33D68">
        <w:rPr>
          <w:rFonts w:eastAsia="Times New Roman"/>
          <w:noProof w:val="0"/>
        </w:rPr>
        <w:t xml:space="preserve">, увеличаване на усилията и разходите за получаването му; </w:t>
      </w:r>
    </w:p>
    <w:p w14:paraId="77634585" w14:textId="1AC24BC6" w:rsidR="00147FC2" w:rsidRPr="00D33D68" w:rsidRDefault="00147FC2" w:rsidP="00884142">
      <w:pPr>
        <w:spacing w:after="0" w:line="240" w:lineRule="auto"/>
        <w:ind w:firstLine="720"/>
        <w:contextualSpacing/>
        <w:jc w:val="left"/>
        <w:rPr>
          <w:rFonts w:eastAsia="Times New Roman"/>
          <w:noProof w:val="0"/>
        </w:rPr>
      </w:pPr>
      <w:r w:rsidRPr="00D33D68">
        <w:rPr>
          <w:rFonts w:eastAsia="Times New Roman"/>
          <w:noProof w:val="0"/>
        </w:rPr>
        <w:lastRenderedPageBreak/>
        <w:t xml:space="preserve"> -</w:t>
      </w:r>
      <w:r w:rsidR="008D2971" w:rsidRPr="00D33D68">
        <w:rPr>
          <w:rFonts w:eastAsia="Times New Roman"/>
          <w:noProof w:val="0"/>
        </w:rPr>
        <w:t xml:space="preserve"> </w:t>
      </w:r>
      <w:r w:rsidRPr="00D33D68">
        <w:rPr>
          <w:rFonts w:eastAsia="Times New Roman"/>
          <w:noProof w:val="0"/>
        </w:rPr>
        <w:t>Запазва се тенденцията предприятията да не търсят финансиране поради очакван отказ - т.нар. „ефект на обезсърчаване“;</w:t>
      </w:r>
    </w:p>
    <w:p w14:paraId="401CA7D2" w14:textId="2AE1A0E1" w:rsidR="0044390E" w:rsidRPr="00D33D68" w:rsidRDefault="00147FC2" w:rsidP="00C80916">
      <w:pPr>
        <w:spacing w:after="0" w:line="240" w:lineRule="auto"/>
        <w:ind w:firstLine="720"/>
        <w:contextualSpacing/>
        <w:jc w:val="left"/>
        <w:rPr>
          <w:rFonts w:eastAsia="Times New Roman"/>
          <w:noProof w:val="0"/>
        </w:rPr>
      </w:pPr>
      <w:r w:rsidRPr="00D33D68">
        <w:rPr>
          <w:rFonts w:eastAsia="Times New Roman"/>
          <w:noProof w:val="0"/>
        </w:rPr>
        <w:t xml:space="preserve"> -</w:t>
      </w:r>
      <w:r w:rsidR="008D2971" w:rsidRPr="00D33D68">
        <w:rPr>
          <w:rFonts w:eastAsia="Times New Roman"/>
          <w:noProof w:val="0"/>
        </w:rPr>
        <w:t xml:space="preserve"> </w:t>
      </w:r>
      <w:r w:rsidRPr="00D33D68">
        <w:rPr>
          <w:rFonts w:eastAsia="Times New Roman"/>
          <w:noProof w:val="0"/>
        </w:rPr>
        <w:t>Намалява готовността на банките да предлагат финансиране под каквато и да била форма.</w:t>
      </w:r>
    </w:p>
    <w:p w14:paraId="0F46D43C" w14:textId="0548DD75" w:rsidR="00147FC2" w:rsidRPr="00D33D68" w:rsidRDefault="00147FC2" w:rsidP="00C80916">
      <w:pPr>
        <w:spacing w:after="0" w:line="240" w:lineRule="auto"/>
        <w:ind w:firstLine="720"/>
        <w:contextualSpacing/>
        <w:jc w:val="left"/>
        <w:rPr>
          <w:rFonts w:eastAsia="Times New Roman"/>
          <w:noProof w:val="0"/>
        </w:rPr>
      </w:pPr>
      <w:r w:rsidRPr="00D33D68">
        <w:rPr>
          <w:rFonts w:eastAsia="Times New Roman"/>
          <w:noProof w:val="0"/>
        </w:rPr>
        <w:t>-</w:t>
      </w:r>
      <w:r w:rsidR="008D2971" w:rsidRPr="00D33D68">
        <w:rPr>
          <w:rFonts w:eastAsia="Times New Roman"/>
          <w:noProof w:val="0"/>
        </w:rPr>
        <w:t xml:space="preserve"> </w:t>
      </w:r>
      <w:r w:rsidRPr="00D33D68">
        <w:rPr>
          <w:rFonts w:eastAsia="Times New Roman"/>
          <w:noProof w:val="0"/>
        </w:rPr>
        <w:t>Отчита се усещане за липса на подкрепа от страна на финансовите институции и местната власт.</w:t>
      </w:r>
    </w:p>
    <w:p w14:paraId="05FDA841" w14:textId="77777777" w:rsidR="00147FC2" w:rsidRPr="00D33D68" w:rsidRDefault="00147FC2" w:rsidP="00147FC2">
      <w:pPr>
        <w:spacing w:after="0" w:line="240" w:lineRule="auto"/>
        <w:contextualSpacing/>
        <w:jc w:val="left"/>
        <w:rPr>
          <w:rFonts w:eastAsia="Times New Roman"/>
          <w:noProof w:val="0"/>
        </w:rPr>
      </w:pPr>
      <w:r w:rsidRPr="00D33D68">
        <w:rPr>
          <w:rFonts w:eastAsia="Times New Roman"/>
          <w:noProof w:val="0"/>
        </w:rPr>
        <w:t xml:space="preserve">Сред останалите проблеми пред финансирането в сектор „Рибарство“ са: </w:t>
      </w:r>
    </w:p>
    <w:p w14:paraId="6F2C811B" w14:textId="5E206876" w:rsidR="00147FC2" w:rsidRPr="00D33D68" w:rsidRDefault="00147FC2" w:rsidP="00147FC2">
      <w:pPr>
        <w:spacing w:after="0" w:line="240" w:lineRule="auto"/>
        <w:contextualSpacing/>
        <w:jc w:val="left"/>
        <w:rPr>
          <w:rFonts w:eastAsia="Times New Roman"/>
          <w:noProof w:val="0"/>
        </w:rPr>
      </w:pPr>
      <w:r w:rsidRPr="00D33D68">
        <w:rPr>
          <w:rFonts w:eastAsia="Times New Roman"/>
          <w:noProof w:val="0"/>
        </w:rPr>
        <w:t>•</w:t>
      </w:r>
      <w:r w:rsidRPr="00D33D68">
        <w:rPr>
          <w:rFonts w:eastAsia="Times New Roman"/>
          <w:noProof w:val="0"/>
        </w:rPr>
        <w:tab/>
        <w:t xml:space="preserve">силно преобладаващ дял на </w:t>
      </w:r>
      <w:proofErr w:type="spellStart"/>
      <w:r w:rsidRPr="00D33D68">
        <w:rPr>
          <w:rFonts w:eastAsia="Times New Roman"/>
          <w:noProof w:val="0"/>
        </w:rPr>
        <w:t>микро</w:t>
      </w:r>
      <w:proofErr w:type="spellEnd"/>
      <w:r w:rsidR="00F972B9" w:rsidRPr="00D33D68">
        <w:rPr>
          <w:rFonts w:eastAsia="Times New Roman"/>
          <w:noProof w:val="0"/>
        </w:rPr>
        <w:t>-</w:t>
      </w:r>
      <w:r w:rsidRPr="00D33D68">
        <w:rPr>
          <w:rFonts w:eastAsia="Times New Roman"/>
          <w:noProof w:val="0"/>
        </w:rPr>
        <w:t xml:space="preserve"> и малки предприятия в сектора с колебливи и променливи финансови резултати; </w:t>
      </w:r>
    </w:p>
    <w:p w14:paraId="1961CB31" w14:textId="77777777" w:rsidR="00147FC2" w:rsidRPr="00D33D68" w:rsidRDefault="00147FC2" w:rsidP="00147FC2">
      <w:pPr>
        <w:spacing w:after="0" w:line="240" w:lineRule="auto"/>
        <w:contextualSpacing/>
        <w:jc w:val="left"/>
        <w:rPr>
          <w:rFonts w:eastAsia="Times New Roman"/>
          <w:noProof w:val="0"/>
        </w:rPr>
      </w:pPr>
      <w:r w:rsidRPr="00D33D68">
        <w:rPr>
          <w:rFonts w:eastAsia="Times New Roman"/>
          <w:noProof w:val="0"/>
        </w:rPr>
        <w:t>•</w:t>
      </w:r>
      <w:r w:rsidRPr="00D33D68">
        <w:rPr>
          <w:rFonts w:eastAsia="Times New Roman"/>
          <w:noProof w:val="0"/>
        </w:rPr>
        <w:tab/>
        <w:t>недостатъчни обезпечения и лош кредитен рейтинг на крайните получатели;</w:t>
      </w:r>
    </w:p>
    <w:p w14:paraId="57BCDD4F" w14:textId="77777777" w:rsidR="00147FC2" w:rsidRPr="00D33D68" w:rsidRDefault="00147FC2" w:rsidP="00147FC2">
      <w:pPr>
        <w:spacing w:after="0" w:line="240" w:lineRule="auto"/>
        <w:contextualSpacing/>
        <w:jc w:val="left"/>
        <w:rPr>
          <w:rFonts w:eastAsia="Times New Roman"/>
          <w:noProof w:val="0"/>
        </w:rPr>
      </w:pPr>
      <w:r w:rsidRPr="00D33D68">
        <w:rPr>
          <w:rFonts w:eastAsia="Times New Roman"/>
          <w:noProof w:val="0"/>
        </w:rPr>
        <w:t>•</w:t>
      </w:r>
      <w:r w:rsidRPr="00D33D68">
        <w:rPr>
          <w:rFonts w:eastAsia="Times New Roman"/>
          <w:noProof w:val="0"/>
        </w:rPr>
        <w:tab/>
        <w:t xml:space="preserve">култура на зависимост от държавна помощ – 50% от предприятията в сектора са били обект на такава в предходния програмен период; </w:t>
      </w:r>
    </w:p>
    <w:p w14:paraId="0382F69F" w14:textId="77777777" w:rsidR="00147FC2" w:rsidRPr="00D33D68" w:rsidRDefault="00147FC2" w:rsidP="00147FC2">
      <w:pPr>
        <w:spacing w:after="0" w:line="240" w:lineRule="auto"/>
        <w:contextualSpacing/>
        <w:jc w:val="left"/>
        <w:rPr>
          <w:rFonts w:eastAsia="Times New Roman"/>
          <w:noProof w:val="0"/>
        </w:rPr>
      </w:pPr>
      <w:r w:rsidRPr="00D33D68">
        <w:rPr>
          <w:rFonts w:eastAsia="Times New Roman"/>
          <w:noProof w:val="0"/>
        </w:rPr>
        <w:t>•</w:t>
      </w:r>
      <w:r w:rsidRPr="00D33D68">
        <w:rPr>
          <w:rFonts w:eastAsia="Times New Roman"/>
          <w:noProof w:val="0"/>
        </w:rPr>
        <w:tab/>
        <w:t>липса на предходен опит в прилагането на ФИ, освен гаранционната схема по НГФ;</w:t>
      </w:r>
    </w:p>
    <w:p w14:paraId="0272E565" w14:textId="523BD9D9" w:rsidR="00147FC2" w:rsidRPr="00D33D68" w:rsidRDefault="00147FC2" w:rsidP="00884142">
      <w:pPr>
        <w:spacing w:after="0" w:line="240" w:lineRule="auto"/>
        <w:contextualSpacing/>
        <w:jc w:val="left"/>
        <w:rPr>
          <w:rFonts w:eastAsia="Times New Roman"/>
          <w:noProof w:val="0"/>
        </w:rPr>
      </w:pPr>
      <w:r w:rsidRPr="00D33D68">
        <w:rPr>
          <w:rFonts w:eastAsia="Times New Roman"/>
          <w:noProof w:val="0"/>
        </w:rPr>
        <w:t>•</w:t>
      </w:r>
      <w:r w:rsidRPr="00D33D68">
        <w:rPr>
          <w:rFonts w:eastAsia="Times New Roman"/>
          <w:noProof w:val="0"/>
        </w:rPr>
        <w:tab/>
        <w:t>липсата на развити финансови инструменти, подходящи за спецификата на сектора и др.</w:t>
      </w:r>
    </w:p>
    <w:p w14:paraId="31827F8E" w14:textId="77777777" w:rsidR="00147FC2" w:rsidRPr="00D33D68" w:rsidRDefault="00147FC2" w:rsidP="00884142">
      <w:pPr>
        <w:spacing w:after="0" w:line="240" w:lineRule="auto"/>
        <w:contextualSpacing/>
        <w:jc w:val="left"/>
        <w:rPr>
          <w:rFonts w:eastAsia="Times New Roman"/>
          <w:noProof w:val="0"/>
        </w:rPr>
      </w:pPr>
    </w:p>
    <w:p w14:paraId="1DFFAED7" w14:textId="1DB71027" w:rsidR="0047418D" w:rsidRPr="00D33D68" w:rsidRDefault="00147FC2" w:rsidP="00C10FA0">
      <w:r w:rsidRPr="00D33D68" w:rsidDel="00147FC2">
        <w:rPr>
          <w:noProof w:val="0"/>
        </w:rPr>
        <w:t xml:space="preserve"> </w:t>
      </w:r>
      <w:r w:rsidR="00522A4B" w:rsidRPr="00D33D68">
        <w:t>Във връзка с чл. 37, параграф 2, буква б</w:t>
      </w:r>
      <w:r w:rsidR="00875681">
        <w:rPr>
          <w:lang w:val="en-US"/>
        </w:rPr>
        <w:t xml:space="preserve"> </w:t>
      </w:r>
      <w:r w:rsidR="00875681">
        <w:t>от Регламент (ЕС</w:t>
      </w:r>
      <w:r w:rsidR="00875681">
        <w:rPr>
          <w:lang w:val="en-US"/>
        </w:rPr>
        <w:t>)</w:t>
      </w:r>
      <w:r w:rsidR="00875681">
        <w:t xml:space="preserve"> 508/2014</w:t>
      </w:r>
      <w:r w:rsidR="002B65AA" w:rsidRPr="00D33D68">
        <w:t>,</w:t>
      </w:r>
      <w:r w:rsidR="009C19B8" w:rsidRPr="00D33D68">
        <w:t xml:space="preserve"> </w:t>
      </w:r>
      <w:r w:rsidR="009C19B8" w:rsidRPr="00D33D68">
        <w:rPr>
          <w:rFonts w:eastAsia="Times New Roman"/>
          <w:noProof w:val="0"/>
        </w:rPr>
        <w:t xml:space="preserve">добавената стойност на финансовите инструменти ще </w:t>
      </w:r>
      <w:r w:rsidR="00D948FC" w:rsidRPr="00D33D68">
        <w:rPr>
          <w:rFonts w:eastAsia="Times New Roman"/>
          <w:noProof w:val="0"/>
        </w:rPr>
        <w:t>допринесе за</w:t>
      </w:r>
      <w:r w:rsidR="00D30164" w:rsidRPr="00D33D68">
        <w:rPr>
          <w:rFonts w:eastAsia="Times New Roman"/>
          <w:noProof w:val="0"/>
        </w:rPr>
        <w:t xml:space="preserve"> </w:t>
      </w:r>
      <w:r w:rsidR="009C19B8" w:rsidRPr="00D33D68">
        <w:rPr>
          <w:rFonts w:eastAsia="Times New Roman"/>
          <w:noProof w:val="0"/>
        </w:rPr>
        <w:t>преодоляване на несъвършенствата на пазара, привличане на допълнителни ресурси и увеличение на въздействието на</w:t>
      </w:r>
      <w:r w:rsidR="002B65AA" w:rsidRPr="00D33D68">
        <w:t xml:space="preserve"> </w:t>
      </w:r>
      <w:r w:rsidR="009C19B8" w:rsidRPr="00D33D68">
        <w:t xml:space="preserve">ПМДР, ползи от подобрена ефективност и ефикасност, повишено качество на проектите, намаляване на зависимостта от субсидии и реализиране на лостов ефект. </w:t>
      </w:r>
      <w:r w:rsidR="00E6345F" w:rsidRPr="00D33D68">
        <w:t>Размера на средставата</w:t>
      </w:r>
      <w:r w:rsidR="00CB2445" w:rsidRPr="00D33D68">
        <w:t>,</w:t>
      </w:r>
      <w:r w:rsidR="00E6345F" w:rsidRPr="00D33D68">
        <w:t xml:space="preserve"> индикативно отделени за въвеждане на финансов инструмент </w:t>
      </w:r>
      <w:r w:rsidR="0028162C" w:rsidRPr="00D33D68">
        <w:t>е съгласувано с дугите ф</w:t>
      </w:r>
      <w:r w:rsidR="000F3E61" w:rsidRPr="00D33D68">
        <w:t>орми на публична интернвенция.</w:t>
      </w:r>
      <w:r w:rsidR="00522A4B" w:rsidRPr="00D33D68">
        <w:t xml:space="preserve"> </w:t>
      </w:r>
    </w:p>
    <w:p w14:paraId="4AF06741" w14:textId="1D3AB8AD" w:rsidR="008153F9" w:rsidRPr="00D33D68" w:rsidRDefault="008153F9" w:rsidP="008153F9">
      <w:r w:rsidRPr="00D33D68">
        <w:t>Прилагането на финансови инструменти през програмен период 2007-2013 г. бе оценено от крайните получатели в сектор „Рибарство“ в България като ефективна форма на подкрепа за предприятията в сектора. В този смисъл, гаранционните схеми са добре приети и имат сериозен потенциал за прилагане по настоящата програма.</w:t>
      </w:r>
      <w:r w:rsidR="00C703B2" w:rsidRPr="00D33D68">
        <w:t xml:space="preserve"> </w:t>
      </w:r>
      <w:r w:rsidR="00E969DB" w:rsidRPr="00D33D68">
        <w:t xml:space="preserve">След подписване на финансово споразумение през програмен период 2007-2013, между </w:t>
      </w:r>
      <w:r w:rsidR="005C4B10" w:rsidRPr="00D33D68">
        <w:t>Националния гаранционен фонд (</w:t>
      </w:r>
      <w:r w:rsidR="00E969DB" w:rsidRPr="00D33D68">
        <w:t>НГФ</w:t>
      </w:r>
      <w:r w:rsidR="005C4B10" w:rsidRPr="00D33D68">
        <w:t>)</w:t>
      </w:r>
      <w:r w:rsidR="00E969DB" w:rsidRPr="00D33D68">
        <w:t xml:space="preserve"> и</w:t>
      </w:r>
      <w:r w:rsidR="00852D85" w:rsidRPr="00D33D68">
        <w:t xml:space="preserve"> </w:t>
      </w:r>
      <w:r w:rsidR="005C4B10" w:rsidRPr="00D33D68">
        <w:t>Изпълнителна агенция по рибарство и аквакултури (</w:t>
      </w:r>
      <w:r w:rsidR="00E969DB" w:rsidRPr="00D33D68">
        <w:t>ИАРА</w:t>
      </w:r>
      <w:r w:rsidR="005C4B10" w:rsidRPr="00D33D68">
        <w:t>)</w:t>
      </w:r>
      <w:r w:rsidR="00875681">
        <w:t>,</w:t>
      </w:r>
      <w:r w:rsidR="00E969DB" w:rsidRPr="00D33D68">
        <w:t xml:space="preserve"> </w:t>
      </w:r>
      <w:r w:rsidR="0029298C" w:rsidRPr="00D33D68">
        <w:t>Управляващ орган</w:t>
      </w:r>
      <w:r w:rsidR="00AE2DEE" w:rsidRPr="00D33D68">
        <w:t xml:space="preserve"> на </w:t>
      </w:r>
      <w:r w:rsidR="0029298C" w:rsidRPr="00D33D68">
        <w:t xml:space="preserve">Оперативна програма за развитие на сектор „Рибарство“ за програмен период 2007-2013 г. (ОПРСР) </w:t>
      </w:r>
      <w:r w:rsidR="00E969DB" w:rsidRPr="00D33D68">
        <w:t xml:space="preserve">през 2010 г. се учредява гаранционна схема в подкрепа на бенефициенти по ОПРСР като за срока на включване в гарантирания портфейл бяха издадени гаранции в размер на 20 млн. лв. по кредити в размер на 30 млн. лв. </w:t>
      </w:r>
      <w:r w:rsidR="005C4B10" w:rsidRPr="00D33D68">
        <w:t>В тази връзка по-старите потенциални бенефициенти са добре запознати с използването на финансови инструменти и се очаква финансовите инструменти да бъдат популярни сред тях.</w:t>
      </w:r>
    </w:p>
    <w:p w14:paraId="7929E691" w14:textId="6F6755BA" w:rsidR="005E0638" w:rsidRPr="00D33D68" w:rsidRDefault="009E643D" w:rsidP="00E20DE7">
      <w:r w:rsidRPr="00D33D68">
        <w:t xml:space="preserve">Във връзка с гореизложеното, </w:t>
      </w:r>
      <w:r w:rsidR="006409B7" w:rsidRPr="00D33D68">
        <w:t xml:space="preserve">УО </w:t>
      </w:r>
      <w:r w:rsidRPr="00D33D68">
        <w:t xml:space="preserve">предприе действия по </w:t>
      </w:r>
      <w:r w:rsidR="006409B7" w:rsidRPr="00D33D68">
        <w:t>въведе</w:t>
      </w:r>
      <w:r w:rsidRPr="00D33D68">
        <w:t>ждане на</w:t>
      </w:r>
      <w:r w:rsidR="006409B7" w:rsidRPr="00D33D68">
        <w:t xml:space="preserve"> финансови инструменти </w:t>
      </w:r>
      <w:r w:rsidRPr="00D33D68">
        <w:t xml:space="preserve">с оглед подкрепа на </w:t>
      </w:r>
      <w:r w:rsidR="005E0638" w:rsidRPr="00D33D68">
        <w:t xml:space="preserve"> финансирането на предприятия</w:t>
      </w:r>
      <w:r w:rsidR="006558D4" w:rsidRPr="00D33D68">
        <w:t xml:space="preserve"> в сектор „Рибарство“</w:t>
      </w:r>
      <w:r w:rsidR="005E0638" w:rsidRPr="00D33D68">
        <w:t>,. Тази подкрепа се насочва по-специално</w:t>
      </w:r>
      <w:r w:rsidR="006558D4" w:rsidRPr="00D33D68">
        <w:t>,</w:t>
      </w:r>
      <w:r w:rsidR="005E0638" w:rsidRPr="00D33D68">
        <w:t xml:space="preserve"> за </w:t>
      </w:r>
      <w:r w:rsidR="00BA3BFF" w:rsidRPr="00D33D68">
        <w:t>да</w:t>
      </w:r>
      <w:r w:rsidR="005E0638" w:rsidRPr="00D33D68">
        <w:t xml:space="preserve"> подпомогне прилагането на инвестиционните мерки – 2.2, 2.3, 4.2 и 5.4 за улесняване на бенефициентите да осъществят първоначалната инвестиция на проектите – „скока напред“. В частност</w:t>
      </w:r>
      <w:r w:rsidR="00E20DE7" w:rsidRPr="00D33D68">
        <w:t>,</w:t>
      </w:r>
      <w:r w:rsidR="005E0638" w:rsidRPr="00D33D68">
        <w:t xml:space="preserve"> </w:t>
      </w:r>
      <w:r w:rsidR="00E20DE7" w:rsidRPr="00D33D68">
        <w:t>с</w:t>
      </w:r>
      <w:r w:rsidR="005E0638" w:rsidRPr="00D33D68">
        <w:t xml:space="preserve"> оглед спецификите на сектор „Рибарство“, нуждите от подкрепа при достъпа до външно финансиране, възможностите на финансовите институции и реализираните до </w:t>
      </w:r>
      <w:r w:rsidR="005E0638" w:rsidRPr="00D33D68">
        <w:lastRenderedPageBreak/>
        <w:t xml:space="preserve">момента финансови инструменти  </w:t>
      </w:r>
      <w:r w:rsidR="006033BE" w:rsidRPr="00D33D68">
        <w:t>се предвиждат</w:t>
      </w:r>
      <w:r w:rsidR="00E20DE7" w:rsidRPr="00D33D68">
        <w:t xml:space="preserve"> следните финансови продукти</w:t>
      </w:r>
      <w:r w:rsidR="005C4B10" w:rsidRPr="00D33D68">
        <w:t xml:space="preserve">, идентифицирани в ревизираната </w:t>
      </w:r>
      <w:r w:rsidR="005C4B10" w:rsidRPr="00D33D68">
        <w:rPr>
          <w:i/>
        </w:rPr>
        <w:t>ex-ante</w:t>
      </w:r>
      <w:r w:rsidR="005C4B10" w:rsidRPr="00D33D68">
        <w:t xml:space="preserve"> оценка</w:t>
      </w:r>
      <w:r w:rsidR="005E0638" w:rsidRPr="00D33D68">
        <w:t>:</w:t>
      </w:r>
    </w:p>
    <w:p w14:paraId="076FD37E" w14:textId="77777777" w:rsidR="006033BE" w:rsidRPr="00D33D68" w:rsidRDefault="006033BE" w:rsidP="00581FBD">
      <w:pPr>
        <w:numPr>
          <w:ilvl w:val="0"/>
          <w:numId w:val="7"/>
        </w:numPr>
        <w:spacing w:after="120"/>
        <w:contextualSpacing/>
        <w:jc w:val="left"/>
        <w:rPr>
          <w:noProof w:val="0"/>
        </w:rPr>
      </w:pPr>
      <w:r w:rsidRPr="00D33D68">
        <w:rPr>
          <w:noProof w:val="0"/>
        </w:rPr>
        <w:t xml:space="preserve">под формата на гаранционни схеми – самостоятелно или в допълнение към БФП. Гаранцията покрива до 80% от отпуснатите банкови кредити, облекчава изискванията и улеснява </w:t>
      </w:r>
      <w:proofErr w:type="spellStart"/>
      <w:r w:rsidRPr="00D33D68">
        <w:rPr>
          <w:noProof w:val="0"/>
        </w:rPr>
        <w:t>обезпеченията</w:t>
      </w:r>
      <w:proofErr w:type="spellEnd"/>
      <w:r w:rsidRPr="00D33D68">
        <w:rPr>
          <w:noProof w:val="0"/>
        </w:rPr>
        <w:t>, изисквани от крайните получатели;</w:t>
      </w:r>
    </w:p>
    <w:p w14:paraId="681143BD" w14:textId="77777777" w:rsidR="006033BE" w:rsidRPr="00D33D68" w:rsidRDefault="006033BE" w:rsidP="00581FBD">
      <w:pPr>
        <w:numPr>
          <w:ilvl w:val="0"/>
          <w:numId w:val="7"/>
        </w:numPr>
        <w:spacing w:after="120"/>
        <w:contextualSpacing/>
        <w:jc w:val="left"/>
        <w:rPr>
          <w:noProof w:val="0"/>
        </w:rPr>
      </w:pPr>
      <w:r w:rsidRPr="00D33D68">
        <w:rPr>
          <w:noProof w:val="0"/>
        </w:rPr>
        <w:t>под формата на заем с поделяне на риска с две възможности:</w:t>
      </w:r>
    </w:p>
    <w:p w14:paraId="7960A7FC" w14:textId="77777777" w:rsidR="006033BE" w:rsidRPr="00D33D68" w:rsidRDefault="006033BE" w:rsidP="00581FBD">
      <w:pPr>
        <w:numPr>
          <w:ilvl w:val="0"/>
          <w:numId w:val="8"/>
        </w:numPr>
        <w:spacing w:after="120"/>
        <w:contextualSpacing/>
        <w:jc w:val="left"/>
        <w:rPr>
          <w:noProof w:val="0"/>
        </w:rPr>
      </w:pPr>
      <w:r w:rsidRPr="00D33D68">
        <w:rPr>
          <w:noProof w:val="0"/>
        </w:rPr>
        <w:t xml:space="preserve">кредит в допълнение към безвъзмездната помощ, отпускана по проекти по ПМДР. Финансирането със средства от ПМДР е в размер на 50% от отпускания кредит, а останалите 50 % се осигуряват с привличане на допълнително </w:t>
      </w:r>
      <w:proofErr w:type="spellStart"/>
      <w:r w:rsidRPr="00D33D68">
        <w:rPr>
          <w:noProof w:val="0"/>
        </w:rPr>
        <w:t>съфинансиране</w:t>
      </w:r>
      <w:proofErr w:type="spellEnd"/>
      <w:r w:rsidRPr="00D33D68">
        <w:rPr>
          <w:noProof w:val="0"/>
        </w:rPr>
        <w:t xml:space="preserve"> от финансовите </w:t>
      </w:r>
      <w:proofErr w:type="spellStart"/>
      <w:r w:rsidRPr="00D33D68">
        <w:rPr>
          <w:noProof w:val="0"/>
        </w:rPr>
        <w:t>посредници</w:t>
      </w:r>
      <w:proofErr w:type="spellEnd"/>
      <w:r w:rsidRPr="00D33D68">
        <w:rPr>
          <w:noProof w:val="0"/>
        </w:rPr>
        <w:t xml:space="preserve"> и други инвеститори. </w:t>
      </w:r>
    </w:p>
    <w:p w14:paraId="0C197832" w14:textId="77777777" w:rsidR="006033BE" w:rsidRPr="00D33D68" w:rsidRDefault="006033BE" w:rsidP="006033BE">
      <w:pPr>
        <w:spacing w:after="120"/>
        <w:ind w:left="360"/>
        <w:rPr>
          <w:noProof w:val="0"/>
        </w:rPr>
      </w:pPr>
      <w:r w:rsidRPr="00D33D68">
        <w:rPr>
          <w:noProof w:val="0"/>
        </w:rPr>
        <w:t xml:space="preserve">и </w:t>
      </w:r>
    </w:p>
    <w:p w14:paraId="224A38AF" w14:textId="4AFEA0DD" w:rsidR="004D6890" w:rsidRPr="00D33D68" w:rsidRDefault="006033BE" w:rsidP="00581FBD">
      <w:pPr>
        <w:pStyle w:val="ListParagraph"/>
        <w:numPr>
          <w:ilvl w:val="0"/>
          <w:numId w:val="9"/>
        </w:numPr>
        <w:ind w:left="1080"/>
      </w:pPr>
      <w:r w:rsidRPr="00D33D68">
        <w:rPr>
          <w:noProof w:val="0"/>
        </w:rPr>
        <w:t>като самостоятелен кредит със споделен риск при финансиране със средства от ПМДР в размер на до 70</w:t>
      </w:r>
      <w:r w:rsidR="00875681">
        <w:rPr>
          <w:noProof w:val="0"/>
        </w:rPr>
        <w:t xml:space="preserve"> </w:t>
      </w:r>
      <w:r w:rsidRPr="00D33D68">
        <w:rPr>
          <w:noProof w:val="0"/>
        </w:rPr>
        <w:t xml:space="preserve">% от сумата на кредита, като останалите минимум 30 % се осигуряват с привличане на допълнително </w:t>
      </w:r>
      <w:proofErr w:type="spellStart"/>
      <w:r w:rsidRPr="00D33D68">
        <w:rPr>
          <w:noProof w:val="0"/>
        </w:rPr>
        <w:t>съфинансиране</w:t>
      </w:r>
      <w:proofErr w:type="spellEnd"/>
      <w:r w:rsidRPr="00D33D68">
        <w:rPr>
          <w:noProof w:val="0"/>
        </w:rPr>
        <w:t xml:space="preserve"> от финансовите </w:t>
      </w:r>
      <w:proofErr w:type="spellStart"/>
      <w:r w:rsidRPr="00D33D68">
        <w:rPr>
          <w:noProof w:val="0"/>
        </w:rPr>
        <w:t>посредници</w:t>
      </w:r>
      <w:proofErr w:type="spellEnd"/>
      <w:r w:rsidRPr="00D33D68">
        <w:rPr>
          <w:noProof w:val="0"/>
        </w:rPr>
        <w:t xml:space="preserve"> и други инвеститори</w:t>
      </w:r>
      <w:r w:rsidR="00DE7D8D" w:rsidRPr="00D33D68">
        <w:rPr>
          <w:noProof w:val="0"/>
        </w:rPr>
        <w:t xml:space="preserve">. </w:t>
      </w:r>
      <w:r w:rsidR="004D6890" w:rsidRPr="00D33D68">
        <w:t>Очаквания</w:t>
      </w:r>
      <w:r w:rsidR="00875681">
        <w:t>т</w:t>
      </w:r>
      <w:r w:rsidR="004D6890" w:rsidRPr="00D33D68">
        <w:t xml:space="preserve"> ефект на лоста при гаранциите покриващи загуби по заеми е минимум 1.25, а при заемите – минимум 1.7.</w:t>
      </w:r>
    </w:p>
    <w:p w14:paraId="2981EA92" w14:textId="256E2204" w:rsidR="00D105B1" w:rsidRPr="00D33D68" w:rsidRDefault="00D105B1" w:rsidP="00D105B1">
      <w:pPr>
        <w:spacing w:after="0"/>
        <w:rPr>
          <w:noProof w:val="0"/>
        </w:rPr>
      </w:pPr>
      <w:r w:rsidRPr="00D33D68">
        <w:rPr>
          <w:noProof w:val="0"/>
        </w:rPr>
        <w:t>Стойностите на ефекта на лоста са изчислени, съобразно механизма посочен в Насоките на ЕК по чл.46 за отчитането на финансовите инструменти и във връзка с чл.</w:t>
      </w:r>
      <w:r w:rsidR="00875681">
        <w:rPr>
          <w:noProof w:val="0"/>
        </w:rPr>
        <w:t xml:space="preserve"> </w:t>
      </w:r>
      <w:r w:rsidRPr="00D33D68">
        <w:rPr>
          <w:noProof w:val="0"/>
        </w:rPr>
        <w:t xml:space="preserve">37 (2), б. „в“, </w:t>
      </w:r>
      <w:proofErr w:type="spellStart"/>
      <w:r w:rsidRPr="00D33D68">
        <w:rPr>
          <w:noProof w:val="0"/>
        </w:rPr>
        <w:t>лостов</w:t>
      </w:r>
      <w:proofErr w:type="spellEnd"/>
      <w:r w:rsidRPr="00D33D68">
        <w:rPr>
          <w:noProof w:val="0"/>
        </w:rPr>
        <w:t xml:space="preserve"> ефект. В тази връзка следва да се има предвид, че представените стойности на ефект на лоста и средства, които ще бъдат предоставени на крайни получатели са индикативни и могат да претърпят промени в зависимост от размера на средствата разходвани за такси и разходи за управление. Всички изчисления на очакваните нива на </w:t>
      </w:r>
      <w:proofErr w:type="spellStart"/>
      <w:r w:rsidRPr="00D33D68">
        <w:rPr>
          <w:noProof w:val="0"/>
        </w:rPr>
        <w:t>лостовия</w:t>
      </w:r>
      <w:proofErr w:type="spellEnd"/>
      <w:r w:rsidRPr="00D33D68">
        <w:rPr>
          <w:noProof w:val="0"/>
        </w:rPr>
        <w:t xml:space="preserve"> ефект, представени са извършени на базата на методологията, посочена в Насоките на ЕК и при използване на следната формула:</w:t>
      </w:r>
    </w:p>
    <w:p w14:paraId="7810A4E6" w14:textId="77777777" w:rsidR="00D105B1" w:rsidRPr="00D33D68" w:rsidRDefault="00D105B1" w:rsidP="00D105B1">
      <w:pPr>
        <w:spacing w:after="120" w:line="240" w:lineRule="auto"/>
        <w:contextualSpacing/>
        <w:rPr>
          <w:rFonts w:eastAsia="MS Mincho"/>
          <w:noProof w:val="0"/>
          <w:lang w:eastAsia="ja-JP"/>
        </w:rPr>
      </w:pPr>
    </w:p>
    <w:p w14:paraId="3192FECC" w14:textId="77777777" w:rsidR="00D105B1" w:rsidRPr="00D33D68" w:rsidRDefault="00D105B1" w:rsidP="00D105B1">
      <w:pPr>
        <w:spacing w:after="120" w:line="240" w:lineRule="auto"/>
        <w:contextualSpacing/>
        <w:rPr>
          <w:rFonts w:eastAsia="MS Mincho"/>
          <w:noProof w:val="0"/>
          <w:lang w:eastAsia="ja-JP"/>
        </w:rPr>
      </w:pPr>
      <m:oMathPara>
        <m:oMath>
          <m:r>
            <w:rPr>
              <w:rFonts w:ascii="Cambria Math" w:eastAsia="MS Mincho" w:hAnsi="Cambria Math"/>
              <w:noProof w:val="0"/>
              <w:lang w:eastAsia="ja-JP"/>
            </w:rPr>
            <m:t>Лостов ефект</m:t>
          </m:r>
          <m:r>
            <m:rPr>
              <m:sty m:val="p"/>
            </m:rPr>
            <w:rPr>
              <w:rFonts w:ascii="Cambria Math" w:eastAsia="MS Mincho" w:hAnsi="Cambria Math"/>
              <w:noProof w:val="0"/>
              <w:lang w:eastAsia="ja-JP"/>
            </w:rPr>
            <m:t>=</m:t>
          </m:r>
          <m:f>
            <m:fPr>
              <m:ctrlPr>
                <w:rPr>
                  <w:rFonts w:ascii="Cambria Math" w:eastAsia="MS Mincho" w:hAnsi="Cambria Math"/>
                  <w:noProof w:val="0"/>
                  <w:lang w:eastAsia="ja-JP"/>
                </w:rPr>
              </m:ctrlPr>
            </m:fPr>
            <m:num>
              <m:eqArr>
                <m:eqArrPr>
                  <m:ctrlPr>
                    <w:rPr>
                      <w:rFonts w:ascii="Cambria Math" w:eastAsia="MS Mincho" w:hAnsi="Cambria Math"/>
                      <w:noProof w:val="0"/>
                      <w:lang w:eastAsia="ja-JP"/>
                    </w:rPr>
                  </m:ctrlPr>
                </m:eqArrPr>
                <m:e>
                  <m:r>
                    <m:rPr>
                      <m:sty m:val="p"/>
                    </m:rPr>
                    <w:rPr>
                      <w:rFonts w:ascii="Cambria Math" w:eastAsia="MS Mincho" w:hAnsi="Cambria Math"/>
                      <w:noProof w:val="0"/>
                      <w:lang w:eastAsia="ja-JP"/>
                    </w:rPr>
                    <m:t xml:space="preserve">Общ размер на очакваното финансиране </m:t>
                  </m:r>
                </m:e>
                <m:e>
                  <m:r>
                    <m:rPr>
                      <m:sty m:val="p"/>
                    </m:rPr>
                    <w:rPr>
                      <w:rFonts w:ascii="Cambria Math" w:eastAsia="MS Mincho" w:hAnsi="Cambria Math"/>
                      <w:noProof w:val="0"/>
                      <w:lang w:eastAsia="ja-JP"/>
                    </w:rPr>
                    <m:t xml:space="preserve">на допустими КП под формата </m:t>
                  </m:r>
                  <m:r>
                    <w:rPr>
                      <w:rFonts w:ascii="Cambria Math" w:eastAsia="MS Mincho" w:hAnsi="Cambria Math"/>
                      <w:noProof w:val="0"/>
                      <w:lang w:eastAsia="ja-JP"/>
                    </w:rPr>
                    <m:t>н</m:t>
                  </m:r>
                  <m:r>
                    <m:rPr>
                      <m:sty m:val="p"/>
                    </m:rPr>
                    <w:rPr>
                      <w:rFonts w:ascii="Cambria Math" w:eastAsia="MS Mincho" w:hAnsi="Cambria Math"/>
                      <w:noProof w:val="0"/>
                      <w:lang w:eastAsia="ja-JP"/>
                    </w:rPr>
                    <m:t>а заеми и гарантирани заеми</m:t>
                  </m:r>
                </m:e>
              </m:eqArr>
            </m:num>
            <m:den>
              <m:r>
                <m:rPr>
                  <m:sty m:val="p"/>
                </m:rPr>
                <w:rPr>
                  <w:rFonts w:ascii="Cambria Math" w:eastAsia="MS Mincho" w:hAnsi="Cambria Math"/>
                  <w:noProof w:val="0"/>
                  <w:lang w:eastAsia="ja-JP"/>
                </w:rPr>
                <m:t>Средства по ЕФМДР, договорени за ФИ</m:t>
              </m:r>
            </m:den>
          </m:f>
        </m:oMath>
      </m:oMathPara>
    </w:p>
    <w:p w14:paraId="6F4599AB" w14:textId="77777777" w:rsidR="00D105B1" w:rsidRPr="00D33D68" w:rsidRDefault="00D105B1" w:rsidP="00D105B1">
      <w:pPr>
        <w:spacing w:after="120" w:line="240" w:lineRule="auto"/>
        <w:contextualSpacing/>
        <w:rPr>
          <w:rFonts w:eastAsia="MS Mincho"/>
          <w:noProof w:val="0"/>
          <w:lang w:eastAsia="ja-JP"/>
        </w:rPr>
      </w:pPr>
    </w:p>
    <w:p w14:paraId="5C2532D9" w14:textId="77777777" w:rsidR="00D105B1" w:rsidRPr="00D33D68" w:rsidRDefault="00D105B1" w:rsidP="00875681">
      <w:pPr>
        <w:spacing w:after="120"/>
        <w:contextualSpacing/>
        <w:rPr>
          <w:rFonts w:eastAsia="MS Mincho"/>
          <w:noProof w:val="0"/>
          <w:lang w:eastAsia="ja-JP"/>
        </w:rPr>
      </w:pPr>
      <w:r w:rsidRPr="00D33D68">
        <w:rPr>
          <w:rFonts w:eastAsia="MS Mincho"/>
          <w:noProof w:val="0"/>
          <w:lang w:eastAsia="ja-JP"/>
        </w:rPr>
        <w:t>Където:</w:t>
      </w:r>
    </w:p>
    <w:p w14:paraId="1A1CA73F" w14:textId="77777777" w:rsidR="00D105B1" w:rsidRPr="00875681" w:rsidRDefault="00D105B1" w:rsidP="00875681">
      <w:pPr>
        <w:spacing w:after="120"/>
        <w:contextualSpacing/>
        <w:rPr>
          <w:noProof w:val="0"/>
        </w:rPr>
      </w:pPr>
      <w:r w:rsidRPr="00D33D68">
        <w:rPr>
          <w:rFonts w:eastAsia="MS Mincho"/>
          <w:b/>
          <w:noProof w:val="0"/>
          <w:lang w:eastAsia="ja-JP"/>
        </w:rPr>
        <w:t>Общият размер на очакваното финансиране на допустими КП под формата на заеми и гарантирани заеми</w:t>
      </w:r>
      <w:r w:rsidRPr="00D33D68">
        <w:rPr>
          <w:rFonts w:eastAsia="MS Mincho"/>
          <w:noProof w:val="0"/>
          <w:lang w:eastAsia="ja-JP"/>
        </w:rPr>
        <w:t xml:space="preserve"> e прогноза за общия размер на средствата, които се очаква </w:t>
      </w:r>
      <w:r w:rsidRPr="00875681">
        <w:rPr>
          <w:noProof w:val="0"/>
        </w:rPr>
        <w:t xml:space="preserve">да достигнат до КП, които отговарят на условията за подпомагане по финансовия инструмент и са мобилизирани от финансовия инструмент. </w:t>
      </w:r>
    </w:p>
    <w:p w14:paraId="5848CB64" w14:textId="77777777" w:rsidR="00D105B1" w:rsidRPr="00875681" w:rsidRDefault="00D105B1" w:rsidP="00875681">
      <w:pPr>
        <w:spacing w:after="120"/>
        <w:contextualSpacing/>
        <w:rPr>
          <w:noProof w:val="0"/>
        </w:rPr>
      </w:pPr>
      <w:r w:rsidRPr="00875681">
        <w:rPr>
          <w:noProof w:val="0"/>
        </w:rPr>
        <w:t>Тази прогноза е равна на общия обем на финансиране, който се очаква да бъде предоставен на КП от финансовия инструмент и е определена като сума от:</w:t>
      </w:r>
    </w:p>
    <w:p w14:paraId="7BAF9B4F" w14:textId="77777777" w:rsidR="00D105B1" w:rsidRPr="00875681" w:rsidRDefault="00D105B1" w:rsidP="00875681">
      <w:pPr>
        <w:spacing w:after="120"/>
        <w:ind w:left="720"/>
        <w:contextualSpacing/>
        <w:rPr>
          <w:noProof w:val="0"/>
        </w:rPr>
      </w:pPr>
      <w:r w:rsidRPr="00875681">
        <w:rPr>
          <w:noProof w:val="0"/>
        </w:rPr>
        <w:t>(1) средствата от ЕФМДР по ПМДР за финансовия инструмент;</w:t>
      </w:r>
    </w:p>
    <w:p w14:paraId="1AE619B1" w14:textId="77777777" w:rsidR="00D105B1" w:rsidRPr="00875681" w:rsidRDefault="00D105B1" w:rsidP="00875681">
      <w:pPr>
        <w:spacing w:after="120"/>
        <w:ind w:left="720"/>
        <w:contextualSpacing/>
        <w:rPr>
          <w:noProof w:val="0"/>
        </w:rPr>
      </w:pPr>
      <w:r w:rsidRPr="00875681">
        <w:rPr>
          <w:noProof w:val="0"/>
        </w:rPr>
        <w:t xml:space="preserve">(2) средствата от национално </w:t>
      </w:r>
      <w:proofErr w:type="spellStart"/>
      <w:r w:rsidRPr="00875681">
        <w:rPr>
          <w:noProof w:val="0"/>
        </w:rPr>
        <w:t>съфинансиране</w:t>
      </w:r>
      <w:proofErr w:type="spellEnd"/>
      <w:r w:rsidRPr="00875681">
        <w:rPr>
          <w:noProof w:val="0"/>
        </w:rPr>
        <w:t xml:space="preserve"> по ПМДР за финансовия инструмент;</w:t>
      </w:r>
    </w:p>
    <w:p w14:paraId="087455AC" w14:textId="77777777" w:rsidR="00D105B1" w:rsidRPr="00875681" w:rsidRDefault="00D105B1" w:rsidP="00875681">
      <w:pPr>
        <w:spacing w:after="120"/>
        <w:ind w:left="720"/>
        <w:contextualSpacing/>
        <w:rPr>
          <w:noProof w:val="0"/>
        </w:rPr>
      </w:pPr>
      <w:r w:rsidRPr="00875681">
        <w:rPr>
          <w:noProof w:val="0"/>
        </w:rPr>
        <w:t xml:space="preserve">(3) </w:t>
      </w:r>
      <w:proofErr w:type="spellStart"/>
      <w:r w:rsidRPr="00875681">
        <w:rPr>
          <w:noProof w:val="0"/>
        </w:rPr>
        <w:t>съфинансиране</w:t>
      </w:r>
      <w:proofErr w:type="spellEnd"/>
      <w:r w:rsidRPr="00875681">
        <w:rPr>
          <w:noProof w:val="0"/>
        </w:rPr>
        <w:t xml:space="preserve">, предоставено от финансови </w:t>
      </w:r>
      <w:proofErr w:type="spellStart"/>
      <w:r w:rsidRPr="00875681">
        <w:rPr>
          <w:noProof w:val="0"/>
        </w:rPr>
        <w:t>посредници</w:t>
      </w:r>
      <w:proofErr w:type="spellEnd"/>
    </w:p>
    <w:p w14:paraId="72076E10" w14:textId="77777777" w:rsidR="00D105B1" w:rsidRPr="00875681" w:rsidRDefault="00D105B1" w:rsidP="00875681">
      <w:pPr>
        <w:spacing w:after="120"/>
        <w:ind w:left="720"/>
        <w:contextualSpacing/>
        <w:rPr>
          <w:noProof w:val="0"/>
        </w:rPr>
      </w:pPr>
      <w:r w:rsidRPr="00875681">
        <w:rPr>
          <w:noProof w:val="0"/>
        </w:rPr>
        <w:t>(4) принос на други инвеститори;</w:t>
      </w:r>
    </w:p>
    <w:p w14:paraId="22166010" w14:textId="77777777" w:rsidR="00D105B1" w:rsidRPr="00D33D68" w:rsidRDefault="00D105B1" w:rsidP="00875681">
      <w:pPr>
        <w:spacing w:after="120"/>
        <w:ind w:firstLine="709"/>
        <w:contextualSpacing/>
        <w:rPr>
          <w:rFonts w:eastAsia="MS Mincho"/>
          <w:noProof w:val="0"/>
          <w:lang w:eastAsia="ja-JP"/>
        </w:rPr>
      </w:pPr>
      <w:r w:rsidRPr="00D33D68">
        <w:rPr>
          <w:rFonts w:eastAsia="MS Mincho"/>
          <w:noProof w:val="0"/>
          <w:lang w:eastAsia="ja-JP"/>
        </w:rPr>
        <w:lastRenderedPageBreak/>
        <w:t>(5) лихви и други приходи, които се очаква да бъдат генерирани от съкровищно управлението (член 43 от Регламент 1303/2013 г.)</w:t>
      </w:r>
    </w:p>
    <w:p w14:paraId="4F701037" w14:textId="0201E48A" w:rsidR="00D105B1" w:rsidRPr="00D33D68" w:rsidRDefault="00D105B1" w:rsidP="00875681">
      <w:pPr>
        <w:spacing w:after="0"/>
        <w:rPr>
          <w:noProof w:val="0"/>
        </w:rPr>
      </w:pPr>
      <w:r w:rsidRPr="00D33D68">
        <w:rPr>
          <w:noProof w:val="0"/>
        </w:rPr>
        <w:t xml:space="preserve">При изчисляване на </w:t>
      </w:r>
      <w:proofErr w:type="spellStart"/>
      <w:r w:rsidRPr="00D33D68">
        <w:rPr>
          <w:noProof w:val="0"/>
        </w:rPr>
        <w:t>лостовия</w:t>
      </w:r>
      <w:proofErr w:type="spellEnd"/>
      <w:r w:rsidRPr="00D33D68">
        <w:rPr>
          <w:noProof w:val="0"/>
        </w:rPr>
        <w:t xml:space="preserve"> ефект, участието на крайните получатели със собствен ресурс за реализиране на инвестициите не се включва, както и инвестиционните цикли след първото усвояване на ресурса по програмата. </w:t>
      </w:r>
    </w:p>
    <w:p w14:paraId="1DA93250" w14:textId="77777777" w:rsidR="00DE7D8D" w:rsidRPr="00D33D68" w:rsidRDefault="00DE7D8D" w:rsidP="00875681">
      <w:pPr>
        <w:spacing w:after="0"/>
        <w:rPr>
          <w:noProof w:val="0"/>
        </w:rPr>
      </w:pPr>
    </w:p>
    <w:p w14:paraId="10B1DE6E" w14:textId="663DFFCE" w:rsidR="00752C58" w:rsidRPr="00D33D68" w:rsidRDefault="00752C58" w:rsidP="00875681">
      <w:pPr>
        <w:rPr>
          <w:b/>
        </w:rPr>
      </w:pPr>
      <w:r w:rsidRPr="00D33D68">
        <w:t>В тази връзка УО сметна, че е нужно да се отделят 2 10</w:t>
      </w:r>
      <w:r w:rsidR="005F56E2" w:rsidRPr="00D33D68">
        <w:t>2</w:t>
      </w:r>
      <w:r w:rsidRPr="00D33D68">
        <w:t xml:space="preserve"> </w:t>
      </w:r>
      <w:r w:rsidR="00C040C4" w:rsidRPr="00D33D68">
        <w:t>32</w:t>
      </w:r>
      <w:r w:rsidR="00AF5B7C" w:rsidRPr="00D33D68">
        <w:t>4</w:t>
      </w:r>
      <w:r w:rsidR="00C040C4" w:rsidRPr="00D33D68">
        <w:t xml:space="preserve"> </w:t>
      </w:r>
      <w:r w:rsidRPr="00D33D68">
        <w:t>евро за въвеждане на финансови инструменти, разпределени индикативно по следния начин:</w:t>
      </w:r>
    </w:p>
    <w:p w14:paraId="12AED7FD" w14:textId="180A239C" w:rsidR="00752C58" w:rsidRPr="00D33D68" w:rsidRDefault="00752C58" w:rsidP="00875681">
      <w:pPr>
        <w:pStyle w:val="ListParagraph"/>
        <w:numPr>
          <w:ilvl w:val="0"/>
          <w:numId w:val="4"/>
        </w:numPr>
      </w:pPr>
      <w:r w:rsidRPr="00D33D68">
        <w:t xml:space="preserve">По мярка 2.2 „Продуктивни инвестиции в аквакултурите“ –  613 </w:t>
      </w:r>
      <w:r w:rsidR="005F56E2" w:rsidRPr="00D33D68">
        <w:t>85</w:t>
      </w:r>
      <w:r w:rsidR="00AF5B7C" w:rsidRPr="00D33D68">
        <w:t>4</w:t>
      </w:r>
      <w:r w:rsidRPr="00D33D68">
        <w:t xml:space="preserve"> евро;</w:t>
      </w:r>
    </w:p>
    <w:p w14:paraId="58A0B6F6" w14:textId="4E78D9DE" w:rsidR="00752C58" w:rsidRPr="00D33D68" w:rsidRDefault="00752C58" w:rsidP="00875681">
      <w:pPr>
        <w:pStyle w:val="ListParagraph"/>
        <w:numPr>
          <w:ilvl w:val="0"/>
          <w:numId w:val="4"/>
        </w:numPr>
      </w:pPr>
      <w:r w:rsidRPr="00D33D68">
        <w:t xml:space="preserve">По мярка 2.3. „Насърчаване на нови производители на аквакултури, развиващи устойчиви аквакултури“ – 613 </w:t>
      </w:r>
      <w:r w:rsidR="005F56E2" w:rsidRPr="00D33D68">
        <w:t>85</w:t>
      </w:r>
      <w:r w:rsidR="00AF5B7C" w:rsidRPr="00D33D68">
        <w:t>4</w:t>
      </w:r>
      <w:r w:rsidRPr="00D33D68">
        <w:t xml:space="preserve"> евро;</w:t>
      </w:r>
    </w:p>
    <w:p w14:paraId="2897E218" w14:textId="77777777" w:rsidR="00752C58" w:rsidRPr="00D33D68" w:rsidRDefault="00752C58" w:rsidP="00875681">
      <w:pPr>
        <w:pStyle w:val="ListParagraph"/>
        <w:numPr>
          <w:ilvl w:val="0"/>
          <w:numId w:val="4"/>
        </w:numPr>
      </w:pPr>
      <w:r w:rsidRPr="00D33D68">
        <w:t>По мярка 4.2. Изпълнение на стратегиите за водено от общностите местно развитие – 260 763 евро;</w:t>
      </w:r>
    </w:p>
    <w:p w14:paraId="65C98DAE" w14:textId="10E74304" w:rsidR="00752C58" w:rsidRPr="00D33D68" w:rsidRDefault="00752C58" w:rsidP="00875681">
      <w:pPr>
        <w:pStyle w:val="ListParagraph"/>
        <w:numPr>
          <w:ilvl w:val="0"/>
          <w:numId w:val="4"/>
        </w:numPr>
      </w:pPr>
      <w:r w:rsidRPr="00D33D68">
        <w:t xml:space="preserve">По мярка 5.4 „Преработване на продуктите от риболов и аквакултури“ – 613 </w:t>
      </w:r>
      <w:r w:rsidR="005F56E2" w:rsidRPr="00D33D68">
        <w:t>85</w:t>
      </w:r>
      <w:r w:rsidR="00AF5B7C" w:rsidRPr="00D33D68">
        <w:t>4</w:t>
      </w:r>
      <w:r w:rsidRPr="00D33D68">
        <w:t xml:space="preserve">  евро.</w:t>
      </w:r>
    </w:p>
    <w:p w14:paraId="004D39AF" w14:textId="77777777" w:rsidR="00522A4B" w:rsidRPr="00D33D68" w:rsidRDefault="005E107E" w:rsidP="00875681">
      <w:r w:rsidRPr="00D33D68">
        <w:t>О</w:t>
      </w:r>
      <w:r w:rsidR="00135E13" w:rsidRPr="00D33D68">
        <w:t>чакваните резултати от прилагането на финансовите инструменти са повишаване на достъпа на бенефициентите до средствата по ПМД</w:t>
      </w:r>
      <w:r w:rsidR="004F0ECA" w:rsidRPr="00D33D68">
        <w:t xml:space="preserve">Р, повишен интерес от тях по инвестиционните мерки, пълното постигане на стратегическите цели на програмата, осигурявайки най-ефективно и пълно използване на финансовите ресурси и избягване </w:t>
      </w:r>
      <w:r w:rsidR="00CF50CA" w:rsidRPr="00D33D68">
        <w:t>бъдещото прекратяване на</w:t>
      </w:r>
      <w:r w:rsidR="004F0ECA" w:rsidRPr="00D33D68">
        <w:t xml:space="preserve"> проекти поради липса на финансов </w:t>
      </w:r>
      <w:r w:rsidR="00430F97" w:rsidRPr="00D33D68">
        <w:t>ресурс</w:t>
      </w:r>
      <w:r w:rsidR="00666D7E" w:rsidRPr="00D33D68">
        <w:t>.</w:t>
      </w:r>
      <w:r w:rsidR="00135E13" w:rsidRPr="00D33D68">
        <w:t xml:space="preserve"> </w:t>
      </w:r>
    </w:p>
    <w:p w14:paraId="2DAAB083" w14:textId="77777777" w:rsidR="004318EA" w:rsidRPr="00D33D68" w:rsidRDefault="005E107E" w:rsidP="00875681">
      <w:pPr>
        <w:pStyle w:val="Heading3"/>
        <w:rPr>
          <w:rFonts w:ascii="Times New Roman" w:hAnsi="Times New Roman" w:cs="Times New Roman"/>
          <w:sz w:val="24"/>
          <w:szCs w:val="24"/>
          <w:lang w:val="bg-BG"/>
        </w:rPr>
      </w:pPr>
      <w:r w:rsidRPr="00D33D68" w:rsidDel="005E107E">
        <w:rPr>
          <w:rFonts w:ascii="Times New Roman" w:hAnsi="Times New Roman" w:cs="Times New Roman"/>
          <w:sz w:val="24"/>
          <w:szCs w:val="24"/>
          <w:lang w:val="bg-BG"/>
        </w:rPr>
        <w:t xml:space="preserve"> </w:t>
      </w:r>
      <w:r w:rsidR="004318EA" w:rsidRPr="00D33D68">
        <w:rPr>
          <w:rFonts w:ascii="Times New Roman" w:hAnsi="Times New Roman" w:cs="Times New Roman"/>
          <w:sz w:val="24"/>
          <w:szCs w:val="24"/>
          <w:lang w:val="bg-BG"/>
        </w:rPr>
        <w:t>Административна рамка</w:t>
      </w:r>
    </w:p>
    <w:p w14:paraId="08426571" w14:textId="31CEF663" w:rsidR="0095486B" w:rsidRPr="00D33D68" w:rsidRDefault="005E107E" w:rsidP="00875681">
      <w:pPr>
        <w:spacing w:before="120" w:after="0"/>
      </w:pPr>
      <w:r w:rsidRPr="00D33D68">
        <w:t xml:space="preserve">С оглед разширеното прилагане на подкрепа, чрез финансови инструменти в периода 2014-2020 г., българското правителство взе решение да прилага ФИ чрез Фонд на фондовете, като "Фонд мениджър на финансовите инструменти в България" ЕАД (ФМФИБ)  е дружеството, което е отговорно за прилагането и изпълнението на ФИ от името </w:t>
      </w:r>
      <w:r w:rsidR="00CC7967" w:rsidRPr="00D33D68">
        <w:t xml:space="preserve">и за сметка </w:t>
      </w:r>
      <w:r w:rsidRPr="00D33D68">
        <w:t xml:space="preserve">на УО на </w:t>
      </w:r>
      <w:r w:rsidR="00CF50CA" w:rsidRPr="00D33D68">
        <w:t>ПМДР</w:t>
      </w:r>
      <w:r w:rsidRPr="00D33D68">
        <w:t xml:space="preserve">, в съответствие с изискванията на чл. 38 (4) б. „б“,  iii) от Регламент (ЕС) № 1303/2013. Предвидените ФИ, посочени в Предварителната оценка и нейната актуализация ще бъдат структурирани на национално ниво и ще бъдат управлявани от ФМФИБ в съответствие с условията на Финансовото споразумение. </w:t>
      </w:r>
      <w:r w:rsidR="00B462D7" w:rsidRPr="00D33D68">
        <w:t xml:space="preserve">Това споразумение ще включва задължения </w:t>
      </w:r>
      <w:r w:rsidR="00CF50CA" w:rsidRPr="00D33D68">
        <w:t>ФМФИБ</w:t>
      </w:r>
      <w:r w:rsidR="00CF50CA" w:rsidRPr="00D33D68" w:rsidDel="00CF50CA">
        <w:t xml:space="preserve"> </w:t>
      </w:r>
      <w:r w:rsidR="00B462D7" w:rsidRPr="00D33D68">
        <w:t>да</w:t>
      </w:r>
      <w:r w:rsidR="00CF50CA" w:rsidRPr="00D33D68">
        <w:t>:</w:t>
      </w:r>
    </w:p>
    <w:p w14:paraId="763A455D" w14:textId="77777777" w:rsidR="0095486B" w:rsidRPr="00D33D68" w:rsidRDefault="0095486B" w:rsidP="00875681">
      <w:pPr>
        <w:pStyle w:val="ListParagraph"/>
        <w:numPr>
          <w:ilvl w:val="0"/>
          <w:numId w:val="6"/>
        </w:numPr>
        <w:spacing w:before="120" w:after="0"/>
      </w:pPr>
      <w:r w:rsidRPr="00D33D68">
        <w:t>проведе ясна процедура</w:t>
      </w:r>
      <w:r w:rsidR="00436A9B" w:rsidRPr="00D33D68">
        <w:t xml:space="preserve"> за избор на финансов посредник</w:t>
      </w:r>
      <w:r w:rsidRPr="00D33D68">
        <w:t>, гарантираща спазването на принципите на добро финансово управление, публичност и прозрачност, равнопоставеност и свободна конкуренция на финансовия посредник, като осигури, че оперативните споразумения предвиждат поемането на задължения или предоставянето на декларации и гаранции от финансовите посредни</w:t>
      </w:r>
      <w:r w:rsidR="0042071A" w:rsidRPr="00D33D68">
        <w:t>ци</w:t>
      </w:r>
      <w:r w:rsidR="008D2808" w:rsidRPr="00D33D68">
        <w:t xml:space="preserve">. Това </w:t>
      </w:r>
      <w:r w:rsidR="002E665E" w:rsidRPr="00D33D68">
        <w:t>задължение ще следва да подсигури, че подборът на крайни получатели е прозрачен и може да бъде обоснован от финансовите посредници обективно, като този подбор не поражда какъвто и да било конфликт на интереси и при спазване правилата за държавните помощи, като е отчетен надлежно характерът на финансовия инструмент и потенциалната икономическа жизнеспособност на крайните получатели и техните проекти;</w:t>
      </w:r>
    </w:p>
    <w:p w14:paraId="3483EC29" w14:textId="38324396" w:rsidR="0026681A" w:rsidRPr="00D33D68" w:rsidRDefault="00B462D7" w:rsidP="00581FBD">
      <w:pPr>
        <w:pStyle w:val="ListParagraph"/>
        <w:numPr>
          <w:ilvl w:val="0"/>
          <w:numId w:val="6"/>
        </w:numPr>
        <w:spacing w:before="120" w:after="0"/>
      </w:pPr>
      <w:r w:rsidRPr="00D33D68">
        <w:lastRenderedPageBreak/>
        <w:t>осъществява добросъвестно и отговорно мониторинг на изпълнението на финансовите инструменти и на оперативните споразумения в съответствие с</w:t>
      </w:r>
      <w:r w:rsidR="003A4E30" w:rsidRPr="00D33D68">
        <w:t>ъс списък от критерии.</w:t>
      </w:r>
      <w:r w:rsidR="00A32497" w:rsidRPr="00D33D68">
        <w:t xml:space="preserve"> Отделно от това УО ще може  да извършва проверки на ниво на крайни получатели, ако прецени, че това е оправдано с оглед нивото на установения риск.</w:t>
      </w:r>
    </w:p>
    <w:p w14:paraId="44079F9C" w14:textId="7B579E4A" w:rsidR="00CF50CA" w:rsidRPr="00D33D68" w:rsidRDefault="00CF50CA" w:rsidP="00722AE4">
      <w:pPr>
        <w:spacing w:before="120" w:after="0"/>
      </w:pPr>
      <w:r w:rsidRPr="00D33D68">
        <w:t>Мениджърът на фонда ще избере финансови посредници за целите на ФнФ и ще сключи оперативни споразумения с избраните финансови посредници. Мениджъра на фонда ще управлява предоставените му (по силата на споразумение</w:t>
      </w:r>
      <w:r w:rsidR="00CC7967" w:rsidRPr="00D33D68">
        <w:t>то</w:t>
      </w:r>
      <w:r w:rsidRPr="00D33D68">
        <w:t>) средства под формата на ФнФ от свое име и за сметка на УО</w:t>
      </w:r>
      <w:r w:rsidR="00CC7967" w:rsidRPr="00D33D68">
        <w:t>.</w:t>
      </w:r>
    </w:p>
    <w:p w14:paraId="7382FEC8" w14:textId="77777777" w:rsidR="00784050" w:rsidRPr="00D33D68" w:rsidRDefault="00365051" w:rsidP="00722AE4">
      <w:pPr>
        <w:spacing w:before="120" w:after="0"/>
      </w:pPr>
      <w:r w:rsidRPr="00D33D68">
        <w:t xml:space="preserve">ФнФ допълнително ще повери част от изпълнението на </w:t>
      </w:r>
      <w:r w:rsidR="00784050" w:rsidRPr="00D33D68">
        <w:t xml:space="preserve">един или повече </w:t>
      </w:r>
      <w:r w:rsidRPr="00D33D68">
        <w:t>финансови посредници</w:t>
      </w:r>
      <w:r w:rsidR="002D24A6" w:rsidRPr="00D33D68">
        <w:t xml:space="preserve">, които ще се избират </w:t>
      </w:r>
      <w:r w:rsidR="00B03E8F" w:rsidRPr="00D33D68">
        <w:t>въз основа на открити, прозрачни, пропорционални и недискриминационни процедури, като се избягват конфликти на интереси, като се прилага Законът за обществените поръчки.</w:t>
      </w:r>
      <w:r w:rsidR="007E1B52" w:rsidRPr="00D33D68">
        <w:t xml:space="preserve"> </w:t>
      </w:r>
    </w:p>
    <w:p w14:paraId="03753A11" w14:textId="77777777" w:rsidR="00784050" w:rsidRPr="00D33D68" w:rsidRDefault="00784050" w:rsidP="00784050">
      <w:pPr>
        <w:spacing w:before="120" w:after="0"/>
      </w:pPr>
      <w:r w:rsidRPr="00D33D68">
        <w:t xml:space="preserve">Финансовите посредници начисляват пазарен лихвен процент върху своя дял от средствата и тъй като върху частта от средствата по ПМДР няма да се начислява лихва, общият лихвен процент по кредита ще е значително по-нисък от пазарния, което изисква спазване на правилата за държавна помощ на нивото на крайните получатели. </w:t>
      </w:r>
    </w:p>
    <w:p w14:paraId="434157F2" w14:textId="77777777" w:rsidR="00784050" w:rsidRPr="00D33D68" w:rsidRDefault="00784050" w:rsidP="00784050">
      <w:pPr>
        <w:spacing w:before="120" w:after="0"/>
      </w:pPr>
      <w:r w:rsidRPr="00D33D68">
        <w:t xml:space="preserve">Приходите и загубите по всеки кредит се поделят на принципа </w:t>
      </w:r>
      <w:r w:rsidRPr="00D33D68">
        <w:rPr>
          <w:i/>
        </w:rPr>
        <w:t xml:space="preserve">pari passu </w:t>
      </w:r>
      <w:r w:rsidRPr="00D33D68">
        <w:t xml:space="preserve">пропорционално между ФнФ и финансовия посредник, в съответствие с техния принос. Загубите, които се покриват от ПМДР, включват дължимите и изискуеми непогасени суми по главницата и стандартните лихви (с изключение на наказателни лихви и/или таксите за забава на плащане и всички други разходи и разноски).  </w:t>
      </w:r>
    </w:p>
    <w:p w14:paraId="666B2646" w14:textId="5DC6F9F2" w:rsidR="00393A22" w:rsidRPr="00D33D68" w:rsidRDefault="00393A22" w:rsidP="000137D5">
      <w:pPr>
        <w:spacing w:before="120" w:after="0"/>
      </w:pPr>
      <w:r w:rsidRPr="00D33D68">
        <w:t>Комисията за финансов надзор</w:t>
      </w:r>
      <w:r w:rsidR="00DF4FD4" w:rsidRPr="00D33D68">
        <w:t xml:space="preserve"> (КФН)</w:t>
      </w:r>
      <w:r w:rsidRPr="00D33D68">
        <w:t xml:space="preserve"> също е компетентен орган, който извършва надзор на използването на финансови инструменти </w:t>
      </w:r>
      <w:r w:rsidR="00DF4FD4" w:rsidRPr="00D33D68">
        <w:t>в България, което ще включва финансовите инструменти по ПМДР. Този надзор ще е част от общия мониторинг на финансовите инструменти и УО ще приема констатации от КФН по нейната компетентност</w:t>
      </w:r>
      <w:r w:rsidR="00CC7967" w:rsidRPr="00D33D68">
        <w:t>,</w:t>
      </w:r>
      <w:r w:rsidR="00DF4FD4" w:rsidRPr="00D33D68">
        <w:t xml:space="preserve"> за да изпълни задълженията си по ПМДР.</w:t>
      </w:r>
    </w:p>
    <w:p w14:paraId="7F1B56C9" w14:textId="12F6A9B5" w:rsidR="00C040C4" w:rsidRPr="00D33D68" w:rsidRDefault="00E54FFD" w:rsidP="000137D5">
      <w:pPr>
        <w:spacing w:before="120" w:after="0"/>
      </w:pPr>
      <w:r w:rsidRPr="00D33D68">
        <w:t>УО на ПМДР е съгласувал въвеждането на финансовите инструменти с Одитния орган и Сертифициращия орган на ПМДР без забележки.</w:t>
      </w:r>
    </w:p>
    <w:p w14:paraId="346757A4" w14:textId="3F51FF44" w:rsidR="004F4236" w:rsidRPr="00D33D68" w:rsidRDefault="004F4236" w:rsidP="000137D5">
      <w:pPr>
        <w:spacing w:before="120" w:after="0"/>
      </w:pPr>
    </w:p>
    <w:p w14:paraId="63ED9CE4" w14:textId="77777777" w:rsidR="00663796" w:rsidRPr="00D33D68" w:rsidRDefault="002C2DCB" w:rsidP="002C2DCB">
      <w:pPr>
        <w:pStyle w:val="Heading2"/>
        <w:rPr>
          <w:rFonts w:ascii="Times New Roman" w:hAnsi="Times New Roman" w:cs="Times New Roman"/>
        </w:rPr>
      </w:pPr>
      <w:r w:rsidRPr="00D33D68">
        <w:rPr>
          <w:rFonts w:ascii="Times New Roman" w:hAnsi="Times New Roman" w:cs="Times New Roman"/>
        </w:rPr>
        <w:t>Промяна в индикаторите</w:t>
      </w:r>
    </w:p>
    <w:p w14:paraId="78BC4462" w14:textId="50CD39B8" w:rsidR="004E731B" w:rsidRPr="00D33D68" w:rsidRDefault="00195752" w:rsidP="00A81DFA">
      <w:pPr>
        <w:ind w:firstLine="708"/>
      </w:pPr>
      <w:r w:rsidRPr="00D33D68">
        <w:t xml:space="preserve">Промяната на съответните бюджети на горецитираните мерки, води и до промяна в индикаторите, които са свързани към тях. </w:t>
      </w:r>
      <w:r w:rsidRPr="00D33D68">
        <w:rPr>
          <w:b/>
        </w:rPr>
        <w:t>Индикаторите са променяни пропорционално на бюджетното намаление по методология</w:t>
      </w:r>
      <w:r w:rsidR="004E731B" w:rsidRPr="00D33D68">
        <w:rPr>
          <w:b/>
        </w:rPr>
        <w:t xml:space="preserve">та описана по-долу. </w:t>
      </w:r>
      <w:r w:rsidR="004E731B" w:rsidRPr="00D33D68">
        <w:t xml:space="preserve">При някои мерки индикаторите са променяни пропорционално </w:t>
      </w:r>
      <w:r w:rsidR="006B7B87" w:rsidRPr="00D33D68">
        <w:t xml:space="preserve">три </w:t>
      </w:r>
      <w:r w:rsidR="004E731B" w:rsidRPr="00D33D68">
        <w:t xml:space="preserve">пъти – </w:t>
      </w:r>
      <w:r w:rsidR="004E731B" w:rsidRPr="00D33D68">
        <w:rPr>
          <w:b/>
        </w:rPr>
        <w:t>веднъж</w:t>
      </w:r>
      <w:r w:rsidR="004E731B" w:rsidRPr="00D33D68">
        <w:t xml:space="preserve"> отразявайки промените, свързани с </w:t>
      </w:r>
      <w:r w:rsidR="004E731B" w:rsidRPr="00D33D68">
        <w:rPr>
          <w:bCs/>
        </w:rPr>
        <w:t>автоматичното освобождаване по правилото "n+3"</w:t>
      </w:r>
      <w:r w:rsidR="00953570" w:rsidRPr="00D33D68">
        <w:rPr>
          <w:bCs/>
        </w:rPr>
        <w:t xml:space="preserve"> (</w:t>
      </w:r>
      <w:r w:rsidR="00A81DFA" w:rsidRPr="00D33D68">
        <w:rPr>
          <w:bCs/>
        </w:rPr>
        <w:t xml:space="preserve">ПС 1 - </w:t>
      </w:r>
      <w:r w:rsidR="00A81DFA" w:rsidRPr="00D33D68">
        <w:t>1 247 712.00 евро от ЕФМДР; ПС 3 - 5 305 192,00 евро от ЕФМДР и ПС 5 - 689 991,00 евро oт ЕФМДР</w:t>
      </w:r>
      <w:r w:rsidR="00A81DFA" w:rsidRPr="00D33D68">
        <w:rPr>
          <w:bCs/>
        </w:rPr>
        <w:t>)</w:t>
      </w:r>
      <w:r w:rsidR="00A81DFA" w:rsidRPr="00D33D68">
        <w:t xml:space="preserve"> </w:t>
      </w:r>
      <w:r w:rsidR="004E731B" w:rsidRPr="00D33D68">
        <w:rPr>
          <w:bCs/>
        </w:rPr>
        <w:t>и релокацията на резерва от 201</w:t>
      </w:r>
      <w:r w:rsidR="00A81DFA" w:rsidRPr="00D33D68">
        <w:rPr>
          <w:bCs/>
        </w:rPr>
        <w:t>8</w:t>
      </w:r>
      <w:r w:rsidR="007C61C0" w:rsidRPr="00D33D68">
        <w:rPr>
          <w:bCs/>
        </w:rPr>
        <w:t xml:space="preserve"> </w:t>
      </w:r>
      <w:r w:rsidR="004E731B" w:rsidRPr="00D33D68">
        <w:rPr>
          <w:bCs/>
        </w:rPr>
        <w:t>г.</w:t>
      </w:r>
      <w:r w:rsidR="00A81DFA" w:rsidRPr="00D33D68">
        <w:rPr>
          <w:bCs/>
        </w:rPr>
        <w:t xml:space="preserve"> </w:t>
      </w:r>
      <w:r w:rsidR="00A81DFA" w:rsidRPr="00D33D68">
        <w:t>във връзка с неизпълнението на междинните цели от Рамката за изпълнение, УО на ПМДР съответно прехвърли резервите от ПС 1, ПС 2, ПС 4, ПС 5 и ПС 6 към бюджета на ПС 3, както следва</w:t>
      </w:r>
      <w:r w:rsidR="004E731B" w:rsidRPr="00D33D68">
        <w:rPr>
          <w:bCs/>
        </w:rPr>
        <w:t xml:space="preserve"> </w:t>
      </w:r>
      <w:r w:rsidR="00953570" w:rsidRPr="00D33D68">
        <w:rPr>
          <w:bCs/>
        </w:rPr>
        <w:t>(от ПС 1</w:t>
      </w:r>
      <w:r w:rsidR="00943469" w:rsidRPr="00D33D68">
        <w:rPr>
          <w:bCs/>
        </w:rPr>
        <w:t xml:space="preserve"> </w:t>
      </w:r>
      <w:r w:rsidR="00A81DFA" w:rsidRPr="00D33D68">
        <w:rPr>
          <w:bCs/>
        </w:rPr>
        <w:t>евро ЕФМДР/НБ -1 180 000,00/ -430 629,00;</w:t>
      </w:r>
      <w:r w:rsidR="00A81DFA" w:rsidRPr="00D33D68">
        <w:rPr>
          <w:rFonts w:eastAsia="Times New Roman"/>
          <w:bCs/>
        </w:rPr>
        <w:t xml:space="preserve"> </w:t>
      </w:r>
      <w:r w:rsidR="00A81DFA" w:rsidRPr="00D33D68">
        <w:rPr>
          <w:bCs/>
        </w:rPr>
        <w:t xml:space="preserve">от ПС 2 евро </w:t>
      </w:r>
      <w:r w:rsidR="00A81DFA" w:rsidRPr="00D33D68">
        <w:rPr>
          <w:bCs/>
        </w:rPr>
        <w:lastRenderedPageBreak/>
        <w:t xml:space="preserve">ЕФМДР/НБ -1 629 675,00/ -543 225,00; </w:t>
      </w:r>
      <w:r w:rsidR="00953570" w:rsidRPr="00D33D68">
        <w:rPr>
          <w:bCs/>
        </w:rPr>
        <w:t xml:space="preserve"> </w:t>
      </w:r>
      <w:r w:rsidR="00A81DFA" w:rsidRPr="00D33D68">
        <w:rPr>
          <w:bCs/>
        </w:rPr>
        <w:t>от ПС 4 евро ЕФМДР/НБ -1 129 960,00/ -199 405,00; от ПС 5 евро ЕФМДР/НБ -540 765,00/ -</w:t>
      </w:r>
      <w:r w:rsidR="00240CAB" w:rsidRPr="00D33D68">
        <w:rPr>
          <w:bCs/>
        </w:rPr>
        <w:t>180 255,00</w:t>
      </w:r>
      <w:r w:rsidR="00953570" w:rsidRPr="00D33D68">
        <w:rPr>
          <w:bCs/>
        </w:rPr>
        <w:t xml:space="preserve"> </w:t>
      </w:r>
      <w:r w:rsidR="00240CAB" w:rsidRPr="00D33D68">
        <w:rPr>
          <w:bCs/>
        </w:rPr>
        <w:t xml:space="preserve">и от ПС 6 евро ЕФМДР/НБ -175 000,00/ -58 333,00  </w:t>
      </w:r>
      <w:r w:rsidR="00953570" w:rsidRPr="00D33D68">
        <w:rPr>
          <w:bCs/>
        </w:rPr>
        <w:t>към ПС 3</w:t>
      </w:r>
      <w:r w:rsidR="00E15861" w:rsidRPr="00D33D68">
        <w:rPr>
          <w:bCs/>
        </w:rPr>
        <w:t xml:space="preserve"> </w:t>
      </w:r>
      <w:r w:rsidR="001E6FAC" w:rsidRPr="00D33D68">
        <w:rPr>
          <w:bCs/>
        </w:rPr>
        <w:t>(</w:t>
      </w:r>
      <w:r w:rsidR="00BF59A6" w:rsidRPr="00D33D68">
        <w:rPr>
          <w:b/>
          <w:bCs/>
        </w:rPr>
        <w:t xml:space="preserve">първа </w:t>
      </w:r>
      <w:r w:rsidR="001E6FAC" w:rsidRPr="00D33D68">
        <w:rPr>
          <w:b/>
          <w:bCs/>
        </w:rPr>
        <w:t xml:space="preserve"> стъпка</w:t>
      </w:r>
      <w:r w:rsidR="001E6FAC" w:rsidRPr="00D33D68">
        <w:rPr>
          <w:bCs/>
        </w:rPr>
        <w:t>)</w:t>
      </w:r>
      <w:r w:rsidR="006B7B87" w:rsidRPr="00D33D68">
        <w:rPr>
          <w:bCs/>
        </w:rPr>
        <w:t>,</w:t>
      </w:r>
      <w:r w:rsidR="004E731B" w:rsidRPr="00D33D68">
        <w:rPr>
          <w:bCs/>
        </w:rPr>
        <w:t xml:space="preserve"> </w:t>
      </w:r>
      <w:r w:rsidR="004E731B" w:rsidRPr="00D33D68">
        <w:rPr>
          <w:b/>
          <w:bCs/>
        </w:rPr>
        <w:t>втори път</w:t>
      </w:r>
      <w:r w:rsidR="004E731B" w:rsidRPr="00D33D68">
        <w:rPr>
          <w:bCs/>
        </w:rPr>
        <w:t xml:space="preserve"> отразявайки намаленията</w:t>
      </w:r>
      <w:r w:rsidR="006B7B87" w:rsidRPr="00D33D68">
        <w:rPr>
          <w:bCs/>
        </w:rPr>
        <w:t>, предизвикани от въвеждането на COVID-19 мерките през юни 2020 г. (</w:t>
      </w:r>
      <w:r w:rsidR="00BF59A6" w:rsidRPr="00D33D68">
        <w:rPr>
          <w:b/>
          <w:bCs/>
        </w:rPr>
        <w:t>втора</w:t>
      </w:r>
      <w:r w:rsidR="006B7B87" w:rsidRPr="00D33D68">
        <w:rPr>
          <w:b/>
          <w:bCs/>
        </w:rPr>
        <w:t xml:space="preserve"> стъпка</w:t>
      </w:r>
      <w:r w:rsidR="006B7B87" w:rsidRPr="00D33D68">
        <w:rPr>
          <w:bCs/>
        </w:rPr>
        <w:t>)</w:t>
      </w:r>
      <w:r w:rsidR="007C61C0" w:rsidRPr="00D33D68">
        <w:rPr>
          <w:bCs/>
        </w:rPr>
        <w:t xml:space="preserve"> </w:t>
      </w:r>
      <w:r w:rsidR="006B7B87" w:rsidRPr="00D33D68">
        <w:rPr>
          <w:bCs/>
        </w:rPr>
        <w:t>и трети път, на основание на</w:t>
      </w:r>
      <w:r w:rsidR="004E731B" w:rsidRPr="00D33D68">
        <w:rPr>
          <w:bCs/>
        </w:rPr>
        <w:t xml:space="preserve"> текущите изменения на ПМДР</w:t>
      </w:r>
      <w:r w:rsidR="00CC1FCC" w:rsidRPr="00D33D68">
        <w:rPr>
          <w:bCs/>
        </w:rPr>
        <w:t xml:space="preserve"> (</w:t>
      </w:r>
      <w:r w:rsidR="00BF59A6" w:rsidRPr="00D33D68">
        <w:rPr>
          <w:b/>
          <w:bCs/>
        </w:rPr>
        <w:t>тре</w:t>
      </w:r>
      <w:r w:rsidR="006B7B87" w:rsidRPr="00D33D68">
        <w:rPr>
          <w:b/>
          <w:bCs/>
        </w:rPr>
        <w:t>та</w:t>
      </w:r>
      <w:r w:rsidR="006B7B87" w:rsidRPr="00D33D68">
        <w:rPr>
          <w:bCs/>
        </w:rPr>
        <w:t xml:space="preserve"> </w:t>
      </w:r>
      <w:r w:rsidR="00CC1FCC" w:rsidRPr="00D33D68">
        <w:rPr>
          <w:bCs/>
        </w:rPr>
        <w:t>стъпка)</w:t>
      </w:r>
      <w:r w:rsidR="004E731B" w:rsidRPr="00D33D68">
        <w:rPr>
          <w:bCs/>
        </w:rPr>
        <w:t xml:space="preserve">. </w:t>
      </w:r>
      <w:r w:rsidR="006B7B87" w:rsidRPr="00D33D68">
        <w:rPr>
          <w:b/>
          <w:bCs/>
        </w:rPr>
        <w:t xml:space="preserve">Триетапното </w:t>
      </w:r>
      <w:r w:rsidR="004E731B" w:rsidRPr="00D33D68">
        <w:rPr>
          <w:b/>
          <w:bCs/>
        </w:rPr>
        <w:t xml:space="preserve">променяне на индикаторите е обосновано от различните по вид промени и с цел по-добра проследимост на промените. Стойностите на индикаторите на всяка стъпка са изрично показани в таблиците по-долу. </w:t>
      </w:r>
    </w:p>
    <w:p w14:paraId="3BAFE83F" w14:textId="77777777" w:rsidR="00FA4680" w:rsidRPr="00D33D68" w:rsidRDefault="00195752" w:rsidP="00C028CD">
      <w:r w:rsidRPr="00D33D68">
        <w:t>Изменената стойност на индикаторите се получава като пропорционално се намалява/увеличава стойността съобразно процентите на редукция/увеличение при отделните мерки.</w:t>
      </w:r>
      <w:r w:rsidR="005F56E2" w:rsidRPr="00D33D68">
        <w:t xml:space="preserve"> Първоначално и</w:t>
      </w:r>
      <w:r w:rsidR="00B71BA2" w:rsidRPr="00D33D68">
        <w:t>н</w:t>
      </w:r>
      <w:r w:rsidR="005F56E2" w:rsidRPr="00D33D68">
        <w:t>дикаторите се намаляват съобразно бюджетната редукция на програмата, извършена през 2019 г. Като втора стъпка е изменението на индикаторите на база на</w:t>
      </w:r>
      <w:r w:rsidR="006B7B87" w:rsidRPr="00D33D68">
        <w:t xml:space="preserve"> COVID-19 изменението</w:t>
      </w:r>
      <w:r w:rsidR="00887FC1" w:rsidRPr="00D33D68">
        <w:t xml:space="preserve">, където също се създават нови специфични индикатори з новите мерки, а други се закриват. Последната стъпка на изменението на индикаторите касае </w:t>
      </w:r>
      <w:r w:rsidR="005F56E2" w:rsidRPr="00D33D68">
        <w:t>настоящата релокация на средства.</w:t>
      </w:r>
      <w:r w:rsidRPr="00D33D68">
        <w:t xml:space="preserve"> </w:t>
      </w:r>
    </w:p>
    <w:p w14:paraId="27283421" w14:textId="779574D4" w:rsidR="00FA4680" w:rsidRPr="00D33D68" w:rsidRDefault="00195752" w:rsidP="00C028CD">
      <w:pPr>
        <w:rPr>
          <w:b/>
          <w:lang w:val="en-US"/>
        </w:rPr>
      </w:pPr>
      <w:r w:rsidRPr="00D33D68">
        <w:t xml:space="preserve">Ако индикаторът е приложим за повече от една мярка, </w:t>
      </w:r>
      <w:r w:rsidRPr="00D33D68">
        <w:rPr>
          <w:b/>
        </w:rPr>
        <w:t>съгласно ръководство FAME Support Unit CT03.1 (</w:t>
      </w:r>
      <w:r w:rsidR="00C028CD" w:rsidRPr="00D33D68">
        <w:rPr>
          <w:b/>
        </w:rPr>
        <w:t>EMFF EVALUATION TOOLBOX</w:t>
      </w:r>
      <w:r w:rsidR="00C028CD" w:rsidRPr="00D33D68">
        <w:rPr>
          <w:rStyle w:val="FootnoteReference"/>
          <w:b/>
        </w:rPr>
        <w:footnoteReference w:id="16"/>
      </w:r>
      <w:r w:rsidRPr="00D33D68">
        <w:rPr>
          <w:b/>
        </w:rPr>
        <w:t>)</w:t>
      </w:r>
      <w:r w:rsidRPr="00D33D68">
        <w:t xml:space="preserve"> се събират процентите на редукция на бюджетите на съответните мерки и се разделят на броя на мерките, в които участва индикаторът (извежда се средноаритметична стойност). </w:t>
      </w:r>
      <w:r w:rsidR="005F56E2" w:rsidRPr="00D33D68">
        <w:t>В случаите когато даден индикатор обхваща едновреманно мерк</w:t>
      </w:r>
      <w:r w:rsidR="0047282B" w:rsidRPr="00D33D68">
        <w:t>и</w:t>
      </w:r>
      <w:r w:rsidR="005F56E2" w:rsidRPr="00D33D68">
        <w:t xml:space="preserve">, които в резултат на настоящата релокация </w:t>
      </w:r>
      <w:r w:rsidR="008D24AC" w:rsidRPr="00D33D68">
        <w:t xml:space="preserve">се </w:t>
      </w:r>
      <w:r w:rsidR="005F56E2" w:rsidRPr="00D33D68">
        <w:t>намаляват, заедно с такива, които се увеличават</w:t>
      </w:r>
      <w:r w:rsidR="0047282B" w:rsidRPr="00D33D68">
        <w:t>, изменението на индикаторите се пра</w:t>
      </w:r>
      <w:r w:rsidR="00AF1E23" w:rsidRPr="00D33D68">
        <w:t>в</w:t>
      </w:r>
      <w:r w:rsidR="0047282B" w:rsidRPr="00D33D68">
        <w:t xml:space="preserve">и </w:t>
      </w:r>
      <w:r w:rsidR="008D24AC" w:rsidRPr="00D33D68">
        <w:t>в</w:t>
      </w:r>
      <w:r w:rsidR="0047282B" w:rsidRPr="00D33D68">
        <w:t xml:space="preserve"> две</w:t>
      </w:r>
      <w:r w:rsidR="008D24AC" w:rsidRPr="00D33D68">
        <w:t xml:space="preserve"> допълнителни</w:t>
      </w:r>
      <w:r w:rsidR="0047282B" w:rsidRPr="00D33D68">
        <w:t xml:space="preserve"> стъпки. Първоначално се намалява съобразно процентът на редукция (или се извежда средна аритметична стойност при повече от една мерки) и получената стойност се увеличава на база на процентното увеличение на засегнатите мерки. </w:t>
      </w:r>
      <w:r w:rsidRPr="00D33D68">
        <w:t xml:space="preserve">Получава се процентът, с който се изменя стойността на индикатора от колона  </w:t>
      </w:r>
      <w:r w:rsidRPr="00D33D68">
        <w:rPr>
          <w:b/>
        </w:rPr>
        <w:t>Target value for 2023</w:t>
      </w:r>
      <w:r w:rsidR="007852AF" w:rsidRPr="00D33D68">
        <w:rPr>
          <w:b/>
        </w:rPr>
        <w:t xml:space="preserve"> (new)</w:t>
      </w:r>
      <w:r w:rsidRPr="00D33D68">
        <w:rPr>
          <w:b/>
        </w:rPr>
        <w:t>.</w:t>
      </w:r>
      <w:r w:rsidR="006C1B63" w:rsidRPr="00D33D68">
        <w:rPr>
          <w:b/>
          <w:lang w:val="en-US"/>
        </w:rPr>
        <w:t xml:space="preserve"> </w:t>
      </w:r>
    </w:p>
    <w:p w14:paraId="40DB24C0" w14:textId="4A15A61E" w:rsidR="00195752" w:rsidRPr="00D33D68" w:rsidRDefault="00F654C3" w:rsidP="00C028CD">
      <w:r w:rsidRPr="00D33D68">
        <w:t xml:space="preserve">Мерките </w:t>
      </w:r>
      <w:r w:rsidR="006C1B63" w:rsidRPr="00D33D68">
        <w:t xml:space="preserve">1.6, 1.8 и 2.2 са разделени на няколко части, </w:t>
      </w:r>
      <w:r w:rsidR="004639D5" w:rsidRPr="00D33D68">
        <w:t xml:space="preserve">които са съотносими към различни индикатори. Намаляването на бюджета на тези мерки при първата и втората стъпка беше пропорционално за отделните части от мерките. </w:t>
      </w:r>
      <w:r w:rsidR="00BF59A6" w:rsidRPr="00D33D68">
        <w:t>Поради това и п</w:t>
      </w:r>
      <w:r w:rsidR="004639D5" w:rsidRPr="00D33D68">
        <w:t xml:space="preserve">ри настоящото преизчисляване на индикаторите, които са свързани с </w:t>
      </w:r>
      <w:r w:rsidR="00F138AA" w:rsidRPr="00D33D68">
        <w:t>тези изменения</w:t>
      </w:r>
      <w:r w:rsidR="00BF59A6" w:rsidRPr="00D33D68">
        <w:t>,</w:t>
      </w:r>
      <w:r w:rsidR="004639D5" w:rsidRPr="00D33D68">
        <w:t xml:space="preserve"> се използва един и същ процент. </w:t>
      </w:r>
      <w:r w:rsidR="00FA4680" w:rsidRPr="00D33D68">
        <w:t>При третата стъпка обаче</w:t>
      </w:r>
      <w:r w:rsidR="002B11C8" w:rsidRPr="00D33D68">
        <w:t xml:space="preserve"> бюджетите на</w:t>
      </w:r>
      <w:r w:rsidR="00FA4680" w:rsidRPr="00D33D68">
        <w:t xml:space="preserve"> </w:t>
      </w:r>
      <w:r w:rsidR="002B11C8" w:rsidRPr="00D33D68">
        <w:t xml:space="preserve">отделните части на мерки 1.6 и 2.2 не се изменят пропорционално с един и същ процент и </w:t>
      </w:r>
      <w:r w:rsidR="009A44EE" w:rsidRPr="00D33D68">
        <w:t>това е отразено в обяснението на изменението на индикаторите в третата стъпка.</w:t>
      </w:r>
      <w:r w:rsidR="002B11C8" w:rsidRPr="00D33D68">
        <w:t xml:space="preserve"> </w:t>
      </w:r>
    </w:p>
    <w:p w14:paraId="1F0B3A55" w14:textId="15616F77" w:rsidR="00B1615F" w:rsidRPr="00D33D68" w:rsidRDefault="00B1615F" w:rsidP="00C028CD">
      <w:r w:rsidRPr="00D33D68">
        <w:t>Някои индикатори се образуват от множество мерки, някои от които не са включвани в оперативната програма, поради което и не са включвани в изчисленията за измененията на индикаторите.</w:t>
      </w:r>
    </w:p>
    <w:p w14:paraId="321DBE88" w14:textId="4E1488FC" w:rsidR="00946A77" w:rsidRPr="00D33D68" w:rsidRDefault="00195752" w:rsidP="00946A77">
      <w:r w:rsidRPr="00D33D68">
        <w:rPr>
          <w:b/>
        </w:rPr>
        <w:lastRenderedPageBreak/>
        <w:t xml:space="preserve">Пример: Изменение на индикатор за резултат </w:t>
      </w:r>
      <w:r w:rsidR="003C5D4B" w:rsidRPr="00D33D68">
        <w:rPr>
          <w:b/>
        </w:rPr>
        <w:t>1.1 - Change in the value of production (thousand Euros)</w:t>
      </w:r>
      <w:r w:rsidR="00F138AA" w:rsidRPr="00D33D68">
        <w:rPr>
          <w:b/>
        </w:rPr>
        <w:t xml:space="preserve"> за специфична цел 4</w:t>
      </w:r>
      <w:r w:rsidRPr="00D33D68">
        <w:rPr>
          <w:b/>
        </w:rPr>
        <w:t>:</w:t>
      </w:r>
      <w:r w:rsidR="00946A77" w:rsidRPr="00D33D68">
        <w:t xml:space="preserve"> </w:t>
      </w:r>
    </w:p>
    <w:p w14:paraId="718E6D77" w14:textId="3953E254" w:rsidR="001121EF" w:rsidRPr="00D33D68" w:rsidRDefault="00195752" w:rsidP="00195752">
      <w:r w:rsidRPr="00D33D68">
        <w:t>Съгласно</w:t>
      </w:r>
      <w:r w:rsidRPr="00D33D68">
        <w:rPr>
          <w:b/>
        </w:rPr>
        <w:t xml:space="preserve"> </w:t>
      </w:r>
      <w:r w:rsidRPr="00D33D68">
        <w:t xml:space="preserve">ръководство FAME Support Unit </w:t>
      </w:r>
      <w:r w:rsidR="00F138AA" w:rsidRPr="00D33D68">
        <w:rPr>
          <w:b/>
        </w:rPr>
        <w:t>(EMFF EVALUATION TOOLBOX)</w:t>
      </w:r>
      <w:r w:rsidRPr="00D33D68">
        <w:t xml:space="preserve">, този индикатор обхваща мерките </w:t>
      </w:r>
      <w:r w:rsidR="00A82CFA" w:rsidRPr="00D33D68">
        <w:t>1.1, 1.2, 1.7 и 1.8</w:t>
      </w:r>
      <w:r w:rsidRPr="00D33D68">
        <w:t xml:space="preserve">. </w:t>
      </w:r>
      <w:r w:rsidR="003C5D4B" w:rsidRPr="00D33D68">
        <w:t xml:space="preserve">Въз основа на изменението на бюджета на програмата през 2019 г., процентът на редукция по тези мерки е съответно сборът от </w:t>
      </w:r>
      <w:r w:rsidR="00701D4B" w:rsidRPr="00D33D68">
        <w:t xml:space="preserve">37,58% по </w:t>
      </w:r>
      <w:r w:rsidR="00A82CFA" w:rsidRPr="00D33D68">
        <w:t>мярка 1.1</w:t>
      </w:r>
      <w:r w:rsidR="00701D4B" w:rsidRPr="00D33D68">
        <w:t xml:space="preserve">, 7% по </w:t>
      </w:r>
      <w:r w:rsidR="00A82CFA" w:rsidRPr="00D33D68">
        <w:t>мярка 1.2</w:t>
      </w:r>
      <w:r w:rsidR="00701D4B" w:rsidRPr="00D33D68">
        <w:t>, 50,8</w:t>
      </w:r>
      <w:r w:rsidR="00A82CFA" w:rsidRPr="00D33D68">
        <w:t>8%</w:t>
      </w:r>
      <w:r w:rsidR="00701D4B" w:rsidRPr="00D33D68">
        <w:t xml:space="preserve"> по </w:t>
      </w:r>
      <w:r w:rsidR="00A82CFA" w:rsidRPr="00D33D68">
        <w:t>мярка 1.7</w:t>
      </w:r>
      <w:r w:rsidR="00701D4B" w:rsidRPr="00D33D68">
        <w:t xml:space="preserve"> и 7% по </w:t>
      </w:r>
      <w:r w:rsidR="00A82CFA" w:rsidRPr="00D33D68">
        <w:t>мярка 1.8</w:t>
      </w:r>
      <w:r w:rsidR="00701D4B" w:rsidRPr="00D33D68">
        <w:t xml:space="preserve">, разделен на четири. </w:t>
      </w:r>
      <w:r w:rsidRPr="00D33D68">
        <w:t xml:space="preserve">Стойността от колона </w:t>
      </w:r>
      <w:r w:rsidRPr="00D33D68">
        <w:rPr>
          <w:b/>
        </w:rPr>
        <w:t xml:space="preserve">Target value for 2023 </w:t>
      </w:r>
      <w:r w:rsidRPr="00D33D68">
        <w:t xml:space="preserve">в </w:t>
      </w:r>
      <w:r w:rsidR="00701D4B" w:rsidRPr="00D33D68">
        <w:t xml:space="preserve">резултат на първата редукция се променя </w:t>
      </w:r>
      <w:r w:rsidR="00946A77" w:rsidRPr="00D33D68">
        <w:t>от</w:t>
      </w:r>
      <w:r w:rsidR="00701D4B" w:rsidRPr="00D33D68">
        <w:t xml:space="preserve"> 400 на 297,53 (</w:t>
      </w:r>
      <w:r w:rsidRPr="00D33D68">
        <w:t xml:space="preserve">намалява с </w:t>
      </w:r>
      <w:r w:rsidR="00701D4B" w:rsidRPr="00D33D68">
        <w:t>25,62</w:t>
      </w:r>
      <w:r w:rsidRPr="00D33D68">
        <w:t xml:space="preserve"> %</w:t>
      </w:r>
      <w:r w:rsidR="00701D4B" w:rsidRPr="00D33D68">
        <w:t xml:space="preserve">). </w:t>
      </w:r>
    </w:p>
    <w:p w14:paraId="5ED2FB57" w14:textId="0591C761" w:rsidR="00655E74" w:rsidRPr="00D33D68" w:rsidRDefault="00655E74" w:rsidP="00195752">
      <w:r w:rsidRPr="00D33D68">
        <w:t>Второто изменение намалява с още 20% стойностите (0% за Мярка 1.1, 80% за мярка 1.2 и по 0% за мерки 1.7 и 1.8 – сумата от четирите стойности, разделена на 4). Стойността на индикатора се намалява от 297,53 на 238.02.</w:t>
      </w:r>
    </w:p>
    <w:p w14:paraId="000A7328" w14:textId="06A1E7D0" w:rsidR="00946A77" w:rsidRPr="00D33D68" w:rsidRDefault="00701D4B" w:rsidP="00195752">
      <w:r w:rsidRPr="00D33D68">
        <w:t>В резултат на настоящата релокация</w:t>
      </w:r>
      <w:r w:rsidR="00946A77" w:rsidRPr="00D33D68">
        <w:t xml:space="preserve"> същите мерки се изменят с различен процент, а бюджетът на </w:t>
      </w:r>
      <w:r w:rsidR="00A82CFA" w:rsidRPr="00D33D68">
        <w:t>мярка 1.8</w:t>
      </w:r>
      <w:r w:rsidR="00946A77" w:rsidRPr="00D33D68">
        <w:t xml:space="preserve"> се увеличава. Изменението на индикатора е направено като първо се намали стойността с осреднената сума на намаляващите бюджети (</w:t>
      </w:r>
      <w:r w:rsidR="00A82CFA" w:rsidRPr="00D33D68">
        <w:t xml:space="preserve">мярка 1.1 </w:t>
      </w:r>
      <w:r w:rsidR="00655E74" w:rsidRPr="00D33D68">
        <w:t>–</w:t>
      </w:r>
      <w:r w:rsidR="00A82CFA" w:rsidRPr="00D33D68">
        <w:t xml:space="preserve"> </w:t>
      </w:r>
      <w:r w:rsidR="00F138AA" w:rsidRPr="00D33D68">
        <w:t>8</w:t>
      </w:r>
      <w:r w:rsidR="00655E74" w:rsidRPr="00D33D68">
        <w:t xml:space="preserve">0 </w:t>
      </w:r>
      <w:r w:rsidR="00946A77" w:rsidRPr="00D33D68">
        <w:t>%</w:t>
      </w:r>
      <w:r w:rsidR="00655E74" w:rsidRPr="00D33D68">
        <w:t xml:space="preserve"> </w:t>
      </w:r>
      <w:r w:rsidR="00946A77" w:rsidRPr="00D33D68">
        <w:t>+</w:t>
      </w:r>
      <w:r w:rsidR="00655E74" w:rsidRPr="00D33D68">
        <w:t xml:space="preserve"> </w:t>
      </w:r>
      <w:r w:rsidR="00A82CFA" w:rsidRPr="00D33D68">
        <w:t xml:space="preserve">мярка 1.2 </w:t>
      </w:r>
      <w:r w:rsidR="00655E74" w:rsidRPr="00D33D68">
        <w:t>–</w:t>
      </w:r>
      <w:r w:rsidR="00A82CFA" w:rsidRPr="00D33D68">
        <w:t xml:space="preserve"> </w:t>
      </w:r>
      <w:r w:rsidR="00F972B9" w:rsidRPr="00D33D68">
        <w:t>65,10</w:t>
      </w:r>
      <w:r w:rsidR="00655E74" w:rsidRPr="00D33D68">
        <w:t xml:space="preserve"> </w:t>
      </w:r>
      <w:r w:rsidR="00946A77" w:rsidRPr="00D33D68">
        <w:t>%</w:t>
      </w:r>
      <w:r w:rsidR="00655E74" w:rsidRPr="00D33D68">
        <w:t xml:space="preserve"> </w:t>
      </w:r>
      <w:r w:rsidR="00946A77" w:rsidRPr="00D33D68">
        <w:t>+</w:t>
      </w:r>
      <w:r w:rsidR="00655E74" w:rsidRPr="00D33D68">
        <w:t xml:space="preserve"> </w:t>
      </w:r>
      <w:r w:rsidR="00A82CFA" w:rsidRPr="00D33D68">
        <w:t xml:space="preserve">мярка 1.7 </w:t>
      </w:r>
      <w:r w:rsidR="00655E74" w:rsidRPr="00D33D68">
        <w:t>–</w:t>
      </w:r>
      <w:r w:rsidR="00A82CFA" w:rsidRPr="00D33D68">
        <w:t xml:space="preserve"> </w:t>
      </w:r>
      <w:r w:rsidR="00F138AA" w:rsidRPr="00D33D68">
        <w:t>81,45</w:t>
      </w:r>
      <w:r w:rsidR="00655E74" w:rsidRPr="00D33D68">
        <w:t xml:space="preserve"> </w:t>
      </w:r>
      <w:r w:rsidR="00946A77" w:rsidRPr="00D33D68">
        <w:t xml:space="preserve">% разделен на 3). Получената стойност от </w:t>
      </w:r>
      <w:r w:rsidR="00F972B9" w:rsidRPr="00D33D68">
        <w:t>58,31</w:t>
      </w:r>
      <w:r w:rsidR="00946A77" w:rsidRPr="00D33D68">
        <w:t xml:space="preserve"> хиляди евро се увеличава със стойността на изменението на </w:t>
      </w:r>
      <w:r w:rsidR="00A82CFA" w:rsidRPr="00D33D68">
        <w:t>мярка</w:t>
      </w:r>
      <w:r w:rsidR="00946A77" w:rsidRPr="00D33D68">
        <w:t xml:space="preserve"> </w:t>
      </w:r>
      <w:r w:rsidR="00A82CFA" w:rsidRPr="00D33D68">
        <w:t>1.8</w:t>
      </w:r>
      <w:r w:rsidR="00946A77" w:rsidRPr="00D33D68">
        <w:t xml:space="preserve"> (</w:t>
      </w:r>
      <w:r w:rsidR="00655E74" w:rsidRPr="00D33D68">
        <w:t>1</w:t>
      </w:r>
      <w:r w:rsidR="00F138AA" w:rsidRPr="00D33D68">
        <w:t>6</w:t>
      </w:r>
      <w:r w:rsidR="00655E74" w:rsidRPr="00D33D68">
        <w:t>,7</w:t>
      </w:r>
      <w:r w:rsidR="00F138AA" w:rsidRPr="00D33D68">
        <w:t>9</w:t>
      </w:r>
      <w:r w:rsidR="00655E74" w:rsidRPr="00D33D68">
        <w:t xml:space="preserve"> </w:t>
      </w:r>
      <w:r w:rsidR="00946A77" w:rsidRPr="00D33D68">
        <w:t xml:space="preserve">%) до крайната стойност от </w:t>
      </w:r>
      <w:r w:rsidR="00F972B9" w:rsidRPr="00D33D68">
        <w:t>68,10</w:t>
      </w:r>
      <w:r w:rsidR="00946A77" w:rsidRPr="00D33D68">
        <w:t xml:space="preserve"> хиляди евро. Крайната стойност в колона </w:t>
      </w:r>
      <w:r w:rsidR="00946A77" w:rsidRPr="00D33D68">
        <w:rPr>
          <w:b/>
        </w:rPr>
        <w:t xml:space="preserve">Target value for 2023 </w:t>
      </w:r>
      <w:r w:rsidR="00946A77" w:rsidRPr="00D33D68">
        <w:t xml:space="preserve">в резултат на първата редукция се променя на </w:t>
      </w:r>
      <w:r w:rsidR="00F972B9" w:rsidRPr="00D33D68">
        <w:t>68,10</w:t>
      </w:r>
      <w:r w:rsidR="00655E74" w:rsidRPr="00D33D68">
        <w:t xml:space="preserve"> </w:t>
      </w:r>
      <w:r w:rsidR="00946A77" w:rsidRPr="00D33D68">
        <w:t>хиляди евро.</w:t>
      </w:r>
    </w:p>
    <w:p w14:paraId="44B803E1" w14:textId="67EDDB24" w:rsidR="00DF709A" w:rsidRPr="00D33D68" w:rsidRDefault="00DF709A" w:rsidP="002F5AAA">
      <w:pPr>
        <w:pStyle w:val="Heading3"/>
        <w:rPr>
          <w:rFonts w:ascii="Times New Roman" w:hAnsi="Times New Roman" w:cs="Times New Roman"/>
          <w:sz w:val="24"/>
          <w:szCs w:val="24"/>
          <w:lang w:val="bg-BG"/>
        </w:rPr>
      </w:pPr>
      <w:r w:rsidRPr="00D33D68">
        <w:rPr>
          <w:rFonts w:ascii="Times New Roman" w:hAnsi="Times New Roman" w:cs="Times New Roman"/>
          <w:sz w:val="24"/>
          <w:szCs w:val="24"/>
          <w:lang w:val="bg-BG"/>
        </w:rPr>
        <w:t>Индикатори за резултатите</w:t>
      </w:r>
    </w:p>
    <w:p w14:paraId="6279B9F5" w14:textId="77777777" w:rsidR="00B5762F" w:rsidRPr="00D33D68" w:rsidRDefault="00B5762F" w:rsidP="00B5762F">
      <w:pPr>
        <w:pStyle w:val="Text1"/>
        <w:spacing w:before="0" w:after="0"/>
        <w:ind w:left="0"/>
        <w:rPr>
          <w:lang w:val="bg-BG"/>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870"/>
      </w:tblGrid>
      <w:tr w:rsidR="00B5762F" w:rsidRPr="00D33D68" w14:paraId="2D65D59C" w14:textId="77777777" w:rsidTr="008B2921">
        <w:tc>
          <w:tcPr>
            <w:tcW w:w="0" w:type="auto"/>
            <w:shd w:val="clear" w:color="auto" w:fill="auto"/>
          </w:tcPr>
          <w:p w14:paraId="72DFE96E" w14:textId="77777777" w:rsidR="00B5762F" w:rsidRPr="00D33D68" w:rsidRDefault="00B5762F" w:rsidP="008B2921">
            <w:pPr>
              <w:pStyle w:val="Text1"/>
              <w:spacing w:before="0" w:after="0"/>
              <w:ind w:left="0"/>
              <w:rPr>
                <w:b/>
                <w:lang w:val="bg-BG"/>
              </w:rPr>
            </w:pPr>
            <w:r w:rsidRPr="00D33D68">
              <w:rPr>
                <w:b/>
                <w:noProof/>
                <w:lang w:val="bg-BG"/>
              </w:rPr>
              <w:t>Union priority</w:t>
            </w:r>
          </w:p>
        </w:tc>
        <w:tc>
          <w:tcPr>
            <w:tcW w:w="0" w:type="auto"/>
            <w:shd w:val="clear" w:color="auto" w:fill="auto"/>
          </w:tcPr>
          <w:p w14:paraId="130B23B7" w14:textId="77777777" w:rsidR="00B5762F" w:rsidRPr="00D33D68" w:rsidRDefault="00B5762F" w:rsidP="008B2921">
            <w:pPr>
              <w:pStyle w:val="Text1"/>
              <w:spacing w:before="0" w:after="0"/>
              <w:ind w:left="0"/>
              <w:rPr>
                <w:b/>
                <w:lang w:val="bg-BG"/>
              </w:rPr>
            </w:pPr>
            <w:r w:rsidRPr="00D33D68">
              <w:rPr>
                <w:b/>
                <w:noProof/>
                <w:lang w:val="bg-BG"/>
              </w:rPr>
              <w:t>1</w:t>
            </w:r>
            <w:r w:rsidRPr="00D33D68">
              <w:rPr>
                <w:b/>
                <w:lang w:val="bg-BG"/>
              </w:rPr>
              <w:t xml:space="preserve"> - </w:t>
            </w:r>
            <w:r w:rsidRPr="00D33D68">
              <w:rPr>
                <w:b/>
                <w:noProof/>
                <w:lang w:val="bg-BG"/>
              </w:rPr>
              <w:t>Promoting environmentally sustainable, resource efficient, innovative, competitive and knowledge based fisheries</w:t>
            </w:r>
          </w:p>
        </w:tc>
      </w:tr>
    </w:tbl>
    <w:p w14:paraId="36C08901" w14:textId="77777777" w:rsidR="00B5762F" w:rsidRPr="00D33D68" w:rsidRDefault="00B5762F" w:rsidP="00B5762F">
      <w:pPr>
        <w:spacing w:after="0"/>
      </w:pPr>
    </w:p>
    <w:tbl>
      <w:tblPr>
        <w:tblW w:w="500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331"/>
        <w:gridCol w:w="874"/>
        <w:gridCol w:w="876"/>
        <w:gridCol w:w="1019"/>
        <w:gridCol w:w="4199"/>
      </w:tblGrid>
      <w:tr w:rsidR="00D33D68" w:rsidRPr="00D33D68" w14:paraId="03C63B14" w14:textId="77777777" w:rsidTr="005A5B76">
        <w:tc>
          <w:tcPr>
            <w:tcW w:w="1253" w:type="pct"/>
            <w:shd w:val="clear" w:color="auto" w:fill="auto"/>
          </w:tcPr>
          <w:p w14:paraId="1354C235" w14:textId="77777777" w:rsidR="005F0C03" w:rsidRPr="00D33D68" w:rsidRDefault="005F0C03" w:rsidP="008B2921">
            <w:pPr>
              <w:pStyle w:val="Text1"/>
              <w:spacing w:before="0" w:after="0"/>
              <w:ind w:left="0"/>
              <w:rPr>
                <w:b/>
                <w:lang w:val="bg-BG"/>
              </w:rPr>
            </w:pPr>
            <w:r w:rsidRPr="00D33D68">
              <w:rPr>
                <w:b/>
                <w:noProof/>
                <w:lang w:val="bg-BG"/>
              </w:rPr>
              <w:t>Specific objective</w:t>
            </w:r>
          </w:p>
        </w:tc>
        <w:tc>
          <w:tcPr>
            <w:tcW w:w="3747" w:type="pct"/>
            <w:gridSpan w:val="4"/>
            <w:shd w:val="clear" w:color="auto" w:fill="auto"/>
          </w:tcPr>
          <w:p w14:paraId="35AB32BD" w14:textId="77777777" w:rsidR="005F0C03" w:rsidRPr="00D33D68" w:rsidRDefault="005F0C03" w:rsidP="008B2921">
            <w:pPr>
              <w:pStyle w:val="Text1"/>
              <w:spacing w:before="0" w:after="0"/>
              <w:ind w:left="0"/>
              <w:rPr>
                <w:b/>
                <w:noProof/>
                <w:lang w:val="bg-BG"/>
              </w:rPr>
            </w:pPr>
            <w:r w:rsidRPr="00D33D68">
              <w:rPr>
                <w:b/>
                <w:noProof/>
                <w:lang w:val="bg-BG"/>
              </w:rPr>
              <w:t>1</w:t>
            </w:r>
            <w:r w:rsidRPr="00D33D68">
              <w:rPr>
                <w:b/>
                <w:lang w:val="bg-BG"/>
              </w:rPr>
              <w:t xml:space="preserve"> - </w:t>
            </w:r>
            <w:r w:rsidRPr="00D33D68">
              <w:rPr>
                <w:b/>
                <w:noProof/>
                <w:lang w:val="bg-BG"/>
              </w:rPr>
              <w:t>Reduction of the impact of fisheries on the marine environment, including the avoidance and reduction, as far as possible, of unwanted catches</w:t>
            </w:r>
          </w:p>
        </w:tc>
      </w:tr>
      <w:tr w:rsidR="00D33D68" w:rsidRPr="00D33D68" w14:paraId="3BC3F5F1" w14:textId="77777777" w:rsidTr="005A5B76">
        <w:tc>
          <w:tcPr>
            <w:tcW w:w="1253" w:type="pct"/>
            <w:shd w:val="clear" w:color="auto" w:fill="auto"/>
          </w:tcPr>
          <w:p w14:paraId="66D52D81" w14:textId="77777777" w:rsidR="005F0C03" w:rsidRPr="00D33D68" w:rsidRDefault="005F0C03" w:rsidP="005F0C03">
            <w:pPr>
              <w:spacing w:after="0"/>
              <w:jc w:val="center"/>
              <w:rPr>
                <w:b/>
              </w:rPr>
            </w:pPr>
            <w:r w:rsidRPr="00D33D68">
              <w:rPr>
                <w:b/>
              </w:rPr>
              <w:t>Result indicator</w:t>
            </w:r>
          </w:p>
        </w:tc>
        <w:tc>
          <w:tcPr>
            <w:tcW w:w="470" w:type="pct"/>
            <w:shd w:val="clear" w:color="auto" w:fill="auto"/>
          </w:tcPr>
          <w:p w14:paraId="1B3F9365" w14:textId="77777777" w:rsidR="005F0C03" w:rsidRPr="00D33D68" w:rsidRDefault="005F0C03" w:rsidP="005F0C03">
            <w:pPr>
              <w:spacing w:after="0"/>
              <w:ind w:left="-106" w:right="-109"/>
              <w:jc w:val="center"/>
              <w:rPr>
                <w:b/>
              </w:rPr>
            </w:pPr>
            <w:r w:rsidRPr="00D33D68">
              <w:rPr>
                <w:b/>
              </w:rPr>
              <w:t>Target value for 2023</w:t>
            </w:r>
          </w:p>
          <w:p w14:paraId="710641E3" w14:textId="77777777" w:rsidR="00632F0A" w:rsidRPr="00D33D68" w:rsidRDefault="00632F0A" w:rsidP="005F0C03">
            <w:pPr>
              <w:spacing w:after="0"/>
              <w:ind w:left="-106" w:right="-109"/>
              <w:jc w:val="center"/>
              <w:rPr>
                <w:b/>
              </w:rPr>
            </w:pPr>
            <w:r w:rsidRPr="00D33D68">
              <w:rPr>
                <w:b/>
              </w:rPr>
              <w:t>(new)</w:t>
            </w:r>
          </w:p>
        </w:tc>
        <w:tc>
          <w:tcPr>
            <w:tcW w:w="471" w:type="pct"/>
            <w:shd w:val="clear" w:color="auto" w:fill="auto"/>
          </w:tcPr>
          <w:p w14:paraId="181A8426" w14:textId="77777777" w:rsidR="005F0C03" w:rsidRPr="00D33D68" w:rsidRDefault="005F0C03" w:rsidP="00400129">
            <w:pPr>
              <w:spacing w:after="0"/>
              <w:ind w:left="-109" w:right="-107"/>
              <w:jc w:val="center"/>
              <w:rPr>
                <w:b/>
              </w:rPr>
            </w:pPr>
            <w:r w:rsidRPr="00D33D68">
              <w:rPr>
                <w:b/>
              </w:rPr>
              <w:t>Measurement unit</w:t>
            </w:r>
          </w:p>
        </w:tc>
        <w:tc>
          <w:tcPr>
            <w:tcW w:w="548" w:type="pct"/>
          </w:tcPr>
          <w:p w14:paraId="4C4C61D2" w14:textId="77777777" w:rsidR="005F0C03" w:rsidRPr="00D33D68" w:rsidRDefault="005F0C03" w:rsidP="005F0C03">
            <w:pPr>
              <w:spacing w:after="0"/>
              <w:ind w:left="-109" w:right="-106"/>
              <w:jc w:val="center"/>
              <w:rPr>
                <w:b/>
              </w:rPr>
            </w:pPr>
            <w:r w:rsidRPr="00D33D68">
              <w:rPr>
                <w:b/>
              </w:rPr>
              <w:t>Not applicable</w:t>
            </w:r>
          </w:p>
        </w:tc>
        <w:tc>
          <w:tcPr>
            <w:tcW w:w="2258" w:type="pct"/>
          </w:tcPr>
          <w:p w14:paraId="2951A216" w14:textId="678AF65E" w:rsidR="00944A73" w:rsidRPr="00D33D68" w:rsidRDefault="00797ECE" w:rsidP="00944A73">
            <w:pPr>
              <w:spacing w:after="0"/>
              <w:jc w:val="center"/>
              <w:rPr>
                <w:b/>
              </w:rPr>
            </w:pPr>
            <w:r w:rsidRPr="00D33D68">
              <w:rPr>
                <w:b/>
              </w:rPr>
              <w:t>Explanation</w:t>
            </w:r>
          </w:p>
        </w:tc>
      </w:tr>
      <w:tr w:rsidR="00D33D68" w:rsidRPr="00D33D68" w14:paraId="70C9FFA8" w14:textId="77777777" w:rsidTr="005A5B76">
        <w:tc>
          <w:tcPr>
            <w:tcW w:w="1253" w:type="pct"/>
            <w:shd w:val="clear" w:color="auto" w:fill="auto"/>
          </w:tcPr>
          <w:p w14:paraId="67BEF11F" w14:textId="77777777" w:rsidR="005F0C03" w:rsidRPr="00D33D68" w:rsidRDefault="005F0C03" w:rsidP="008B2921">
            <w:pPr>
              <w:spacing w:after="0"/>
            </w:pPr>
            <w:r w:rsidRPr="00D33D68">
              <w:t>1.4.a - Change in unwanted catches (tonnes)</w:t>
            </w:r>
          </w:p>
        </w:tc>
        <w:tc>
          <w:tcPr>
            <w:tcW w:w="470" w:type="pct"/>
            <w:shd w:val="clear" w:color="auto" w:fill="auto"/>
          </w:tcPr>
          <w:p w14:paraId="2335128C" w14:textId="66DAC793" w:rsidR="005F0C03" w:rsidRPr="00D33D68" w:rsidRDefault="00CD7DDD" w:rsidP="004D1E27">
            <w:pPr>
              <w:spacing w:after="0"/>
              <w:ind w:left="-104"/>
              <w:jc w:val="right"/>
            </w:pPr>
            <w:r w:rsidRPr="00D33D68">
              <w:t>-</w:t>
            </w:r>
            <w:r w:rsidR="00C978B4" w:rsidRPr="00D33D68">
              <w:t>1</w:t>
            </w:r>
            <w:r w:rsidR="004D1E27" w:rsidRPr="00D33D68">
              <w:t>94</w:t>
            </w:r>
            <w:r w:rsidR="00C978B4" w:rsidRPr="00D33D68">
              <w:t>.</w:t>
            </w:r>
            <w:r w:rsidR="004D1E27" w:rsidRPr="00D33D68">
              <w:t>69</w:t>
            </w:r>
          </w:p>
        </w:tc>
        <w:tc>
          <w:tcPr>
            <w:tcW w:w="471" w:type="pct"/>
            <w:shd w:val="clear" w:color="auto" w:fill="auto"/>
          </w:tcPr>
          <w:p w14:paraId="461547FF" w14:textId="77777777" w:rsidR="005F0C03" w:rsidRPr="00D33D68" w:rsidRDefault="005F0C03" w:rsidP="00400129">
            <w:pPr>
              <w:spacing w:after="0"/>
              <w:ind w:left="-109" w:right="-107"/>
              <w:jc w:val="center"/>
            </w:pPr>
            <w:r w:rsidRPr="00D33D68">
              <w:t>tonnes</w:t>
            </w:r>
          </w:p>
        </w:tc>
        <w:tc>
          <w:tcPr>
            <w:tcW w:w="548" w:type="pct"/>
          </w:tcPr>
          <w:p w14:paraId="3977D1E3" w14:textId="77777777" w:rsidR="005F0C03" w:rsidRPr="00D33D68" w:rsidRDefault="005F0C03" w:rsidP="008B2921">
            <w:pPr>
              <w:spacing w:after="0"/>
              <w:jc w:val="center"/>
            </w:pPr>
          </w:p>
        </w:tc>
        <w:tc>
          <w:tcPr>
            <w:tcW w:w="2258" w:type="pct"/>
          </w:tcPr>
          <w:p w14:paraId="726F961C" w14:textId="2743F565" w:rsidR="006133D6" w:rsidRPr="00D33D68" w:rsidRDefault="00F2786A" w:rsidP="00576DC4">
            <w:pPr>
              <w:spacing w:after="0"/>
              <w:ind w:left="-100"/>
            </w:pPr>
            <w:r w:rsidRPr="00D33D68">
              <w:t>И</w:t>
            </w:r>
            <w:r w:rsidR="006E35BA" w:rsidRPr="00D33D68">
              <w:t>ндикатор</w:t>
            </w:r>
            <w:r w:rsidRPr="00D33D68">
              <w:t>ът</w:t>
            </w:r>
            <w:r w:rsidR="006E35BA" w:rsidRPr="00D33D68">
              <w:t xml:space="preserve"> се </w:t>
            </w:r>
            <w:r w:rsidR="009B1D84" w:rsidRPr="00D33D68">
              <w:t>образува</w:t>
            </w:r>
            <w:r w:rsidR="006E35BA" w:rsidRPr="00D33D68">
              <w:t xml:space="preserve"> от мерки </w:t>
            </w:r>
            <w:r w:rsidR="00174102" w:rsidRPr="00D33D68">
              <w:t>1.4, 1.5, 1.6</w:t>
            </w:r>
            <w:r w:rsidR="00CC4852" w:rsidRPr="00D33D68">
              <w:t xml:space="preserve"> (чл. 40, параграф 1, буква а)</w:t>
            </w:r>
            <w:r w:rsidR="00174102" w:rsidRPr="00D33D68">
              <w:t xml:space="preserve"> и 1.8</w:t>
            </w:r>
            <w:r w:rsidR="00A43DC7" w:rsidRPr="00D33D68">
              <w:t xml:space="preserve"> (чл. 43, параграф 2)</w:t>
            </w:r>
            <w:r w:rsidR="006E35BA" w:rsidRPr="00D33D68">
              <w:t xml:space="preserve">. </w:t>
            </w:r>
            <w:r w:rsidR="00460B48" w:rsidRPr="00D33D68">
              <w:t>Н</w:t>
            </w:r>
            <w:r w:rsidR="00DC0FEE" w:rsidRPr="00D33D68">
              <w:t xml:space="preserve">ачална </w:t>
            </w:r>
            <w:r w:rsidR="006E35BA" w:rsidRPr="00D33D68">
              <w:t xml:space="preserve">стойност </w:t>
            </w:r>
            <w:r w:rsidR="00C978B4" w:rsidRPr="00D33D68">
              <w:t>-</w:t>
            </w:r>
            <w:r w:rsidR="007A4CFE" w:rsidRPr="00D33D68">
              <w:t>427.335</w:t>
            </w:r>
            <w:r w:rsidR="00417BEB" w:rsidRPr="00D33D68">
              <w:t>.</w:t>
            </w:r>
            <w:r w:rsidR="00837978" w:rsidRPr="00D33D68">
              <w:t xml:space="preserve"> </w:t>
            </w:r>
            <w:r w:rsidR="004733E2" w:rsidRPr="00D33D68">
              <w:t>Намаляването на бюджета на м</w:t>
            </w:r>
            <w:r w:rsidR="00D61DD5" w:rsidRPr="00D33D68">
              <w:t>е</w:t>
            </w:r>
            <w:r w:rsidR="004733E2" w:rsidRPr="00D33D68">
              <w:t>рк</w:t>
            </w:r>
            <w:r w:rsidR="00D61DD5" w:rsidRPr="00D33D68">
              <w:t>и</w:t>
            </w:r>
            <w:r w:rsidR="004733E2" w:rsidRPr="00D33D68">
              <w:t xml:space="preserve"> </w:t>
            </w:r>
            <w:r w:rsidR="00B70464" w:rsidRPr="00D33D68">
              <w:t>1.4, 1.5, 1.6 и 1.8</w:t>
            </w:r>
            <w:r w:rsidR="00A43DC7" w:rsidRPr="00D33D68">
              <w:t xml:space="preserve"> </w:t>
            </w:r>
            <w:r w:rsidR="004733E2" w:rsidRPr="00D33D68">
              <w:t xml:space="preserve"> с</w:t>
            </w:r>
            <w:r w:rsidR="00B70464" w:rsidRPr="00D33D68">
              <w:t>ъс средно</w:t>
            </w:r>
            <w:r w:rsidR="004733E2" w:rsidRPr="00D33D68">
              <w:t xml:space="preserve"> </w:t>
            </w:r>
            <w:r w:rsidR="00D936EC" w:rsidRPr="00D33D68">
              <w:t>7.004205</w:t>
            </w:r>
            <w:r w:rsidR="004733E2" w:rsidRPr="00D33D68">
              <w:t xml:space="preserve">% при </w:t>
            </w:r>
            <w:r w:rsidR="0083770F" w:rsidRPr="00D33D68">
              <w:t>1ва</w:t>
            </w:r>
            <w:r w:rsidR="0035093D" w:rsidRPr="00D33D68">
              <w:t>та</w:t>
            </w:r>
            <w:r w:rsidR="0083770F" w:rsidRPr="00D33D68">
              <w:t xml:space="preserve"> стъп</w:t>
            </w:r>
            <w:r w:rsidR="0035093D" w:rsidRPr="00D33D68">
              <w:t>к</w:t>
            </w:r>
            <w:r w:rsidR="0083770F" w:rsidRPr="00D33D68">
              <w:t>а променя индикатора на</w:t>
            </w:r>
            <w:r w:rsidR="00DC0FEE" w:rsidRPr="00D33D68">
              <w:t xml:space="preserve"> -</w:t>
            </w:r>
            <w:r w:rsidR="007A4CFE" w:rsidRPr="00D33D68">
              <w:t>397.4036</w:t>
            </w:r>
            <w:r w:rsidR="00583D14" w:rsidRPr="00D33D68">
              <w:t xml:space="preserve">. </w:t>
            </w:r>
          </w:p>
          <w:p w14:paraId="2EAE250F" w14:textId="77777777" w:rsidR="00C978B4" w:rsidRPr="00D33D68" w:rsidRDefault="00C978B4" w:rsidP="00C978B4">
            <w:pPr>
              <w:spacing w:after="0"/>
              <w:ind w:left="-100"/>
            </w:pPr>
            <w:r w:rsidRPr="00D33D68">
              <w:t>С</w:t>
            </w:r>
            <w:r w:rsidR="006133D6" w:rsidRPr="00D33D68">
              <w:t xml:space="preserve"> </w:t>
            </w:r>
            <w:r w:rsidRPr="00D33D68">
              <w:t>изменението поради COVID-19</w:t>
            </w:r>
            <w:r w:rsidR="006133D6" w:rsidRPr="00D33D68">
              <w:t xml:space="preserve"> </w:t>
            </w:r>
            <w:r w:rsidRPr="00D33D68">
              <w:t xml:space="preserve">бюджетът </w:t>
            </w:r>
            <w:r w:rsidR="006133D6" w:rsidRPr="00D33D68">
              <w:t>намалява с</w:t>
            </w:r>
            <w:r w:rsidR="001F7D7E" w:rsidRPr="00D33D68">
              <w:t>ъс</w:t>
            </w:r>
            <w:r w:rsidR="006133D6" w:rsidRPr="00D33D68">
              <w:t xml:space="preserve"> средно 45% до -218,57 </w:t>
            </w:r>
          </w:p>
          <w:p w14:paraId="44BBB98C" w14:textId="15B17A27" w:rsidR="005F0C03" w:rsidRPr="00D33D68" w:rsidRDefault="00375A66" w:rsidP="00DE027A">
            <w:pPr>
              <w:spacing w:after="0"/>
              <w:ind w:left="-100"/>
            </w:pPr>
            <w:r w:rsidRPr="00D33D68">
              <w:t>Сега</w:t>
            </w:r>
            <w:r w:rsidR="00061483" w:rsidRPr="00D33D68">
              <w:t xml:space="preserve"> </w:t>
            </w:r>
            <w:r w:rsidR="006133D6" w:rsidRPr="00D33D68">
              <w:t xml:space="preserve">бюджетът </w:t>
            </w:r>
            <w:r w:rsidR="00AB2FC9" w:rsidRPr="00D33D68">
              <w:t>на м</w:t>
            </w:r>
            <w:r w:rsidR="00BB0D70" w:rsidRPr="00D33D68">
              <w:t>е</w:t>
            </w:r>
            <w:r w:rsidR="00AB2FC9" w:rsidRPr="00D33D68">
              <w:t>рк</w:t>
            </w:r>
            <w:r w:rsidR="00BB0D70" w:rsidRPr="00D33D68">
              <w:t>и</w:t>
            </w:r>
            <w:r w:rsidR="00AB2FC9" w:rsidRPr="00D33D68">
              <w:t xml:space="preserve"> </w:t>
            </w:r>
            <w:r w:rsidR="00820A33" w:rsidRPr="00D33D68">
              <w:t xml:space="preserve">1.4,  и 1.6 </w:t>
            </w:r>
            <w:r w:rsidR="00CC4852" w:rsidRPr="00D33D68">
              <w:t>(чл. 40, параграф 1, буква а)</w:t>
            </w:r>
            <w:r w:rsidR="00AB2FC9" w:rsidRPr="00D33D68">
              <w:t xml:space="preserve"> </w:t>
            </w:r>
            <w:r w:rsidRPr="00D33D68">
              <w:t>се намаля</w:t>
            </w:r>
            <w:r w:rsidR="00C27D51" w:rsidRPr="00D33D68">
              <w:t>ва</w:t>
            </w:r>
            <w:r w:rsidR="00061483" w:rsidRPr="00D33D68">
              <w:t xml:space="preserve"> </w:t>
            </w:r>
            <w:r w:rsidR="00061483" w:rsidRPr="00D33D68">
              <w:lastRenderedPageBreak/>
              <w:t>с</w:t>
            </w:r>
            <w:r w:rsidR="00576DC4" w:rsidRPr="00D33D68">
              <w:t>ъс средно</w:t>
            </w:r>
            <w:r w:rsidR="00583D14" w:rsidRPr="00D33D68">
              <w:t xml:space="preserve"> </w:t>
            </w:r>
            <w:r w:rsidR="00C978B4" w:rsidRPr="00D33D68">
              <w:t>2</w:t>
            </w:r>
            <w:r w:rsidR="00DE027A" w:rsidRPr="00D33D68">
              <w:t>3.73</w:t>
            </w:r>
            <w:r w:rsidR="004B2637" w:rsidRPr="00D33D68">
              <w:t>%</w:t>
            </w:r>
            <w:r w:rsidR="004D1E27" w:rsidRPr="00D33D68">
              <w:t>, а на мярка 1.8</w:t>
            </w:r>
            <w:r w:rsidR="00A43DC7" w:rsidRPr="00D33D68">
              <w:t xml:space="preserve"> </w:t>
            </w:r>
            <w:r w:rsidR="00576DC4" w:rsidRPr="00D33D68">
              <w:t>се увеличава с</w:t>
            </w:r>
            <w:r w:rsidR="005B02B3" w:rsidRPr="00D33D68">
              <w:t>ъс средно</w:t>
            </w:r>
            <w:r w:rsidR="00576DC4" w:rsidRPr="00D33D68">
              <w:t xml:space="preserve"> </w:t>
            </w:r>
            <w:r w:rsidR="00C978B4" w:rsidRPr="00D33D68">
              <w:t>16</w:t>
            </w:r>
            <w:r w:rsidR="006133D6" w:rsidRPr="00D33D68">
              <w:t>,</w:t>
            </w:r>
            <w:r w:rsidR="00C978B4" w:rsidRPr="00D33D68">
              <w:t>79</w:t>
            </w:r>
            <w:r w:rsidR="00576DC4" w:rsidRPr="00D33D68">
              <w:t xml:space="preserve">% </w:t>
            </w:r>
            <w:r w:rsidR="00D64D7F" w:rsidRPr="00D33D68">
              <w:t>и</w:t>
            </w:r>
            <w:r w:rsidR="000A517B" w:rsidRPr="00D33D68">
              <w:t xml:space="preserve"> </w:t>
            </w:r>
            <w:r w:rsidR="00B34E55" w:rsidRPr="00D33D68">
              <w:t xml:space="preserve">се </w:t>
            </w:r>
            <w:r w:rsidR="000A517B" w:rsidRPr="00D33D68">
              <w:t>пол</w:t>
            </w:r>
            <w:r w:rsidR="00D64D7F" w:rsidRPr="00D33D68">
              <w:t>учава</w:t>
            </w:r>
            <w:r w:rsidR="000A517B" w:rsidRPr="00D33D68">
              <w:t xml:space="preserve"> </w:t>
            </w:r>
            <w:r w:rsidR="00C21BB2" w:rsidRPr="00D33D68">
              <w:t xml:space="preserve">2023 </w:t>
            </w:r>
            <w:r w:rsidR="00727A9D" w:rsidRPr="00D33D68">
              <w:t>Target value.</w:t>
            </w:r>
          </w:p>
        </w:tc>
      </w:tr>
      <w:tr w:rsidR="00D33D68" w:rsidRPr="00D33D68" w14:paraId="1891D608" w14:textId="77777777" w:rsidTr="005A5B76">
        <w:tc>
          <w:tcPr>
            <w:tcW w:w="1253" w:type="pct"/>
            <w:shd w:val="clear" w:color="auto" w:fill="auto"/>
          </w:tcPr>
          <w:p w14:paraId="1061BB08" w14:textId="77777777" w:rsidR="00217CC8" w:rsidRPr="00D33D68" w:rsidRDefault="00217CC8" w:rsidP="00217CC8">
            <w:pPr>
              <w:spacing w:after="0"/>
            </w:pPr>
            <w:r w:rsidRPr="00D33D68">
              <w:lastRenderedPageBreak/>
              <w:t>1.4.b - Change in unwanted catches (%)</w:t>
            </w:r>
          </w:p>
        </w:tc>
        <w:tc>
          <w:tcPr>
            <w:tcW w:w="470" w:type="pct"/>
            <w:shd w:val="clear" w:color="auto" w:fill="auto"/>
          </w:tcPr>
          <w:p w14:paraId="1050E412" w14:textId="5FB26EDC" w:rsidR="00217CC8" w:rsidRPr="00D33D68" w:rsidRDefault="00217CC8" w:rsidP="006231CF">
            <w:pPr>
              <w:spacing w:after="0"/>
              <w:jc w:val="right"/>
            </w:pPr>
            <w:r w:rsidRPr="00D33D68">
              <w:t>-</w:t>
            </w:r>
            <w:r w:rsidR="00AD1F65" w:rsidRPr="00D33D68">
              <w:t>2.2</w:t>
            </w:r>
            <w:r w:rsidR="006231CF" w:rsidRPr="00D33D68">
              <w:t>8</w:t>
            </w:r>
          </w:p>
        </w:tc>
        <w:tc>
          <w:tcPr>
            <w:tcW w:w="471" w:type="pct"/>
            <w:shd w:val="clear" w:color="auto" w:fill="auto"/>
          </w:tcPr>
          <w:p w14:paraId="0A4A48EE" w14:textId="77777777" w:rsidR="00217CC8" w:rsidRPr="00D33D68" w:rsidRDefault="00217CC8" w:rsidP="00400129">
            <w:pPr>
              <w:spacing w:after="0"/>
              <w:ind w:left="-109" w:right="-107"/>
              <w:jc w:val="center"/>
            </w:pPr>
            <w:r w:rsidRPr="00D33D68">
              <w:t>%</w:t>
            </w:r>
          </w:p>
        </w:tc>
        <w:tc>
          <w:tcPr>
            <w:tcW w:w="548" w:type="pct"/>
          </w:tcPr>
          <w:p w14:paraId="5EDC8363" w14:textId="77777777" w:rsidR="00217CC8" w:rsidRPr="00D33D68" w:rsidRDefault="00217CC8" w:rsidP="00217CC8">
            <w:pPr>
              <w:spacing w:after="0"/>
              <w:jc w:val="center"/>
            </w:pPr>
          </w:p>
        </w:tc>
        <w:tc>
          <w:tcPr>
            <w:tcW w:w="2258" w:type="pct"/>
          </w:tcPr>
          <w:p w14:paraId="0683CAF8" w14:textId="18358CEC" w:rsidR="005F182E" w:rsidRPr="00D33D68" w:rsidRDefault="00DC0FEE" w:rsidP="0065617D">
            <w:pPr>
              <w:spacing w:after="0"/>
            </w:pPr>
            <w:r w:rsidRPr="00D33D68">
              <w:t xml:space="preserve">Индикаторът се образува от мерки </w:t>
            </w:r>
            <w:r w:rsidR="0022389E" w:rsidRPr="00D33D68">
              <w:t>1.4, 1.5, 1.6</w:t>
            </w:r>
            <w:r w:rsidR="00CC4852" w:rsidRPr="00D33D68">
              <w:t xml:space="preserve"> (чл. 40, параграф 1, буква а) </w:t>
            </w:r>
            <w:r w:rsidR="0022389E" w:rsidRPr="00D33D68">
              <w:t>и 1.8</w:t>
            </w:r>
            <w:r w:rsidR="00A43DC7" w:rsidRPr="00D33D68">
              <w:t xml:space="preserve"> (чл. 43, параграф 2)</w:t>
            </w:r>
            <w:r w:rsidRPr="00D33D68">
              <w:t xml:space="preserve">. Начална стойност -5. Намаляването на бюджета на мерки </w:t>
            </w:r>
            <w:r w:rsidR="0022389E" w:rsidRPr="00D33D68">
              <w:t>1.4, 1.5, 1.6</w:t>
            </w:r>
            <w:r w:rsidR="00CC4852" w:rsidRPr="00D33D68">
              <w:t xml:space="preserve"> </w:t>
            </w:r>
            <w:r w:rsidR="0022389E" w:rsidRPr="00D33D68">
              <w:t>и 1.8</w:t>
            </w:r>
            <w:r w:rsidRPr="00D33D68">
              <w:t xml:space="preserve"> с</w:t>
            </w:r>
            <w:r w:rsidR="00D936EC" w:rsidRPr="00D33D68">
              <w:t>ъс средно</w:t>
            </w:r>
            <w:r w:rsidRPr="00D33D68">
              <w:t xml:space="preserve"> </w:t>
            </w:r>
            <w:r w:rsidR="00D936EC" w:rsidRPr="00D33D68">
              <w:t>7.004205</w:t>
            </w:r>
            <w:r w:rsidRPr="00D33D68">
              <w:t>% при 1вата стъпка променя индикатора на -4.6498.</w:t>
            </w:r>
            <w:r w:rsidR="006133D6" w:rsidRPr="00D33D68">
              <w:t xml:space="preserve"> </w:t>
            </w:r>
          </w:p>
          <w:p w14:paraId="5F07231C" w14:textId="77777777" w:rsidR="005F182E" w:rsidRPr="00D33D68" w:rsidRDefault="005F182E" w:rsidP="0065617D">
            <w:pPr>
              <w:spacing w:after="0"/>
            </w:pPr>
            <w:r w:rsidRPr="00D33D68">
              <w:t>С изменението поради COVID-19 бюджетът</w:t>
            </w:r>
            <w:r w:rsidR="006133D6" w:rsidRPr="00D33D68">
              <w:t xml:space="preserve"> намалява с</w:t>
            </w:r>
            <w:r w:rsidR="001F7D7E" w:rsidRPr="00D33D68">
              <w:t>ъс</w:t>
            </w:r>
            <w:r w:rsidR="006133D6" w:rsidRPr="00D33D68">
              <w:t xml:space="preserve"> средно 45% до -2,56.</w:t>
            </w:r>
            <w:r w:rsidR="00DC0FEE" w:rsidRPr="00D33D68">
              <w:t xml:space="preserve"> </w:t>
            </w:r>
          </w:p>
          <w:p w14:paraId="4CA95E42" w14:textId="7D4D4ED1" w:rsidR="00217CC8" w:rsidRPr="00D33D68" w:rsidRDefault="00DC0FEE" w:rsidP="00DE027A">
            <w:pPr>
              <w:spacing w:after="0"/>
            </w:pPr>
            <w:r w:rsidRPr="00D33D68">
              <w:t xml:space="preserve">Сега </w:t>
            </w:r>
            <w:r w:rsidR="001F7D7E" w:rsidRPr="00D33D68">
              <w:t xml:space="preserve">бюджетът </w:t>
            </w:r>
            <w:r w:rsidRPr="00D33D68">
              <w:t xml:space="preserve">на мерки </w:t>
            </w:r>
            <w:r w:rsidR="000E40AC" w:rsidRPr="00D33D68">
              <w:t>1.4</w:t>
            </w:r>
            <w:r w:rsidR="006133D6" w:rsidRPr="00D33D68">
              <w:t xml:space="preserve"> </w:t>
            </w:r>
            <w:r w:rsidR="000E40AC" w:rsidRPr="00D33D68">
              <w:t>и 1.6</w:t>
            </w:r>
            <w:r w:rsidR="00CC4852" w:rsidRPr="00D33D68">
              <w:t xml:space="preserve"> (чл. 40, параграф 1, буква а)</w:t>
            </w:r>
            <w:r w:rsidR="000E40AC" w:rsidRPr="00D33D68">
              <w:t xml:space="preserve">  се намалява със средно </w:t>
            </w:r>
            <w:r w:rsidR="005F182E" w:rsidRPr="00D33D68">
              <w:t>2</w:t>
            </w:r>
            <w:r w:rsidR="00DE027A" w:rsidRPr="00D33D68">
              <w:t>3.73</w:t>
            </w:r>
            <w:r w:rsidR="000E40AC" w:rsidRPr="00D33D68">
              <w:t xml:space="preserve">%, а на мярка 1.8 се увеличава </w:t>
            </w:r>
            <w:r w:rsidR="005B02B3" w:rsidRPr="00D33D68">
              <w:t xml:space="preserve">със средно </w:t>
            </w:r>
            <w:r w:rsidR="005F182E" w:rsidRPr="00D33D68">
              <w:t>16,79</w:t>
            </w:r>
            <w:r w:rsidR="005B02B3" w:rsidRPr="00D33D68">
              <w:t xml:space="preserve">% </w:t>
            </w:r>
            <w:r w:rsidRPr="00D33D68">
              <w:t>и се получава 2023 Target value.</w:t>
            </w:r>
          </w:p>
        </w:tc>
      </w:tr>
      <w:tr w:rsidR="005A5B76" w:rsidRPr="00D33D68" w14:paraId="0BD9DB1C" w14:textId="77777777" w:rsidTr="005A5B76">
        <w:tc>
          <w:tcPr>
            <w:tcW w:w="1253" w:type="pct"/>
            <w:shd w:val="clear" w:color="auto" w:fill="auto"/>
          </w:tcPr>
          <w:p w14:paraId="2DCCB265" w14:textId="77777777" w:rsidR="00217CC8" w:rsidRPr="00D33D68" w:rsidRDefault="00217CC8" w:rsidP="00217CC8">
            <w:pPr>
              <w:spacing w:after="0"/>
            </w:pPr>
            <w:r w:rsidRPr="00D33D68">
              <w:t>1.5 - Change in fuel efficiency of fish capture</w:t>
            </w:r>
          </w:p>
        </w:tc>
        <w:tc>
          <w:tcPr>
            <w:tcW w:w="470" w:type="pct"/>
            <w:shd w:val="clear" w:color="auto" w:fill="auto"/>
          </w:tcPr>
          <w:p w14:paraId="20E49D17" w14:textId="77777777" w:rsidR="00217CC8" w:rsidRPr="00D33D68" w:rsidRDefault="00217CC8" w:rsidP="00217CC8">
            <w:pPr>
              <w:spacing w:after="0"/>
              <w:jc w:val="right"/>
            </w:pPr>
          </w:p>
        </w:tc>
        <w:tc>
          <w:tcPr>
            <w:tcW w:w="471" w:type="pct"/>
            <w:shd w:val="clear" w:color="auto" w:fill="auto"/>
          </w:tcPr>
          <w:p w14:paraId="7D6B515F" w14:textId="77777777" w:rsidR="00217CC8" w:rsidRPr="00D33D68" w:rsidRDefault="00217CC8" w:rsidP="00400129">
            <w:pPr>
              <w:spacing w:after="0"/>
              <w:ind w:left="-109" w:right="-107"/>
              <w:jc w:val="center"/>
            </w:pPr>
            <w:r w:rsidRPr="00D33D68">
              <w:t>litres fuel/ tonnes landed catch</w:t>
            </w:r>
          </w:p>
        </w:tc>
        <w:tc>
          <w:tcPr>
            <w:tcW w:w="548" w:type="pct"/>
          </w:tcPr>
          <w:p w14:paraId="191D976F" w14:textId="77777777" w:rsidR="00217CC8" w:rsidRPr="00D33D68" w:rsidRDefault="00217CC8" w:rsidP="00217CC8">
            <w:pPr>
              <w:spacing w:after="0"/>
              <w:jc w:val="center"/>
            </w:pPr>
            <w:r w:rsidRPr="00D33D68">
              <w:sym w:font="Wingdings" w:char="F0FC"/>
            </w:r>
          </w:p>
        </w:tc>
        <w:tc>
          <w:tcPr>
            <w:tcW w:w="2258" w:type="pct"/>
          </w:tcPr>
          <w:p w14:paraId="1F4742C9" w14:textId="1296A6DE" w:rsidR="00217CC8" w:rsidRPr="00D33D68" w:rsidRDefault="00ED5683" w:rsidP="00217CC8">
            <w:pPr>
              <w:spacing w:after="0"/>
              <w:jc w:val="center"/>
            </w:pPr>
            <w:r w:rsidRPr="00D33D68">
              <w:t>(N/A)</w:t>
            </w:r>
          </w:p>
        </w:tc>
      </w:tr>
    </w:tbl>
    <w:p w14:paraId="3FB77C97" w14:textId="77777777" w:rsidR="00B5762F" w:rsidRPr="00D33D68" w:rsidRDefault="00B5762F" w:rsidP="00B5762F">
      <w:pPr>
        <w:spacing w:after="0"/>
      </w:pPr>
    </w:p>
    <w:tbl>
      <w:tblPr>
        <w:tblW w:w="503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332"/>
        <w:gridCol w:w="875"/>
        <w:gridCol w:w="875"/>
        <w:gridCol w:w="1020"/>
        <w:gridCol w:w="4242"/>
      </w:tblGrid>
      <w:tr w:rsidR="00D33D68" w:rsidRPr="00D33D68" w14:paraId="324F6869" w14:textId="77777777" w:rsidTr="001B3AE5">
        <w:tc>
          <w:tcPr>
            <w:tcW w:w="1248" w:type="pct"/>
            <w:shd w:val="clear" w:color="auto" w:fill="auto"/>
          </w:tcPr>
          <w:p w14:paraId="7D338844" w14:textId="77777777" w:rsidR="005F0C03" w:rsidRPr="00D33D68" w:rsidRDefault="005F0C03" w:rsidP="008B2921">
            <w:pPr>
              <w:pStyle w:val="Text1"/>
              <w:spacing w:before="0" w:after="0"/>
              <w:ind w:left="0"/>
              <w:rPr>
                <w:b/>
                <w:lang w:val="bg-BG"/>
              </w:rPr>
            </w:pPr>
            <w:r w:rsidRPr="00D33D68">
              <w:rPr>
                <w:b/>
                <w:noProof/>
                <w:lang w:val="bg-BG"/>
              </w:rPr>
              <w:t>Specific objective</w:t>
            </w:r>
          </w:p>
        </w:tc>
        <w:tc>
          <w:tcPr>
            <w:tcW w:w="3752" w:type="pct"/>
            <w:gridSpan w:val="4"/>
            <w:shd w:val="clear" w:color="auto" w:fill="auto"/>
          </w:tcPr>
          <w:p w14:paraId="3CFF899F" w14:textId="77777777" w:rsidR="005F0C03" w:rsidRPr="00D33D68" w:rsidRDefault="005F0C03" w:rsidP="008B2921">
            <w:pPr>
              <w:pStyle w:val="Text1"/>
              <w:spacing w:before="0" w:after="0"/>
              <w:ind w:left="0"/>
              <w:rPr>
                <w:b/>
                <w:noProof/>
                <w:lang w:val="bg-BG"/>
              </w:rPr>
            </w:pPr>
            <w:r w:rsidRPr="00D33D68">
              <w:rPr>
                <w:b/>
                <w:noProof/>
                <w:lang w:val="bg-BG"/>
              </w:rPr>
              <w:t>2</w:t>
            </w:r>
            <w:r w:rsidRPr="00D33D68">
              <w:rPr>
                <w:b/>
                <w:lang w:val="bg-BG"/>
              </w:rPr>
              <w:t xml:space="preserve"> - </w:t>
            </w:r>
            <w:r w:rsidRPr="00D33D68">
              <w:rPr>
                <w:b/>
                <w:noProof/>
                <w:lang w:val="bg-BG"/>
              </w:rPr>
              <w:t>Protection and restoration of aquatic biodiversity and ecosystems</w:t>
            </w:r>
          </w:p>
        </w:tc>
      </w:tr>
      <w:tr w:rsidR="00D33D68" w:rsidRPr="00D33D68" w14:paraId="157E3C80" w14:textId="77777777" w:rsidTr="001B3AE5">
        <w:tc>
          <w:tcPr>
            <w:tcW w:w="1248" w:type="pct"/>
            <w:shd w:val="clear" w:color="auto" w:fill="auto"/>
          </w:tcPr>
          <w:p w14:paraId="2B656135" w14:textId="77777777" w:rsidR="005F0C03" w:rsidRPr="00D33D68" w:rsidRDefault="005F0C03" w:rsidP="005F0C03">
            <w:pPr>
              <w:spacing w:after="0"/>
              <w:jc w:val="center"/>
              <w:rPr>
                <w:b/>
              </w:rPr>
            </w:pPr>
            <w:r w:rsidRPr="00D33D68">
              <w:rPr>
                <w:b/>
              </w:rPr>
              <w:t>Result indicator</w:t>
            </w:r>
          </w:p>
        </w:tc>
        <w:tc>
          <w:tcPr>
            <w:tcW w:w="468" w:type="pct"/>
            <w:shd w:val="clear" w:color="auto" w:fill="auto"/>
          </w:tcPr>
          <w:p w14:paraId="6B4EF8A8" w14:textId="77777777" w:rsidR="005F0C03" w:rsidRPr="00D33D68" w:rsidRDefault="005F0C03" w:rsidP="005F0C03">
            <w:pPr>
              <w:spacing w:after="0"/>
              <w:ind w:left="-106"/>
              <w:jc w:val="center"/>
              <w:rPr>
                <w:b/>
              </w:rPr>
            </w:pPr>
            <w:r w:rsidRPr="00D33D68">
              <w:rPr>
                <w:b/>
              </w:rPr>
              <w:t>Target value for 2023</w:t>
            </w:r>
          </w:p>
          <w:p w14:paraId="4FA62D08" w14:textId="77777777" w:rsidR="00632F0A" w:rsidRPr="00D33D68" w:rsidRDefault="00632F0A" w:rsidP="005F0C03">
            <w:pPr>
              <w:spacing w:after="0"/>
              <w:ind w:left="-106"/>
              <w:jc w:val="center"/>
              <w:rPr>
                <w:b/>
              </w:rPr>
            </w:pPr>
            <w:r w:rsidRPr="00D33D68">
              <w:rPr>
                <w:b/>
              </w:rPr>
              <w:t>(new)</w:t>
            </w:r>
          </w:p>
        </w:tc>
        <w:tc>
          <w:tcPr>
            <w:tcW w:w="468" w:type="pct"/>
            <w:shd w:val="clear" w:color="auto" w:fill="auto"/>
          </w:tcPr>
          <w:p w14:paraId="351A6A3E" w14:textId="77777777" w:rsidR="005F0C03" w:rsidRPr="00D33D68" w:rsidRDefault="005F0C03" w:rsidP="00C80916">
            <w:pPr>
              <w:spacing w:after="0"/>
              <w:ind w:left="-74" w:right="-75"/>
              <w:jc w:val="center"/>
              <w:rPr>
                <w:b/>
              </w:rPr>
            </w:pPr>
            <w:r w:rsidRPr="00D33D68">
              <w:rPr>
                <w:b/>
              </w:rPr>
              <w:t>Measurement unit</w:t>
            </w:r>
          </w:p>
        </w:tc>
        <w:tc>
          <w:tcPr>
            <w:tcW w:w="546" w:type="pct"/>
          </w:tcPr>
          <w:p w14:paraId="516A9A4C" w14:textId="77777777" w:rsidR="005F0C03" w:rsidRPr="00D33D68" w:rsidRDefault="005F0C03" w:rsidP="005F0C03">
            <w:pPr>
              <w:spacing w:after="0"/>
              <w:ind w:left="-108" w:right="-116"/>
              <w:jc w:val="center"/>
              <w:rPr>
                <w:b/>
              </w:rPr>
            </w:pPr>
            <w:r w:rsidRPr="00D33D68">
              <w:rPr>
                <w:b/>
              </w:rPr>
              <w:t>Not applicable</w:t>
            </w:r>
          </w:p>
        </w:tc>
        <w:tc>
          <w:tcPr>
            <w:tcW w:w="2271" w:type="pct"/>
          </w:tcPr>
          <w:p w14:paraId="01AE4448" w14:textId="17661CCE" w:rsidR="005F0C03" w:rsidRPr="00D33D68" w:rsidRDefault="00EB4109" w:rsidP="005F0C03">
            <w:pPr>
              <w:spacing w:after="0"/>
              <w:jc w:val="center"/>
              <w:rPr>
                <w:b/>
              </w:rPr>
            </w:pPr>
            <w:r w:rsidRPr="00D33D68">
              <w:rPr>
                <w:b/>
              </w:rPr>
              <w:t>Explanation</w:t>
            </w:r>
          </w:p>
        </w:tc>
      </w:tr>
      <w:tr w:rsidR="00D33D68" w:rsidRPr="00D33D68" w14:paraId="58469DBE" w14:textId="77777777" w:rsidTr="001B3AE5">
        <w:tc>
          <w:tcPr>
            <w:tcW w:w="1248" w:type="pct"/>
            <w:shd w:val="clear" w:color="auto" w:fill="auto"/>
          </w:tcPr>
          <w:p w14:paraId="26E3B2C6" w14:textId="77777777" w:rsidR="005F0C03" w:rsidRPr="00D33D68" w:rsidRDefault="005F0C03" w:rsidP="008B2921">
            <w:pPr>
              <w:spacing w:after="0"/>
            </w:pPr>
            <w:r w:rsidRPr="00D33D68">
              <w:t>1.5 - Change in fuel efficiency of fish capture</w:t>
            </w:r>
          </w:p>
        </w:tc>
        <w:tc>
          <w:tcPr>
            <w:tcW w:w="468" w:type="pct"/>
            <w:shd w:val="clear" w:color="auto" w:fill="auto"/>
          </w:tcPr>
          <w:p w14:paraId="084E3039" w14:textId="1FEA0E83" w:rsidR="005F0C03" w:rsidRPr="00D33D68" w:rsidRDefault="005F0C03" w:rsidP="00AE665D">
            <w:pPr>
              <w:spacing w:after="0"/>
              <w:jc w:val="right"/>
            </w:pPr>
            <w:r w:rsidRPr="00D33D68">
              <w:t>-</w:t>
            </w:r>
            <w:r w:rsidR="00AE665D" w:rsidRPr="00D33D68">
              <w:t>3</w:t>
            </w:r>
            <w:r w:rsidR="0055457D" w:rsidRPr="00D33D68">
              <w:t>.</w:t>
            </w:r>
            <w:r w:rsidR="00AE665D" w:rsidRPr="00D33D68">
              <w:t>56</w:t>
            </w:r>
          </w:p>
        </w:tc>
        <w:tc>
          <w:tcPr>
            <w:tcW w:w="468" w:type="pct"/>
            <w:shd w:val="clear" w:color="auto" w:fill="auto"/>
          </w:tcPr>
          <w:p w14:paraId="3A9CA977" w14:textId="77777777" w:rsidR="005F0C03" w:rsidRPr="00D33D68" w:rsidRDefault="005F0C03" w:rsidP="00400129">
            <w:pPr>
              <w:spacing w:after="0"/>
              <w:ind w:left="-74" w:right="-75"/>
              <w:jc w:val="center"/>
            </w:pPr>
            <w:r w:rsidRPr="00D33D68">
              <w:t>litres fuel/ tonnes landed catch</w:t>
            </w:r>
          </w:p>
        </w:tc>
        <w:tc>
          <w:tcPr>
            <w:tcW w:w="546" w:type="pct"/>
          </w:tcPr>
          <w:p w14:paraId="271DFAE5" w14:textId="77777777" w:rsidR="005F0C03" w:rsidRPr="00D33D68" w:rsidRDefault="005F0C03" w:rsidP="008B2921">
            <w:pPr>
              <w:spacing w:after="0"/>
              <w:jc w:val="center"/>
            </w:pPr>
          </w:p>
        </w:tc>
        <w:tc>
          <w:tcPr>
            <w:tcW w:w="2271" w:type="pct"/>
          </w:tcPr>
          <w:p w14:paraId="2FBCFB80" w14:textId="66C675F4" w:rsidR="004F71CB" w:rsidRPr="00D33D68" w:rsidRDefault="009351BC" w:rsidP="004F71CB">
            <w:pPr>
              <w:spacing w:after="0"/>
              <w:ind w:left="-100"/>
            </w:pPr>
            <w:r w:rsidRPr="00D33D68">
              <w:t>Индикаторът се образува от м</w:t>
            </w:r>
            <w:r w:rsidR="004F71CB" w:rsidRPr="00D33D68">
              <w:t>ярка</w:t>
            </w:r>
            <w:r w:rsidRPr="00D33D68">
              <w:t xml:space="preserve"> </w:t>
            </w:r>
            <w:r w:rsidR="000516FF" w:rsidRPr="00D33D68">
              <w:t>1.6</w:t>
            </w:r>
            <w:r w:rsidR="00CC4852" w:rsidRPr="00D33D68">
              <w:t xml:space="preserve"> (чл. 40, параграф 1, букви б до ж и и )</w:t>
            </w:r>
            <w:r w:rsidRPr="00D33D68">
              <w:t xml:space="preserve">. Начална стойност -10. </w:t>
            </w:r>
            <w:r w:rsidR="001F7D7E" w:rsidRPr="00D33D68">
              <w:t>Н</w:t>
            </w:r>
            <w:r w:rsidR="004F71CB" w:rsidRPr="00D33D68">
              <w:t>а</w:t>
            </w:r>
            <w:r w:rsidR="001F7D7E" w:rsidRPr="00D33D68">
              <w:t xml:space="preserve">маляването </w:t>
            </w:r>
            <w:r w:rsidR="004F71CB" w:rsidRPr="00D33D68">
              <w:t>на бюджета на мярка</w:t>
            </w:r>
            <w:r w:rsidR="006C5C9A" w:rsidRPr="00D33D68">
              <w:t xml:space="preserve"> 1.6 със средно 7.004205% при 1вата стъпка променя индикатора на </w:t>
            </w:r>
            <w:r w:rsidRPr="00D33D68">
              <w:t>-</w:t>
            </w:r>
            <w:r w:rsidR="001F7D7E" w:rsidRPr="00D33D68">
              <w:t>9,2996</w:t>
            </w:r>
            <w:r w:rsidRPr="00D33D68">
              <w:t xml:space="preserve">. </w:t>
            </w:r>
          </w:p>
          <w:p w14:paraId="3779E373" w14:textId="648DD1F8" w:rsidR="004F71CB" w:rsidRPr="00D33D68" w:rsidRDefault="004F71CB" w:rsidP="004F71CB">
            <w:pPr>
              <w:spacing w:after="0"/>
              <w:ind w:left="-100"/>
            </w:pPr>
            <w:r w:rsidRPr="00D33D68">
              <w:t>С изменението поради COVID-19 бюджетът не се променя</w:t>
            </w:r>
            <w:r w:rsidR="001F7D7E" w:rsidRPr="00D33D68">
              <w:t xml:space="preserve">. </w:t>
            </w:r>
          </w:p>
          <w:p w14:paraId="442EF3AA" w14:textId="06EFF545" w:rsidR="009351BC" w:rsidRPr="00D33D68" w:rsidRDefault="001F7D7E" w:rsidP="00AE665D">
            <w:pPr>
              <w:spacing w:after="0"/>
              <w:ind w:left="-100"/>
            </w:pPr>
            <w:r w:rsidRPr="00D33D68">
              <w:t>Сега бюджетът на м</w:t>
            </w:r>
            <w:r w:rsidR="004F71CB" w:rsidRPr="00D33D68">
              <w:t>я</w:t>
            </w:r>
            <w:r w:rsidRPr="00D33D68">
              <w:t>рк</w:t>
            </w:r>
            <w:r w:rsidR="004F71CB" w:rsidRPr="00D33D68">
              <w:t>а</w:t>
            </w:r>
            <w:r w:rsidRPr="00D33D68">
              <w:t xml:space="preserve"> 1.6 </w:t>
            </w:r>
            <w:r w:rsidR="004D1E27" w:rsidRPr="00D33D68">
              <w:t>(чл. 40, параграф 1, букви б до ж и и )</w:t>
            </w:r>
            <w:r w:rsidRPr="00D33D68">
              <w:t xml:space="preserve"> се намалява със средно </w:t>
            </w:r>
            <w:r w:rsidR="00AE665D" w:rsidRPr="00D33D68">
              <w:t>61.71%</w:t>
            </w:r>
            <w:r w:rsidRPr="00D33D68">
              <w:t xml:space="preserve"> и се получава 2023 Target value</w:t>
            </w:r>
          </w:p>
        </w:tc>
      </w:tr>
      <w:tr w:rsidR="00D33D68" w:rsidRPr="00D33D68" w14:paraId="1738F7AD" w14:textId="77777777" w:rsidTr="001B3AE5">
        <w:tc>
          <w:tcPr>
            <w:tcW w:w="1248" w:type="pct"/>
            <w:shd w:val="clear" w:color="auto" w:fill="auto"/>
          </w:tcPr>
          <w:p w14:paraId="281E6BD3" w14:textId="77777777" w:rsidR="005F0C03" w:rsidRPr="00D33D68" w:rsidRDefault="005F0C03" w:rsidP="008B2921">
            <w:pPr>
              <w:spacing w:after="0"/>
            </w:pPr>
            <w:r w:rsidRPr="00D33D68">
              <w:lastRenderedPageBreak/>
              <w:t>1.10.a - Change in the coverage of Natura 2000 areas designated under the Birds and Habitats directives</w:t>
            </w:r>
          </w:p>
        </w:tc>
        <w:tc>
          <w:tcPr>
            <w:tcW w:w="468" w:type="pct"/>
            <w:shd w:val="clear" w:color="auto" w:fill="auto"/>
          </w:tcPr>
          <w:p w14:paraId="321B4369" w14:textId="77777777" w:rsidR="005F0C03" w:rsidRPr="00D33D68" w:rsidRDefault="005F0C03" w:rsidP="00CD7DDD">
            <w:pPr>
              <w:spacing w:after="0"/>
              <w:jc w:val="right"/>
            </w:pPr>
            <w:r w:rsidRPr="00D33D68">
              <w:t>0.00</w:t>
            </w:r>
          </w:p>
        </w:tc>
        <w:tc>
          <w:tcPr>
            <w:tcW w:w="468" w:type="pct"/>
            <w:shd w:val="clear" w:color="auto" w:fill="auto"/>
          </w:tcPr>
          <w:p w14:paraId="5AF5F11A" w14:textId="77777777" w:rsidR="005F0C03" w:rsidRPr="00D33D68" w:rsidRDefault="005F0C03" w:rsidP="00400129">
            <w:pPr>
              <w:spacing w:after="0"/>
              <w:jc w:val="center"/>
            </w:pPr>
            <w:r w:rsidRPr="00D33D68">
              <w:t>Km²</w:t>
            </w:r>
          </w:p>
        </w:tc>
        <w:tc>
          <w:tcPr>
            <w:tcW w:w="546" w:type="pct"/>
          </w:tcPr>
          <w:p w14:paraId="282F6A1C" w14:textId="77777777" w:rsidR="005F0C03" w:rsidRPr="00D33D68" w:rsidRDefault="005F0C03" w:rsidP="008B2921">
            <w:pPr>
              <w:spacing w:after="0"/>
              <w:jc w:val="center"/>
            </w:pPr>
          </w:p>
        </w:tc>
        <w:tc>
          <w:tcPr>
            <w:tcW w:w="2271" w:type="pct"/>
          </w:tcPr>
          <w:p w14:paraId="3E066AB8" w14:textId="140F7521" w:rsidR="005F0C03" w:rsidRPr="00D33D68" w:rsidRDefault="00CE2E92" w:rsidP="00CE2E92">
            <w:pPr>
              <w:spacing w:after="0"/>
            </w:pPr>
            <w:r w:rsidRPr="00D33D68">
              <w:t>Тъй като сега индикаторът е със стойност 0.00 и се образува от мярка 1.6, която е с намален бюджет, индикаторът не следва да се изменя.</w:t>
            </w:r>
          </w:p>
        </w:tc>
      </w:tr>
      <w:tr w:rsidR="006269F0" w:rsidRPr="00D33D68" w14:paraId="5C41EA12" w14:textId="77777777" w:rsidTr="001B3AE5">
        <w:tc>
          <w:tcPr>
            <w:tcW w:w="1248" w:type="pct"/>
            <w:shd w:val="clear" w:color="auto" w:fill="auto"/>
          </w:tcPr>
          <w:p w14:paraId="7F8271B9" w14:textId="77777777" w:rsidR="005F0C03" w:rsidRPr="00D33D68" w:rsidRDefault="005F0C03" w:rsidP="008B2921">
            <w:pPr>
              <w:spacing w:after="0"/>
            </w:pPr>
            <w:r w:rsidRPr="00D33D68">
              <w:t>1.10.b - Change in the coverage of other spatial protection measures under Art. 13.4 of the Directive 2008/56/EC</w:t>
            </w:r>
          </w:p>
        </w:tc>
        <w:tc>
          <w:tcPr>
            <w:tcW w:w="468" w:type="pct"/>
            <w:shd w:val="clear" w:color="auto" w:fill="auto"/>
          </w:tcPr>
          <w:p w14:paraId="4A51CA28" w14:textId="77777777" w:rsidR="005F0C03" w:rsidRPr="00D33D68" w:rsidRDefault="005F0C03" w:rsidP="008B2921">
            <w:pPr>
              <w:spacing w:after="0"/>
              <w:jc w:val="right"/>
            </w:pPr>
          </w:p>
        </w:tc>
        <w:tc>
          <w:tcPr>
            <w:tcW w:w="468" w:type="pct"/>
            <w:shd w:val="clear" w:color="auto" w:fill="auto"/>
          </w:tcPr>
          <w:p w14:paraId="3EC5356D" w14:textId="77777777" w:rsidR="005F0C03" w:rsidRPr="00D33D68" w:rsidRDefault="005F0C03" w:rsidP="00400129">
            <w:pPr>
              <w:spacing w:after="0"/>
              <w:jc w:val="center"/>
            </w:pPr>
            <w:r w:rsidRPr="00D33D68">
              <w:t>Km²</w:t>
            </w:r>
          </w:p>
        </w:tc>
        <w:tc>
          <w:tcPr>
            <w:tcW w:w="546" w:type="pct"/>
          </w:tcPr>
          <w:p w14:paraId="2E9F68B8" w14:textId="77777777" w:rsidR="005F0C03" w:rsidRPr="00D33D68" w:rsidRDefault="005F0C03" w:rsidP="008B2921">
            <w:pPr>
              <w:spacing w:after="0"/>
              <w:jc w:val="center"/>
            </w:pPr>
            <w:r w:rsidRPr="00D33D68">
              <w:sym w:font="Wingdings" w:char="F0FC"/>
            </w:r>
          </w:p>
        </w:tc>
        <w:tc>
          <w:tcPr>
            <w:tcW w:w="2271" w:type="pct"/>
          </w:tcPr>
          <w:p w14:paraId="348137AE" w14:textId="491D1A56" w:rsidR="005F0C03" w:rsidRPr="00D33D68" w:rsidRDefault="00ED5683" w:rsidP="008B2921">
            <w:pPr>
              <w:spacing w:after="0"/>
              <w:jc w:val="center"/>
            </w:pPr>
            <w:r w:rsidRPr="00D33D68">
              <w:t>(N/A)</w:t>
            </w:r>
          </w:p>
        </w:tc>
      </w:tr>
    </w:tbl>
    <w:p w14:paraId="67BDA8E7" w14:textId="77777777" w:rsidR="00B5762F" w:rsidRPr="00D33D68" w:rsidRDefault="00B5762F" w:rsidP="00B5762F">
      <w:pPr>
        <w:spacing w:after="0"/>
      </w:pPr>
    </w:p>
    <w:tbl>
      <w:tblPr>
        <w:tblW w:w="503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332"/>
        <w:gridCol w:w="875"/>
        <w:gridCol w:w="873"/>
        <w:gridCol w:w="1020"/>
        <w:gridCol w:w="4244"/>
      </w:tblGrid>
      <w:tr w:rsidR="00D33D68" w:rsidRPr="00D33D68" w14:paraId="6996B359" w14:textId="77777777" w:rsidTr="0034383C">
        <w:tc>
          <w:tcPr>
            <w:tcW w:w="1248" w:type="pct"/>
            <w:shd w:val="clear" w:color="auto" w:fill="auto"/>
          </w:tcPr>
          <w:p w14:paraId="72058320" w14:textId="77777777" w:rsidR="002515BE" w:rsidRPr="00D33D68" w:rsidRDefault="002515BE" w:rsidP="008B2921">
            <w:pPr>
              <w:pStyle w:val="Text1"/>
              <w:spacing w:before="0" w:after="0"/>
              <w:ind w:left="0"/>
              <w:rPr>
                <w:b/>
                <w:lang w:val="bg-BG"/>
              </w:rPr>
            </w:pPr>
            <w:r w:rsidRPr="00D33D68">
              <w:rPr>
                <w:b/>
                <w:noProof/>
                <w:lang w:val="bg-BG"/>
              </w:rPr>
              <w:t>Specific objective</w:t>
            </w:r>
          </w:p>
        </w:tc>
        <w:tc>
          <w:tcPr>
            <w:tcW w:w="3752" w:type="pct"/>
            <w:gridSpan w:val="4"/>
            <w:shd w:val="clear" w:color="auto" w:fill="auto"/>
          </w:tcPr>
          <w:p w14:paraId="58846154" w14:textId="77777777" w:rsidR="002515BE" w:rsidRPr="00D33D68" w:rsidRDefault="002515BE" w:rsidP="008B2921">
            <w:pPr>
              <w:pStyle w:val="Text1"/>
              <w:spacing w:before="0" w:after="0"/>
              <w:ind w:left="0"/>
              <w:rPr>
                <w:b/>
                <w:noProof/>
                <w:lang w:val="bg-BG"/>
              </w:rPr>
            </w:pPr>
            <w:r w:rsidRPr="00D33D68">
              <w:rPr>
                <w:b/>
                <w:noProof/>
                <w:lang w:val="bg-BG"/>
              </w:rPr>
              <w:t>3</w:t>
            </w:r>
            <w:r w:rsidRPr="00D33D68">
              <w:rPr>
                <w:b/>
                <w:lang w:val="bg-BG"/>
              </w:rPr>
              <w:t xml:space="preserve"> - </w:t>
            </w:r>
            <w:r w:rsidRPr="00D33D68">
              <w:rPr>
                <w:b/>
                <w:noProof/>
                <w:lang w:val="bg-BG"/>
              </w:rPr>
              <w:t>Ensuring a balance between fishing capacity and available fishing opportunities</w:t>
            </w:r>
          </w:p>
        </w:tc>
      </w:tr>
      <w:tr w:rsidR="00D33D68" w:rsidRPr="00D33D68" w14:paraId="7326F27C" w14:textId="77777777" w:rsidTr="0034383C">
        <w:tc>
          <w:tcPr>
            <w:tcW w:w="1248" w:type="pct"/>
            <w:shd w:val="clear" w:color="auto" w:fill="auto"/>
          </w:tcPr>
          <w:p w14:paraId="556B4362" w14:textId="77777777" w:rsidR="002515BE" w:rsidRPr="00D33D68" w:rsidRDefault="002515BE" w:rsidP="002515BE">
            <w:pPr>
              <w:spacing w:after="0"/>
              <w:jc w:val="center"/>
              <w:rPr>
                <w:b/>
              </w:rPr>
            </w:pPr>
            <w:r w:rsidRPr="00D33D68">
              <w:rPr>
                <w:b/>
              </w:rPr>
              <w:t>Result indicator</w:t>
            </w:r>
          </w:p>
        </w:tc>
        <w:tc>
          <w:tcPr>
            <w:tcW w:w="468" w:type="pct"/>
            <w:shd w:val="clear" w:color="auto" w:fill="auto"/>
          </w:tcPr>
          <w:p w14:paraId="0F04EF94" w14:textId="77777777" w:rsidR="002515BE" w:rsidRPr="00D33D68" w:rsidRDefault="002515BE" w:rsidP="00945EA2">
            <w:pPr>
              <w:spacing w:after="0"/>
              <w:ind w:left="-107" w:right="-88"/>
              <w:jc w:val="center"/>
              <w:rPr>
                <w:b/>
              </w:rPr>
            </w:pPr>
            <w:r w:rsidRPr="00D33D68">
              <w:rPr>
                <w:b/>
              </w:rPr>
              <w:t>Target value for 2023</w:t>
            </w:r>
          </w:p>
        </w:tc>
        <w:tc>
          <w:tcPr>
            <w:tcW w:w="467" w:type="pct"/>
            <w:shd w:val="clear" w:color="auto" w:fill="auto"/>
          </w:tcPr>
          <w:p w14:paraId="4B67C699" w14:textId="77777777" w:rsidR="002515BE" w:rsidRPr="00D33D68" w:rsidRDefault="002515BE" w:rsidP="00400129">
            <w:pPr>
              <w:spacing w:after="0"/>
              <w:ind w:left="-74" w:right="-75"/>
              <w:jc w:val="center"/>
              <w:rPr>
                <w:b/>
              </w:rPr>
            </w:pPr>
            <w:r w:rsidRPr="00D33D68">
              <w:rPr>
                <w:b/>
              </w:rPr>
              <w:t>Measurement unit</w:t>
            </w:r>
          </w:p>
        </w:tc>
        <w:tc>
          <w:tcPr>
            <w:tcW w:w="546" w:type="pct"/>
          </w:tcPr>
          <w:p w14:paraId="673AC082" w14:textId="77777777" w:rsidR="002515BE" w:rsidRPr="00D33D68" w:rsidRDefault="002515BE" w:rsidP="00353A51">
            <w:pPr>
              <w:spacing w:after="0"/>
              <w:ind w:left="-134" w:right="-135"/>
              <w:jc w:val="center"/>
              <w:rPr>
                <w:b/>
              </w:rPr>
            </w:pPr>
            <w:r w:rsidRPr="00D33D68">
              <w:rPr>
                <w:b/>
              </w:rPr>
              <w:t>Not applicable</w:t>
            </w:r>
          </w:p>
        </w:tc>
        <w:tc>
          <w:tcPr>
            <w:tcW w:w="2271" w:type="pct"/>
          </w:tcPr>
          <w:p w14:paraId="53F82EC4" w14:textId="18E0C42F" w:rsidR="002515BE" w:rsidRPr="00D33D68" w:rsidRDefault="00EB4109" w:rsidP="002515BE">
            <w:pPr>
              <w:spacing w:after="0"/>
              <w:jc w:val="center"/>
              <w:rPr>
                <w:b/>
              </w:rPr>
            </w:pPr>
            <w:r w:rsidRPr="00D33D68">
              <w:rPr>
                <w:b/>
              </w:rPr>
              <w:t>Explanation</w:t>
            </w:r>
            <w:r w:rsidR="0034383C" w:rsidRPr="00D33D68">
              <w:rPr>
                <w:b/>
              </w:rPr>
              <w:t xml:space="preserve"> </w:t>
            </w:r>
          </w:p>
        </w:tc>
      </w:tr>
      <w:tr w:rsidR="00D33D68" w:rsidRPr="00D33D68" w14:paraId="1F4AD76D" w14:textId="77777777" w:rsidTr="0034383C">
        <w:tc>
          <w:tcPr>
            <w:tcW w:w="1248" w:type="pct"/>
            <w:shd w:val="clear" w:color="auto" w:fill="auto"/>
          </w:tcPr>
          <w:p w14:paraId="383184B8" w14:textId="77777777" w:rsidR="002515BE" w:rsidRPr="00D33D68" w:rsidRDefault="002515BE" w:rsidP="008B2921">
            <w:pPr>
              <w:spacing w:after="0"/>
            </w:pPr>
            <w:r w:rsidRPr="00D33D68">
              <w:t>1.3 - Change in net profits</w:t>
            </w:r>
          </w:p>
        </w:tc>
        <w:tc>
          <w:tcPr>
            <w:tcW w:w="468" w:type="pct"/>
            <w:shd w:val="clear" w:color="auto" w:fill="auto"/>
          </w:tcPr>
          <w:p w14:paraId="5EBD627B" w14:textId="77777777" w:rsidR="002515BE" w:rsidRPr="00D33D68" w:rsidRDefault="002515BE" w:rsidP="008B2921">
            <w:pPr>
              <w:spacing w:after="0"/>
              <w:jc w:val="right"/>
            </w:pPr>
          </w:p>
        </w:tc>
        <w:tc>
          <w:tcPr>
            <w:tcW w:w="467" w:type="pct"/>
            <w:shd w:val="clear" w:color="auto" w:fill="auto"/>
          </w:tcPr>
          <w:p w14:paraId="2277E825" w14:textId="77777777" w:rsidR="002515BE" w:rsidRPr="00D33D68" w:rsidRDefault="002515BE" w:rsidP="00400129">
            <w:pPr>
              <w:spacing w:after="0"/>
              <w:ind w:left="-74" w:right="-75"/>
              <w:jc w:val="center"/>
            </w:pPr>
            <w:r w:rsidRPr="00D33D68">
              <w:t>thousand Euros</w:t>
            </w:r>
          </w:p>
        </w:tc>
        <w:tc>
          <w:tcPr>
            <w:tcW w:w="546" w:type="pct"/>
          </w:tcPr>
          <w:p w14:paraId="6D1196A6" w14:textId="77777777" w:rsidR="002515BE" w:rsidRPr="00D33D68" w:rsidRDefault="002515BE" w:rsidP="008B2921">
            <w:pPr>
              <w:spacing w:after="0"/>
              <w:jc w:val="center"/>
            </w:pPr>
            <w:r w:rsidRPr="00D33D68">
              <w:sym w:font="Wingdings" w:char="F0FC"/>
            </w:r>
          </w:p>
        </w:tc>
        <w:tc>
          <w:tcPr>
            <w:tcW w:w="2271" w:type="pct"/>
          </w:tcPr>
          <w:p w14:paraId="56CD5BE2" w14:textId="694C2F5F" w:rsidR="002515BE" w:rsidRPr="00D33D68" w:rsidRDefault="0034383C" w:rsidP="0034383C">
            <w:pPr>
              <w:spacing w:after="0"/>
              <w:jc w:val="center"/>
            </w:pPr>
            <w:r w:rsidRPr="00D33D68">
              <w:t>(N/A)</w:t>
            </w:r>
          </w:p>
        </w:tc>
      </w:tr>
      <w:tr w:rsidR="006269F0" w:rsidRPr="00D33D68" w14:paraId="28D147A2" w14:textId="77777777" w:rsidTr="0034383C">
        <w:tc>
          <w:tcPr>
            <w:tcW w:w="1248" w:type="pct"/>
            <w:shd w:val="clear" w:color="auto" w:fill="auto"/>
          </w:tcPr>
          <w:p w14:paraId="153740C6" w14:textId="77777777" w:rsidR="002515BE" w:rsidRPr="00D33D68" w:rsidRDefault="002515BE" w:rsidP="008B2921">
            <w:pPr>
              <w:spacing w:after="0"/>
            </w:pPr>
            <w:r w:rsidRPr="00D33D68">
              <w:t>1.6 - Change in the % of unbalanced fleets</w:t>
            </w:r>
          </w:p>
        </w:tc>
        <w:tc>
          <w:tcPr>
            <w:tcW w:w="468" w:type="pct"/>
            <w:shd w:val="clear" w:color="auto" w:fill="auto"/>
          </w:tcPr>
          <w:p w14:paraId="03BCAD0C" w14:textId="77777777" w:rsidR="002515BE" w:rsidRPr="00D33D68" w:rsidRDefault="002515BE" w:rsidP="00CD7DDD">
            <w:pPr>
              <w:spacing w:after="0"/>
              <w:jc w:val="right"/>
            </w:pPr>
            <w:r w:rsidRPr="00D33D68">
              <w:t>-1.35</w:t>
            </w:r>
          </w:p>
        </w:tc>
        <w:tc>
          <w:tcPr>
            <w:tcW w:w="467" w:type="pct"/>
            <w:shd w:val="clear" w:color="auto" w:fill="auto"/>
          </w:tcPr>
          <w:p w14:paraId="784752EA" w14:textId="77777777" w:rsidR="002515BE" w:rsidRPr="00D33D68" w:rsidRDefault="002515BE" w:rsidP="00400129">
            <w:pPr>
              <w:spacing w:after="0"/>
              <w:jc w:val="center"/>
            </w:pPr>
            <w:r w:rsidRPr="00D33D68">
              <w:t>%</w:t>
            </w:r>
          </w:p>
        </w:tc>
        <w:tc>
          <w:tcPr>
            <w:tcW w:w="546" w:type="pct"/>
          </w:tcPr>
          <w:p w14:paraId="6344C5A1" w14:textId="77777777" w:rsidR="002515BE" w:rsidRPr="00D33D68" w:rsidRDefault="002515BE" w:rsidP="008B2921">
            <w:pPr>
              <w:spacing w:after="0"/>
              <w:jc w:val="center"/>
            </w:pPr>
          </w:p>
        </w:tc>
        <w:tc>
          <w:tcPr>
            <w:tcW w:w="2271" w:type="pct"/>
          </w:tcPr>
          <w:p w14:paraId="605E9D9C" w14:textId="6759BF2A" w:rsidR="002515BE" w:rsidRPr="00D33D68" w:rsidRDefault="00353A51" w:rsidP="00353A51">
            <w:pPr>
              <w:spacing w:after="0"/>
            </w:pPr>
            <w:r w:rsidRPr="00D33D68">
              <w:t>Този индикатор се образува от мярка 1.3, която е приключила през 2017 и бюджетните промени не се отнасят към нея. Следователно и индикаторът не се изменя.</w:t>
            </w:r>
          </w:p>
        </w:tc>
      </w:tr>
    </w:tbl>
    <w:p w14:paraId="7FB5E325" w14:textId="77777777" w:rsidR="00B5762F" w:rsidRPr="00D33D68" w:rsidRDefault="00B5762F" w:rsidP="00B5762F">
      <w:pPr>
        <w:spacing w:after="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305"/>
        <w:gridCol w:w="912"/>
        <w:gridCol w:w="892"/>
        <w:gridCol w:w="983"/>
        <w:gridCol w:w="4196"/>
      </w:tblGrid>
      <w:tr w:rsidR="00D33D68" w:rsidRPr="00D33D68" w14:paraId="0BC46705" w14:textId="77777777" w:rsidTr="001522B8">
        <w:tc>
          <w:tcPr>
            <w:tcW w:w="1241" w:type="pct"/>
            <w:shd w:val="clear" w:color="auto" w:fill="auto"/>
          </w:tcPr>
          <w:p w14:paraId="7FD805B6" w14:textId="77777777" w:rsidR="00253028" w:rsidRPr="00D33D68" w:rsidRDefault="00253028" w:rsidP="008B2921">
            <w:pPr>
              <w:pStyle w:val="Text1"/>
              <w:spacing w:before="0" w:after="0"/>
              <w:ind w:left="0"/>
              <w:rPr>
                <w:b/>
                <w:lang w:val="bg-BG"/>
              </w:rPr>
            </w:pPr>
            <w:r w:rsidRPr="00D33D68">
              <w:rPr>
                <w:b/>
                <w:noProof/>
                <w:lang w:val="bg-BG"/>
              </w:rPr>
              <w:t>Specific objective</w:t>
            </w:r>
          </w:p>
        </w:tc>
        <w:tc>
          <w:tcPr>
            <w:tcW w:w="3759" w:type="pct"/>
            <w:gridSpan w:val="4"/>
            <w:shd w:val="clear" w:color="auto" w:fill="auto"/>
          </w:tcPr>
          <w:p w14:paraId="1D602050" w14:textId="77777777" w:rsidR="00253028" w:rsidRPr="00D33D68" w:rsidRDefault="00253028" w:rsidP="008B2921">
            <w:pPr>
              <w:pStyle w:val="Text1"/>
              <w:spacing w:before="0" w:after="0"/>
              <w:ind w:left="0"/>
              <w:rPr>
                <w:b/>
                <w:noProof/>
                <w:lang w:val="bg-BG"/>
              </w:rPr>
            </w:pPr>
            <w:r w:rsidRPr="00D33D68">
              <w:rPr>
                <w:b/>
                <w:noProof/>
                <w:lang w:val="bg-BG"/>
              </w:rPr>
              <w:t>4</w:t>
            </w:r>
            <w:r w:rsidRPr="00D33D68">
              <w:rPr>
                <w:b/>
                <w:lang w:val="bg-BG"/>
              </w:rPr>
              <w:t xml:space="preserve"> - </w:t>
            </w:r>
            <w:r w:rsidRPr="00D33D68">
              <w:rPr>
                <w:b/>
                <w:noProof/>
                <w:lang w:val="bg-BG"/>
              </w:rPr>
              <w:t>Enhancement of the competitiveness and viability of fisheries enterprises, including of small scale coastal fleet, and the improvement of safety or working conditions</w:t>
            </w:r>
          </w:p>
        </w:tc>
      </w:tr>
      <w:tr w:rsidR="00D33D68" w:rsidRPr="00D33D68" w14:paraId="3B4403A8" w14:textId="77777777" w:rsidTr="001522B8">
        <w:tc>
          <w:tcPr>
            <w:tcW w:w="1241" w:type="pct"/>
            <w:shd w:val="clear" w:color="auto" w:fill="auto"/>
          </w:tcPr>
          <w:p w14:paraId="08B0E903" w14:textId="77777777" w:rsidR="00253028" w:rsidRPr="00D33D68" w:rsidRDefault="00253028" w:rsidP="009961E5">
            <w:pPr>
              <w:spacing w:after="0"/>
              <w:jc w:val="center"/>
              <w:rPr>
                <w:b/>
              </w:rPr>
            </w:pPr>
            <w:r w:rsidRPr="00D33D68">
              <w:rPr>
                <w:b/>
              </w:rPr>
              <w:t>Result indicator</w:t>
            </w:r>
          </w:p>
        </w:tc>
        <w:tc>
          <w:tcPr>
            <w:tcW w:w="491" w:type="pct"/>
            <w:shd w:val="clear" w:color="auto" w:fill="auto"/>
          </w:tcPr>
          <w:p w14:paraId="05E7C26E" w14:textId="77777777" w:rsidR="00253028" w:rsidRPr="00D33D68" w:rsidRDefault="00253028" w:rsidP="009961E5">
            <w:pPr>
              <w:spacing w:after="0"/>
              <w:ind w:left="-77" w:right="-107"/>
              <w:jc w:val="center"/>
              <w:rPr>
                <w:b/>
              </w:rPr>
            </w:pPr>
            <w:r w:rsidRPr="00D33D68">
              <w:rPr>
                <w:b/>
              </w:rPr>
              <w:t>Target value for 2023</w:t>
            </w:r>
          </w:p>
          <w:p w14:paraId="271A9B21" w14:textId="77777777" w:rsidR="00632F0A" w:rsidRPr="00D33D68" w:rsidRDefault="00632F0A" w:rsidP="009961E5">
            <w:pPr>
              <w:spacing w:after="0"/>
              <w:ind w:left="-77" w:right="-107"/>
              <w:jc w:val="center"/>
              <w:rPr>
                <w:b/>
              </w:rPr>
            </w:pPr>
            <w:r w:rsidRPr="00D33D68">
              <w:rPr>
                <w:b/>
              </w:rPr>
              <w:t>(new)</w:t>
            </w:r>
          </w:p>
        </w:tc>
        <w:tc>
          <w:tcPr>
            <w:tcW w:w="480" w:type="pct"/>
            <w:shd w:val="clear" w:color="auto" w:fill="auto"/>
          </w:tcPr>
          <w:p w14:paraId="42BDF810" w14:textId="77777777" w:rsidR="00253028" w:rsidRPr="00D33D68" w:rsidRDefault="00253028" w:rsidP="00400129">
            <w:pPr>
              <w:spacing w:after="0"/>
              <w:ind w:left="-77" w:right="-107"/>
              <w:jc w:val="center"/>
              <w:rPr>
                <w:b/>
              </w:rPr>
            </w:pPr>
            <w:r w:rsidRPr="00D33D68">
              <w:rPr>
                <w:b/>
              </w:rPr>
              <w:t>Measurement unit</w:t>
            </w:r>
          </w:p>
        </w:tc>
        <w:tc>
          <w:tcPr>
            <w:tcW w:w="529" w:type="pct"/>
          </w:tcPr>
          <w:p w14:paraId="0CE244B3" w14:textId="77777777" w:rsidR="00253028" w:rsidRPr="00D33D68" w:rsidRDefault="00253028" w:rsidP="009961E5">
            <w:pPr>
              <w:spacing w:after="0"/>
              <w:ind w:left="-77" w:right="-107"/>
              <w:jc w:val="center"/>
              <w:rPr>
                <w:b/>
              </w:rPr>
            </w:pPr>
            <w:r w:rsidRPr="00D33D68">
              <w:rPr>
                <w:b/>
              </w:rPr>
              <w:t>Not applicable</w:t>
            </w:r>
          </w:p>
        </w:tc>
        <w:tc>
          <w:tcPr>
            <w:tcW w:w="2259" w:type="pct"/>
          </w:tcPr>
          <w:p w14:paraId="5F72340F" w14:textId="160E8D1F" w:rsidR="00253028" w:rsidRPr="00D33D68" w:rsidRDefault="00EB4109" w:rsidP="009961E5">
            <w:pPr>
              <w:spacing w:after="0"/>
              <w:ind w:left="-77" w:right="-107"/>
              <w:jc w:val="center"/>
              <w:rPr>
                <w:b/>
              </w:rPr>
            </w:pPr>
            <w:r w:rsidRPr="00D33D68">
              <w:rPr>
                <w:b/>
              </w:rPr>
              <w:t>Explanation</w:t>
            </w:r>
          </w:p>
        </w:tc>
      </w:tr>
      <w:tr w:rsidR="00D33D68" w:rsidRPr="00D33D68" w14:paraId="2098B19A" w14:textId="77777777" w:rsidTr="001522B8">
        <w:tc>
          <w:tcPr>
            <w:tcW w:w="1241" w:type="pct"/>
            <w:shd w:val="clear" w:color="auto" w:fill="auto"/>
          </w:tcPr>
          <w:p w14:paraId="3B4D2690" w14:textId="77777777" w:rsidR="00253028" w:rsidRPr="00D33D68" w:rsidRDefault="00253028" w:rsidP="008B2921">
            <w:pPr>
              <w:spacing w:after="0"/>
            </w:pPr>
            <w:r w:rsidRPr="00D33D68">
              <w:t>1.1 - Change in the value of production</w:t>
            </w:r>
          </w:p>
        </w:tc>
        <w:tc>
          <w:tcPr>
            <w:tcW w:w="491" w:type="pct"/>
            <w:shd w:val="clear" w:color="auto" w:fill="auto"/>
          </w:tcPr>
          <w:p w14:paraId="19CD36AF" w14:textId="423CE062" w:rsidR="00253028" w:rsidRPr="00D33D68" w:rsidRDefault="000C6B27" w:rsidP="00CD7DDD">
            <w:pPr>
              <w:spacing w:after="0"/>
              <w:jc w:val="right"/>
              <w:rPr>
                <w:lang w:val="en-US"/>
              </w:rPr>
            </w:pPr>
            <w:r w:rsidRPr="00D33D68">
              <w:rPr>
                <w:lang w:val="en-US"/>
              </w:rPr>
              <w:t>68.10</w:t>
            </w:r>
          </w:p>
        </w:tc>
        <w:tc>
          <w:tcPr>
            <w:tcW w:w="480" w:type="pct"/>
            <w:shd w:val="clear" w:color="auto" w:fill="auto"/>
          </w:tcPr>
          <w:p w14:paraId="70B79F47" w14:textId="77777777" w:rsidR="00253028" w:rsidRPr="00D33D68" w:rsidRDefault="00253028" w:rsidP="00400129">
            <w:pPr>
              <w:spacing w:after="0"/>
              <w:ind w:left="-77" w:right="-107"/>
              <w:jc w:val="center"/>
            </w:pPr>
            <w:r w:rsidRPr="00D33D68">
              <w:t>thousand Euros</w:t>
            </w:r>
          </w:p>
        </w:tc>
        <w:tc>
          <w:tcPr>
            <w:tcW w:w="529" w:type="pct"/>
          </w:tcPr>
          <w:p w14:paraId="4F66607A" w14:textId="77777777" w:rsidR="00253028" w:rsidRPr="00D33D68" w:rsidRDefault="00253028" w:rsidP="008B2921">
            <w:pPr>
              <w:spacing w:after="0"/>
              <w:jc w:val="center"/>
            </w:pPr>
          </w:p>
        </w:tc>
        <w:tc>
          <w:tcPr>
            <w:tcW w:w="2259" w:type="pct"/>
          </w:tcPr>
          <w:p w14:paraId="1F1F8DB0" w14:textId="43C5B975" w:rsidR="00023CD7" w:rsidRPr="00D33D68" w:rsidRDefault="00804A9C" w:rsidP="00023CD7">
            <w:pPr>
              <w:spacing w:after="0"/>
            </w:pPr>
            <w:r w:rsidRPr="00D33D68">
              <w:t xml:space="preserve">Индикаторът се образува от мерки </w:t>
            </w:r>
            <w:r w:rsidR="00A070ED" w:rsidRPr="00D33D68">
              <w:t xml:space="preserve">1.1, 1.2, </w:t>
            </w:r>
            <w:r w:rsidR="00023CD7" w:rsidRPr="00D33D68">
              <w:t>1.6</w:t>
            </w:r>
            <w:r w:rsidR="00CC4852" w:rsidRPr="00D33D68">
              <w:t xml:space="preserve"> (чл. 40, параграф 1, буква з)</w:t>
            </w:r>
            <w:r w:rsidR="00023CD7" w:rsidRPr="00D33D68">
              <w:t xml:space="preserve">, </w:t>
            </w:r>
            <w:r w:rsidR="00A070ED" w:rsidRPr="00D33D68">
              <w:t>1.7 и 1.8</w:t>
            </w:r>
            <w:r w:rsidR="00A43DC7" w:rsidRPr="00D33D68">
              <w:t xml:space="preserve"> (чл. 43, параграфи 1 и 3)</w:t>
            </w:r>
            <w:r w:rsidRPr="00D33D68">
              <w:t>.</w:t>
            </w:r>
            <w:r w:rsidR="001522B8" w:rsidRPr="00D33D68">
              <w:t xml:space="preserve"> Мярка 1.6 (чл. 40, параграф 1, буква з) не е включена в изчисленията, защото не е била включена в оперативната програма. </w:t>
            </w:r>
            <w:r w:rsidRPr="00D33D68">
              <w:t xml:space="preserve">Начална стойност </w:t>
            </w:r>
            <w:r w:rsidR="00A70F6B" w:rsidRPr="00D33D68">
              <w:t>400</w:t>
            </w:r>
            <w:r w:rsidRPr="00D33D68">
              <w:t xml:space="preserve">. </w:t>
            </w:r>
            <w:r w:rsidR="00A70F6B" w:rsidRPr="00D33D68">
              <w:t>Намаля</w:t>
            </w:r>
            <w:r w:rsidRPr="00D33D68">
              <w:t xml:space="preserve">ването на бюджета на мерки </w:t>
            </w:r>
            <w:r w:rsidR="00150582" w:rsidRPr="00D33D68">
              <w:t>1.1, 1.2, 1.7 и 1.8</w:t>
            </w:r>
            <w:r w:rsidR="00A43DC7" w:rsidRPr="00D33D68">
              <w:t xml:space="preserve"> (чл. 43, параграфи 1 и 3)</w:t>
            </w:r>
            <w:r w:rsidR="008B161D" w:rsidRPr="00D33D68">
              <w:t xml:space="preserve"> със средно </w:t>
            </w:r>
            <w:r w:rsidR="00B74F36" w:rsidRPr="00D33D68">
              <w:t>25.62</w:t>
            </w:r>
            <w:r w:rsidRPr="00D33D68">
              <w:t xml:space="preserve">% при 1вата стъпка променя индикатора на </w:t>
            </w:r>
            <w:r w:rsidR="00B74F36" w:rsidRPr="00D33D68">
              <w:t>297.53</w:t>
            </w:r>
            <w:r w:rsidRPr="00D33D68">
              <w:t xml:space="preserve">. </w:t>
            </w:r>
          </w:p>
          <w:p w14:paraId="4576A888" w14:textId="2362AEC6" w:rsidR="00023CD7" w:rsidRPr="00D33D68" w:rsidRDefault="00023CD7" w:rsidP="00023CD7">
            <w:pPr>
              <w:spacing w:after="0"/>
            </w:pPr>
            <w:r w:rsidRPr="00D33D68">
              <w:lastRenderedPageBreak/>
              <w:t xml:space="preserve">С изменението поради COVID-19 бюджетът </w:t>
            </w:r>
            <w:r w:rsidR="000D1453" w:rsidRPr="00D33D68">
              <w:t xml:space="preserve">на мерките се </w:t>
            </w:r>
            <w:r w:rsidR="001F7D7E" w:rsidRPr="00D33D68">
              <w:t xml:space="preserve">намалява средно с </w:t>
            </w:r>
            <w:r w:rsidR="00B74F36" w:rsidRPr="00D33D68">
              <w:t>20</w:t>
            </w:r>
            <w:r w:rsidR="001F7D7E" w:rsidRPr="00D33D68">
              <w:t xml:space="preserve">% до </w:t>
            </w:r>
            <w:r w:rsidR="00B74F36" w:rsidRPr="00D33D68">
              <w:t>238.02</w:t>
            </w:r>
            <w:r w:rsidR="001F7D7E" w:rsidRPr="00D33D68">
              <w:t xml:space="preserve">. </w:t>
            </w:r>
          </w:p>
          <w:p w14:paraId="25900190" w14:textId="7EF15F07" w:rsidR="00804A9C" w:rsidRPr="00D33D68" w:rsidRDefault="00804A9C" w:rsidP="000C6B27">
            <w:pPr>
              <w:spacing w:after="0"/>
            </w:pPr>
            <w:r w:rsidRPr="00D33D68">
              <w:t xml:space="preserve">Сега бюджета на мерки </w:t>
            </w:r>
            <w:r w:rsidR="008B161D" w:rsidRPr="00D33D68">
              <w:t>1.1, 1.2</w:t>
            </w:r>
            <w:r w:rsidR="00023CD7" w:rsidRPr="00D33D68">
              <w:t xml:space="preserve"> </w:t>
            </w:r>
            <w:r w:rsidR="008B161D" w:rsidRPr="00D33D68">
              <w:t xml:space="preserve">и 1.7 </w:t>
            </w:r>
            <w:r w:rsidRPr="00D33D68">
              <w:t xml:space="preserve"> се намаля с</w:t>
            </w:r>
            <w:r w:rsidR="0037606E" w:rsidRPr="00D33D68">
              <w:t>ъс средно</w:t>
            </w:r>
            <w:r w:rsidRPr="00D33D68">
              <w:t xml:space="preserve"> </w:t>
            </w:r>
            <w:r w:rsidR="000C6B27" w:rsidRPr="00D33D68">
              <w:rPr>
                <w:lang w:val="en-US"/>
              </w:rPr>
              <w:t>75.50</w:t>
            </w:r>
            <w:r w:rsidRPr="00D33D68">
              <w:t>%</w:t>
            </w:r>
            <w:r w:rsidR="00DF5CD0" w:rsidRPr="00D33D68">
              <w:t xml:space="preserve">, а на мярка 1.8 </w:t>
            </w:r>
            <w:r w:rsidR="00A43DC7" w:rsidRPr="00D33D68">
              <w:t xml:space="preserve">(чл. 43, параграфи 1 и 3) </w:t>
            </w:r>
            <w:r w:rsidR="00DF5CD0" w:rsidRPr="00D33D68">
              <w:t xml:space="preserve">се увеличава </w:t>
            </w:r>
            <w:r w:rsidR="005B02B3" w:rsidRPr="00D33D68">
              <w:t xml:space="preserve">със средно </w:t>
            </w:r>
            <w:r w:rsidR="001F7D7E" w:rsidRPr="00D33D68">
              <w:t>1</w:t>
            </w:r>
            <w:r w:rsidR="00023CD7" w:rsidRPr="00D33D68">
              <w:t>6</w:t>
            </w:r>
            <w:r w:rsidR="001F7D7E" w:rsidRPr="00D33D68">
              <w:t>,</w:t>
            </w:r>
            <w:r w:rsidR="00023CD7" w:rsidRPr="00D33D68">
              <w:t>79</w:t>
            </w:r>
            <w:r w:rsidR="005B02B3" w:rsidRPr="00D33D68">
              <w:t>%</w:t>
            </w:r>
            <w:r w:rsidR="00DF5CD0" w:rsidRPr="00D33D68">
              <w:t xml:space="preserve"> </w:t>
            </w:r>
            <w:r w:rsidRPr="00D33D68">
              <w:t xml:space="preserve"> и се получава 2023 Target value.</w:t>
            </w:r>
          </w:p>
        </w:tc>
      </w:tr>
      <w:tr w:rsidR="00D33D68" w:rsidRPr="00D33D68" w14:paraId="2C6D9A63" w14:textId="77777777" w:rsidTr="001522B8">
        <w:tc>
          <w:tcPr>
            <w:tcW w:w="1241" w:type="pct"/>
            <w:shd w:val="clear" w:color="auto" w:fill="auto"/>
          </w:tcPr>
          <w:p w14:paraId="1CE234F1" w14:textId="77777777" w:rsidR="00253028" w:rsidRPr="00D33D68" w:rsidRDefault="00253028" w:rsidP="008B2921">
            <w:pPr>
              <w:spacing w:after="0"/>
            </w:pPr>
            <w:r w:rsidRPr="00D33D68">
              <w:lastRenderedPageBreak/>
              <w:t>1.2 - Change in the volume of production</w:t>
            </w:r>
          </w:p>
        </w:tc>
        <w:tc>
          <w:tcPr>
            <w:tcW w:w="491" w:type="pct"/>
            <w:shd w:val="clear" w:color="auto" w:fill="auto"/>
          </w:tcPr>
          <w:p w14:paraId="2D15CCC8" w14:textId="77777777" w:rsidR="00253028" w:rsidRPr="00D33D68" w:rsidRDefault="00253028" w:rsidP="00CD7DDD">
            <w:pPr>
              <w:spacing w:after="0"/>
              <w:jc w:val="right"/>
            </w:pPr>
            <w:r w:rsidRPr="00D33D68">
              <w:t>0.00</w:t>
            </w:r>
          </w:p>
        </w:tc>
        <w:tc>
          <w:tcPr>
            <w:tcW w:w="480" w:type="pct"/>
            <w:shd w:val="clear" w:color="auto" w:fill="auto"/>
          </w:tcPr>
          <w:p w14:paraId="385DD638" w14:textId="77777777" w:rsidR="00253028" w:rsidRPr="00D33D68" w:rsidRDefault="00253028" w:rsidP="00400129">
            <w:pPr>
              <w:spacing w:after="0"/>
              <w:ind w:left="-77" w:right="-107"/>
              <w:jc w:val="center"/>
            </w:pPr>
            <w:r w:rsidRPr="00D33D68">
              <w:t>tonnes</w:t>
            </w:r>
          </w:p>
        </w:tc>
        <w:tc>
          <w:tcPr>
            <w:tcW w:w="529" w:type="pct"/>
          </w:tcPr>
          <w:p w14:paraId="02EFF9B7" w14:textId="77777777" w:rsidR="00253028" w:rsidRPr="00D33D68" w:rsidRDefault="00253028" w:rsidP="008B2921">
            <w:pPr>
              <w:spacing w:after="0"/>
              <w:jc w:val="center"/>
            </w:pPr>
          </w:p>
        </w:tc>
        <w:tc>
          <w:tcPr>
            <w:tcW w:w="2259" w:type="pct"/>
          </w:tcPr>
          <w:p w14:paraId="4B4B8D03" w14:textId="31A5DC62" w:rsidR="00253028" w:rsidRPr="00D33D68" w:rsidRDefault="00253028" w:rsidP="004E5F63">
            <w:pPr>
              <w:spacing w:after="0"/>
              <w:jc w:val="center"/>
            </w:pPr>
          </w:p>
        </w:tc>
      </w:tr>
      <w:tr w:rsidR="00D33D68" w:rsidRPr="00D33D68" w14:paraId="4FBFA2EF" w14:textId="77777777" w:rsidTr="001522B8">
        <w:tc>
          <w:tcPr>
            <w:tcW w:w="1241" w:type="pct"/>
            <w:shd w:val="clear" w:color="auto" w:fill="auto"/>
          </w:tcPr>
          <w:p w14:paraId="03C8A0D5" w14:textId="77777777" w:rsidR="00253028" w:rsidRPr="00D33D68" w:rsidRDefault="00253028" w:rsidP="008B2921">
            <w:pPr>
              <w:spacing w:after="0"/>
            </w:pPr>
            <w:r w:rsidRPr="00D33D68">
              <w:t>1.3 - Change in net profits</w:t>
            </w:r>
          </w:p>
        </w:tc>
        <w:tc>
          <w:tcPr>
            <w:tcW w:w="491" w:type="pct"/>
            <w:shd w:val="clear" w:color="auto" w:fill="auto"/>
          </w:tcPr>
          <w:p w14:paraId="42CECF30" w14:textId="1AD4A5ED" w:rsidR="00253028" w:rsidRPr="00D33D68" w:rsidRDefault="000C6B27" w:rsidP="008B2921">
            <w:pPr>
              <w:spacing w:after="0"/>
              <w:jc w:val="right"/>
              <w:rPr>
                <w:lang w:val="en-US"/>
              </w:rPr>
            </w:pPr>
            <w:r w:rsidRPr="00D33D68">
              <w:rPr>
                <w:lang w:val="en-US"/>
              </w:rPr>
              <w:t>85.12</w:t>
            </w:r>
          </w:p>
        </w:tc>
        <w:tc>
          <w:tcPr>
            <w:tcW w:w="480" w:type="pct"/>
            <w:shd w:val="clear" w:color="auto" w:fill="auto"/>
          </w:tcPr>
          <w:p w14:paraId="12EF4D0A" w14:textId="77777777" w:rsidR="00253028" w:rsidRPr="00D33D68" w:rsidRDefault="00253028" w:rsidP="00400129">
            <w:pPr>
              <w:spacing w:after="0"/>
              <w:ind w:left="-77" w:right="-107"/>
              <w:jc w:val="center"/>
            </w:pPr>
            <w:r w:rsidRPr="00D33D68">
              <w:t>thousand Euros</w:t>
            </w:r>
          </w:p>
        </w:tc>
        <w:tc>
          <w:tcPr>
            <w:tcW w:w="529" w:type="pct"/>
          </w:tcPr>
          <w:p w14:paraId="016B41FE" w14:textId="77777777" w:rsidR="00253028" w:rsidRPr="00D33D68" w:rsidRDefault="00253028" w:rsidP="008B2921">
            <w:pPr>
              <w:spacing w:after="0"/>
              <w:jc w:val="center"/>
            </w:pPr>
          </w:p>
        </w:tc>
        <w:tc>
          <w:tcPr>
            <w:tcW w:w="2259" w:type="pct"/>
          </w:tcPr>
          <w:p w14:paraId="3968E20E" w14:textId="08BACDEB" w:rsidR="001516B6" w:rsidRPr="00D33D68" w:rsidRDefault="001516B6" w:rsidP="001516B6">
            <w:pPr>
              <w:spacing w:after="0"/>
            </w:pPr>
            <w:r w:rsidRPr="00D33D68">
              <w:t xml:space="preserve">Индикаторът се образува от мерки 1.1, 1.2, 1.6 (чл. 40, параграф 1, буква з), 1.7 и 1.8 (чл. 43, параграфи 1 и 3). Мярка 1.6 (чл. 40, параграф 1, буква з) не е включена в изчисленията, защото не е била включена в оперативната програма. Начална стойност 500. Намаляването на бюджета на мерки 1.1, 1.2, 1.7 и 1.8 (чл. 43, параграфи 1 и 3) със средно 25.62% при 1вата стъпка променя индикатора на 371.91. </w:t>
            </w:r>
          </w:p>
          <w:p w14:paraId="07B4FE18" w14:textId="5E97A08D" w:rsidR="001516B6" w:rsidRPr="00D33D68" w:rsidRDefault="001516B6" w:rsidP="001516B6">
            <w:pPr>
              <w:spacing w:after="0"/>
            </w:pPr>
            <w:r w:rsidRPr="00D33D68">
              <w:t xml:space="preserve">С изменението поради COVID-19 бюджетът на мерките се намалява средно с 20% до 297.53. </w:t>
            </w:r>
          </w:p>
          <w:p w14:paraId="0ACF5A16" w14:textId="51D31051" w:rsidR="00912E92" w:rsidRPr="00D33D68" w:rsidRDefault="001516B6" w:rsidP="000C6B27">
            <w:pPr>
              <w:spacing w:after="0"/>
            </w:pPr>
            <w:r w:rsidRPr="00D33D68">
              <w:t xml:space="preserve">Сега бюджета на мерки 1.1, 1.2 и 1.7  се намаля със средно </w:t>
            </w:r>
            <w:r w:rsidR="000C6B27" w:rsidRPr="00D33D68">
              <w:rPr>
                <w:lang w:val="en-US"/>
              </w:rPr>
              <w:t>75.50</w:t>
            </w:r>
            <w:r w:rsidRPr="00D33D68">
              <w:t>%, а на мярка 1.8 (чл. 43, параграфи 1 и 3) се увеличава със средно 16,79%  и се получава 2023 Target value.</w:t>
            </w:r>
          </w:p>
        </w:tc>
      </w:tr>
      <w:tr w:rsidR="00D33D68" w:rsidRPr="00D33D68" w14:paraId="295BF175" w14:textId="77777777" w:rsidTr="001522B8">
        <w:tc>
          <w:tcPr>
            <w:tcW w:w="1241" w:type="pct"/>
            <w:shd w:val="clear" w:color="auto" w:fill="auto"/>
          </w:tcPr>
          <w:p w14:paraId="05DA7EDC" w14:textId="77777777" w:rsidR="00253028" w:rsidRPr="00D33D68" w:rsidRDefault="00253028" w:rsidP="008B2921">
            <w:pPr>
              <w:spacing w:after="0"/>
            </w:pPr>
            <w:r w:rsidRPr="00D33D68">
              <w:t>1.5 - Change in fuel efficiency of fish capture</w:t>
            </w:r>
          </w:p>
        </w:tc>
        <w:tc>
          <w:tcPr>
            <w:tcW w:w="491" w:type="pct"/>
            <w:shd w:val="clear" w:color="auto" w:fill="auto"/>
          </w:tcPr>
          <w:p w14:paraId="2A41796B" w14:textId="77777777" w:rsidR="00253028" w:rsidRPr="00D33D68" w:rsidRDefault="00253028" w:rsidP="008B2921">
            <w:pPr>
              <w:spacing w:after="0"/>
              <w:jc w:val="right"/>
            </w:pPr>
          </w:p>
        </w:tc>
        <w:tc>
          <w:tcPr>
            <w:tcW w:w="480" w:type="pct"/>
            <w:shd w:val="clear" w:color="auto" w:fill="auto"/>
          </w:tcPr>
          <w:p w14:paraId="2CDBB9E4" w14:textId="77777777" w:rsidR="00253028" w:rsidRPr="00D33D68" w:rsidRDefault="00253028" w:rsidP="00400129">
            <w:pPr>
              <w:spacing w:after="0"/>
              <w:ind w:left="-77" w:right="-107"/>
              <w:jc w:val="center"/>
            </w:pPr>
            <w:r w:rsidRPr="00D33D68">
              <w:t>litres fuel/ tonnes landed catch</w:t>
            </w:r>
          </w:p>
        </w:tc>
        <w:tc>
          <w:tcPr>
            <w:tcW w:w="529" w:type="pct"/>
          </w:tcPr>
          <w:p w14:paraId="04772644" w14:textId="77777777" w:rsidR="00253028" w:rsidRPr="00D33D68" w:rsidRDefault="00253028" w:rsidP="008B2921">
            <w:pPr>
              <w:spacing w:after="0"/>
              <w:jc w:val="center"/>
            </w:pPr>
            <w:r w:rsidRPr="00D33D68">
              <w:sym w:font="Wingdings" w:char="F0FC"/>
            </w:r>
          </w:p>
        </w:tc>
        <w:tc>
          <w:tcPr>
            <w:tcW w:w="2259" w:type="pct"/>
          </w:tcPr>
          <w:p w14:paraId="6A03A849" w14:textId="06AF4DF2" w:rsidR="00253028" w:rsidRPr="00D33D68" w:rsidRDefault="00FE55C1" w:rsidP="008B2921">
            <w:pPr>
              <w:spacing w:after="0"/>
              <w:jc w:val="center"/>
            </w:pPr>
            <w:r w:rsidRPr="00D33D68">
              <w:t>(N/A)</w:t>
            </w:r>
          </w:p>
        </w:tc>
      </w:tr>
      <w:tr w:rsidR="00D33D68" w:rsidRPr="00D33D68" w14:paraId="712A9311" w14:textId="77777777" w:rsidTr="001522B8">
        <w:tc>
          <w:tcPr>
            <w:tcW w:w="1241" w:type="pct"/>
            <w:shd w:val="clear" w:color="auto" w:fill="auto"/>
          </w:tcPr>
          <w:p w14:paraId="474ACF6C" w14:textId="77777777" w:rsidR="00253028" w:rsidRPr="00D33D68" w:rsidRDefault="00253028" w:rsidP="008B2921">
            <w:pPr>
              <w:spacing w:after="0"/>
            </w:pPr>
            <w:r w:rsidRPr="00D33D68">
              <w:t>1.7 - Employment created (FTE) in the fisheries sector or complementary activities</w:t>
            </w:r>
          </w:p>
        </w:tc>
        <w:tc>
          <w:tcPr>
            <w:tcW w:w="491" w:type="pct"/>
            <w:shd w:val="clear" w:color="auto" w:fill="auto"/>
          </w:tcPr>
          <w:p w14:paraId="1C044BBC" w14:textId="44FAC961" w:rsidR="00253028" w:rsidRPr="00D33D68" w:rsidRDefault="00194A71" w:rsidP="008B2921">
            <w:pPr>
              <w:spacing w:after="0"/>
              <w:jc w:val="right"/>
              <w:rPr>
                <w:lang w:val="en-US"/>
              </w:rPr>
            </w:pPr>
            <w:r w:rsidRPr="00D33D68">
              <w:rPr>
                <w:lang w:val="en-US"/>
              </w:rPr>
              <w:t>21</w:t>
            </w:r>
          </w:p>
        </w:tc>
        <w:tc>
          <w:tcPr>
            <w:tcW w:w="480" w:type="pct"/>
            <w:shd w:val="clear" w:color="auto" w:fill="auto"/>
          </w:tcPr>
          <w:p w14:paraId="6BDA3B8B" w14:textId="77777777" w:rsidR="00253028" w:rsidRPr="00D33D68" w:rsidRDefault="00253028" w:rsidP="00400129">
            <w:pPr>
              <w:spacing w:after="0"/>
              <w:ind w:left="-77" w:right="-107"/>
              <w:jc w:val="center"/>
            </w:pPr>
            <w:r w:rsidRPr="00D33D68">
              <w:t>FTE</w:t>
            </w:r>
          </w:p>
        </w:tc>
        <w:tc>
          <w:tcPr>
            <w:tcW w:w="529" w:type="pct"/>
          </w:tcPr>
          <w:p w14:paraId="2E2B31F1" w14:textId="77777777" w:rsidR="00253028" w:rsidRPr="00D33D68" w:rsidRDefault="00253028" w:rsidP="008B2921">
            <w:pPr>
              <w:spacing w:after="0"/>
              <w:jc w:val="center"/>
            </w:pPr>
          </w:p>
        </w:tc>
        <w:tc>
          <w:tcPr>
            <w:tcW w:w="2259" w:type="pct"/>
          </w:tcPr>
          <w:p w14:paraId="5ED45655" w14:textId="3B4CDBDC" w:rsidR="001516B6" w:rsidRPr="00D33D68" w:rsidRDefault="001516B6" w:rsidP="001516B6">
            <w:pPr>
              <w:spacing w:after="0"/>
            </w:pPr>
            <w:r w:rsidRPr="00D33D68">
              <w:t xml:space="preserve">Индикаторът се образува от мерки 1.1, 1.2, 1.6 (чл. 40, параграф 1, буква з), 1.7 и 1.8 (чл. 43, параграфи 1 и 3). Мярка 1.6 (чл. 40, параграф 1, буква з) не е включена в изчисленията, защото не е била включена в оперативната програма. Начална стойност 125. Намаляването на бюджета на мерки 1.1, 1.2, 1.7 и 1.8 (чл. 43, параграфи 1 </w:t>
            </w:r>
            <w:r w:rsidRPr="00D33D68">
              <w:lastRenderedPageBreak/>
              <w:t xml:space="preserve">и 3) със средно 25.62% при 1вата стъпка променя индикатора на 92.98. </w:t>
            </w:r>
          </w:p>
          <w:p w14:paraId="1300D1A6" w14:textId="3824E69E" w:rsidR="001516B6" w:rsidRPr="00D33D68" w:rsidRDefault="001516B6" w:rsidP="001516B6">
            <w:pPr>
              <w:spacing w:after="0"/>
            </w:pPr>
            <w:r w:rsidRPr="00D33D68">
              <w:t xml:space="preserve">С изменението поради COVID-19 бюджетът на мерките се намалява средно с 20% до 74.38. </w:t>
            </w:r>
          </w:p>
          <w:p w14:paraId="4A27BA80" w14:textId="4DD0389B" w:rsidR="00191EB3" w:rsidRPr="00D33D68" w:rsidRDefault="001516B6" w:rsidP="00194A71">
            <w:pPr>
              <w:spacing w:after="0"/>
            </w:pPr>
            <w:r w:rsidRPr="00D33D68">
              <w:t xml:space="preserve">Сега бюджета на мерки 1.1, 1.2 и 1.7  се намаля със средно </w:t>
            </w:r>
            <w:r w:rsidR="00194A71" w:rsidRPr="00D33D68">
              <w:rPr>
                <w:lang w:val="en-US"/>
              </w:rPr>
              <w:t>75.50</w:t>
            </w:r>
            <w:r w:rsidRPr="00D33D68">
              <w:t>%, а на мярка 1.8 (чл. 43, параграфи 1 и 3) се увеличава със средно 16,79%  и се получава 2023 Target value след закръгление.</w:t>
            </w:r>
          </w:p>
        </w:tc>
      </w:tr>
      <w:tr w:rsidR="00D33D68" w:rsidRPr="00D33D68" w14:paraId="3D59D321" w14:textId="77777777" w:rsidTr="001522B8">
        <w:tc>
          <w:tcPr>
            <w:tcW w:w="1241" w:type="pct"/>
            <w:shd w:val="clear" w:color="auto" w:fill="auto"/>
          </w:tcPr>
          <w:p w14:paraId="0958F9D3" w14:textId="77777777" w:rsidR="00253028" w:rsidRPr="00D33D68" w:rsidRDefault="00253028" w:rsidP="008B2921">
            <w:pPr>
              <w:spacing w:after="0"/>
            </w:pPr>
            <w:r w:rsidRPr="00D33D68">
              <w:lastRenderedPageBreak/>
              <w:t>1.8 - Employment maintained (FTE) in the fisheries sector or complementary activities</w:t>
            </w:r>
          </w:p>
        </w:tc>
        <w:tc>
          <w:tcPr>
            <w:tcW w:w="491" w:type="pct"/>
            <w:shd w:val="clear" w:color="auto" w:fill="auto"/>
          </w:tcPr>
          <w:p w14:paraId="3574D6DD" w14:textId="6CBD36AE" w:rsidR="00253028" w:rsidRPr="00D33D68" w:rsidRDefault="00194A71" w:rsidP="008B2921">
            <w:pPr>
              <w:spacing w:after="0"/>
              <w:jc w:val="right"/>
              <w:rPr>
                <w:lang w:val="en-US"/>
              </w:rPr>
            </w:pPr>
            <w:r w:rsidRPr="00D33D68">
              <w:rPr>
                <w:lang w:val="en-US"/>
              </w:rPr>
              <w:t>10</w:t>
            </w:r>
          </w:p>
        </w:tc>
        <w:tc>
          <w:tcPr>
            <w:tcW w:w="480" w:type="pct"/>
            <w:shd w:val="clear" w:color="auto" w:fill="auto"/>
          </w:tcPr>
          <w:p w14:paraId="5E63B380" w14:textId="77777777" w:rsidR="00253028" w:rsidRPr="00D33D68" w:rsidRDefault="00253028" w:rsidP="00400129">
            <w:pPr>
              <w:spacing w:after="0"/>
              <w:ind w:left="-77" w:right="-107"/>
              <w:jc w:val="center"/>
            </w:pPr>
            <w:r w:rsidRPr="00D33D68">
              <w:t>FTE</w:t>
            </w:r>
          </w:p>
        </w:tc>
        <w:tc>
          <w:tcPr>
            <w:tcW w:w="529" w:type="pct"/>
          </w:tcPr>
          <w:p w14:paraId="31EA1FD3" w14:textId="77777777" w:rsidR="00253028" w:rsidRPr="00D33D68" w:rsidRDefault="00253028" w:rsidP="008B2921">
            <w:pPr>
              <w:spacing w:after="0"/>
              <w:jc w:val="center"/>
            </w:pPr>
          </w:p>
        </w:tc>
        <w:tc>
          <w:tcPr>
            <w:tcW w:w="2259" w:type="pct"/>
          </w:tcPr>
          <w:p w14:paraId="04BE5D43" w14:textId="1774E7B7" w:rsidR="001516B6" w:rsidRPr="00D33D68" w:rsidRDefault="001516B6" w:rsidP="001516B6">
            <w:pPr>
              <w:spacing w:after="0"/>
            </w:pPr>
            <w:r w:rsidRPr="00D33D68">
              <w:t xml:space="preserve">Индикаторът се образува от мерки 1.1, 1.2, 1.6 (чл. 40, параграф 1, буква з), 1.7 и 1.8 (чл. 43, параграфи 1 и 3). Мярка 1.6 (чл. 40, параграф 1, буква з) не е включена в изчисленията, защото не е била включена в оперативната програма. Начална стойност </w:t>
            </w:r>
            <w:r w:rsidR="003337DD" w:rsidRPr="00D33D68">
              <w:t>6</w:t>
            </w:r>
            <w:r w:rsidRPr="00D33D68">
              <w:t xml:space="preserve">0. Намаляването на бюджета на мерки 1.1, 1.2, 1.7 и 1.8 (чл. 43, параграфи 1 и 3) със средно 25.62% при 1вата стъпка променя индикатора на </w:t>
            </w:r>
            <w:r w:rsidR="003337DD" w:rsidRPr="00D33D68">
              <w:t>44.63</w:t>
            </w:r>
            <w:r w:rsidRPr="00D33D68">
              <w:t xml:space="preserve">. </w:t>
            </w:r>
          </w:p>
          <w:p w14:paraId="160C8399" w14:textId="05DC7396" w:rsidR="001516B6" w:rsidRPr="00D33D68" w:rsidRDefault="001516B6" w:rsidP="001516B6">
            <w:pPr>
              <w:spacing w:after="0"/>
            </w:pPr>
            <w:r w:rsidRPr="00D33D68">
              <w:t xml:space="preserve">С изменението поради COVID-19 бюджетът на мерките се намалява средно с 20% до </w:t>
            </w:r>
            <w:r w:rsidR="003337DD" w:rsidRPr="00D33D68">
              <w:t>35.70</w:t>
            </w:r>
            <w:r w:rsidRPr="00D33D68">
              <w:t xml:space="preserve">. </w:t>
            </w:r>
          </w:p>
          <w:p w14:paraId="7DD3B1D2" w14:textId="6D1B8CA9" w:rsidR="002D18D3" w:rsidRPr="00D33D68" w:rsidRDefault="001516B6" w:rsidP="00435CA7">
            <w:pPr>
              <w:spacing w:after="0"/>
            </w:pPr>
            <w:r w:rsidRPr="00D33D68">
              <w:t xml:space="preserve">Сега бюджета на мерки 1.1, 1.2 и 1.7  се намаля със средно </w:t>
            </w:r>
            <w:r w:rsidR="00435CA7" w:rsidRPr="00D33D68">
              <w:rPr>
                <w:lang w:val="en-US"/>
              </w:rPr>
              <w:t>75.50</w:t>
            </w:r>
            <w:r w:rsidRPr="00D33D68">
              <w:t>%, а на мярка 1.8 (чл. 43, параграфи 1 и 3) се увеличава със средно 16,79%  и се получава 2023 Target value след закръгление.</w:t>
            </w:r>
          </w:p>
        </w:tc>
      </w:tr>
      <w:tr w:rsidR="00D33D68" w:rsidRPr="00D33D68" w14:paraId="53F0FA75" w14:textId="77777777" w:rsidTr="001522B8">
        <w:tc>
          <w:tcPr>
            <w:tcW w:w="1241" w:type="pct"/>
            <w:shd w:val="clear" w:color="auto" w:fill="auto"/>
          </w:tcPr>
          <w:p w14:paraId="3A056CFC" w14:textId="77777777" w:rsidR="00253028" w:rsidRPr="00D33D68" w:rsidRDefault="00253028" w:rsidP="008B2921">
            <w:pPr>
              <w:spacing w:after="0"/>
            </w:pPr>
            <w:r w:rsidRPr="00D33D68">
              <w:t>1.9.a - Change in the number of work-related injuries and accidents</w:t>
            </w:r>
          </w:p>
        </w:tc>
        <w:tc>
          <w:tcPr>
            <w:tcW w:w="491" w:type="pct"/>
            <w:shd w:val="clear" w:color="auto" w:fill="auto"/>
          </w:tcPr>
          <w:p w14:paraId="7D32CAC5" w14:textId="44265BFE" w:rsidR="00253028" w:rsidRPr="00D33D68" w:rsidRDefault="0078260C" w:rsidP="0078260C">
            <w:pPr>
              <w:spacing w:after="0"/>
              <w:jc w:val="right"/>
            </w:pPr>
            <w:r w:rsidRPr="00D33D68">
              <w:t>0</w:t>
            </w:r>
          </w:p>
        </w:tc>
        <w:tc>
          <w:tcPr>
            <w:tcW w:w="480" w:type="pct"/>
            <w:shd w:val="clear" w:color="auto" w:fill="auto"/>
          </w:tcPr>
          <w:p w14:paraId="2099F5DC" w14:textId="77777777" w:rsidR="00253028" w:rsidRPr="00D33D68" w:rsidRDefault="00253028" w:rsidP="00400129">
            <w:pPr>
              <w:spacing w:after="0"/>
              <w:ind w:left="-77" w:right="-107"/>
              <w:jc w:val="center"/>
            </w:pPr>
            <w:r w:rsidRPr="00D33D68">
              <w:t>number</w:t>
            </w:r>
          </w:p>
        </w:tc>
        <w:tc>
          <w:tcPr>
            <w:tcW w:w="529" w:type="pct"/>
          </w:tcPr>
          <w:p w14:paraId="4D79AA00" w14:textId="77777777" w:rsidR="00253028" w:rsidRPr="00D33D68" w:rsidRDefault="00253028" w:rsidP="008B2921">
            <w:pPr>
              <w:spacing w:after="0"/>
              <w:jc w:val="center"/>
            </w:pPr>
          </w:p>
        </w:tc>
        <w:tc>
          <w:tcPr>
            <w:tcW w:w="2259" w:type="pct"/>
          </w:tcPr>
          <w:p w14:paraId="0D3DA8A8" w14:textId="30EBF3C0" w:rsidR="001516B6" w:rsidRPr="00D33D68" w:rsidRDefault="001516B6" w:rsidP="001516B6">
            <w:pPr>
              <w:spacing w:after="0"/>
            </w:pPr>
            <w:r w:rsidRPr="00D33D68">
              <w:t xml:space="preserve">Индикаторът се образува от мерки 1.1, 1.2, 1.6 (чл. 40, параграф 1, буква з), 1.7 и 1.8 (чл. 43, параграфи 1 и 3). Мярка 1.6 (чл. 40, параграф 1, буква з) не е включена в изчисленията, защото не е била включена в оперативната програма. Начална стойност </w:t>
            </w:r>
            <w:r w:rsidR="00BE18F8" w:rsidRPr="00D33D68">
              <w:t>-1</w:t>
            </w:r>
            <w:r w:rsidRPr="00D33D68">
              <w:t xml:space="preserve">. Намаляването на бюджета на мерки 1.1, 1.2, 1.7 и 1.8 (чл. 43, параграфи 1 и 3) със средно 25.62% при 1вата стъпка променя индикатора на </w:t>
            </w:r>
            <w:r w:rsidR="00BE18F8" w:rsidRPr="00D33D68">
              <w:t>-0.74</w:t>
            </w:r>
            <w:r w:rsidRPr="00D33D68">
              <w:t xml:space="preserve">. </w:t>
            </w:r>
          </w:p>
          <w:p w14:paraId="117BE883" w14:textId="38B513B1" w:rsidR="001516B6" w:rsidRPr="00D33D68" w:rsidRDefault="001516B6" w:rsidP="001516B6">
            <w:pPr>
              <w:spacing w:after="0"/>
            </w:pPr>
            <w:r w:rsidRPr="00D33D68">
              <w:t xml:space="preserve">С изменението поради COVID-19 </w:t>
            </w:r>
            <w:r w:rsidRPr="00D33D68">
              <w:lastRenderedPageBreak/>
              <w:t xml:space="preserve">бюджетът на мерките се намалява средно с 20% до </w:t>
            </w:r>
            <w:r w:rsidR="00BE18F8" w:rsidRPr="00D33D68">
              <w:t>-0.60</w:t>
            </w:r>
            <w:r w:rsidRPr="00D33D68">
              <w:t xml:space="preserve">. </w:t>
            </w:r>
          </w:p>
          <w:p w14:paraId="4F7B9ADD" w14:textId="67BD1947" w:rsidR="00FF6D2B" w:rsidRPr="00D33D68" w:rsidRDefault="001516B6" w:rsidP="00924DE9">
            <w:pPr>
              <w:spacing w:after="0"/>
            </w:pPr>
            <w:r w:rsidRPr="00D33D68">
              <w:t xml:space="preserve">Сега бюджета на мерки 1.1, 1.2 и 1.7  се намаля със средно </w:t>
            </w:r>
            <w:r w:rsidR="00924DE9" w:rsidRPr="00D33D68">
              <w:rPr>
                <w:lang w:val="en-US"/>
              </w:rPr>
              <w:t>75.50</w:t>
            </w:r>
            <w:r w:rsidRPr="00D33D68">
              <w:t>%, а на мярка 1.8 (чл. 43, параграфи 1 и 3) се увеличава със средно 16,79%  и се получава 2023 Target value</w:t>
            </w:r>
            <w:r w:rsidR="00BE18F8" w:rsidRPr="00D33D68">
              <w:t xml:space="preserve"> след закръгление</w:t>
            </w:r>
            <w:r w:rsidRPr="00D33D68">
              <w:t>.</w:t>
            </w:r>
          </w:p>
        </w:tc>
      </w:tr>
      <w:tr w:rsidR="00D33D68" w:rsidRPr="00D33D68" w14:paraId="0EE266EB" w14:textId="77777777" w:rsidTr="001522B8">
        <w:tc>
          <w:tcPr>
            <w:tcW w:w="1241" w:type="pct"/>
            <w:shd w:val="clear" w:color="auto" w:fill="auto"/>
          </w:tcPr>
          <w:p w14:paraId="5EC5431A" w14:textId="77777777" w:rsidR="00253028" w:rsidRPr="00D33D68" w:rsidRDefault="00253028" w:rsidP="008B2921">
            <w:pPr>
              <w:spacing w:after="0"/>
            </w:pPr>
            <w:r w:rsidRPr="00D33D68">
              <w:lastRenderedPageBreak/>
              <w:t>1.9.b - Change in the % of work-related injuries and accidents in relation to total fishers</w:t>
            </w:r>
          </w:p>
        </w:tc>
        <w:tc>
          <w:tcPr>
            <w:tcW w:w="491" w:type="pct"/>
            <w:shd w:val="clear" w:color="auto" w:fill="auto"/>
          </w:tcPr>
          <w:p w14:paraId="50AC2C2A" w14:textId="0D3CE6F5" w:rsidR="00253028" w:rsidRPr="00D33D68" w:rsidRDefault="00253028" w:rsidP="006A5253">
            <w:pPr>
              <w:spacing w:after="0"/>
              <w:jc w:val="right"/>
            </w:pPr>
            <w:r w:rsidRPr="00D33D68">
              <w:t>0.</w:t>
            </w:r>
            <w:r w:rsidR="006A5253" w:rsidRPr="00D33D68">
              <w:t>00</w:t>
            </w:r>
          </w:p>
        </w:tc>
        <w:tc>
          <w:tcPr>
            <w:tcW w:w="480" w:type="pct"/>
            <w:shd w:val="clear" w:color="auto" w:fill="auto"/>
          </w:tcPr>
          <w:p w14:paraId="78271A6D" w14:textId="77777777" w:rsidR="00253028" w:rsidRPr="00D33D68" w:rsidRDefault="00253028" w:rsidP="00400129">
            <w:pPr>
              <w:spacing w:after="0"/>
              <w:jc w:val="center"/>
            </w:pPr>
            <w:r w:rsidRPr="00D33D68">
              <w:t>%</w:t>
            </w:r>
          </w:p>
        </w:tc>
        <w:tc>
          <w:tcPr>
            <w:tcW w:w="529" w:type="pct"/>
          </w:tcPr>
          <w:p w14:paraId="0F2DB944" w14:textId="77777777" w:rsidR="00253028" w:rsidRPr="00D33D68" w:rsidRDefault="00253028" w:rsidP="008B2921">
            <w:pPr>
              <w:spacing w:after="0"/>
              <w:jc w:val="center"/>
            </w:pPr>
          </w:p>
        </w:tc>
        <w:tc>
          <w:tcPr>
            <w:tcW w:w="2259" w:type="pct"/>
          </w:tcPr>
          <w:p w14:paraId="0983A476" w14:textId="36877C87" w:rsidR="001516B6" w:rsidRPr="00D33D68" w:rsidRDefault="001516B6" w:rsidP="001516B6">
            <w:pPr>
              <w:spacing w:after="0"/>
            </w:pPr>
            <w:r w:rsidRPr="00D33D68">
              <w:t xml:space="preserve">Индикаторът се образува от мерки 1.1, 1.2, 1.6 (чл. 40, параграф 1, буква з), 1.7 и 1.8 (чл. 43, параграфи 1 и 3). Мярка 1.6 (чл. 40, параграф 1, буква з) не е включена в изчисленията, защото не е била включена в оперативната програма. Начална стойност </w:t>
            </w:r>
            <w:r w:rsidR="00FF358D" w:rsidRPr="00D33D68">
              <w:t>-0.06</w:t>
            </w:r>
            <w:r w:rsidRPr="00D33D68">
              <w:t xml:space="preserve">. Намаляването на бюджета на мерки 1.1, 1.2, 1.7 и 1.8 (чл. 43, параграфи 1 и 3) със средно 25.62% при 1вата стъпка променя индикатора на </w:t>
            </w:r>
            <w:r w:rsidR="00FF358D" w:rsidRPr="00D33D68">
              <w:t>-0.04</w:t>
            </w:r>
            <w:r w:rsidRPr="00D33D68">
              <w:t xml:space="preserve">. </w:t>
            </w:r>
          </w:p>
          <w:p w14:paraId="1A48F3DF" w14:textId="143AA9BF" w:rsidR="001516B6" w:rsidRPr="00D33D68" w:rsidRDefault="001516B6" w:rsidP="001516B6">
            <w:pPr>
              <w:spacing w:after="0"/>
            </w:pPr>
            <w:r w:rsidRPr="00D33D68">
              <w:t xml:space="preserve">С изменението поради COVID-19 бюджетът на мерките се намалява средно с 20% до </w:t>
            </w:r>
            <w:r w:rsidR="00FF358D" w:rsidRPr="00D33D68">
              <w:t>-0.04</w:t>
            </w:r>
            <w:r w:rsidRPr="00D33D68">
              <w:t xml:space="preserve">. </w:t>
            </w:r>
          </w:p>
          <w:p w14:paraId="68292E4E" w14:textId="28901B57" w:rsidR="00EF355D" w:rsidRPr="00D33D68" w:rsidRDefault="001516B6" w:rsidP="00924DE9">
            <w:pPr>
              <w:spacing w:after="0"/>
            </w:pPr>
            <w:r w:rsidRPr="00D33D68">
              <w:t xml:space="preserve">Сега бюджета на мерки 1.1, 1.2 и 1.7  се намаля със средно </w:t>
            </w:r>
            <w:r w:rsidR="00924DE9" w:rsidRPr="00D33D68">
              <w:rPr>
                <w:lang w:val="en-US"/>
              </w:rPr>
              <w:t>75.50</w:t>
            </w:r>
            <w:r w:rsidRPr="00D33D68">
              <w:t>%, а на мярка 1.8 (чл. 43, параграфи 1 и 3) се увеличава със средно 16,79%  и се получава 2023 Target value</w:t>
            </w:r>
            <w:r w:rsidR="000844AC" w:rsidRPr="00D33D68">
              <w:t xml:space="preserve"> след закръгление</w:t>
            </w:r>
            <w:r w:rsidRPr="00D33D68">
              <w:t>.</w:t>
            </w:r>
          </w:p>
        </w:tc>
      </w:tr>
      <w:tr w:rsidR="006A5253" w:rsidRPr="00D33D68" w14:paraId="29444EE3" w14:textId="77777777" w:rsidTr="001522B8">
        <w:tc>
          <w:tcPr>
            <w:tcW w:w="1241" w:type="pct"/>
            <w:shd w:val="clear" w:color="auto" w:fill="auto"/>
          </w:tcPr>
          <w:p w14:paraId="68395926" w14:textId="590B22D1" w:rsidR="001F7D7E" w:rsidRPr="00D33D68" w:rsidRDefault="001F7D7E" w:rsidP="008B2921">
            <w:pPr>
              <w:spacing w:after="0"/>
            </w:pPr>
            <w:r w:rsidRPr="00D33D68">
              <w:t>2K-19 - N° of businesses maintained</w:t>
            </w:r>
          </w:p>
        </w:tc>
        <w:tc>
          <w:tcPr>
            <w:tcW w:w="491" w:type="pct"/>
            <w:shd w:val="clear" w:color="auto" w:fill="auto"/>
          </w:tcPr>
          <w:p w14:paraId="7B1DF71E" w14:textId="227900BF" w:rsidR="001F7D7E" w:rsidRPr="00D33D68" w:rsidRDefault="00432122" w:rsidP="00CD7DDD">
            <w:pPr>
              <w:spacing w:after="0"/>
              <w:jc w:val="right"/>
            </w:pPr>
            <w:r w:rsidRPr="00D33D68">
              <w:t>100</w:t>
            </w:r>
            <w:r w:rsidR="001F7D7E" w:rsidRPr="00D33D68">
              <w:t>.00000</w:t>
            </w:r>
          </w:p>
        </w:tc>
        <w:tc>
          <w:tcPr>
            <w:tcW w:w="480" w:type="pct"/>
            <w:shd w:val="clear" w:color="auto" w:fill="auto"/>
          </w:tcPr>
          <w:p w14:paraId="479E44D1" w14:textId="39EA2A03" w:rsidR="001F7D7E" w:rsidRPr="00D33D68" w:rsidRDefault="001F7D7E" w:rsidP="00400129">
            <w:pPr>
              <w:spacing w:after="0"/>
              <w:ind w:right="-105"/>
              <w:jc w:val="center"/>
            </w:pPr>
            <w:r w:rsidRPr="00D33D68">
              <w:t>number</w:t>
            </w:r>
          </w:p>
        </w:tc>
        <w:tc>
          <w:tcPr>
            <w:tcW w:w="529" w:type="pct"/>
          </w:tcPr>
          <w:p w14:paraId="1DC2D6C7" w14:textId="77777777" w:rsidR="001F7D7E" w:rsidRPr="00D33D68" w:rsidRDefault="001F7D7E" w:rsidP="008B2921">
            <w:pPr>
              <w:spacing w:after="0"/>
              <w:jc w:val="center"/>
            </w:pPr>
          </w:p>
        </w:tc>
        <w:tc>
          <w:tcPr>
            <w:tcW w:w="2259" w:type="pct"/>
          </w:tcPr>
          <w:p w14:paraId="56B64365" w14:textId="3B8E5FE5" w:rsidR="001F7D7E" w:rsidRPr="00D33D68" w:rsidRDefault="001F7D7E" w:rsidP="0064267E">
            <w:pPr>
              <w:spacing w:after="0"/>
            </w:pPr>
            <w:r w:rsidRPr="00D33D68">
              <w:t>Индикаторът е създаден при създаването на COVID-19 мерките</w:t>
            </w:r>
            <w:r w:rsidR="00432122" w:rsidRPr="00D33D68">
              <w:t xml:space="preserve"> с начална стойност 50</w:t>
            </w:r>
            <w:r w:rsidRPr="00D33D68">
              <w:t>.</w:t>
            </w:r>
            <w:r w:rsidR="00432122" w:rsidRPr="00D33D68">
              <w:t xml:space="preserve"> Сега бюджетът на индикатора се увеличава с 100% и се получава 2023 Target value.</w:t>
            </w:r>
          </w:p>
        </w:tc>
      </w:tr>
    </w:tbl>
    <w:p w14:paraId="1E92ED29" w14:textId="33324606" w:rsidR="00B5762F" w:rsidRPr="00D33D68" w:rsidRDefault="00B5762F" w:rsidP="00B5762F">
      <w:pPr>
        <w:spacing w:after="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7880"/>
      </w:tblGrid>
      <w:tr w:rsidR="00B5762F" w:rsidRPr="00D33D68" w14:paraId="05CFC036" w14:textId="77777777" w:rsidTr="008B2921">
        <w:tc>
          <w:tcPr>
            <w:tcW w:w="0" w:type="auto"/>
            <w:shd w:val="clear" w:color="auto" w:fill="auto"/>
          </w:tcPr>
          <w:p w14:paraId="05A102AF" w14:textId="77777777" w:rsidR="00B5762F" w:rsidRPr="00D33D68" w:rsidRDefault="00B5762F" w:rsidP="008B2921">
            <w:pPr>
              <w:pStyle w:val="Text1"/>
              <w:spacing w:before="0" w:after="0"/>
              <w:ind w:left="0"/>
              <w:rPr>
                <w:b/>
                <w:lang w:val="bg-BG"/>
              </w:rPr>
            </w:pPr>
            <w:r w:rsidRPr="00D33D68">
              <w:rPr>
                <w:b/>
                <w:noProof/>
                <w:lang w:val="bg-BG"/>
              </w:rPr>
              <w:t>Union priority</w:t>
            </w:r>
          </w:p>
        </w:tc>
        <w:tc>
          <w:tcPr>
            <w:tcW w:w="0" w:type="auto"/>
            <w:shd w:val="clear" w:color="auto" w:fill="auto"/>
          </w:tcPr>
          <w:p w14:paraId="0CF09D50" w14:textId="77777777" w:rsidR="00B5762F" w:rsidRPr="00D33D68" w:rsidRDefault="00B5762F" w:rsidP="008B2921">
            <w:pPr>
              <w:pStyle w:val="Text1"/>
              <w:spacing w:before="0" w:after="0"/>
              <w:ind w:left="0"/>
              <w:rPr>
                <w:b/>
                <w:lang w:val="bg-BG"/>
              </w:rPr>
            </w:pPr>
            <w:r w:rsidRPr="00D33D68">
              <w:rPr>
                <w:b/>
                <w:noProof/>
                <w:lang w:val="bg-BG"/>
              </w:rPr>
              <w:t>2</w:t>
            </w:r>
            <w:r w:rsidRPr="00D33D68">
              <w:rPr>
                <w:b/>
                <w:lang w:val="bg-BG"/>
              </w:rPr>
              <w:t xml:space="preserve"> - </w:t>
            </w:r>
            <w:r w:rsidRPr="00D33D68">
              <w:rPr>
                <w:b/>
                <w:noProof/>
                <w:lang w:val="bg-BG"/>
              </w:rPr>
              <w:t>Fostering environmentally sustainable, resource efficient, innovative, competitive and knowledge based aquaculture</w:t>
            </w:r>
          </w:p>
        </w:tc>
      </w:tr>
    </w:tbl>
    <w:p w14:paraId="0E0D894C" w14:textId="77777777" w:rsidR="00B5762F" w:rsidRPr="00D33D68" w:rsidRDefault="00B5762F" w:rsidP="00B5762F">
      <w:pPr>
        <w:spacing w:after="0"/>
      </w:pPr>
    </w:p>
    <w:tbl>
      <w:tblPr>
        <w:tblW w:w="49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329"/>
        <w:gridCol w:w="911"/>
        <w:gridCol w:w="900"/>
        <w:gridCol w:w="989"/>
        <w:gridCol w:w="4122"/>
        <w:gridCol w:w="11"/>
      </w:tblGrid>
      <w:tr w:rsidR="00D33D68" w:rsidRPr="00D33D68" w14:paraId="26BC2E34" w14:textId="77777777" w:rsidTr="0034383C">
        <w:tc>
          <w:tcPr>
            <w:tcW w:w="1257" w:type="pct"/>
            <w:shd w:val="clear" w:color="auto" w:fill="auto"/>
          </w:tcPr>
          <w:p w14:paraId="3858EC7F" w14:textId="77777777" w:rsidR="009961E5" w:rsidRPr="00D33D68" w:rsidRDefault="009961E5" w:rsidP="008B2921">
            <w:pPr>
              <w:pStyle w:val="Text1"/>
              <w:spacing w:before="0" w:after="0"/>
              <w:ind w:left="0"/>
              <w:rPr>
                <w:b/>
                <w:lang w:val="bg-BG"/>
              </w:rPr>
            </w:pPr>
            <w:r w:rsidRPr="00D33D68">
              <w:rPr>
                <w:b/>
                <w:noProof/>
                <w:lang w:val="bg-BG"/>
              </w:rPr>
              <w:t>Specific objective</w:t>
            </w:r>
          </w:p>
        </w:tc>
        <w:tc>
          <w:tcPr>
            <w:tcW w:w="3743" w:type="pct"/>
            <w:gridSpan w:val="5"/>
            <w:shd w:val="clear" w:color="auto" w:fill="auto"/>
          </w:tcPr>
          <w:p w14:paraId="46758D57" w14:textId="77777777" w:rsidR="009961E5" w:rsidRPr="00D33D68" w:rsidRDefault="009961E5" w:rsidP="008B2921">
            <w:pPr>
              <w:pStyle w:val="Text1"/>
              <w:spacing w:before="0" w:after="0"/>
              <w:ind w:left="0"/>
              <w:rPr>
                <w:b/>
                <w:noProof/>
                <w:lang w:val="bg-BG"/>
              </w:rPr>
            </w:pPr>
            <w:r w:rsidRPr="00D33D68">
              <w:rPr>
                <w:b/>
                <w:noProof/>
                <w:lang w:val="bg-BG"/>
              </w:rPr>
              <w:t>1</w:t>
            </w:r>
            <w:r w:rsidRPr="00D33D68">
              <w:rPr>
                <w:b/>
                <w:lang w:val="bg-BG"/>
              </w:rPr>
              <w:t xml:space="preserve"> - </w:t>
            </w:r>
            <w:r w:rsidRPr="00D33D68">
              <w:rPr>
                <w:b/>
                <w:noProof/>
                <w:lang w:val="bg-BG"/>
              </w:rPr>
              <w:t>Provision of support to strengthen technological development, innovation and knowledge transfer</w:t>
            </w:r>
          </w:p>
        </w:tc>
      </w:tr>
      <w:tr w:rsidR="00D33D68" w:rsidRPr="00D33D68" w14:paraId="0CA8C789" w14:textId="77777777" w:rsidTr="00C80916">
        <w:trPr>
          <w:gridAfter w:val="1"/>
          <w:wAfter w:w="6" w:type="pct"/>
        </w:trPr>
        <w:tc>
          <w:tcPr>
            <w:tcW w:w="1257" w:type="pct"/>
            <w:shd w:val="clear" w:color="auto" w:fill="auto"/>
          </w:tcPr>
          <w:p w14:paraId="1C455470" w14:textId="77777777" w:rsidR="009961E5" w:rsidRPr="00D33D68" w:rsidRDefault="009961E5" w:rsidP="00632F0A">
            <w:pPr>
              <w:spacing w:after="0"/>
              <w:jc w:val="center"/>
              <w:rPr>
                <w:b/>
              </w:rPr>
            </w:pPr>
            <w:r w:rsidRPr="00D33D68">
              <w:rPr>
                <w:b/>
              </w:rPr>
              <w:t>Result indicator</w:t>
            </w:r>
          </w:p>
        </w:tc>
        <w:tc>
          <w:tcPr>
            <w:tcW w:w="492" w:type="pct"/>
            <w:shd w:val="clear" w:color="auto" w:fill="auto"/>
          </w:tcPr>
          <w:p w14:paraId="2AC51478" w14:textId="77777777" w:rsidR="009961E5" w:rsidRPr="00D33D68" w:rsidRDefault="009961E5" w:rsidP="00632F0A">
            <w:pPr>
              <w:spacing w:after="0"/>
              <w:ind w:left="-59"/>
              <w:jc w:val="center"/>
              <w:rPr>
                <w:b/>
              </w:rPr>
            </w:pPr>
            <w:r w:rsidRPr="00D33D68">
              <w:rPr>
                <w:b/>
              </w:rPr>
              <w:t>Target value for 2023</w:t>
            </w:r>
          </w:p>
          <w:p w14:paraId="65AF19E1" w14:textId="77777777" w:rsidR="00632F0A" w:rsidRPr="00D33D68" w:rsidRDefault="00632F0A" w:rsidP="00632F0A">
            <w:pPr>
              <w:spacing w:after="0"/>
              <w:ind w:left="-59"/>
              <w:jc w:val="center"/>
              <w:rPr>
                <w:b/>
              </w:rPr>
            </w:pPr>
            <w:r w:rsidRPr="00D33D68">
              <w:rPr>
                <w:b/>
              </w:rPr>
              <w:t>(new)</w:t>
            </w:r>
          </w:p>
        </w:tc>
        <w:tc>
          <w:tcPr>
            <w:tcW w:w="486" w:type="pct"/>
            <w:shd w:val="clear" w:color="auto" w:fill="auto"/>
          </w:tcPr>
          <w:p w14:paraId="0980C839" w14:textId="77777777" w:rsidR="009961E5" w:rsidRPr="00D33D68" w:rsidRDefault="009961E5" w:rsidP="00400129">
            <w:pPr>
              <w:spacing w:after="0"/>
              <w:ind w:left="-104"/>
              <w:jc w:val="center"/>
              <w:rPr>
                <w:b/>
              </w:rPr>
            </w:pPr>
            <w:r w:rsidRPr="00D33D68">
              <w:rPr>
                <w:b/>
              </w:rPr>
              <w:t>Measurement unit</w:t>
            </w:r>
          </w:p>
        </w:tc>
        <w:tc>
          <w:tcPr>
            <w:tcW w:w="534" w:type="pct"/>
          </w:tcPr>
          <w:p w14:paraId="2C8DF35F" w14:textId="77777777" w:rsidR="009961E5" w:rsidRPr="00D33D68" w:rsidRDefault="009961E5" w:rsidP="008A2CE8">
            <w:pPr>
              <w:spacing w:after="0"/>
              <w:ind w:left="-104" w:right="-105"/>
              <w:jc w:val="center"/>
              <w:rPr>
                <w:b/>
              </w:rPr>
            </w:pPr>
            <w:r w:rsidRPr="00D33D68">
              <w:rPr>
                <w:b/>
              </w:rPr>
              <w:t>Not applicable</w:t>
            </w:r>
          </w:p>
        </w:tc>
        <w:tc>
          <w:tcPr>
            <w:tcW w:w="2225" w:type="pct"/>
          </w:tcPr>
          <w:p w14:paraId="5CBE53FC" w14:textId="455F7018" w:rsidR="009961E5" w:rsidRPr="00D33D68" w:rsidRDefault="00EB4109" w:rsidP="00632F0A">
            <w:pPr>
              <w:spacing w:after="0"/>
              <w:jc w:val="center"/>
              <w:rPr>
                <w:b/>
              </w:rPr>
            </w:pPr>
            <w:r w:rsidRPr="00D33D68">
              <w:rPr>
                <w:b/>
              </w:rPr>
              <w:t>Explanation</w:t>
            </w:r>
          </w:p>
        </w:tc>
      </w:tr>
      <w:tr w:rsidR="00D33D68" w:rsidRPr="00D33D68" w14:paraId="0144E022" w14:textId="77777777" w:rsidTr="00C80916">
        <w:trPr>
          <w:gridAfter w:val="1"/>
          <w:wAfter w:w="6" w:type="pct"/>
        </w:trPr>
        <w:tc>
          <w:tcPr>
            <w:tcW w:w="1257" w:type="pct"/>
            <w:shd w:val="clear" w:color="auto" w:fill="auto"/>
          </w:tcPr>
          <w:p w14:paraId="41FB9635" w14:textId="77777777" w:rsidR="009961E5" w:rsidRPr="00D33D68" w:rsidRDefault="009961E5" w:rsidP="008B2921">
            <w:pPr>
              <w:spacing w:after="0"/>
            </w:pPr>
            <w:r w:rsidRPr="00D33D68">
              <w:lastRenderedPageBreak/>
              <w:t>2.1 - Change in volume of aquaculture production</w:t>
            </w:r>
          </w:p>
        </w:tc>
        <w:tc>
          <w:tcPr>
            <w:tcW w:w="492" w:type="pct"/>
            <w:shd w:val="clear" w:color="auto" w:fill="auto"/>
          </w:tcPr>
          <w:p w14:paraId="6BBE3503" w14:textId="12AF3C34" w:rsidR="009961E5" w:rsidRPr="00D33D68" w:rsidRDefault="009961E5" w:rsidP="0034383C">
            <w:pPr>
              <w:spacing w:after="0"/>
              <w:ind w:left="-104"/>
              <w:jc w:val="right"/>
            </w:pPr>
          </w:p>
        </w:tc>
        <w:tc>
          <w:tcPr>
            <w:tcW w:w="486" w:type="pct"/>
            <w:shd w:val="clear" w:color="auto" w:fill="auto"/>
          </w:tcPr>
          <w:p w14:paraId="7B04920C" w14:textId="77777777" w:rsidR="009961E5" w:rsidRPr="00D33D68" w:rsidRDefault="009961E5" w:rsidP="008B2921">
            <w:pPr>
              <w:spacing w:after="0"/>
            </w:pPr>
            <w:r w:rsidRPr="00D33D68">
              <w:t>tonnes</w:t>
            </w:r>
          </w:p>
        </w:tc>
        <w:tc>
          <w:tcPr>
            <w:tcW w:w="534" w:type="pct"/>
          </w:tcPr>
          <w:p w14:paraId="7963CE2B" w14:textId="208C7496" w:rsidR="009961E5" w:rsidRPr="00D33D68" w:rsidRDefault="006A5253" w:rsidP="008B2921">
            <w:pPr>
              <w:spacing w:after="0"/>
              <w:jc w:val="center"/>
            </w:pPr>
            <w:r w:rsidRPr="00D33D68">
              <w:sym w:font="Wingdings" w:char="F0FC"/>
            </w:r>
          </w:p>
        </w:tc>
        <w:tc>
          <w:tcPr>
            <w:tcW w:w="2225" w:type="pct"/>
          </w:tcPr>
          <w:p w14:paraId="04E9328C" w14:textId="5DD3C60B" w:rsidR="009D0682" w:rsidRPr="00D33D68" w:rsidRDefault="006A5253" w:rsidP="006A5253">
            <w:pPr>
              <w:spacing w:after="0"/>
              <w:ind w:left="-100" w:right="-39"/>
            </w:pPr>
            <w:r w:rsidRPr="00D33D68">
              <w:t>Индикаторът е изтрит при създаването на COVID-19 мерките, вследс</w:t>
            </w:r>
            <w:r w:rsidR="009028FB" w:rsidRPr="00D33D68">
              <w:t>твие на релокация на бюджетите.</w:t>
            </w:r>
          </w:p>
        </w:tc>
      </w:tr>
      <w:tr w:rsidR="00D33D68" w:rsidRPr="00D33D68" w14:paraId="210A07BC" w14:textId="77777777" w:rsidTr="00C80916">
        <w:trPr>
          <w:gridAfter w:val="1"/>
          <w:wAfter w:w="6" w:type="pct"/>
        </w:trPr>
        <w:tc>
          <w:tcPr>
            <w:tcW w:w="1257" w:type="pct"/>
            <w:shd w:val="clear" w:color="auto" w:fill="auto"/>
          </w:tcPr>
          <w:p w14:paraId="4A571F77" w14:textId="77777777" w:rsidR="009961E5" w:rsidRPr="00D33D68" w:rsidRDefault="009961E5" w:rsidP="008B2921">
            <w:pPr>
              <w:spacing w:after="0"/>
            </w:pPr>
            <w:r w:rsidRPr="00D33D68">
              <w:t>2.2 - Change in value of aquaculture production</w:t>
            </w:r>
          </w:p>
        </w:tc>
        <w:tc>
          <w:tcPr>
            <w:tcW w:w="492" w:type="pct"/>
            <w:shd w:val="clear" w:color="auto" w:fill="auto"/>
          </w:tcPr>
          <w:p w14:paraId="0B5EEB08" w14:textId="77777777" w:rsidR="009961E5" w:rsidRPr="00D33D68" w:rsidRDefault="009961E5" w:rsidP="008B2921">
            <w:pPr>
              <w:spacing w:after="0"/>
              <w:jc w:val="right"/>
            </w:pPr>
          </w:p>
        </w:tc>
        <w:tc>
          <w:tcPr>
            <w:tcW w:w="486" w:type="pct"/>
            <w:shd w:val="clear" w:color="auto" w:fill="auto"/>
          </w:tcPr>
          <w:p w14:paraId="536B45D5" w14:textId="77777777" w:rsidR="009961E5" w:rsidRPr="00D33D68" w:rsidRDefault="009961E5" w:rsidP="006E06D3">
            <w:pPr>
              <w:spacing w:after="0"/>
              <w:ind w:left="-104"/>
            </w:pPr>
            <w:r w:rsidRPr="00D33D68">
              <w:t>thousand Euros</w:t>
            </w:r>
          </w:p>
        </w:tc>
        <w:tc>
          <w:tcPr>
            <w:tcW w:w="534" w:type="pct"/>
          </w:tcPr>
          <w:p w14:paraId="5562D17F" w14:textId="77777777" w:rsidR="009961E5" w:rsidRPr="00D33D68" w:rsidRDefault="009961E5" w:rsidP="008B2921">
            <w:pPr>
              <w:spacing w:after="0"/>
              <w:jc w:val="center"/>
            </w:pPr>
            <w:r w:rsidRPr="00D33D68">
              <w:sym w:font="Wingdings" w:char="F0FC"/>
            </w:r>
          </w:p>
        </w:tc>
        <w:tc>
          <w:tcPr>
            <w:tcW w:w="2225" w:type="pct"/>
          </w:tcPr>
          <w:p w14:paraId="4B0BDC2A" w14:textId="5D03B568" w:rsidR="009961E5" w:rsidRPr="00D33D68" w:rsidRDefault="00FE55C1" w:rsidP="008B2921">
            <w:pPr>
              <w:spacing w:after="0"/>
              <w:jc w:val="center"/>
            </w:pPr>
            <w:r w:rsidRPr="00D33D68">
              <w:t>(N/A)</w:t>
            </w:r>
          </w:p>
        </w:tc>
      </w:tr>
      <w:tr w:rsidR="009961E5" w:rsidRPr="00D33D68" w14:paraId="488E3E17" w14:textId="77777777" w:rsidTr="00C80916">
        <w:trPr>
          <w:gridAfter w:val="1"/>
          <w:wAfter w:w="6" w:type="pct"/>
        </w:trPr>
        <w:tc>
          <w:tcPr>
            <w:tcW w:w="1257" w:type="pct"/>
            <w:shd w:val="clear" w:color="auto" w:fill="auto"/>
          </w:tcPr>
          <w:p w14:paraId="18D76DEC" w14:textId="77777777" w:rsidR="009961E5" w:rsidRPr="00D33D68" w:rsidRDefault="009961E5" w:rsidP="008B2921">
            <w:pPr>
              <w:spacing w:after="0"/>
            </w:pPr>
            <w:r w:rsidRPr="00D33D68">
              <w:t>2.3 - Change in net profit</w:t>
            </w:r>
          </w:p>
        </w:tc>
        <w:tc>
          <w:tcPr>
            <w:tcW w:w="492" w:type="pct"/>
            <w:shd w:val="clear" w:color="auto" w:fill="auto"/>
          </w:tcPr>
          <w:p w14:paraId="1BA0BA2C" w14:textId="77777777" w:rsidR="009961E5" w:rsidRPr="00D33D68" w:rsidRDefault="009961E5" w:rsidP="008B2921">
            <w:pPr>
              <w:spacing w:after="0"/>
              <w:jc w:val="right"/>
            </w:pPr>
          </w:p>
        </w:tc>
        <w:tc>
          <w:tcPr>
            <w:tcW w:w="486" w:type="pct"/>
            <w:shd w:val="clear" w:color="auto" w:fill="auto"/>
          </w:tcPr>
          <w:p w14:paraId="0012EFBF" w14:textId="77777777" w:rsidR="009961E5" w:rsidRPr="00D33D68" w:rsidRDefault="009961E5" w:rsidP="006E06D3">
            <w:pPr>
              <w:spacing w:after="0"/>
              <w:ind w:left="-104"/>
            </w:pPr>
            <w:r w:rsidRPr="00D33D68">
              <w:t>thousand Euros</w:t>
            </w:r>
          </w:p>
        </w:tc>
        <w:tc>
          <w:tcPr>
            <w:tcW w:w="534" w:type="pct"/>
          </w:tcPr>
          <w:p w14:paraId="718429FB" w14:textId="77777777" w:rsidR="009961E5" w:rsidRPr="00D33D68" w:rsidRDefault="009961E5" w:rsidP="008B2921">
            <w:pPr>
              <w:spacing w:after="0"/>
              <w:jc w:val="center"/>
            </w:pPr>
            <w:r w:rsidRPr="00D33D68">
              <w:sym w:font="Wingdings" w:char="F0FC"/>
            </w:r>
          </w:p>
        </w:tc>
        <w:tc>
          <w:tcPr>
            <w:tcW w:w="2225" w:type="pct"/>
          </w:tcPr>
          <w:p w14:paraId="764B79D8" w14:textId="7253412D" w:rsidR="009961E5" w:rsidRPr="00D33D68" w:rsidRDefault="00FE55C1" w:rsidP="008B2921">
            <w:pPr>
              <w:spacing w:after="0"/>
              <w:jc w:val="center"/>
            </w:pPr>
            <w:r w:rsidRPr="00D33D68">
              <w:t>(N/A)</w:t>
            </w:r>
          </w:p>
        </w:tc>
      </w:tr>
    </w:tbl>
    <w:p w14:paraId="13F0E47B" w14:textId="77777777" w:rsidR="00B5762F" w:rsidRPr="00D33D68" w:rsidRDefault="00B5762F" w:rsidP="00B5762F">
      <w:pPr>
        <w:spacing w:after="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332"/>
        <w:gridCol w:w="908"/>
        <w:gridCol w:w="899"/>
        <w:gridCol w:w="990"/>
        <w:gridCol w:w="4159"/>
      </w:tblGrid>
      <w:tr w:rsidR="00D33D68" w:rsidRPr="00D33D68" w14:paraId="1A0AD80E" w14:textId="77777777" w:rsidTr="00ED5683">
        <w:tc>
          <w:tcPr>
            <w:tcW w:w="1255" w:type="pct"/>
            <w:shd w:val="clear" w:color="auto" w:fill="auto"/>
          </w:tcPr>
          <w:p w14:paraId="1B79FA48" w14:textId="77777777" w:rsidR="00C347AD" w:rsidRPr="00D33D68" w:rsidRDefault="00C347AD" w:rsidP="008B2921">
            <w:pPr>
              <w:pStyle w:val="Text1"/>
              <w:spacing w:before="0" w:after="0"/>
              <w:ind w:left="0"/>
              <w:rPr>
                <w:b/>
                <w:lang w:val="bg-BG"/>
              </w:rPr>
            </w:pPr>
            <w:r w:rsidRPr="00D33D68">
              <w:rPr>
                <w:b/>
                <w:noProof/>
                <w:lang w:val="bg-BG"/>
              </w:rPr>
              <w:t>Specific objective</w:t>
            </w:r>
          </w:p>
        </w:tc>
        <w:tc>
          <w:tcPr>
            <w:tcW w:w="3745" w:type="pct"/>
            <w:gridSpan w:val="4"/>
            <w:shd w:val="clear" w:color="auto" w:fill="auto"/>
          </w:tcPr>
          <w:p w14:paraId="31836D74" w14:textId="77777777" w:rsidR="00C347AD" w:rsidRPr="00D33D68" w:rsidRDefault="00C347AD" w:rsidP="008B2921">
            <w:pPr>
              <w:pStyle w:val="Text1"/>
              <w:spacing w:before="0" w:after="0"/>
              <w:ind w:left="0"/>
              <w:rPr>
                <w:b/>
                <w:noProof/>
                <w:lang w:val="bg-BG"/>
              </w:rPr>
            </w:pPr>
            <w:r w:rsidRPr="00D33D68">
              <w:rPr>
                <w:b/>
                <w:noProof/>
                <w:lang w:val="bg-BG"/>
              </w:rPr>
              <w:t>2</w:t>
            </w:r>
            <w:r w:rsidRPr="00D33D68">
              <w:rPr>
                <w:b/>
                <w:lang w:val="bg-BG"/>
              </w:rPr>
              <w:t xml:space="preserve"> - </w:t>
            </w:r>
            <w:r w:rsidRPr="00D33D68">
              <w:rPr>
                <w:b/>
                <w:noProof/>
                <w:lang w:val="bg-BG"/>
              </w:rPr>
              <w:t>Enhancement of the competitiveness and viability of aquaculture enterprises, including improvement of safety or working conditions, in particular of SMEs</w:t>
            </w:r>
          </w:p>
        </w:tc>
      </w:tr>
      <w:tr w:rsidR="00D33D68" w:rsidRPr="00D33D68" w14:paraId="0A92ACB8" w14:textId="77777777" w:rsidTr="00C80916">
        <w:tc>
          <w:tcPr>
            <w:tcW w:w="1255" w:type="pct"/>
            <w:shd w:val="clear" w:color="auto" w:fill="auto"/>
          </w:tcPr>
          <w:p w14:paraId="2D0F4D8E" w14:textId="77777777" w:rsidR="00C347AD" w:rsidRPr="00D33D68" w:rsidRDefault="00C347AD" w:rsidP="00C347AD">
            <w:pPr>
              <w:spacing w:after="0"/>
              <w:jc w:val="center"/>
              <w:rPr>
                <w:b/>
              </w:rPr>
            </w:pPr>
            <w:r w:rsidRPr="00D33D68">
              <w:rPr>
                <w:b/>
              </w:rPr>
              <w:t>Result indicator</w:t>
            </w:r>
          </w:p>
        </w:tc>
        <w:tc>
          <w:tcPr>
            <w:tcW w:w="489" w:type="pct"/>
            <w:shd w:val="clear" w:color="auto" w:fill="auto"/>
          </w:tcPr>
          <w:p w14:paraId="3F1F0A77" w14:textId="77777777" w:rsidR="00C347AD" w:rsidRPr="00D33D68" w:rsidRDefault="00C347AD" w:rsidP="00C347AD">
            <w:pPr>
              <w:spacing w:after="0"/>
              <w:ind w:left="-108"/>
              <w:jc w:val="center"/>
              <w:rPr>
                <w:b/>
              </w:rPr>
            </w:pPr>
            <w:r w:rsidRPr="00D33D68">
              <w:rPr>
                <w:b/>
              </w:rPr>
              <w:t>Target value for 2023</w:t>
            </w:r>
          </w:p>
          <w:p w14:paraId="24E154D1" w14:textId="77777777" w:rsidR="00632F0A" w:rsidRPr="00D33D68" w:rsidRDefault="00632F0A" w:rsidP="00C347AD">
            <w:pPr>
              <w:spacing w:after="0"/>
              <w:ind w:left="-108"/>
              <w:jc w:val="center"/>
              <w:rPr>
                <w:b/>
              </w:rPr>
            </w:pPr>
            <w:r w:rsidRPr="00D33D68">
              <w:rPr>
                <w:b/>
              </w:rPr>
              <w:t>(new)</w:t>
            </w:r>
          </w:p>
        </w:tc>
        <w:tc>
          <w:tcPr>
            <w:tcW w:w="484" w:type="pct"/>
            <w:shd w:val="clear" w:color="auto" w:fill="auto"/>
          </w:tcPr>
          <w:p w14:paraId="737FAABE" w14:textId="77777777" w:rsidR="00C347AD" w:rsidRPr="00D33D68" w:rsidRDefault="00C347AD" w:rsidP="008C22B2">
            <w:pPr>
              <w:spacing w:after="0"/>
              <w:ind w:right="-105"/>
              <w:jc w:val="center"/>
              <w:rPr>
                <w:b/>
              </w:rPr>
            </w:pPr>
            <w:r w:rsidRPr="00D33D68">
              <w:rPr>
                <w:b/>
              </w:rPr>
              <w:t>Measurement unit</w:t>
            </w:r>
          </w:p>
        </w:tc>
        <w:tc>
          <w:tcPr>
            <w:tcW w:w="533" w:type="pct"/>
          </w:tcPr>
          <w:p w14:paraId="03C62C8B" w14:textId="77777777" w:rsidR="00C347AD" w:rsidRPr="00D33D68" w:rsidRDefault="00C347AD" w:rsidP="00C347AD">
            <w:pPr>
              <w:spacing w:after="0"/>
              <w:ind w:left="-109" w:right="-107"/>
              <w:jc w:val="center"/>
              <w:rPr>
                <w:b/>
              </w:rPr>
            </w:pPr>
            <w:r w:rsidRPr="00D33D68">
              <w:rPr>
                <w:b/>
              </w:rPr>
              <w:t>Not applicable</w:t>
            </w:r>
          </w:p>
        </w:tc>
        <w:tc>
          <w:tcPr>
            <w:tcW w:w="2239" w:type="pct"/>
          </w:tcPr>
          <w:p w14:paraId="64A78B2A" w14:textId="5FC8EC8F" w:rsidR="00C347AD" w:rsidRPr="00D33D68" w:rsidRDefault="00EB4109" w:rsidP="00C347AD">
            <w:pPr>
              <w:spacing w:after="0"/>
              <w:jc w:val="center"/>
              <w:rPr>
                <w:b/>
              </w:rPr>
            </w:pPr>
            <w:r w:rsidRPr="00D33D68">
              <w:rPr>
                <w:b/>
              </w:rPr>
              <w:t>Explanation</w:t>
            </w:r>
          </w:p>
        </w:tc>
      </w:tr>
      <w:tr w:rsidR="00D33D68" w:rsidRPr="00D33D68" w14:paraId="50C8C774" w14:textId="77777777" w:rsidTr="00C80916">
        <w:tc>
          <w:tcPr>
            <w:tcW w:w="1255" w:type="pct"/>
            <w:shd w:val="clear" w:color="auto" w:fill="auto"/>
          </w:tcPr>
          <w:p w14:paraId="37F8B5E2" w14:textId="77777777" w:rsidR="00C347AD" w:rsidRPr="00D33D68" w:rsidRDefault="00C347AD" w:rsidP="008B2921">
            <w:pPr>
              <w:spacing w:after="0"/>
            </w:pPr>
            <w:r w:rsidRPr="00D33D68">
              <w:t>2.1 - Change in volume of aquaculture production</w:t>
            </w:r>
          </w:p>
        </w:tc>
        <w:tc>
          <w:tcPr>
            <w:tcW w:w="489" w:type="pct"/>
            <w:shd w:val="clear" w:color="auto" w:fill="auto"/>
          </w:tcPr>
          <w:p w14:paraId="5B666AED" w14:textId="77777777" w:rsidR="00C347AD" w:rsidRPr="00D33D68" w:rsidRDefault="00C347AD" w:rsidP="008B2921">
            <w:pPr>
              <w:spacing w:after="0"/>
              <w:jc w:val="right"/>
            </w:pPr>
          </w:p>
        </w:tc>
        <w:tc>
          <w:tcPr>
            <w:tcW w:w="484" w:type="pct"/>
            <w:shd w:val="clear" w:color="auto" w:fill="auto"/>
          </w:tcPr>
          <w:p w14:paraId="0320FF69" w14:textId="77777777" w:rsidR="00C347AD" w:rsidRPr="00D33D68" w:rsidRDefault="00C347AD" w:rsidP="008C22B2">
            <w:pPr>
              <w:spacing w:after="0"/>
              <w:ind w:right="-105"/>
              <w:jc w:val="center"/>
            </w:pPr>
            <w:r w:rsidRPr="00D33D68">
              <w:t>tonnes</w:t>
            </w:r>
          </w:p>
        </w:tc>
        <w:tc>
          <w:tcPr>
            <w:tcW w:w="533" w:type="pct"/>
          </w:tcPr>
          <w:p w14:paraId="23F3158B" w14:textId="77777777" w:rsidR="00C347AD" w:rsidRPr="00D33D68" w:rsidRDefault="00C347AD" w:rsidP="008B2921">
            <w:pPr>
              <w:spacing w:after="0"/>
              <w:jc w:val="center"/>
            </w:pPr>
            <w:r w:rsidRPr="00D33D68">
              <w:sym w:font="Wingdings" w:char="F0FC"/>
            </w:r>
          </w:p>
        </w:tc>
        <w:tc>
          <w:tcPr>
            <w:tcW w:w="2239" w:type="pct"/>
          </w:tcPr>
          <w:p w14:paraId="3F8E4A64" w14:textId="1599D215" w:rsidR="00C347AD" w:rsidRPr="00D33D68" w:rsidRDefault="00ED5683" w:rsidP="005B7121">
            <w:pPr>
              <w:spacing w:after="0"/>
              <w:jc w:val="center"/>
            </w:pPr>
            <w:r w:rsidRPr="00D33D68">
              <w:t>(N/A)</w:t>
            </w:r>
          </w:p>
        </w:tc>
      </w:tr>
      <w:tr w:rsidR="00D33D68" w:rsidRPr="00D33D68" w14:paraId="2BF013F5" w14:textId="77777777" w:rsidTr="00C80916">
        <w:tc>
          <w:tcPr>
            <w:tcW w:w="1255" w:type="pct"/>
            <w:shd w:val="clear" w:color="auto" w:fill="auto"/>
          </w:tcPr>
          <w:p w14:paraId="419880E9" w14:textId="77777777" w:rsidR="00C347AD" w:rsidRPr="00D33D68" w:rsidRDefault="00C347AD" w:rsidP="008B2921">
            <w:pPr>
              <w:spacing w:after="0"/>
            </w:pPr>
            <w:r w:rsidRPr="00D33D68">
              <w:t>2.2 - Change in value of aquaculture production</w:t>
            </w:r>
          </w:p>
        </w:tc>
        <w:tc>
          <w:tcPr>
            <w:tcW w:w="489" w:type="pct"/>
            <w:shd w:val="clear" w:color="auto" w:fill="auto"/>
          </w:tcPr>
          <w:p w14:paraId="12964755" w14:textId="45404FDE" w:rsidR="00C347AD" w:rsidRPr="00D33D68" w:rsidRDefault="00D12813" w:rsidP="008A2CE8">
            <w:pPr>
              <w:spacing w:after="0"/>
              <w:ind w:left="-109" w:right="-105"/>
              <w:jc w:val="right"/>
            </w:pPr>
            <w:r w:rsidRPr="00D33D68">
              <w:t>13748.39</w:t>
            </w:r>
          </w:p>
        </w:tc>
        <w:tc>
          <w:tcPr>
            <w:tcW w:w="484" w:type="pct"/>
            <w:shd w:val="clear" w:color="auto" w:fill="auto"/>
          </w:tcPr>
          <w:p w14:paraId="2A3B55CE" w14:textId="77777777" w:rsidR="00C347AD" w:rsidRPr="00D33D68" w:rsidRDefault="00C347AD" w:rsidP="008C22B2">
            <w:pPr>
              <w:spacing w:after="0"/>
              <w:ind w:left="-109" w:right="-105"/>
              <w:jc w:val="center"/>
            </w:pPr>
            <w:r w:rsidRPr="00D33D68">
              <w:t>thousand Euros</w:t>
            </w:r>
          </w:p>
        </w:tc>
        <w:tc>
          <w:tcPr>
            <w:tcW w:w="533" w:type="pct"/>
          </w:tcPr>
          <w:p w14:paraId="41579614" w14:textId="77777777" w:rsidR="00C347AD" w:rsidRPr="00D33D68" w:rsidRDefault="00C347AD" w:rsidP="008B2921">
            <w:pPr>
              <w:spacing w:after="0"/>
              <w:jc w:val="center"/>
            </w:pPr>
          </w:p>
        </w:tc>
        <w:tc>
          <w:tcPr>
            <w:tcW w:w="2239" w:type="pct"/>
          </w:tcPr>
          <w:p w14:paraId="3C3215CF" w14:textId="39F47D7B" w:rsidR="008A2CE8" w:rsidRPr="00D33D68" w:rsidRDefault="005B7121" w:rsidP="00AC0EE3">
            <w:pPr>
              <w:spacing w:after="0"/>
              <w:ind w:left="-110" w:right="-3"/>
            </w:pPr>
            <w:r w:rsidRPr="00D33D68">
              <w:t xml:space="preserve">Индикаторът се образува от мерки </w:t>
            </w:r>
            <w:r w:rsidR="00B30265" w:rsidRPr="00D33D68">
              <w:t>2.2</w:t>
            </w:r>
            <w:r w:rsidR="00F55E77" w:rsidRPr="00D33D68">
              <w:t xml:space="preserve"> (чл. 48, параграф 1, букви а-г и е-з)</w:t>
            </w:r>
            <w:r w:rsidR="008A2CE8" w:rsidRPr="00D33D68">
              <w:t xml:space="preserve"> и</w:t>
            </w:r>
            <w:r w:rsidR="00B30265" w:rsidRPr="00D33D68">
              <w:t xml:space="preserve"> 2.3</w:t>
            </w:r>
            <w:r w:rsidRPr="00D33D68">
              <w:t xml:space="preserve">. Начална стойност </w:t>
            </w:r>
            <w:r w:rsidR="004C34FC" w:rsidRPr="00D33D68">
              <w:t>18750</w:t>
            </w:r>
            <w:r w:rsidRPr="00D33D68">
              <w:t xml:space="preserve">. Намаляването на бюджета на мерки </w:t>
            </w:r>
            <w:r w:rsidR="00A261D7" w:rsidRPr="00D33D68">
              <w:t>мерки 2.2</w:t>
            </w:r>
            <w:r w:rsidR="00F55E77" w:rsidRPr="00D33D68">
              <w:t xml:space="preserve"> (чл. 48, параграф 1, букви а-г и е-з</w:t>
            </w:r>
            <w:r w:rsidR="008E6DE4" w:rsidRPr="00D33D68">
              <w:t>)</w:t>
            </w:r>
            <w:r w:rsidR="008A2CE8" w:rsidRPr="00D33D68">
              <w:t xml:space="preserve"> и 2.3</w:t>
            </w:r>
            <w:r w:rsidRPr="00D33D68">
              <w:t xml:space="preserve"> с</w:t>
            </w:r>
            <w:r w:rsidR="0057532E" w:rsidRPr="00D33D68">
              <w:t>ъс средно</w:t>
            </w:r>
            <w:r w:rsidRPr="00D33D68">
              <w:t xml:space="preserve"> </w:t>
            </w:r>
            <w:r w:rsidR="00416A18" w:rsidRPr="00D33D68">
              <w:t>6</w:t>
            </w:r>
            <w:r w:rsidRPr="00D33D68">
              <w:t xml:space="preserve">% при 1вата стъпка променя индикатора на </w:t>
            </w:r>
            <w:r w:rsidR="007A02E5" w:rsidRPr="00D33D68">
              <w:t>17625</w:t>
            </w:r>
            <w:r w:rsidRPr="00D33D68">
              <w:t xml:space="preserve">. </w:t>
            </w:r>
          </w:p>
          <w:p w14:paraId="34C9501E" w14:textId="4DB98421" w:rsidR="00CE5F67" w:rsidRPr="00D33D68" w:rsidRDefault="008A2CE8" w:rsidP="00AC0EE3">
            <w:pPr>
              <w:spacing w:after="0"/>
              <w:ind w:left="-110" w:right="-3"/>
            </w:pPr>
            <w:r w:rsidRPr="00D33D68">
              <w:t>С изменението поради COVID-19 бюджетът не се променя.</w:t>
            </w:r>
          </w:p>
          <w:p w14:paraId="582559BA" w14:textId="2AC33945" w:rsidR="005B7121" w:rsidRPr="00D33D68" w:rsidRDefault="0057532E" w:rsidP="00D12813">
            <w:pPr>
              <w:spacing w:after="0"/>
              <w:ind w:left="-110" w:right="-3"/>
            </w:pPr>
            <w:r w:rsidRPr="00D33D68">
              <w:t>Се</w:t>
            </w:r>
            <w:r w:rsidR="008A2CE8" w:rsidRPr="00D33D68">
              <w:t>га бюджетът</w:t>
            </w:r>
            <w:r w:rsidRPr="00D33D68">
              <w:t xml:space="preserve"> на м</w:t>
            </w:r>
            <w:r w:rsidR="008A2CE8" w:rsidRPr="00D33D68">
              <w:t>я</w:t>
            </w:r>
            <w:r w:rsidRPr="00D33D68">
              <w:t>рк</w:t>
            </w:r>
            <w:r w:rsidR="008A2CE8" w:rsidRPr="00D33D68">
              <w:t>а</w:t>
            </w:r>
            <w:r w:rsidRPr="00D33D68">
              <w:t xml:space="preserve"> 2.</w:t>
            </w:r>
            <w:r w:rsidR="00AC0EE3" w:rsidRPr="00D33D68">
              <w:t>2</w:t>
            </w:r>
            <w:r w:rsidR="008E6DE4" w:rsidRPr="00D33D68">
              <w:t xml:space="preserve"> (чл. 48, параграф 1, букви а-г и е-з)</w:t>
            </w:r>
            <w:r w:rsidRPr="00D33D68">
              <w:t xml:space="preserve"> се</w:t>
            </w:r>
            <w:r w:rsidR="00CE5F67" w:rsidRPr="00D33D68">
              <w:t xml:space="preserve"> </w:t>
            </w:r>
            <w:r w:rsidR="0065617D" w:rsidRPr="00D33D68">
              <w:t xml:space="preserve">намаля </w:t>
            </w:r>
            <w:r w:rsidR="008A2CE8" w:rsidRPr="00D33D68">
              <w:t>с</w:t>
            </w:r>
            <w:r w:rsidR="00CE5F67" w:rsidRPr="00D33D68">
              <w:t xml:space="preserve"> </w:t>
            </w:r>
            <w:r w:rsidR="00D12813" w:rsidRPr="00D33D68">
              <w:t>35.83</w:t>
            </w:r>
            <w:r w:rsidRPr="00D33D68">
              <w:t>%, а на мярка 2.</w:t>
            </w:r>
            <w:r w:rsidR="008A2CE8" w:rsidRPr="00D33D68">
              <w:t>3</w:t>
            </w:r>
            <w:r w:rsidR="00AC0EE3" w:rsidRPr="00D33D68">
              <w:t xml:space="preserve"> </w:t>
            </w:r>
            <w:r w:rsidRPr="00D33D68">
              <w:t>се</w:t>
            </w:r>
            <w:r w:rsidR="008A2CE8" w:rsidRPr="00D33D68">
              <w:t xml:space="preserve"> </w:t>
            </w:r>
            <w:r w:rsidR="0065617D" w:rsidRPr="00D33D68">
              <w:t>увеличава</w:t>
            </w:r>
            <w:r w:rsidRPr="00D33D68">
              <w:t xml:space="preserve"> с </w:t>
            </w:r>
            <w:r w:rsidR="008A2CE8" w:rsidRPr="00D33D68">
              <w:t>21.56</w:t>
            </w:r>
            <w:r w:rsidRPr="00D33D68">
              <w:t xml:space="preserve">% и се получава 2023 Target value. </w:t>
            </w:r>
          </w:p>
        </w:tc>
      </w:tr>
      <w:tr w:rsidR="00D33D68" w:rsidRPr="00D33D68" w14:paraId="3E892BCD" w14:textId="77777777" w:rsidTr="00C80916">
        <w:tc>
          <w:tcPr>
            <w:tcW w:w="1255" w:type="pct"/>
            <w:shd w:val="clear" w:color="auto" w:fill="auto"/>
          </w:tcPr>
          <w:p w14:paraId="343A5A3F" w14:textId="77777777" w:rsidR="00C347AD" w:rsidRPr="00D33D68" w:rsidRDefault="00C347AD" w:rsidP="008B2921">
            <w:pPr>
              <w:spacing w:after="0"/>
            </w:pPr>
            <w:r w:rsidRPr="00D33D68">
              <w:t>2.3 - Change in net profit</w:t>
            </w:r>
          </w:p>
        </w:tc>
        <w:tc>
          <w:tcPr>
            <w:tcW w:w="489" w:type="pct"/>
            <w:shd w:val="clear" w:color="auto" w:fill="auto"/>
          </w:tcPr>
          <w:p w14:paraId="3DA4FE3A" w14:textId="3F361AC6" w:rsidR="00C347AD" w:rsidRPr="00D33D68" w:rsidRDefault="000064CF" w:rsidP="00E26B72">
            <w:pPr>
              <w:spacing w:after="0"/>
              <w:ind w:left="-37" w:right="-105"/>
              <w:jc w:val="right"/>
            </w:pPr>
            <w:r w:rsidRPr="00D33D68">
              <w:t>3299.61</w:t>
            </w:r>
          </w:p>
        </w:tc>
        <w:tc>
          <w:tcPr>
            <w:tcW w:w="484" w:type="pct"/>
            <w:shd w:val="clear" w:color="auto" w:fill="auto"/>
          </w:tcPr>
          <w:p w14:paraId="7DB9BAA7" w14:textId="77777777" w:rsidR="00C347AD" w:rsidRPr="00D33D68" w:rsidRDefault="00C347AD" w:rsidP="008C22B2">
            <w:pPr>
              <w:spacing w:after="0"/>
              <w:ind w:left="-109" w:right="-105"/>
              <w:jc w:val="center"/>
            </w:pPr>
            <w:r w:rsidRPr="00D33D68">
              <w:t>thousand Euros</w:t>
            </w:r>
          </w:p>
        </w:tc>
        <w:tc>
          <w:tcPr>
            <w:tcW w:w="533" w:type="pct"/>
          </w:tcPr>
          <w:p w14:paraId="593A92BA" w14:textId="77777777" w:rsidR="00C347AD" w:rsidRPr="00D33D68" w:rsidRDefault="00C347AD" w:rsidP="008B2921">
            <w:pPr>
              <w:spacing w:after="0"/>
              <w:jc w:val="center"/>
            </w:pPr>
          </w:p>
        </w:tc>
        <w:tc>
          <w:tcPr>
            <w:tcW w:w="2239" w:type="pct"/>
          </w:tcPr>
          <w:p w14:paraId="59958F72" w14:textId="2923FCA0" w:rsidR="00523AC8" w:rsidRPr="00D33D68" w:rsidRDefault="00523AC8" w:rsidP="00523AC8">
            <w:pPr>
              <w:spacing w:after="0"/>
              <w:ind w:left="-110" w:right="-3"/>
            </w:pPr>
            <w:r w:rsidRPr="00D33D68">
              <w:t>Индикаторът се образува от мерки 2.2</w:t>
            </w:r>
            <w:r w:rsidR="00F55E77" w:rsidRPr="00D33D68">
              <w:t xml:space="preserve"> (чл. 48, параграф 1, букви а-г и е-з)</w:t>
            </w:r>
            <w:r w:rsidRPr="00D33D68">
              <w:t xml:space="preserve"> и 2.3. Начална стойност </w:t>
            </w:r>
            <w:r w:rsidR="00E26B72" w:rsidRPr="00D33D68">
              <w:t>4500</w:t>
            </w:r>
            <w:r w:rsidRPr="00D33D68">
              <w:t>. Намаляването на бюджета на мерки мерки 2.2</w:t>
            </w:r>
            <w:r w:rsidR="00F55E77" w:rsidRPr="00D33D68">
              <w:t xml:space="preserve"> (чл. 48, параграф 1, букви а-г и е-з)</w:t>
            </w:r>
            <w:r w:rsidRPr="00D33D68">
              <w:t xml:space="preserve"> и 2.3 със средно 6% при 1вата стъпка променя индикатора на </w:t>
            </w:r>
            <w:r w:rsidR="00E26B72" w:rsidRPr="00D33D68">
              <w:t>4230</w:t>
            </w:r>
            <w:r w:rsidRPr="00D33D68">
              <w:t xml:space="preserve">. </w:t>
            </w:r>
          </w:p>
          <w:p w14:paraId="59ACEE17" w14:textId="77777777" w:rsidR="00523AC8" w:rsidRPr="00D33D68" w:rsidRDefault="00523AC8" w:rsidP="00523AC8">
            <w:pPr>
              <w:spacing w:after="0"/>
              <w:ind w:left="-110" w:right="-3"/>
            </w:pPr>
            <w:r w:rsidRPr="00D33D68">
              <w:t xml:space="preserve">С изменението поради COVID-19 </w:t>
            </w:r>
            <w:r w:rsidRPr="00D33D68">
              <w:lastRenderedPageBreak/>
              <w:t>бюджетът не се променя.</w:t>
            </w:r>
          </w:p>
          <w:p w14:paraId="371BBF5D" w14:textId="1C274488" w:rsidR="005B7121" w:rsidRPr="00D33D68" w:rsidRDefault="00523AC8" w:rsidP="00523AC8">
            <w:pPr>
              <w:spacing w:after="0"/>
              <w:ind w:left="-110" w:right="-72"/>
            </w:pPr>
            <w:r w:rsidRPr="00D33D68">
              <w:t>Сега бюджетът на мярка 2.2</w:t>
            </w:r>
            <w:r w:rsidR="008E6DE4" w:rsidRPr="00D33D68">
              <w:t xml:space="preserve"> (чл. 48, параграф 1, букви а-г и е-з)</w:t>
            </w:r>
            <w:r w:rsidRPr="00D33D68">
              <w:t xml:space="preserve"> се намаля с </w:t>
            </w:r>
            <w:r w:rsidR="00D12813" w:rsidRPr="00D33D68">
              <w:t>35.83</w:t>
            </w:r>
            <w:r w:rsidRPr="00D33D68">
              <w:t>%, а на мярка 2.3 се увеличава с 21.56% и се получава 2023 Target value.</w:t>
            </w:r>
          </w:p>
        </w:tc>
      </w:tr>
      <w:tr w:rsidR="00D33D68" w:rsidRPr="00D33D68" w14:paraId="20B62240" w14:textId="77777777" w:rsidTr="00C80916">
        <w:tc>
          <w:tcPr>
            <w:tcW w:w="1255" w:type="pct"/>
            <w:shd w:val="clear" w:color="auto" w:fill="auto"/>
          </w:tcPr>
          <w:p w14:paraId="2F622939" w14:textId="77777777" w:rsidR="00C347AD" w:rsidRPr="00D33D68" w:rsidRDefault="00C347AD" w:rsidP="008B2921">
            <w:pPr>
              <w:spacing w:after="0"/>
            </w:pPr>
            <w:r w:rsidRPr="00D33D68">
              <w:lastRenderedPageBreak/>
              <w:t>2.8 - Employment created</w:t>
            </w:r>
          </w:p>
        </w:tc>
        <w:tc>
          <w:tcPr>
            <w:tcW w:w="489" w:type="pct"/>
            <w:shd w:val="clear" w:color="auto" w:fill="auto"/>
          </w:tcPr>
          <w:p w14:paraId="63D429B3" w14:textId="220B7B5B" w:rsidR="00C347AD" w:rsidRPr="00D33D68" w:rsidRDefault="000064CF" w:rsidP="00B278CA">
            <w:pPr>
              <w:spacing w:after="0"/>
              <w:jc w:val="right"/>
            </w:pPr>
            <w:r w:rsidRPr="00D33D68">
              <w:t>257</w:t>
            </w:r>
          </w:p>
        </w:tc>
        <w:tc>
          <w:tcPr>
            <w:tcW w:w="484" w:type="pct"/>
            <w:shd w:val="clear" w:color="auto" w:fill="auto"/>
          </w:tcPr>
          <w:p w14:paraId="5D50A87E" w14:textId="77777777" w:rsidR="00C347AD" w:rsidRPr="00D33D68" w:rsidRDefault="00C347AD" w:rsidP="008C22B2">
            <w:pPr>
              <w:spacing w:after="0"/>
              <w:ind w:right="-105"/>
              <w:jc w:val="center"/>
            </w:pPr>
            <w:r w:rsidRPr="00D33D68">
              <w:t>FTE</w:t>
            </w:r>
          </w:p>
        </w:tc>
        <w:tc>
          <w:tcPr>
            <w:tcW w:w="533" w:type="pct"/>
          </w:tcPr>
          <w:p w14:paraId="7A5CDC43" w14:textId="77777777" w:rsidR="00C347AD" w:rsidRPr="00D33D68" w:rsidRDefault="00C347AD" w:rsidP="008B2921">
            <w:pPr>
              <w:spacing w:after="0"/>
              <w:jc w:val="center"/>
            </w:pPr>
          </w:p>
        </w:tc>
        <w:tc>
          <w:tcPr>
            <w:tcW w:w="2239" w:type="pct"/>
          </w:tcPr>
          <w:p w14:paraId="09AD1D04" w14:textId="6B61E04E" w:rsidR="00523AC8" w:rsidRPr="00D33D68" w:rsidRDefault="00523AC8" w:rsidP="00523AC8">
            <w:pPr>
              <w:spacing w:after="0"/>
              <w:ind w:left="-110" w:right="-3"/>
            </w:pPr>
            <w:r w:rsidRPr="00D33D68">
              <w:t>Индикаторът се образува от мерки 2.2</w:t>
            </w:r>
            <w:r w:rsidR="00F55E77" w:rsidRPr="00D33D68">
              <w:t xml:space="preserve"> (чл. 48, параграф 1, букви а-г и е-з)</w:t>
            </w:r>
            <w:r w:rsidRPr="00D33D68">
              <w:t xml:space="preserve"> и 2.3. Начална стойност </w:t>
            </w:r>
            <w:r w:rsidR="00762940" w:rsidRPr="00D33D68">
              <w:t>350</w:t>
            </w:r>
            <w:r w:rsidRPr="00D33D68">
              <w:t>. Намаляването на бюджета на мерки мерки 2.2</w:t>
            </w:r>
            <w:r w:rsidR="00F55E77" w:rsidRPr="00D33D68">
              <w:t xml:space="preserve"> (чл. 48, параграф 1, букви а-г и е-з)</w:t>
            </w:r>
            <w:r w:rsidRPr="00D33D68">
              <w:t xml:space="preserve"> и 2.3 със средно 6% при 1вата стъпка променя индикатора на </w:t>
            </w:r>
            <w:r w:rsidR="00762940" w:rsidRPr="00D33D68">
              <w:t>329</w:t>
            </w:r>
            <w:r w:rsidRPr="00D33D68">
              <w:t xml:space="preserve">. </w:t>
            </w:r>
          </w:p>
          <w:p w14:paraId="513EE8E3" w14:textId="77777777" w:rsidR="00523AC8" w:rsidRPr="00D33D68" w:rsidRDefault="00523AC8" w:rsidP="00523AC8">
            <w:pPr>
              <w:spacing w:after="0"/>
              <w:ind w:left="-110" w:right="-3"/>
            </w:pPr>
            <w:r w:rsidRPr="00D33D68">
              <w:t>С изменението поради COVID-19 бюджетът не се променя.</w:t>
            </w:r>
          </w:p>
          <w:p w14:paraId="577AE528" w14:textId="41C096BC" w:rsidR="005B7121" w:rsidRPr="00D33D68" w:rsidRDefault="00523AC8" w:rsidP="00523AC8">
            <w:pPr>
              <w:spacing w:after="0"/>
              <w:ind w:left="-100" w:right="-72"/>
            </w:pPr>
            <w:r w:rsidRPr="00D33D68">
              <w:t>Сега бюджетът на мярка 2.2</w:t>
            </w:r>
            <w:r w:rsidR="00F55E77" w:rsidRPr="00D33D68">
              <w:t xml:space="preserve"> (чл. 48, параграф 1, букви а-г и е-з)</w:t>
            </w:r>
            <w:r w:rsidRPr="00D33D68">
              <w:t xml:space="preserve"> се намаля с </w:t>
            </w:r>
            <w:r w:rsidR="00D12813" w:rsidRPr="00D33D68">
              <w:t>35.83</w:t>
            </w:r>
            <w:r w:rsidRPr="00D33D68">
              <w:t>%, а на мярка 2.3 се увеличава с 21.56% и се получава 2023 Target value.</w:t>
            </w:r>
          </w:p>
        </w:tc>
      </w:tr>
      <w:tr w:rsidR="00CC0C9F" w:rsidRPr="00D33D68" w14:paraId="767B55F3" w14:textId="77777777" w:rsidTr="00C80916">
        <w:tc>
          <w:tcPr>
            <w:tcW w:w="1255" w:type="pct"/>
            <w:shd w:val="clear" w:color="auto" w:fill="auto"/>
          </w:tcPr>
          <w:p w14:paraId="064CA840" w14:textId="77777777" w:rsidR="00C347AD" w:rsidRPr="00D33D68" w:rsidRDefault="00C347AD" w:rsidP="008B2921">
            <w:pPr>
              <w:spacing w:after="0"/>
            </w:pPr>
            <w:r w:rsidRPr="00D33D68">
              <w:t>2.9 - Employment maintained</w:t>
            </w:r>
          </w:p>
        </w:tc>
        <w:tc>
          <w:tcPr>
            <w:tcW w:w="489" w:type="pct"/>
            <w:shd w:val="clear" w:color="auto" w:fill="auto"/>
          </w:tcPr>
          <w:p w14:paraId="45DF5F2A" w14:textId="63AB9665" w:rsidR="00C347AD" w:rsidRPr="00D33D68" w:rsidRDefault="000064CF" w:rsidP="00A920E8">
            <w:pPr>
              <w:spacing w:after="0"/>
              <w:ind w:left="-37"/>
              <w:jc w:val="right"/>
            </w:pPr>
            <w:r w:rsidRPr="00D33D68">
              <w:t>917</w:t>
            </w:r>
          </w:p>
        </w:tc>
        <w:tc>
          <w:tcPr>
            <w:tcW w:w="484" w:type="pct"/>
            <w:shd w:val="clear" w:color="auto" w:fill="auto"/>
          </w:tcPr>
          <w:p w14:paraId="2552A5C7" w14:textId="77777777" w:rsidR="00C347AD" w:rsidRPr="00D33D68" w:rsidRDefault="00C347AD" w:rsidP="008C22B2">
            <w:pPr>
              <w:spacing w:after="0"/>
              <w:ind w:right="-105"/>
              <w:jc w:val="center"/>
            </w:pPr>
            <w:r w:rsidRPr="00D33D68">
              <w:t>FTE</w:t>
            </w:r>
          </w:p>
        </w:tc>
        <w:tc>
          <w:tcPr>
            <w:tcW w:w="533" w:type="pct"/>
          </w:tcPr>
          <w:p w14:paraId="6EAE7CC3" w14:textId="77777777" w:rsidR="00C347AD" w:rsidRPr="00D33D68" w:rsidRDefault="00C347AD" w:rsidP="008B2921">
            <w:pPr>
              <w:spacing w:after="0"/>
              <w:jc w:val="center"/>
            </w:pPr>
          </w:p>
        </w:tc>
        <w:tc>
          <w:tcPr>
            <w:tcW w:w="2239" w:type="pct"/>
          </w:tcPr>
          <w:p w14:paraId="18426454" w14:textId="388DD6A2" w:rsidR="00523AC8" w:rsidRPr="00D33D68" w:rsidRDefault="00523AC8" w:rsidP="00523AC8">
            <w:pPr>
              <w:spacing w:after="0"/>
              <w:ind w:left="-110" w:right="-3"/>
            </w:pPr>
            <w:r w:rsidRPr="00D33D68">
              <w:t>Индикаторът се образува от мерки 2.2</w:t>
            </w:r>
            <w:r w:rsidR="006A199F" w:rsidRPr="00D33D68">
              <w:t xml:space="preserve"> (чл. 48, параграф 1, букви а-г и е-з)</w:t>
            </w:r>
            <w:r w:rsidRPr="00D33D68">
              <w:t xml:space="preserve"> и 2.3. Начална стойност </w:t>
            </w:r>
            <w:r w:rsidR="009E7418" w:rsidRPr="00D33D68">
              <w:t>1250</w:t>
            </w:r>
            <w:r w:rsidRPr="00D33D68">
              <w:t>. Намаляването на бюджета на мерки мерки 2.2</w:t>
            </w:r>
            <w:r w:rsidR="00213C43" w:rsidRPr="00D33D68">
              <w:t xml:space="preserve"> (чл. 48, параграф 1, букви а-г и е-з)</w:t>
            </w:r>
            <w:r w:rsidRPr="00D33D68">
              <w:t xml:space="preserve"> и 2.3 със средно 6% при 1вата стъпка променя индикатора на </w:t>
            </w:r>
            <w:r w:rsidR="009E7418" w:rsidRPr="00D33D68">
              <w:t>1175</w:t>
            </w:r>
            <w:r w:rsidRPr="00D33D68">
              <w:t xml:space="preserve">. </w:t>
            </w:r>
          </w:p>
          <w:p w14:paraId="460FA82E" w14:textId="77777777" w:rsidR="00523AC8" w:rsidRPr="00D33D68" w:rsidRDefault="00523AC8" w:rsidP="00523AC8">
            <w:pPr>
              <w:spacing w:after="0"/>
              <w:ind w:left="-110" w:right="-3"/>
            </w:pPr>
            <w:r w:rsidRPr="00D33D68">
              <w:t>С изменението поради COVID-19 бюджетът не се променя.</w:t>
            </w:r>
          </w:p>
          <w:p w14:paraId="36F52AE5" w14:textId="4254B00C" w:rsidR="005B7121" w:rsidRPr="00D33D68" w:rsidRDefault="00523AC8" w:rsidP="00523AC8">
            <w:pPr>
              <w:spacing w:after="0"/>
              <w:ind w:left="-100" w:right="-3"/>
            </w:pPr>
            <w:r w:rsidRPr="00D33D68">
              <w:t xml:space="preserve">Сега бюджетът на мярка 2.2 </w:t>
            </w:r>
            <w:r w:rsidR="00FD5E31" w:rsidRPr="00D33D68">
              <w:t xml:space="preserve">(чл. 48, параграф 1, букви а-г и е-з) </w:t>
            </w:r>
            <w:r w:rsidRPr="00D33D68">
              <w:t xml:space="preserve">се намаля с </w:t>
            </w:r>
            <w:r w:rsidR="00D12813" w:rsidRPr="00D33D68">
              <w:t>35.83</w:t>
            </w:r>
            <w:r w:rsidRPr="00D33D68">
              <w:t>%, а на мярка 2.3 се увеличава с 21.56% и се получава 2023 Target value.</w:t>
            </w:r>
          </w:p>
        </w:tc>
      </w:tr>
    </w:tbl>
    <w:p w14:paraId="749D4568" w14:textId="77777777" w:rsidR="00B5762F" w:rsidRPr="00D33D68" w:rsidRDefault="00B5762F" w:rsidP="00B5762F">
      <w:pPr>
        <w:spacing w:after="0"/>
      </w:pPr>
    </w:p>
    <w:tbl>
      <w:tblPr>
        <w:tblW w:w="500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328"/>
        <w:gridCol w:w="911"/>
        <w:gridCol w:w="900"/>
        <w:gridCol w:w="989"/>
        <w:gridCol w:w="4166"/>
      </w:tblGrid>
      <w:tr w:rsidR="00D33D68" w:rsidRPr="00D33D68" w14:paraId="4C03203B" w14:textId="77777777" w:rsidTr="00100E5D">
        <w:tc>
          <w:tcPr>
            <w:tcW w:w="1253" w:type="pct"/>
            <w:shd w:val="clear" w:color="auto" w:fill="auto"/>
          </w:tcPr>
          <w:p w14:paraId="507CA9FB" w14:textId="77777777" w:rsidR="00CC0C9F" w:rsidRPr="00D33D68" w:rsidRDefault="00CC0C9F" w:rsidP="008B2921">
            <w:pPr>
              <w:pStyle w:val="Text1"/>
              <w:spacing w:before="0" w:after="0"/>
              <w:ind w:left="0"/>
              <w:rPr>
                <w:b/>
                <w:lang w:val="bg-BG"/>
              </w:rPr>
            </w:pPr>
            <w:r w:rsidRPr="00D33D68">
              <w:rPr>
                <w:b/>
                <w:noProof/>
                <w:lang w:val="bg-BG"/>
              </w:rPr>
              <w:t>Specific objective</w:t>
            </w:r>
          </w:p>
        </w:tc>
        <w:tc>
          <w:tcPr>
            <w:tcW w:w="3747" w:type="pct"/>
            <w:gridSpan w:val="4"/>
            <w:shd w:val="clear" w:color="auto" w:fill="auto"/>
          </w:tcPr>
          <w:p w14:paraId="5991DE1F" w14:textId="77777777" w:rsidR="00CC0C9F" w:rsidRPr="00D33D68" w:rsidRDefault="00CC0C9F" w:rsidP="008B2921">
            <w:pPr>
              <w:pStyle w:val="Text1"/>
              <w:spacing w:before="0" w:after="0"/>
              <w:ind w:left="0"/>
              <w:rPr>
                <w:b/>
                <w:noProof/>
                <w:lang w:val="bg-BG"/>
              </w:rPr>
            </w:pPr>
            <w:r w:rsidRPr="00D33D68">
              <w:rPr>
                <w:b/>
                <w:noProof/>
                <w:lang w:val="bg-BG"/>
              </w:rPr>
              <w:t>3</w:t>
            </w:r>
            <w:r w:rsidRPr="00D33D68">
              <w:rPr>
                <w:b/>
                <w:lang w:val="bg-BG"/>
              </w:rPr>
              <w:t xml:space="preserve"> - </w:t>
            </w:r>
            <w:r w:rsidRPr="00D33D68">
              <w:rPr>
                <w:b/>
                <w:noProof/>
                <w:lang w:val="bg-BG"/>
              </w:rPr>
              <w:t>Protection and restoration of aquatic biodiversity and enhancement of ecosystems related to aquaculture and promotion of resource efficient aquaculture</w:t>
            </w:r>
          </w:p>
        </w:tc>
      </w:tr>
      <w:tr w:rsidR="00D33D68" w:rsidRPr="00D33D68" w14:paraId="36AA568A" w14:textId="77777777" w:rsidTr="00C80916">
        <w:tc>
          <w:tcPr>
            <w:tcW w:w="1253" w:type="pct"/>
            <w:shd w:val="clear" w:color="auto" w:fill="auto"/>
          </w:tcPr>
          <w:p w14:paraId="2EF85086" w14:textId="77777777" w:rsidR="00CC0C9F" w:rsidRPr="00D33D68" w:rsidRDefault="00CC0C9F" w:rsidP="00385CA6">
            <w:pPr>
              <w:spacing w:after="0"/>
              <w:jc w:val="center"/>
              <w:rPr>
                <w:b/>
              </w:rPr>
            </w:pPr>
            <w:r w:rsidRPr="00D33D68">
              <w:rPr>
                <w:b/>
              </w:rPr>
              <w:t>Result indicator</w:t>
            </w:r>
          </w:p>
        </w:tc>
        <w:tc>
          <w:tcPr>
            <w:tcW w:w="490" w:type="pct"/>
            <w:shd w:val="clear" w:color="auto" w:fill="auto"/>
          </w:tcPr>
          <w:p w14:paraId="0735FD66" w14:textId="77777777" w:rsidR="00CC0C9F" w:rsidRPr="00D33D68" w:rsidRDefault="00CC0C9F" w:rsidP="00385CA6">
            <w:pPr>
              <w:spacing w:after="0"/>
              <w:jc w:val="center"/>
              <w:rPr>
                <w:b/>
              </w:rPr>
            </w:pPr>
            <w:r w:rsidRPr="00D33D68">
              <w:rPr>
                <w:b/>
              </w:rPr>
              <w:t>Target value for 2023</w:t>
            </w:r>
          </w:p>
          <w:p w14:paraId="3D46E7EE" w14:textId="77777777" w:rsidR="00632F0A" w:rsidRPr="00D33D68" w:rsidRDefault="00632F0A" w:rsidP="00385CA6">
            <w:pPr>
              <w:spacing w:after="0"/>
              <w:jc w:val="center"/>
              <w:rPr>
                <w:b/>
              </w:rPr>
            </w:pPr>
            <w:r w:rsidRPr="00D33D68">
              <w:rPr>
                <w:b/>
              </w:rPr>
              <w:t>(new)</w:t>
            </w:r>
          </w:p>
        </w:tc>
        <w:tc>
          <w:tcPr>
            <w:tcW w:w="484" w:type="pct"/>
            <w:shd w:val="clear" w:color="auto" w:fill="auto"/>
          </w:tcPr>
          <w:p w14:paraId="643C5FF0" w14:textId="77777777" w:rsidR="00CC0C9F" w:rsidRPr="00D33D68" w:rsidRDefault="00CC0C9F" w:rsidP="00EF1F22">
            <w:pPr>
              <w:spacing w:after="0"/>
              <w:ind w:right="-105"/>
              <w:jc w:val="center"/>
              <w:rPr>
                <w:b/>
              </w:rPr>
            </w:pPr>
            <w:r w:rsidRPr="00D33D68">
              <w:rPr>
                <w:b/>
              </w:rPr>
              <w:t>Measurement unit</w:t>
            </w:r>
          </w:p>
        </w:tc>
        <w:tc>
          <w:tcPr>
            <w:tcW w:w="532" w:type="pct"/>
          </w:tcPr>
          <w:p w14:paraId="7B396927" w14:textId="77777777" w:rsidR="00CC0C9F" w:rsidRPr="00D33D68" w:rsidRDefault="00CC0C9F" w:rsidP="00AD46AD">
            <w:pPr>
              <w:spacing w:after="0"/>
              <w:ind w:left="-110"/>
              <w:jc w:val="center"/>
              <w:rPr>
                <w:b/>
              </w:rPr>
            </w:pPr>
            <w:r w:rsidRPr="00D33D68">
              <w:rPr>
                <w:b/>
              </w:rPr>
              <w:t>Not applicable</w:t>
            </w:r>
          </w:p>
        </w:tc>
        <w:tc>
          <w:tcPr>
            <w:tcW w:w="2241" w:type="pct"/>
          </w:tcPr>
          <w:p w14:paraId="6483FDBE" w14:textId="2CF524BF" w:rsidR="00CC0C9F" w:rsidRPr="00D33D68" w:rsidRDefault="00EB4109" w:rsidP="00385CA6">
            <w:pPr>
              <w:spacing w:after="0"/>
              <w:jc w:val="center"/>
              <w:rPr>
                <w:b/>
              </w:rPr>
            </w:pPr>
            <w:r w:rsidRPr="00D33D68">
              <w:rPr>
                <w:b/>
              </w:rPr>
              <w:t>Explanation</w:t>
            </w:r>
          </w:p>
        </w:tc>
      </w:tr>
      <w:tr w:rsidR="00D33D68" w:rsidRPr="00D33D68" w14:paraId="31C2A7D1" w14:textId="77777777" w:rsidTr="00C80916">
        <w:tc>
          <w:tcPr>
            <w:tcW w:w="1253" w:type="pct"/>
            <w:shd w:val="clear" w:color="auto" w:fill="auto"/>
          </w:tcPr>
          <w:p w14:paraId="3FC6B0EB" w14:textId="77777777" w:rsidR="00CC0C9F" w:rsidRPr="00D33D68" w:rsidRDefault="00CC0C9F" w:rsidP="008B2921">
            <w:pPr>
              <w:spacing w:after="0"/>
            </w:pPr>
            <w:r w:rsidRPr="00D33D68">
              <w:t>2.4 - Change in the volume of production organic aquaculture</w:t>
            </w:r>
          </w:p>
        </w:tc>
        <w:tc>
          <w:tcPr>
            <w:tcW w:w="490" w:type="pct"/>
            <w:shd w:val="clear" w:color="auto" w:fill="auto"/>
          </w:tcPr>
          <w:p w14:paraId="447DF778" w14:textId="439B7F1A" w:rsidR="00CC0C9F" w:rsidRPr="00D33D68" w:rsidRDefault="008F5D26" w:rsidP="008B2921">
            <w:pPr>
              <w:spacing w:after="0"/>
              <w:jc w:val="right"/>
            </w:pPr>
            <w:r w:rsidRPr="00D33D68">
              <w:t>35.11</w:t>
            </w:r>
          </w:p>
        </w:tc>
        <w:tc>
          <w:tcPr>
            <w:tcW w:w="484" w:type="pct"/>
            <w:shd w:val="clear" w:color="auto" w:fill="auto"/>
          </w:tcPr>
          <w:p w14:paraId="2F8B971A" w14:textId="77777777" w:rsidR="00CC0C9F" w:rsidRPr="00D33D68" w:rsidRDefault="00CC0C9F" w:rsidP="00EF1F22">
            <w:pPr>
              <w:spacing w:after="0"/>
              <w:ind w:right="-105"/>
            </w:pPr>
            <w:r w:rsidRPr="00D33D68">
              <w:t>tonnes</w:t>
            </w:r>
          </w:p>
        </w:tc>
        <w:tc>
          <w:tcPr>
            <w:tcW w:w="532" w:type="pct"/>
          </w:tcPr>
          <w:p w14:paraId="1930987D" w14:textId="77777777" w:rsidR="00CC0C9F" w:rsidRPr="00D33D68" w:rsidRDefault="00CC0C9F" w:rsidP="008B2921">
            <w:pPr>
              <w:spacing w:after="0"/>
              <w:jc w:val="center"/>
            </w:pPr>
          </w:p>
        </w:tc>
        <w:tc>
          <w:tcPr>
            <w:tcW w:w="2241" w:type="pct"/>
          </w:tcPr>
          <w:p w14:paraId="2C882FAC" w14:textId="5492CA9C" w:rsidR="00A173CE" w:rsidRPr="00D33D68" w:rsidRDefault="005B7121" w:rsidP="00AA7D9B">
            <w:pPr>
              <w:spacing w:after="0"/>
            </w:pPr>
            <w:r w:rsidRPr="00D33D68">
              <w:t xml:space="preserve">Индикаторът се образува от мерки </w:t>
            </w:r>
            <w:r w:rsidR="00AD60DF" w:rsidRPr="00D33D68">
              <w:t>2.2</w:t>
            </w:r>
            <w:r w:rsidR="008E6DE4" w:rsidRPr="00D33D68">
              <w:t xml:space="preserve"> (чл. 48, параграф 1, букви к и д, и и й)</w:t>
            </w:r>
            <w:r w:rsidR="00AD60DF" w:rsidRPr="00D33D68">
              <w:t xml:space="preserve"> </w:t>
            </w:r>
            <w:r w:rsidR="00313E76" w:rsidRPr="00D33D68">
              <w:t xml:space="preserve">и </w:t>
            </w:r>
            <w:r w:rsidR="00AD60DF" w:rsidRPr="00D33D68">
              <w:t>2.4</w:t>
            </w:r>
            <w:r w:rsidRPr="00D33D68">
              <w:t xml:space="preserve">. Начална стойност </w:t>
            </w:r>
            <w:r w:rsidR="001B4933" w:rsidRPr="00D33D68">
              <w:t>50</w:t>
            </w:r>
            <w:r w:rsidRPr="00D33D68">
              <w:t xml:space="preserve">. </w:t>
            </w:r>
            <w:r w:rsidR="00A757C3" w:rsidRPr="00D33D68">
              <w:lastRenderedPageBreak/>
              <w:t>Намаляването</w:t>
            </w:r>
            <w:r w:rsidRPr="00D33D68">
              <w:t xml:space="preserve"> на бюджета на мерки </w:t>
            </w:r>
            <w:r w:rsidR="00A757C3" w:rsidRPr="00D33D68">
              <w:t xml:space="preserve">2.2 </w:t>
            </w:r>
            <w:r w:rsidR="008E6DE4" w:rsidRPr="00D33D68">
              <w:t xml:space="preserve">(чл. 48, параграф 1, букви к и д, и и й) </w:t>
            </w:r>
            <w:r w:rsidR="00A757C3" w:rsidRPr="00D33D68">
              <w:t>и 2.4</w:t>
            </w:r>
            <w:r w:rsidRPr="00D33D68">
              <w:t xml:space="preserve"> с</w:t>
            </w:r>
            <w:r w:rsidR="00A757C3" w:rsidRPr="00D33D68">
              <w:t>ъс средно</w:t>
            </w:r>
            <w:r w:rsidRPr="00D33D68">
              <w:t xml:space="preserve"> </w:t>
            </w:r>
            <w:r w:rsidR="00A757C3" w:rsidRPr="00D33D68">
              <w:t>6</w:t>
            </w:r>
            <w:r w:rsidRPr="00D33D68">
              <w:t xml:space="preserve">% при 1вата стъпка променя индикатора на </w:t>
            </w:r>
            <w:r w:rsidR="00B017A1" w:rsidRPr="00D33D68">
              <w:t>47</w:t>
            </w:r>
            <w:r w:rsidRPr="00D33D68">
              <w:t>.</w:t>
            </w:r>
            <w:r w:rsidR="00002376" w:rsidRPr="00D33D68">
              <w:t xml:space="preserve"> </w:t>
            </w:r>
          </w:p>
          <w:p w14:paraId="441F8957" w14:textId="7FC24999" w:rsidR="00E57983" w:rsidRPr="00D33D68" w:rsidRDefault="00E57983" w:rsidP="00AA7D9B">
            <w:pPr>
              <w:spacing w:after="0"/>
            </w:pPr>
            <w:r w:rsidRPr="00D33D68">
              <w:t xml:space="preserve">С изменението поради COVID-19 бюджетът </w:t>
            </w:r>
            <w:r w:rsidR="008F5D26" w:rsidRPr="00D33D68">
              <w:t xml:space="preserve">на мерки 2.2 (чл. 48, параграф 1, букви к и д, и и й) и 2.4 </w:t>
            </w:r>
            <w:r w:rsidR="00002376" w:rsidRPr="00D33D68">
              <w:t>намалява средно с 50% до 23,50</w:t>
            </w:r>
            <w:r w:rsidR="008F5D26" w:rsidRPr="00D33D68">
              <w:t xml:space="preserve"> (като 2.4 е затворена и не се включва в последното изчисление на индикатора)</w:t>
            </w:r>
            <w:r w:rsidR="00002376" w:rsidRPr="00D33D68">
              <w:t>.</w:t>
            </w:r>
            <w:r w:rsidR="008F5D26" w:rsidRPr="00D33D68">
              <w:t xml:space="preserve"> </w:t>
            </w:r>
            <w:r w:rsidR="005B7121" w:rsidRPr="00D33D68">
              <w:t xml:space="preserve"> </w:t>
            </w:r>
          </w:p>
          <w:p w14:paraId="7856B74B" w14:textId="7D7BA7D7" w:rsidR="005B7121" w:rsidRPr="00D33D68" w:rsidRDefault="005B7121" w:rsidP="008F5D26">
            <w:pPr>
              <w:spacing w:after="0"/>
            </w:pPr>
            <w:r w:rsidRPr="00D33D68">
              <w:t>Сега бюджета на м</w:t>
            </w:r>
            <w:r w:rsidR="00B017A1" w:rsidRPr="00D33D68">
              <w:t>ярка 2.</w:t>
            </w:r>
            <w:r w:rsidR="00002376" w:rsidRPr="00D33D68">
              <w:t>2</w:t>
            </w:r>
            <w:r w:rsidR="008E6DE4" w:rsidRPr="00D33D68">
              <w:t xml:space="preserve"> (чл. 48, параграф 1, букви к и д, и и й) </w:t>
            </w:r>
            <w:r w:rsidR="00B017A1" w:rsidRPr="00D33D68">
              <w:t xml:space="preserve">се </w:t>
            </w:r>
            <w:r w:rsidR="008F5D26" w:rsidRPr="00D33D68">
              <w:t>увеличава</w:t>
            </w:r>
            <w:r w:rsidR="00B017A1" w:rsidRPr="00D33D68">
              <w:t xml:space="preserve"> </w:t>
            </w:r>
            <w:r w:rsidR="00E57983" w:rsidRPr="00D33D68">
              <w:t xml:space="preserve">с </w:t>
            </w:r>
            <w:r w:rsidR="008F5D26" w:rsidRPr="00D33D68">
              <w:t>49.43%</w:t>
            </w:r>
            <w:r w:rsidR="00B017A1" w:rsidRPr="00D33D68">
              <w:t xml:space="preserve"> </w:t>
            </w:r>
            <w:r w:rsidRPr="00D33D68">
              <w:t>и се получава 2023 Target value.</w:t>
            </w:r>
          </w:p>
        </w:tc>
      </w:tr>
      <w:tr w:rsidR="00D33D68" w:rsidRPr="00D33D68" w14:paraId="41E0DBE9" w14:textId="77777777" w:rsidTr="00C80916">
        <w:tc>
          <w:tcPr>
            <w:tcW w:w="1253" w:type="pct"/>
            <w:shd w:val="clear" w:color="auto" w:fill="auto"/>
          </w:tcPr>
          <w:p w14:paraId="13ACC23D" w14:textId="77777777" w:rsidR="00CC0C9F" w:rsidRPr="00D33D68" w:rsidRDefault="00CC0C9F" w:rsidP="008B2921">
            <w:pPr>
              <w:spacing w:after="0"/>
            </w:pPr>
            <w:r w:rsidRPr="00D33D68">
              <w:lastRenderedPageBreak/>
              <w:t>2.5 - Change in the volume of production recirculation system</w:t>
            </w:r>
          </w:p>
        </w:tc>
        <w:tc>
          <w:tcPr>
            <w:tcW w:w="490" w:type="pct"/>
            <w:shd w:val="clear" w:color="auto" w:fill="auto"/>
          </w:tcPr>
          <w:p w14:paraId="65A4524F" w14:textId="77777777" w:rsidR="00CC0C9F" w:rsidRPr="00D33D68" w:rsidRDefault="00CC0C9F" w:rsidP="008B2921">
            <w:pPr>
              <w:spacing w:after="0"/>
              <w:jc w:val="right"/>
            </w:pPr>
          </w:p>
        </w:tc>
        <w:tc>
          <w:tcPr>
            <w:tcW w:w="484" w:type="pct"/>
            <w:shd w:val="clear" w:color="auto" w:fill="auto"/>
          </w:tcPr>
          <w:p w14:paraId="6BF68AB8" w14:textId="77777777" w:rsidR="00CC0C9F" w:rsidRPr="00D33D68" w:rsidRDefault="00CC0C9F" w:rsidP="00EF1F22">
            <w:pPr>
              <w:spacing w:after="0"/>
              <w:ind w:right="-105"/>
            </w:pPr>
            <w:r w:rsidRPr="00D33D68">
              <w:t>tonnes</w:t>
            </w:r>
          </w:p>
        </w:tc>
        <w:tc>
          <w:tcPr>
            <w:tcW w:w="532" w:type="pct"/>
          </w:tcPr>
          <w:p w14:paraId="6C34B5DE" w14:textId="77777777" w:rsidR="00CC0C9F" w:rsidRPr="00D33D68" w:rsidRDefault="00CC0C9F" w:rsidP="008B2921">
            <w:pPr>
              <w:spacing w:after="0"/>
              <w:jc w:val="center"/>
            </w:pPr>
            <w:r w:rsidRPr="00D33D68">
              <w:sym w:font="Wingdings" w:char="F0FC"/>
            </w:r>
          </w:p>
        </w:tc>
        <w:tc>
          <w:tcPr>
            <w:tcW w:w="2241" w:type="pct"/>
          </w:tcPr>
          <w:p w14:paraId="3D31FDC2" w14:textId="491C2519" w:rsidR="00CC0C9F" w:rsidRPr="00D33D68" w:rsidRDefault="00100E5D" w:rsidP="005B7121">
            <w:pPr>
              <w:spacing w:after="0"/>
              <w:jc w:val="center"/>
            </w:pPr>
            <w:r w:rsidRPr="00D33D68">
              <w:t>(N/A)</w:t>
            </w:r>
          </w:p>
        </w:tc>
      </w:tr>
      <w:tr w:rsidR="00D33D68" w:rsidRPr="00D33D68" w14:paraId="7650BABF" w14:textId="77777777" w:rsidTr="00C80916">
        <w:tc>
          <w:tcPr>
            <w:tcW w:w="1253" w:type="pct"/>
            <w:shd w:val="clear" w:color="auto" w:fill="auto"/>
          </w:tcPr>
          <w:p w14:paraId="6A614AB7" w14:textId="77777777" w:rsidR="00CC0C9F" w:rsidRPr="00D33D68" w:rsidRDefault="00CC0C9F" w:rsidP="008B2921">
            <w:pPr>
              <w:spacing w:after="0"/>
            </w:pPr>
            <w:r w:rsidRPr="00D33D68">
              <w:t>2.6 - Change in the volume of aquaculture production certified under voluntary sustainability schemes</w:t>
            </w:r>
          </w:p>
        </w:tc>
        <w:tc>
          <w:tcPr>
            <w:tcW w:w="490" w:type="pct"/>
            <w:shd w:val="clear" w:color="auto" w:fill="auto"/>
          </w:tcPr>
          <w:p w14:paraId="317C3CDA" w14:textId="03F6C780" w:rsidR="00CC0C9F" w:rsidRPr="00D33D68" w:rsidRDefault="009B2115" w:rsidP="008B2921">
            <w:pPr>
              <w:spacing w:after="0"/>
              <w:jc w:val="right"/>
            </w:pPr>
            <w:r w:rsidRPr="00D33D68">
              <w:t>351.15</w:t>
            </w:r>
          </w:p>
        </w:tc>
        <w:tc>
          <w:tcPr>
            <w:tcW w:w="484" w:type="pct"/>
            <w:shd w:val="clear" w:color="auto" w:fill="auto"/>
          </w:tcPr>
          <w:p w14:paraId="06374008" w14:textId="77777777" w:rsidR="00CC0C9F" w:rsidRPr="00D33D68" w:rsidRDefault="00CC0C9F" w:rsidP="00EF1F22">
            <w:pPr>
              <w:spacing w:after="0"/>
              <w:ind w:right="-105"/>
            </w:pPr>
            <w:r w:rsidRPr="00D33D68">
              <w:t>tonnes</w:t>
            </w:r>
          </w:p>
        </w:tc>
        <w:tc>
          <w:tcPr>
            <w:tcW w:w="532" w:type="pct"/>
          </w:tcPr>
          <w:p w14:paraId="10A0154D" w14:textId="77777777" w:rsidR="00CC0C9F" w:rsidRPr="00D33D68" w:rsidRDefault="00CC0C9F" w:rsidP="008B2921">
            <w:pPr>
              <w:spacing w:after="0"/>
              <w:jc w:val="center"/>
            </w:pPr>
          </w:p>
        </w:tc>
        <w:tc>
          <w:tcPr>
            <w:tcW w:w="2241" w:type="pct"/>
          </w:tcPr>
          <w:p w14:paraId="1042219D" w14:textId="02DA76E2" w:rsidR="009B2115" w:rsidRPr="00D33D68" w:rsidRDefault="009B2115" w:rsidP="009B2115">
            <w:pPr>
              <w:spacing w:after="0"/>
            </w:pPr>
            <w:r w:rsidRPr="00D33D68">
              <w:t xml:space="preserve">Индикаторът се образува от мерки 2.2 (чл. 48, параграф 1, букви к и д, и и й) и 2.4. Начална стойност 500. Намаляването на бюджета на мерки 2.2 (чл. 48, параграф 1, букви к и д, и и й) и 2.4 със средно 6% при 1вата стъпка променя индикатора на 470. </w:t>
            </w:r>
          </w:p>
          <w:p w14:paraId="5410315E" w14:textId="5C4C83C3" w:rsidR="009B2115" w:rsidRPr="00D33D68" w:rsidRDefault="009B2115" w:rsidP="009B2115">
            <w:pPr>
              <w:spacing w:after="0"/>
            </w:pPr>
            <w:r w:rsidRPr="00D33D68">
              <w:t xml:space="preserve">С изменението поради COVID-19 бюджетът на мерки 2.2 (чл. 48, параграф 1, букви к и д, и и й) и 2.4 намалява средно с 50% до 235 (като 2.4 е затворена и не се включва в последното изчисление на индикатора).  </w:t>
            </w:r>
          </w:p>
          <w:p w14:paraId="685DECC2" w14:textId="0C42B8DF" w:rsidR="005B7121" w:rsidRPr="00D33D68" w:rsidRDefault="009B2115" w:rsidP="009B2115">
            <w:pPr>
              <w:spacing w:after="0"/>
            </w:pPr>
            <w:r w:rsidRPr="00D33D68">
              <w:t>Сега бюджета на мярка 2.2 (чл. 48, параграф 1, букви к и д, и и й) се увеличава с 49.43% и се получава 2023 Target value.</w:t>
            </w:r>
          </w:p>
        </w:tc>
      </w:tr>
      <w:tr w:rsidR="00D33D68" w:rsidRPr="00D33D68" w14:paraId="067AEE28" w14:textId="77777777" w:rsidTr="00C80916">
        <w:tc>
          <w:tcPr>
            <w:tcW w:w="1253" w:type="pct"/>
            <w:shd w:val="clear" w:color="auto" w:fill="auto"/>
          </w:tcPr>
          <w:p w14:paraId="12191D49" w14:textId="77777777" w:rsidR="00CC0C9F" w:rsidRPr="00D33D68" w:rsidRDefault="00CC0C9F" w:rsidP="008B2921">
            <w:pPr>
              <w:spacing w:after="0"/>
            </w:pPr>
            <w:r w:rsidRPr="00D33D68">
              <w:t>2.7 - Aquaculture farms providing environmental services</w:t>
            </w:r>
          </w:p>
        </w:tc>
        <w:tc>
          <w:tcPr>
            <w:tcW w:w="490" w:type="pct"/>
            <w:shd w:val="clear" w:color="auto" w:fill="auto"/>
          </w:tcPr>
          <w:p w14:paraId="68854293" w14:textId="77777777" w:rsidR="00CC0C9F" w:rsidRPr="00D33D68" w:rsidRDefault="00CC0C9F" w:rsidP="008B2921">
            <w:pPr>
              <w:spacing w:after="0"/>
              <w:jc w:val="right"/>
            </w:pPr>
          </w:p>
        </w:tc>
        <w:tc>
          <w:tcPr>
            <w:tcW w:w="484" w:type="pct"/>
            <w:shd w:val="clear" w:color="auto" w:fill="auto"/>
          </w:tcPr>
          <w:p w14:paraId="5B57DF10" w14:textId="77777777" w:rsidR="00CC0C9F" w:rsidRPr="00D33D68" w:rsidRDefault="00CC0C9F" w:rsidP="00EF1F22">
            <w:pPr>
              <w:spacing w:after="0"/>
              <w:ind w:right="-105"/>
            </w:pPr>
            <w:r w:rsidRPr="00D33D68">
              <w:t>number</w:t>
            </w:r>
          </w:p>
        </w:tc>
        <w:tc>
          <w:tcPr>
            <w:tcW w:w="532" w:type="pct"/>
          </w:tcPr>
          <w:p w14:paraId="55154499" w14:textId="77777777" w:rsidR="00CC0C9F" w:rsidRPr="00D33D68" w:rsidRDefault="00CC0C9F" w:rsidP="008B2921">
            <w:pPr>
              <w:spacing w:after="0"/>
              <w:jc w:val="center"/>
            </w:pPr>
            <w:r w:rsidRPr="00D33D68">
              <w:sym w:font="Wingdings" w:char="F0FC"/>
            </w:r>
          </w:p>
        </w:tc>
        <w:tc>
          <w:tcPr>
            <w:tcW w:w="2241" w:type="pct"/>
          </w:tcPr>
          <w:p w14:paraId="2BF58EFB" w14:textId="079B9200" w:rsidR="00CC0C9F" w:rsidRPr="00D33D68" w:rsidRDefault="008B2A75" w:rsidP="008B2921">
            <w:pPr>
              <w:spacing w:after="0"/>
              <w:jc w:val="center"/>
            </w:pPr>
            <w:r w:rsidRPr="00D33D68">
              <w:t>(N/A)</w:t>
            </w:r>
          </w:p>
        </w:tc>
      </w:tr>
      <w:tr w:rsidR="00D33D68" w:rsidRPr="00D33D68" w14:paraId="3F24EE58" w14:textId="77777777" w:rsidTr="00C80916">
        <w:tc>
          <w:tcPr>
            <w:tcW w:w="1253" w:type="pct"/>
            <w:shd w:val="clear" w:color="auto" w:fill="auto"/>
          </w:tcPr>
          <w:p w14:paraId="350F2623" w14:textId="77777777" w:rsidR="00CC0C9F" w:rsidRPr="00D33D68" w:rsidRDefault="00CC0C9F" w:rsidP="008B2921">
            <w:pPr>
              <w:spacing w:after="0"/>
            </w:pPr>
            <w:r w:rsidRPr="00D33D68">
              <w:t>2.8 - Employment created</w:t>
            </w:r>
          </w:p>
        </w:tc>
        <w:tc>
          <w:tcPr>
            <w:tcW w:w="490" w:type="pct"/>
            <w:shd w:val="clear" w:color="auto" w:fill="auto"/>
          </w:tcPr>
          <w:p w14:paraId="2136C9A2" w14:textId="77777777" w:rsidR="00CC0C9F" w:rsidRPr="00D33D68" w:rsidRDefault="00CC0C9F" w:rsidP="008B2921">
            <w:pPr>
              <w:spacing w:after="0"/>
              <w:jc w:val="right"/>
            </w:pPr>
          </w:p>
        </w:tc>
        <w:tc>
          <w:tcPr>
            <w:tcW w:w="484" w:type="pct"/>
            <w:shd w:val="clear" w:color="auto" w:fill="auto"/>
          </w:tcPr>
          <w:p w14:paraId="4DE2192D" w14:textId="77777777" w:rsidR="00CC0C9F" w:rsidRPr="00D33D68" w:rsidRDefault="00CC0C9F" w:rsidP="00EF1F22">
            <w:pPr>
              <w:spacing w:after="0"/>
              <w:ind w:right="-105"/>
            </w:pPr>
            <w:r w:rsidRPr="00D33D68">
              <w:t>FTE</w:t>
            </w:r>
          </w:p>
        </w:tc>
        <w:tc>
          <w:tcPr>
            <w:tcW w:w="532" w:type="pct"/>
          </w:tcPr>
          <w:p w14:paraId="75ECBE91" w14:textId="77777777" w:rsidR="00CC0C9F" w:rsidRPr="00D33D68" w:rsidRDefault="00CC0C9F" w:rsidP="008B2921">
            <w:pPr>
              <w:spacing w:after="0"/>
              <w:jc w:val="center"/>
            </w:pPr>
            <w:r w:rsidRPr="00D33D68">
              <w:sym w:font="Wingdings" w:char="F0FC"/>
            </w:r>
          </w:p>
        </w:tc>
        <w:tc>
          <w:tcPr>
            <w:tcW w:w="2241" w:type="pct"/>
          </w:tcPr>
          <w:p w14:paraId="1657BE1C" w14:textId="763CC09F" w:rsidR="00CC0C9F" w:rsidRPr="00D33D68" w:rsidRDefault="008B2A75" w:rsidP="008B2921">
            <w:pPr>
              <w:spacing w:after="0"/>
              <w:jc w:val="center"/>
            </w:pPr>
            <w:r w:rsidRPr="00D33D68">
              <w:t>(N/A)</w:t>
            </w:r>
          </w:p>
        </w:tc>
      </w:tr>
      <w:tr w:rsidR="00F00C10" w:rsidRPr="00D33D68" w14:paraId="5A0DF104" w14:textId="77777777" w:rsidTr="00C80916">
        <w:tc>
          <w:tcPr>
            <w:tcW w:w="1253" w:type="pct"/>
            <w:shd w:val="clear" w:color="auto" w:fill="auto"/>
          </w:tcPr>
          <w:p w14:paraId="06D88C53" w14:textId="77777777" w:rsidR="00CC0C9F" w:rsidRPr="00D33D68" w:rsidRDefault="00CC0C9F" w:rsidP="008B2921">
            <w:pPr>
              <w:spacing w:after="0"/>
            </w:pPr>
            <w:r w:rsidRPr="00D33D68">
              <w:t xml:space="preserve">2.9 - Employment </w:t>
            </w:r>
            <w:r w:rsidRPr="00D33D68">
              <w:lastRenderedPageBreak/>
              <w:t>maintained</w:t>
            </w:r>
          </w:p>
        </w:tc>
        <w:tc>
          <w:tcPr>
            <w:tcW w:w="490" w:type="pct"/>
            <w:shd w:val="clear" w:color="auto" w:fill="auto"/>
          </w:tcPr>
          <w:p w14:paraId="3C8C0446" w14:textId="77777777" w:rsidR="00CC0C9F" w:rsidRPr="00D33D68" w:rsidRDefault="00CC0C9F" w:rsidP="008B2921">
            <w:pPr>
              <w:spacing w:after="0"/>
              <w:jc w:val="right"/>
            </w:pPr>
          </w:p>
        </w:tc>
        <w:tc>
          <w:tcPr>
            <w:tcW w:w="484" w:type="pct"/>
            <w:shd w:val="clear" w:color="auto" w:fill="auto"/>
          </w:tcPr>
          <w:p w14:paraId="628CCD24" w14:textId="77777777" w:rsidR="00CC0C9F" w:rsidRPr="00D33D68" w:rsidRDefault="00CC0C9F" w:rsidP="00EF1F22">
            <w:pPr>
              <w:spacing w:after="0"/>
              <w:ind w:right="-105"/>
            </w:pPr>
            <w:r w:rsidRPr="00D33D68">
              <w:t>FTE</w:t>
            </w:r>
          </w:p>
        </w:tc>
        <w:tc>
          <w:tcPr>
            <w:tcW w:w="532" w:type="pct"/>
          </w:tcPr>
          <w:p w14:paraId="4EA6C481" w14:textId="77777777" w:rsidR="00CC0C9F" w:rsidRPr="00D33D68" w:rsidRDefault="00CC0C9F" w:rsidP="008B2921">
            <w:pPr>
              <w:spacing w:after="0"/>
              <w:jc w:val="center"/>
            </w:pPr>
            <w:r w:rsidRPr="00D33D68">
              <w:sym w:font="Wingdings" w:char="F0FC"/>
            </w:r>
          </w:p>
        </w:tc>
        <w:tc>
          <w:tcPr>
            <w:tcW w:w="2241" w:type="pct"/>
          </w:tcPr>
          <w:p w14:paraId="6ECD6E50" w14:textId="13B67D90" w:rsidR="00CC0C9F" w:rsidRPr="00D33D68" w:rsidRDefault="008B2A75" w:rsidP="008B2921">
            <w:pPr>
              <w:spacing w:after="0"/>
              <w:jc w:val="center"/>
            </w:pPr>
            <w:r w:rsidRPr="00D33D68">
              <w:t>(N/A)</w:t>
            </w:r>
          </w:p>
        </w:tc>
      </w:tr>
    </w:tbl>
    <w:p w14:paraId="63E40D54" w14:textId="77777777" w:rsidR="00B5762F" w:rsidRPr="00D33D68" w:rsidRDefault="00B5762F" w:rsidP="00B5762F">
      <w:pPr>
        <w:spacing w:after="0"/>
      </w:pPr>
    </w:p>
    <w:tbl>
      <w:tblPr>
        <w:tblW w:w="501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338"/>
        <w:gridCol w:w="902"/>
        <w:gridCol w:w="900"/>
        <w:gridCol w:w="992"/>
        <w:gridCol w:w="4188"/>
      </w:tblGrid>
      <w:tr w:rsidR="00D33D68" w:rsidRPr="00D33D68" w14:paraId="698B5858" w14:textId="77777777" w:rsidTr="00C80916">
        <w:tc>
          <w:tcPr>
            <w:tcW w:w="1254" w:type="pct"/>
            <w:shd w:val="clear" w:color="auto" w:fill="auto"/>
          </w:tcPr>
          <w:p w14:paraId="3EE0386A" w14:textId="77777777" w:rsidR="00CC0C9F" w:rsidRPr="00D33D68" w:rsidRDefault="00CC0C9F" w:rsidP="008B2921">
            <w:pPr>
              <w:pStyle w:val="Text1"/>
              <w:spacing w:before="0" w:after="0"/>
              <w:ind w:left="0"/>
              <w:rPr>
                <w:b/>
                <w:lang w:val="bg-BG"/>
              </w:rPr>
            </w:pPr>
            <w:r w:rsidRPr="00D33D68">
              <w:rPr>
                <w:b/>
                <w:noProof/>
                <w:lang w:val="bg-BG"/>
              </w:rPr>
              <w:t>Specific objective</w:t>
            </w:r>
          </w:p>
        </w:tc>
        <w:tc>
          <w:tcPr>
            <w:tcW w:w="3746" w:type="pct"/>
            <w:gridSpan w:val="4"/>
            <w:shd w:val="clear" w:color="auto" w:fill="auto"/>
          </w:tcPr>
          <w:p w14:paraId="3AE11FBD" w14:textId="77777777" w:rsidR="00CC0C9F" w:rsidRPr="00D33D68" w:rsidRDefault="00CC0C9F" w:rsidP="008B2921">
            <w:pPr>
              <w:pStyle w:val="Text1"/>
              <w:spacing w:before="0" w:after="0"/>
              <w:ind w:left="0"/>
              <w:rPr>
                <w:b/>
                <w:noProof/>
                <w:lang w:val="bg-BG"/>
              </w:rPr>
            </w:pPr>
            <w:r w:rsidRPr="00D33D68">
              <w:rPr>
                <w:b/>
                <w:noProof/>
                <w:lang w:val="bg-BG"/>
              </w:rPr>
              <w:t>4</w:t>
            </w:r>
            <w:r w:rsidRPr="00D33D68">
              <w:rPr>
                <w:b/>
                <w:lang w:val="bg-BG"/>
              </w:rPr>
              <w:t xml:space="preserve"> - </w:t>
            </w:r>
            <w:r w:rsidRPr="00D33D68">
              <w:rPr>
                <w:b/>
                <w:noProof/>
                <w:lang w:val="bg-BG"/>
              </w:rPr>
              <w:t>Promotion of aquaculture having a high level of environmental protection, and the promotion of animal health and welfare and of public health and safety</w:t>
            </w:r>
          </w:p>
        </w:tc>
      </w:tr>
      <w:tr w:rsidR="00D33D68" w:rsidRPr="00D33D68" w14:paraId="2FDD19AB" w14:textId="77777777" w:rsidTr="00C80916">
        <w:tc>
          <w:tcPr>
            <w:tcW w:w="1254" w:type="pct"/>
            <w:shd w:val="clear" w:color="auto" w:fill="auto"/>
          </w:tcPr>
          <w:p w14:paraId="21C91B23" w14:textId="77777777" w:rsidR="00CC0C9F" w:rsidRPr="00D33D68" w:rsidRDefault="00CC0C9F" w:rsidP="00CC0C9F">
            <w:pPr>
              <w:spacing w:after="0"/>
              <w:jc w:val="center"/>
              <w:rPr>
                <w:b/>
              </w:rPr>
            </w:pPr>
            <w:r w:rsidRPr="00D33D68">
              <w:rPr>
                <w:b/>
              </w:rPr>
              <w:t>Result indicator</w:t>
            </w:r>
          </w:p>
        </w:tc>
        <w:tc>
          <w:tcPr>
            <w:tcW w:w="484" w:type="pct"/>
            <w:shd w:val="clear" w:color="auto" w:fill="auto"/>
          </w:tcPr>
          <w:p w14:paraId="3B22C829" w14:textId="77777777" w:rsidR="00CC0C9F" w:rsidRPr="00D33D68" w:rsidRDefault="00CC0C9F" w:rsidP="00CC0C9F">
            <w:pPr>
              <w:spacing w:after="0"/>
              <w:jc w:val="center"/>
              <w:rPr>
                <w:b/>
              </w:rPr>
            </w:pPr>
            <w:r w:rsidRPr="00D33D68">
              <w:rPr>
                <w:b/>
              </w:rPr>
              <w:t>Target value for 2023</w:t>
            </w:r>
          </w:p>
          <w:p w14:paraId="40659A72" w14:textId="77777777" w:rsidR="00632F0A" w:rsidRPr="00D33D68" w:rsidRDefault="00632F0A" w:rsidP="00CC0C9F">
            <w:pPr>
              <w:spacing w:after="0"/>
              <w:jc w:val="center"/>
              <w:rPr>
                <w:b/>
              </w:rPr>
            </w:pPr>
            <w:r w:rsidRPr="00D33D68">
              <w:rPr>
                <w:b/>
              </w:rPr>
              <w:t>(new)</w:t>
            </w:r>
          </w:p>
        </w:tc>
        <w:tc>
          <w:tcPr>
            <w:tcW w:w="483" w:type="pct"/>
            <w:shd w:val="clear" w:color="auto" w:fill="auto"/>
          </w:tcPr>
          <w:p w14:paraId="14E2E12E" w14:textId="77777777" w:rsidR="00CC0C9F" w:rsidRPr="00D33D68" w:rsidRDefault="00CC0C9F" w:rsidP="00EF1F22">
            <w:pPr>
              <w:spacing w:after="0"/>
              <w:ind w:left="-29" w:right="-105"/>
              <w:jc w:val="center"/>
              <w:rPr>
                <w:b/>
              </w:rPr>
            </w:pPr>
            <w:r w:rsidRPr="00D33D68">
              <w:rPr>
                <w:b/>
              </w:rPr>
              <w:t>Measurement unit</w:t>
            </w:r>
          </w:p>
        </w:tc>
        <w:tc>
          <w:tcPr>
            <w:tcW w:w="532" w:type="pct"/>
          </w:tcPr>
          <w:p w14:paraId="5EE56C6A" w14:textId="77777777" w:rsidR="00CC0C9F" w:rsidRPr="00D33D68" w:rsidRDefault="00CC0C9F" w:rsidP="00CA2859">
            <w:pPr>
              <w:spacing w:after="0"/>
              <w:ind w:left="-108"/>
              <w:jc w:val="center"/>
              <w:rPr>
                <w:b/>
              </w:rPr>
            </w:pPr>
            <w:r w:rsidRPr="00D33D68">
              <w:rPr>
                <w:b/>
              </w:rPr>
              <w:t>Not applicable</w:t>
            </w:r>
          </w:p>
        </w:tc>
        <w:tc>
          <w:tcPr>
            <w:tcW w:w="2247" w:type="pct"/>
          </w:tcPr>
          <w:p w14:paraId="227CFC05" w14:textId="40DFAD25" w:rsidR="00CC0C9F" w:rsidRPr="00D33D68" w:rsidRDefault="00EB4109" w:rsidP="00CC0C9F">
            <w:pPr>
              <w:spacing w:after="0"/>
              <w:jc w:val="center"/>
              <w:rPr>
                <w:b/>
              </w:rPr>
            </w:pPr>
            <w:r w:rsidRPr="00D33D68">
              <w:rPr>
                <w:b/>
              </w:rPr>
              <w:t>Explanation</w:t>
            </w:r>
          </w:p>
        </w:tc>
      </w:tr>
      <w:tr w:rsidR="00D33D68" w:rsidRPr="00D33D68" w14:paraId="0A541CF1" w14:textId="77777777" w:rsidTr="00C80916">
        <w:tc>
          <w:tcPr>
            <w:tcW w:w="1254" w:type="pct"/>
            <w:shd w:val="clear" w:color="auto" w:fill="auto"/>
          </w:tcPr>
          <w:p w14:paraId="502E8465" w14:textId="77777777" w:rsidR="00CC0C9F" w:rsidRPr="00D33D68" w:rsidRDefault="00CC0C9F" w:rsidP="008B2921">
            <w:pPr>
              <w:spacing w:after="0"/>
            </w:pPr>
            <w:r w:rsidRPr="00D33D68">
              <w:t>2.1 - Change in volume of aquaculture production</w:t>
            </w:r>
          </w:p>
        </w:tc>
        <w:tc>
          <w:tcPr>
            <w:tcW w:w="484" w:type="pct"/>
            <w:shd w:val="clear" w:color="auto" w:fill="auto"/>
          </w:tcPr>
          <w:p w14:paraId="2399F747" w14:textId="77777777" w:rsidR="00CC0C9F" w:rsidRPr="00D33D68" w:rsidRDefault="00CC0C9F" w:rsidP="008B2921">
            <w:pPr>
              <w:spacing w:after="0"/>
              <w:jc w:val="right"/>
            </w:pPr>
          </w:p>
        </w:tc>
        <w:tc>
          <w:tcPr>
            <w:tcW w:w="483" w:type="pct"/>
            <w:shd w:val="clear" w:color="auto" w:fill="auto"/>
          </w:tcPr>
          <w:p w14:paraId="64B01770" w14:textId="77777777" w:rsidR="00CC0C9F" w:rsidRPr="00D33D68" w:rsidRDefault="00CC0C9F" w:rsidP="00EF1F22">
            <w:pPr>
              <w:spacing w:after="0"/>
              <w:ind w:left="-29" w:right="-105"/>
            </w:pPr>
            <w:r w:rsidRPr="00D33D68">
              <w:t>tonnes</w:t>
            </w:r>
          </w:p>
        </w:tc>
        <w:tc>
          <w:tcPr>
            <w:tcW w:w="532" w:type="pct"/>
          </w:tcPr>
          <w:p w14:paraId="528009D0" w14:textId="77777777" w:rsidR="00CC0C9F" w:rsidRPr="00D33D68" w:rsidRDefault="00CC0C9F" w:rsidP="008B2921">
            <w:pPr>
              <w:spacing w:after="0"/>
              <w:jc w:val="center"/>
            </w:pPr>
            <w:r w:rsidRPr="00D33D68">
              <w:sym w:font="Wingdings" w:char="F0FC"/>
            </w:r>
          </w:p>
        </w:tc>
        <w:tc>
          <w:tcPr>
            <w:tcW w:w="2247" w:type="pct"/>
          </w:tcPr>
          <w:p w14:paraId="15056082" w14:textId="3312EB7D" w:rsidR="00CC0C9F" w:rsidRPr="00D33D68" w:rsidRDefault="004176E6" w:rsidP="008B2921">
            <w:pPr>
              <w:spacing w:after="0"/>
              <w:jc w:val="center"/>
            </w:pPr>
            <w:r w:rsidRPr="00D33D68">
              <w:t>(N/A)</w:t>
            </w:r>
          </w:p>
        </w:tc>
      </w:tr>
      <w:tr w:rsidR="00D33D68" w:rsidRPr="00D33D68" w14:paraId="66E5552B" w14:textId="77777777" w:rsidTr="00C80916">
        <w:tc>
          <w:tcPr>
            <w:tcW w:w="1254" w:type="pct"/>
            <w:shd w:val="clear" w:color="auto" w:fill="auto"/>
          </w:tcPr>
          <w:p w14:paraId="57E7087D" w14:textId="77777777" w:rsidR="00CC0C9F" w:rsidRPr="00D33D68" w:rsidRDefault="00CC0C9F" w:rsidP="008B2921">
            <w:pPr>
              <w:spacing w:after="0"/>
            </w:pPr>
            <w:r w:rsidRPr="00D33D68">
              <w:t>2.2 - Change in value of aquaculture production</w:t>
            </w:r>
          </w:p>
        </w:tc>
        <w:tc>
          <w:tcPr>
            <w:tcW w:w="484" w:type="pct"/>
            <w:shd w:val="clear" w:color="auto" w:fill="auto"/>
          </w:tcPr>
          <w:p w14:paraId="553D936D" w14:textId="77777777" w:rsidR="00CC0C9F" w:rsidRPr="00D33D68" w:rsidRDefault="00CC0C9F" w:rsidP="008B2921">
            <w:pPr>
              <w:spacing w:after="0"/>
              <w:jc w:val="right"/>
            </w:pPr>
          </w:p>
        </w:tc>
        <w:tc>
          <w:tcPr>
            <w:tcW w:w="483" w:type="pct"/>
            <w:shd w:val="clear" w:color="auto" w:fill="auto"/>
          </w:tcPr>
          <w:p w14:paraId="364DABA4" w14:textId="77777777" w:rsidR="00CC0C9F" w:rsidRPr="00D33D68" w:rsidRDefault="00CC0C9F" w:rsidP="00EF1F22">
            <w:pPr>
              <w:spacing w:after="0"/>
              <w:ind w:left="-29" w:right="-105"/>
            </w:pPr>
            <w:r w:rsidRPr="00D33D68">
              <w:t>thousand Euros</w:t>
            </w:r>
          </w:p>
        </w:tc>
        <w:tc>
          <w:tcPr>
            <w:tcW w:w="532" w:type="pct"/>
          </w:tcPr>
          <w:p w14:paraId="5CBE93C2" w14:textId="77777777" w:rsidR="00CC0C9F" w:rsidRPr="00D33D68" w:rsidRDefault="00CC0C9F" w:rsidP="008B2921">
            <w:pPr>
              <w:spacing w:after="0"/>
              <w:jc w:val="center"/>
            </w:pPr>
            <w:r w:rsidRPr="00D33D68">
              <w:sym w:font="Wingdings" w:char="F0FC"/>
            </w:r>
          </w:p>
        </w:tc>
        <w:tc>
          <w:tcPr>
            <w:tcW w:w="2247" w:type="pct"/>
          </w:tcPr>
          <w:p w14:paraId="163769DF" w14:textId="77E0D72D" w:rsidR="00CC0C9F" w:rsidRPr="00D33D68" w:rsidRDefault="004176E6" w:rsidP="008B2921">
            <w:pPr>
              <w:spacing w:after="0"/>
              <w:jc w:val="center"/>
            </w:pPr>
            <w:r w:rsidRPr="00D33D68">
              <w:t>(N/A)</w:t>
            </w:r>
          </w:p>
        </w:tc>
      </w:tr>
      <w:tr w:rsidR="00D33D68" w:rsidRPr="00D33D68" w14:paraId="222133C7" w14:textId="77777777" w:rsidTr="00C80916">
        <w:tc>
          <w:tcPr>
            <w:tcW w:w="1254" w:type="pct"/>
            <w:shd w:val="clear" w:color="auto" w:fill="auto"/>
          </w:tcPr>
          <w:p w14:paraId="07014591" w14:textId="77777777" w:rsidR="00CC0C9F" w:rsidRPr="00D33D68" w:rsidRDefault="00CC0C9F" w:rsidP="008B2921">
            <w:pPr>
              <w:spacing w:after="0"/>
            </w:pPr>
            <w:r w:rsidRPr="00D33D68">
              <w:t>2.4 - Change in the volume of production organic aquaculture</w:t>
            </w:r>
          </w:p>
        </w:tc>
        <w:tc>
          <w:tcPr>
            <w:tcW w:w="484" w:type="pct"/>
            <w:shd w:val="clear" w:color="auto" w:fill="auto"/>
          </w:tcPr>
          <w:p w14:paraId="56D67137" w14:textId="77777777" w:rsidR="00CC0C9F" w:rsidRPr="00D33D68" w:rsidRDefault="00CC0C9F" w:rsidP="008B2921">
            <w:pPr>
              <w:spacing w:after="0"/>
              <w:jc w:val="right"/>
            </w:pPr>
          </w:p>
        </w:tc>
        <w:tc>
          <w:tcPr>
            <w:tcW w:w="483" w:type="pct"/>
            <w:shd w:val="clear" w:color="auto" w:fill="auto"/>
          </w:tcPr>
          <w:p w14:paraId="7BC224E4" w14:textId="77777777" w:rsidR="00CC0C9F" w:rsidRPr="00D33D68" w:rsidRDefault="00CC0C9F" w:rsidP="00EF1F22">
            <w:pPr>
              <w:spacing w:after="0"/>
              <w:ind w:left="-29" w:right="-105"/>
            </w:pPr>
            <w:r w:rsidRPr="00D33D68">
              <w:t>tonnes</w:t>
            </w:r>
          </w:p>
        </w:tc>
        <w:tc>
          <w:tcPr>
            <w:tcW w:w="532" w:type="pct"/>
          </w:tcPr>
          <w:p w14:paraId="620E3DD4" w14:textId="77777777" w:rsidR="00CC0C9F" w:rsidRPr="00D33D68" w:rsidRDefault="00CC0C9F" w:rsidP="008B2921">
            <w:pPr>
              <w:spacing w:after="0"/>
              <w:jc w:val="center"/>
            </w:pPr>
            <w:r w:rsidRPr="00D33D68">
              <w:sym w:font="Wingdings" w:char="F0FC"/>
            </w:r>
          </w:p>
        </w:tc>
        <w:tc>
          <w:tcPr>
            <w:tcW w:w="2247" w:type="pct"/>
          </w:tcPr>
          <w:p w14:paraId="5766E9B9" w14:textId="07ABBF1B" w:rsidR="00CC0C9F" w:rsidRPr="00D33D68" w:rsidRDefault="004176E6" w:rsidP="008B2921">
            <w:pPr>
              <w:spacing w:after="0"/>
              <w:jc w:val="center"/>
            </w:pPr>
            <w:r w:rsidRPr="00D33D68">
              <w:t>(N/A)</w:t>
            </w:r>
          </w:p>
        </w:tc>
      </w:tr>
      <w:tr w:rsidR="00D33D68" w:rsidRPr="00D33D68" w14:paraId="453E385B" w14:textId="77777777" w:rsidTr="00C80916">
        <w:tc>
          <w:tcPr>
            <w:tcW w:w="1254" w:type="pct"/>
            <w:shd w:val="clear" w:color="auto" w:fill="auto"/>
          </w:tcPr>
          <w:p w14:paraId="6ECC1D66" w14:textId="77777777" w:rsidR="00CC0C9F" w:rsidRPr="00D33D68" w:rsidRDefault="00CC0C9F" w:rsidP="008B2921">
            <w:pPr>
              <w:spacing w:after="0"/>
            </w:pPr>
            <w:r w:rsidRPr="00D33D68">
              <w:t>2.5 - Change in the volume of production recirculation system</w:t>
            </w:r>
          </w:p>
        </w:tc>
        <w:tc>
          <w:tcPr>
            <w:tcW w:w="484" w:type="pct"/>
            <w:shd w:val="clear" w:color="auto" w:fill="auto"/>
          </w:tcPr>
          <w:p w14:paraId="2790D688" w14:textId="3A14E6CA" w:rsidR="00CC0C9F" w:rsidRPr="00D33D68" w:rsidRDefault="00170E6D" w:rsidP="00AA7D9B">
            <w:pPr>
              <w:spacing w:after="0"/>
              <w:jc w:val="right"/>
            </w:pPr>
            <w:r w:rsidRPr="00D33D68">
              <w:t>77.69</w:t>
            </w:r>
          </w:p>
        </w:tc>
        <w:tc>
          <w:tcPr>
            <w:tcW w:w="483" w:type="pct"/>
            <w:shd w:val="clear" w:color="auto" w:fill="auto"/>
          </w:tcPr>
          <w:p w14:paraId="7A82D846" w14:textId="77777777" w:rsidR="00CC0C9F" w:rsidRPr="00D33D68" w:rsidRDefault="00CC0C9F" w:rsidP="00EF1F22">
            <w:pPr>
              <w:spacing w:after="0"/>
              <w:ind w:left="-29" w:right="-105"/>
            </w:pPr>
            <w:r w:rsidRPr="00D33D68">
              <w:t>tonnes</w:t>
            </w:r>
          </w:p>
        </w:tc>
        <w:tc>
          <w:tcPr>
            <w:tcW w:w="532" w:type="pct"/>
          </w:tcPr>
          <w:p w14:paraId="08AFF077" w14:textId="77777777" w:rsidR="00CC0C9F" w:rsidRPr="00D33D68" w:rsidRDefault="00CC0C9F" w:rsidP="008B2921">
            <w:pPr>
              <w:spacing w:after="0"/>
              <w:jc w:val="center"/>
            </w:pPr>
          </w:p>
        </w:tc>
        <w:tc>
          <w:tcPr>
            <w:tcW w:w="2247" w:type="pct"/>
          </w:tcPr>
          <w:p w14:paraId="038426BF" w14:textId="77777777" w:rsidR="00170E6D" w:rsidRPr="00D33D68" w:rsidRDefault="008F5668" w:rsidP="00285F3D">
            <w:pPr>
              <w:spacing w:after="0"/>
            </w:pPr>
            <w:r w:rsidRPr="00D33D68">
              <w:t>Индикаторът се образува от м</w:t>
            </w:r>
            <w:r w:rsidR="002A1508" w:rsidRPr="00D33D68">
              <w:t>я</w:t>
            </w:r>
            <w:r w:rsidRPr="00D33D68">
              <w:t>рк</w:t>
            </w:r>
            <w:r w:rsidR="002A1508" w:rsidRPr="00D33D68">
              <w:t>а</w:t>
            </w:r>
            <w:r w:rsidRPr="00D33D68">
              <w:t xml:space="preserve"> </w:t>
            </w:r>
            <w:r w:rsidR="002A1508" w:rsidRPr="00D33D68">
              <w:t>2.</w:t>
            </w:r>
            <w:r w:rsidR="00E4247A" w:rsidRPr="00D33D68">
              <w:t>5</w:t>
            </w:r>
            <w:r w:rsidRPr="00D33D68">
              <w:t>. Начална стойност 500. Намаляването на бюджета на м</w:t>
            </w:r>
            <w:r w:rsidR="002A1508" w:rsidRPr="00D33D68">
              <w:t>я</w:t>
            </w:r>
            <w:r w:rsidRPr="00D33D68">
              <w:t>рк</w:t>
            </w:r>
            <w:r w:rsidR="002A1508" w:rsidRPr="00D33D68">
              <w:t>а</w:t>
            </w:r>
            <w:r w:rsidRPr="00D33D68">
              <w:t xml:space="preserve"> 2.</w:t>
            </w:r>
            <w:r w:rsidR="00285F3D" w:rsidRPr="00D33D68">
              <w:t>5</w:t>
            </w:r>
            <w:r w:rsidRPr="00D33D68">
              <w:t xml:space="preserve"> с 6% при 1вата стъпка променя индикатора на 470. </w:t>
            </w:r>
          </w:p>
          <w:p w14:paraId="0DEEF666" w14:textId="77777777" w:rsidR="00170E6D" w:rsidRPr="00D33D68" w:rsidRDefault="00170E6D" w:rsidP="00170E6D">
            <w:pPr>
              <w:spacing w:after="0"/>
            </w:pPr>
            <w:r w:rsidRPr="00D33D68">
              <w:t>С изменението поради COVID-19 бюджетът на мярка 2.5 се намали с 83.47% и се получава 77.69</w:t>
            </w:r>
            <w:r w:rsidR="00002376" w:rsidRPr="00D33D68">
              <w:t xml:space="preserve">. </w:t>
            </w:r>
          </w:p>
          <w:p w14:paraId="60A8C298" w14:textId="2349AD2B" w:rsidR="009C1095" w:rsidRPr="00D33D68" w:rsidRDefault="00002376" w:rsidP="00170E6D">
            <w:pPr>
              <w:spacing w:after="0"/>
            </w:pPr>
            <w:r w:rsidRPr="00D33D68">
              <w:t>Сега бюджетът на мярка 2.</w:t>
            </w:r>
            <w:r w:rsidR="00170E6D" w:rsidRPr="00D33D68">
              <w:t>5не се променя</w:t>
            </w:r>
            <w:r w:rsidRPr="00D33D68">
              <w:t xml:space="preserve"> и се получава 2023 Target value.</w:t>
            </w:r>
          </w:p>
        </w:tc>
      </w:tr>
      <w:tr w:rsidR="00D33D68" w:rsidRPr="00D33D68" w14:paraId="52A2C2FE" w14:textId="77777777" w:rsidTr="00C80916">
        <w:tc>
          <w:tcPr>
            <w:tcW w:w="1254" w:type="pct"/>
            <w:shd w:val="clear" w:color="auto" w:fill="auto"/>
          </w:tcPr>
          <w:p w14:paraId="7F04CD8D" w14:textId="77777777" w:rsidR="00CC0C9F" w:rsidRPr="00D33D68" w:rsidRDefault="00CC0C9F" w:rsidP="008B2921">
            <w:pPr>
              <w:spacing w:after="0"/>
            </w:pPr>
            <w:r w:rsidRPr="00D33D68">
              <w:t>2.6 - Change in the volume of aquaculture production certified under voluntary sustainability schemes</w:t>
            </w:r>
          </w:p>
        </w:tc>
        <w:tc>
          <w:tcPr>
            <w:tcW w:w="484" w:type="pct"/>
            <w:shd w:val="clear" w:color="auto" w:fill="auto"/>
          </w:tcPr>
          <w:p w14:paraId="764E99E6" w14:textId="77777777" w:rsidR="00CC0C9F" w:rsidRPr="00D33D68" w:rsidRDefault="00CC0C9F" w:rsidP="008B2921">
            <w:pPr>
              <w:spacing w:after="0"/>
              <w:jc w:val="right"/>
            </w:pPr>
          </w:p>
        </w:tc>
        <w:tc>
          <w:tcPr>
            <w:tcW w:w="483" w:type="pct"/>
            <w:shd w:val="clear" w:color="auto" w:fill="auto"/>
          </w:tcPr>
          <w:p w14:paraId="4072FA2D" w14:textId="77777777" w:rsidR="00CC0C9F" w:rsidRPr="00D33D68" w:rsidRDefault="00CC0C9F" w:rsidP="00EF1F22">
            <w:pPr>
              <w:spacing w:after="0"/>
              <w:ind w:left="-29" w:right="-105"/>
            </w:pPr>
            <w:r w:rsidRPr="00D33D68">
              <w:t>tonnes</w:t>
            </w:r>
          </w:p>
        </w:tc>
        <w:tc>
          <w:tcPr>
            <w:tcW w:w="532" w:type="pct"/>
          </w:tcPr>
          <w:p w14:paraId="15F4604D" w14:textId="77777777" w:rsidR="00CC0C9F" w:rsidRPr="00D33D68" w:rsidRDefault="00CC0C9F" w:rsidP="008B2921">
            <w:pPr>
              <w:spacing w:after="0"/>
              <w:jc w:val="center"/>
            </w:pPr>
            <w:r w:rsidRPr="00D33D68">
              <w:sym w:font="Wingdings" w:char="F0FC"/>
            </w:r>
          </w:p>
        </w:tc>
        <w:tc>
          <w:tcPr>
            <w:tcW w:w="2247" w:type="pct"/>
          </w:tcPr>
          <w:p w14:paraId="5B1F162E" w14:textId="62CF15B2" w:rsidR="00CC0C9F" w:rsidRPr="00D33D68" w:rsidRDefault="004176E6" w:rsidP="008B2921">
            <w:pPr>
              <w:spacing w:after="0"/>
              <w:jc w:val="center"/>
            </w:pPr>
            <w:r w:rsidRPr="00D33D68">
              <w:t>(N/A)</w:t>
            </w:r>
          </w:p>
        </w:tc>
      </w:tr>
      <w:tr w:rsidR="00D33D68" w:rsidRPr="00D33D68" w14:paraId="21238F4D" w14:textId="77777777" w:rsidTr="00C80916">
        <w:tc>
          <w:tcPr>
            <w:tcW w:w="1254" w:type="pct"/>
            <w:shd w:val="clear" w:color="auto" w:fill="auto"/>
          </w:tcPr>
          <w:p w14:paraId="491F73C6" w14:textId="77777777" w:rsidR="00CC0C9F" w:rsidRPr="00D33D68" w:rsidRDefault="00CC0C9F" w:rsidP="008B2921">
            <w:pPr>
              <w:spacing w:after="0"/>
            </w:pPr>
            <w:r w:rsidRPr="00D33D68">
              <w:t>2.7 - Aquaculture farms providing environmental services</w:t>
            </w:r>
          </w:p>
        </w:tc>
        <w:tc>
          <w:tcPr>
            <w:tcW w:w="484" w:type="pct"/>
            <w:shd w:val="clear" w:color="auto" w:fill="auto"/>
          </w:tcPr>
          <w:p w14:paraId="56A9432D" w14:textId="6CE420E2" w:rsidR="00CC0C9F" w:rsidRPr="00D33D68" w:rsidRDefault="00002376" w:rsidP="008B2921">
            <w:pPr>
              <w:spacing w:after="0"/>
              <w:jc w:val="right"/>
            </w:pPr>
            <w:r w:rsidRPr="00D33D68">
              <w:t>8</w:t>
            </w:r>
          </w:p>
        </w:tc>
        <w:tc>
          <w:tcPr>
            <w:tcW w:w="483" w:type="pct"/>
            <w:shd w:val="clear" w:color="auto" w:fill="auto"/>
          </w:tcPr>
          <w:p w14:paraId="368303CB" w14:textId="77777777" w:rsidR="00CC0C9F" w:rsidRPr="00D33D68" w:rsidRDefault="00CC0C9F" w:rsidP="00EF1F22">
            <w:pPr>
              <w:spacing w:after="0"/>
              <w:ind w:left="-29" w:right="-105"/>
            </w:pPr>
            <w:r w:rsidRPr="00D33D68">
              <w:t>number</w:t>
            </w:r>
          </w:p>
        </w:tc>
        <w:tc>
          <w:tcPr>
            <w:tcW w:w="532" w:type="pct"/>
          </w:tcPr>
          <w:p w14:paraId="5B35528B" w14:textId="77777777" w:rsidR="00CC0C9F" w:rsidRPr="00D33D68" w:rsidRDefault="00CC0C9F" w:rsidP="008B2921">
            <w:pPr>
              <w:spacing w:after="0"/>
              <w:jc w:val="center"/>
            </w:pPr>
          </w:p>
        </w:tc>
        <w:tc>
          <w:tcPr>
            <w:tcW w:w="2247" w:type="pct"/>
          </w:tcPr>
          <w:p w14:paraId="68EF8408" w14:textId="03DD4DC6" w:rsidR="003A27D1" w:rsidRPr="00D33D68" w:rsidRDefault="003A27D1" w:rsidP="003A27D1">
            <w:pPr>
              <w:spacing w:after="0"/>
            </w:pPr>
            <w:r w:rsidRPr="00D33D68">
              <w:t xml:space="preserve">Индикаторът се образува от мярка 2.5. Начална стойност 50. Намаляването на бюджета на мярка 2.5 с 6% при 1вата стъпка променя индикатора на 47. </w:t>
            </w:r>
          </w:p>
          <w:p w14:paraId="47A91C9E" w14:textId="4B5A5149" w:rsidR="003A27D1" w:rsidRPr="00D33D68" w:rsidRDefault="003A27D1" w:rsidP="003A27D1">
            <w:pPr>
              <w:spacing w:after="0"/>
            </w:pPr>
            <w:r w:rsidRPr="00D33D68">
              <w:lastRenderedPageBreak/>
              <w:t xml:space="preserve">С изменението поради COVID-19 бюджетът на мярка 2.5 се намали с 83.47% и се получава 7.77. </w:t>
            </w:r>
          </w:p>
          <w:p w14:paraId="27AC897F" w14:textId="7B1D78EC" w:rsidR="009F45E5" w:rsidRPr="00D33D68" w:rsidRDefault="003A27D1" w:rsidP="003A27D1">
            <w:pPr>
              <w:spacing w:after="0"/>
            </w:pPr>
            <w:r w:rsidRPr="00D33D68">
              <w:t>Сега бюджетът на мярка 2.5 не се променя и се получава 2023 Target value, след закръгляне.</w:t>
            </w:r>
          </w:p>
        </w:tc>
      </w:tr>
      <w:tr w:rsidR="00D33D68" w:rsidRPr="00D33D68" w14:paraId="78F3C6A5" w14:textId="77777777" w:rsidTr="00C80916">
        <w:tc>
          <w:tcPr>
            <w:tcW w:w="1254" w:type="pct"/>
            <w:shd w:val="clear" w:color="auto" w:fill="auto"/>
          </w:tcPr>
          <w:p w14:paraId="5F57C7ED" w14:textId="2D3316E1" w:rsidR="00002376" w:rsidRPr="00D33D68" w:rsidRDefault="00002376" w:rsidP="008B2921">
            <w:pPr>
              <w:spacing w:after="0"/>
            </w:pPr>
            <w:r w:rsidRPr="00D33D68">
              <w:lastRenderedPageBreak/>
              <w:t>3 К-1 - N° of jobs maintained</w:t>
            </w:r>
          </w:p>
        </w:tc>
        <w:tc>
          <w:tcPr>
            <w:tcW w:w="484" w:type="pct"/>
            <w:shd w:val="clear" w:color="auto" w:fill="auto"/>
          </w:tcPr>
          <w:p w14:paraId="459DAA5C" w14:textId="2FE6064B" w:rsidR="00002376" w:rsidRPr="00D33D68" w:rsidRDefault="00DC5335" w:rsidP="008B2921">
            <w:pPr>
              <w:spacing w:after="0"/>
              <w:jc w:val="right"/>
            </w:pPr>
            <w:r w:rsidRPr="00D33D68">
              <w:t>162</w:t>
            </w:r>
            <w:r w:rsidR="00002376" w:rsidRPr="00D33D68">
              <w:t>.00000</w:t>
            </w:r>
          </w:p>
        </w:tc>
        <w:tc>
          <w:tcPr>
            <w:tcW w:w="483" w:type="pct"/>
            <w:shd w:val="clear" w:color="auto" w:fill="auto"/>
          </w:tcPr>
          <w:p w14:paraId="4C9D6E67" w14:textId="536DE192" w:rsidR="00002376" w:rsidRPr="00D33D68" w:rsidRDefault="00002376" w:rsidP="00EF1F22">
            <w:pPr>
              <w:spacing w:after="0"/>
              <w:ind w:left="-29" w:right="-105"/>
            </w:pPr>
            <w:r w:rsidRPr="00D33D68">
              <w:t>number</w:t>
            </w:r>
          </w:p>
        </w:tc>
        <w:tc>
          <w:tcPr>
            <w:tcW w:w="532" w:type="pct"/>
          </w:tcPr>
          <w:p w14:paraId="4EA13D3C" w14:textId="77777777" w:rsidR="00002376" w:rsidRPr="00D33D68" w:rsidRDefault="00002376" w:rsidP="008B2921">
            <w:pPr>
              <w:spacing w:after="0"/>
              <w:jc w:val="center"/>
            </w:pPr>
          </w:p>
        </w:tc>
        <w:tc>
          <w:tcPr>
            <w:tcW w:w="2247" w:type="pct"/>
          </w:tcPr>
          <w:p w14:paraId="1AB6FC25" w14:textId="14C700CE" w:rsidR="00002376" w:rsidRPr="00D33D68" w:rsidRDefault="00002376" w:rsidP="00EC4F75">
            <w:pPr>
              <w:spacing w:after="0"/>
            </w:pPr>
            <w:r w:rsidRPr="00D33D68">
              <w:t>Индикаторът е създаден при създаването на COVID-19 мерките</w:t>
            </w:r>
            <w:r w:rsidR="00EC4F75" w:rsidRPr="00D33D68">
              <w:t xml:space="preserve"> с начална стойност 200</w:t>
            </w:r>
            <w:r w:rsidRPr="00D33D68">
              <w:t>.</w:t>
            </w:r>
            <w:r w:rsidR="00DC5335" w:rsidRPr="00D33D68">
              <w:t xml:space="preserve"> Бюджетът на мярка 2.6 (чл. 55, параграф 1, буква б) се намаля с 19% и се получава 2023 Target value.</w:t>
            </w:r>
          </w:p>
        </w:tc>
      </w:tr>
      <w:tr w:rsidR="00002376" w:rsidRPr="00D33D68" w14:paraId="060459B6" w14:textId="77777777" w:rsidTr="00C80916">
        <w:tc>
          <w:tcPr>
            <w:tcW w:w="1254" w:type="pct"/>
            <w:shd w:val="clear" w:color="auto" w:fill="auto"/>
          </w:tcPr>
          <w:p w14:paraId="5F99D7C2" w14:textId="26DC53D4" w:rsidR="00002376" w:rsidRPr="00D33D68" w:rsidRDefault="00002376" w:rsidP="008B2921">
            <w:pPr>
              <w:spacing w:after="0"/>
            </w:pPr>
            <w:r w:rsidRPr="00D33D68">
              <w:t>5 К-1 - N° of businesses maintained</w:t>
            </w:r>
          </w:p>
        </w:tc>
        <w:tc>
          <w:tcPr>
            <w:tcW w:w="484" w:type="pct"/>
            <w:shd w:val="clear" w:color="auto" w:fill="auto"/>
          </w:tcPr>
          <w:p w14:paraId="2BF719F9" w14:textId="5D1C7101" w:rsidR="00002376" w:rsidRPr="00D33D68" w:rsidRDefault="00DC5335" w:rsidP="008B2921">
            <w:pPr>
              <w:spacing w:after="0"/>
              <w:jc w:val="right"/>
            </w:pPr>
            <w:r w:rsidRPr="00D33D68">
              <w:t>162</w:t>
            </w:r>
            <w:r w:rsidR="00002376" w:rsidRPr="00D33D68">
              <w:t>.00000</w:t>
            </w:r>
          </w:p>
        </w:tc>
        <w:tc>
          <w:tcPr>
            <w:tcW w:w="483" w:type="pct"/>
            <w:shd w:val="clear" w:color="auto" w:fill="auto"/>
          </w:tcPr>
          <w:p w14:paraId="41AC3FE5" w14:textId="1CFEAD98" w:rsidR="00002376" w:rsidRPr="00D33D68" w:rsidRDefault="00002376" w:rsidP="00EF1F22">
            <w:pPr>
              <w:spacing w:after="0"/>
              <w:ind w:left="-29" w:right="-105"/>
            </w:pPr>
            <w:r w:rsidRPr="00D33D68">
              <w:t>number</w:t>
            </w:r>
          </w:p>
        </w:tc>
        <w:tc>
          <w:tcPr>
            <w:tcW w:w="532" w:type="pct"/>
          </w:tcPr>
          <w:p w14:paraId="081C1740" w14:textId="77777777" w:rsidR="00002376" w:rsidRPr="00D33D68" w:rsidRDefault="00002376" w:rsidP="008B2921">
            <w:pPr>
              <w:spacing w:after="0"/>
              <w:jc w:val="center"/>
            </w:pPr>
          </w:p>
        </w:tc>
        <w:tc>
          <w:tcPr>
            <w:tcW w:w="2247" w:type="pct"/>
          </w:tcPr>
          <w:p w14:paraId="38B4AAAC" w14:textId="6A98494A" w:rsidR="00002376" w:rsidRPr="00D33D68" w:rsidRDefault="00DC5335" w:rsidP="00EC4F75">
            <w:pPr>
              <w:spacing w:after="0"/>
            </w:pPr>
            <w:r w:rsidRPr="00D33D68">
              <w:t>Индикаторът е създаден при създаването на COVID-19 мерките</w:t>
            </w:r>
            <w:r w:rsidR="00EC4F75" w:rsidRPr="00D33D68">
              <w:t xml:space="preserve"> с начална стойност 200</w:t>
            </w:r>
            <w:r w:rsidRPr="00D33D68">
              <w:t>. Бюджетът на мярка 2.6 (чл. 55, параграф 1, буква б) се намаля с 19% и се получава 2023 Target value.</w:t>
            </w:r>
          </w:p>
        </w:tc>
      </w:tr>
    </w:tbl>
    <w:p w14:paraId="6C3D3F5B" w14:textId="77777777" w:rsidR="00B5762F" w:rsidRPr="00D33D68" w:rsidRDefault="00B5762F" w:rsidP="00B5762F">
      <w:pPr>
        <w:spacing w:after="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9"/>
        <w:gridCol w:w="6829"/>
      </w:tblGrid>
      <w:tr w:rsidR="00B5762F" w:rsidRPr="00D33D68" w14:paraId="24573E12" w14:textId="77777777" w:rsidTr="008B2921">
        <w:tc>
          <w:tcPr>
            <w:tcW w:w="0" w:type="auto"/>
            <w:shd w:val="clear" w:color="auto" w:fill="auto"/>
          </w:tcPr>
          <w:p w14:paraId="04B483B8" w14:textId="77777777" w:rsidR="00B5762F" w:rsidRPr="00D33D68" w:rsidRDefault="00B5762F" w:rsidP="008B2921">
            <w:pPr>
              <w:pStyle w:val="Text1"/>
              <w:spacing w:before="0" w:after="0"/>
              <w:ind w:left="0"/>
              <w:rPr>
                <w:b/>
                <w:lang w:val="bg-BG"/>
              </w:rPr>
            </w:pPr>
            <w:r w:rsidRPr="00D33D68">
              <w:rPr>
                <w:b/>
                <w:noProof/>
                <w:lang w:val="bg-BG"/>
              </w:rPr>
              <w:t>Union priority</w:t>
            </w:r>
          </w:p>
        </w:tc>
        <w:tc>
          <w:tcPr>
            <w:tcW w:w="0" w:type="auto"/>
            <w:shd w:val="clear" w:color="auto" w:fill="auto"/>
          </w:tcPr>
          <w:p w14:paraId="1C2DCE7C" w14:textId="77777777" w:rsidR="00B5762F" w:rsidRPr="00D33D68" w:rsidRDefault="00B5762F" w:rsidP="008B2921">
            <w:pPr>
              <w:pStyle w:val="Text1"/>
              <w:spacing w:before="0" w:after="0"/>
              <w:ind w:left="0"/>
              <w:rPr>
                <w:b/>
                <w:lang w:val="bg-BG"/>
              </w:rPr>
            </w:pPr>
            <w:r w:rsidRPr="00D33D68">
              <w:rPr>
                <w:b/>
                <w:noProof/>
                <w:lang w:val="bg-BG"/>
              </w:rPr>
              <w:t>3</w:t>
            </w:r>
            <w:r w:rsidRPr="00D33D68">
              <w:rPr>
                <w:b/>
                <w:lang w:val="bg-BG"/>
              </w:rPr>
              <w:t xml:space="preserve"> - </w:t>
            </w:r>
            <w:r w:rsidRPr="00D33D68">
              <w:rPr>
                <w:b/>
                <w:noProof/>
                <w:lang w:val="bg-BG"/>
              </w:rPr>
              <w:t>Fostering the implementation of the CFP</w:t>
            </w:r>
          </w:p>
        </w:tc>
      </w:tr>
    </w:tbl>
    <w:p w14:paraId="41F4F5E8" w14:textId="77777777" w:rsidR="00B5762F" w:rsidRPr="00D33D68" w:rsidRDefault="00B5762F" w:rsidP="00B5762F">
      <w:pPr>
        <w:spacing w:after="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332"/>
        <w:gridCol w:w="908"/>
        <w:gridCol w:w="899"/>
        <w:gridCol w:w="990"/>
        <w:gridCol w:w="4159"/>
      </w:tblGrid>
      <w:tr w:rsidR="00D33D68" w:rsidRPr="00D33D68" w14:paraId="62FE5284" w14:textId="77777777" w:rsidTr="009D6167">
        <w:tc>
          <w:tcPr>
            <w:tcW w:w="1255" w:type="pct"/>
            <w:shd w:val="clear" w:color="auto" w:fill="auto"/>
          </w:tcPr>
          <w:p w14:paraId="6D8A960D" w14:textId="77777777" w:rsidR="00C145B3" w:rsidRPr="00D33D68" w:rsidRDefault="00C145B3" w:rsidP="008B2921">
            <w:pPr>
              <w:pStyle w:val="Text1"/>
              <w:spacing w:before="0" w:after="0"/>
              <w:ind w:left="0"/>
              <w:rPr>
                <w:b/>
                <w:lang w:val="bg-BG"/>
              </w:rPr>
            </w:pPr>
            <w:r w:rsidRPr="00D33D68">
              <w:rPr>
                <w:b/>
                <w:noProof/>
                <w:lang w:val="bg-BG"/>
              </w:rPr>
              <w:t>Specific objective</w:t>
            </w:r>
          </w:p>
        </w:tc>
        <w:tc>
          <w:tcPr>
            <w:tcW w:w="3745" w:type="pct"/>
            <w:gridSpan w:val="4"/>
            <w:shd w:val="clear" w:color="auto" w:fill="auto"/>
          </w:tcPr>
          <w:p w14:paraId="78AB6994" w14:textId="77777777" w:rsidR="00C145B3" w:rsidRPr="00D33D68" w:rsidRDefault="00C145B3" w:rsidP="008B2921">
            <w:pPr>
              <w:pStyle w:val="Text1"/>
              <w:spacing w:before="0" w:after="0"/>
              <w:ind w:left="0"/>
              <w:rPr>
                <w:b/>
                <w:noProof/>
                <w:lang w:val="bg-BG"/>
              </w:rPr>
            </w:pPr>
            <w:r w:rsidRPr="00D33D68">
              <w:rPr>
                <w:b/>
                <w:noProof/>
                <w:lang w:val="bg-BG"/>
              </w:rPr>
              <w:t>1</w:t>
            </w:r>
            <w:r w:rsidRPr="00D33D68">
              <w:rPr>
                <w:b/>
                <w:lang w:val="bg-BG"/>
              </w:rPr>
              <w:t xml:space="preserve"> - </w:t>
            </w:r>
            <w:r w:rsidRPr="00D33D68">
              <w:rPr>
                <w:b/>
                <w:noProof/>
                <w:lang w:val="bg-BG"/>
              </w:rPr>
              <w:t>Improvement and supply of scientific knowledge and collection and management of data</w:t>
            </w:r>
          </w:p>
        </w:tc>
      </w:tr>
      <w:tr w:rsidR="00D33D68" w:rsidRPr="00D33D68" w14:paraId="646A86A4" w14:textId="77777777" w:rsidTr="00C80916">
        <w:tc>
          <w:tcPr>
            <w:tcW w:w="1255" w:type="pct"/>
            <w:shd w:val="clear" w:color="auto" w:fill="auto"/>
          </w:tcPr>
          <w:p w14:paraId="51B0869E" w14:textId="77777777" w:rsidR="00C145B3" w:rsidRPr="00D33D68" w:rsidRDefault="00C145B3" w:rsidP="00C145B3">
            <w:pPr>
              <w:spacing w:after="0"/>
              <w:jc w:val="center"/>
              <w:rPr>
                <w:b/>
              </w:rPr>
            </w:pPr>
            <w:r w:rsidRPr="00D33D68">
              <w:rPr>
                <w:b/>
              </w:rPr>
              <w:t>Result indicator</w:t>
            </w:r>
          </w:p>
        </w:tc>
        <w:tc>
          <w:tcPr>
            <w:tcW w:w="489" w:type="pct"/>
            <w:shd w:val="clear" w:color="auto" w:fill="auto"/>
          </w:tcPr>
          <w:p w14:paraId="7C292E1E" w14:textId="77777777" w:rsidR="00C145B3" w:rsidRPr="00D33D68" w:rsidRDefault="00C145B3" w:rsidP="00C145B3">
            <w:pPr>
              <w:spacing w:after="0"/>
              <w:ind w:left="-81"/>
              <w:jc w:val="center"/>
              <w:rPr>
                <w:b/>
              </w:rPr>
            </w:pPr>
            <w:r w:rsidRPr="00D33D68">
              <w:rPr>
                <w:b/>
              </w:rPr>
              <w:t>Target value for 2023</w:t>
            </w:r>
          </w:p>
          <w:p w14:paraId="52DB231E" w14:textId="77777777" w:rsidR="00632F0A" w:rsidRPr="00D33D68" w:rsidRDefault="00632F0A" w:rsidP="00C145B3">
            <w:pPr>
              <w:spacing w:after="0"/>
              <w:ind w:left="-81"/>
              <w:jc w:val="center"/>
              <w:rPr>
                <w:b/>
              </w:rPr>
            </w:pPr>
            <w:r w:rsidRPr="00D33D68">
              <w:rPr>
                <w:b/>
              </w:rPr>
              <w:t>(new)</w:t>
            </w:r>
          </w:p>
        </w:tc>
        <w:tc>
          <w:tcPr>
            <w:tcW w:w="484" w:type="pct"/>
            <w:shd w:val="clear" w:color="auto" w:fill="auto"/>
          </w:tcPr>
          <w:p w14:paraId="3BDF173B" w14:textId="77777777" w:rsidR="00C145B3" w:rsidRPr="00D33D68" w:rsidRDefault="00C145B3" w:rsidP="00DE71C9">
            <w:pPr>
              <w:spacing w:after="0"/>
              <w:ind w:left="-104" w:right="-105"/>
              <w:jc w:val="center"/>
              <w:rPr>
                <w:b/>
              </w:rPr>
            </w:pPr>
            <w:r w:rsidRPr="00D33D68">
              <w:rPr>
                <w:b/>
              </w:rPr>
              <w:t>Measurement unit</w:t>
            </w:r>
          </w:p>
        </w:tc>
        <w:tc>
          <w:tcPr>
            <w:tcW w:w="533" w:type="pct"/>
          </w:tcPr>
          <w:p w14:paraId="788B0A65" w14:textId="77777777" w:rsidR="00C145B3" w:rsidRPr="00D33D68" w:rsidRDefault="00C145B3" w:rsidP="00785769">
            <w:pPr>
              <w:spacing w:after="0"/>
              <w:ind w:left="-108" w:right="-105"/>
              <w:jc w:val="center"/>
              <w:rPr>
                <w:b/>
              </w:rPr>
            </w:pPr>
            <w:r w:rsidRPr="00D33D68">
              <w:rPr>
                <w:b/>
              </w:rPr>
              <w:t>Not applicable</w:t>
            </w:r>
          </w:p>
        </w:tc>
        <w:tc>
          <w:tcPr>
            <w:tcW w:w="2239" w:type="pct"/>
          </w:tcPr>
          <w:p w14:paraId="091ACE57" w14:textId="513EA047" w:rsidR="00C145B3" w:rsidRPr="00D33D68" w:rsidRDefault="00EB4109" w:rsidP="00C145B3">
            <w:pPr>
              <w:spacing w:after="0"/>
              <w:jc w:val="center"/>
              <w:rPr>
                <w:b/>
              </w:rPr>
            </w:pPr>
            <w:r w:rsidRPr="00D33D68">
              <w:rPr>
                <w:b/>
              </w:rPr>
              <w:t>Explanation</w:t>
            </w:r>
          </w:p>
        </w:tc>
      </w:tr>
      <w:tr w:rsidR="00C145B3" w:rsidRPr="00D33D68" w14:paraId="6A58C2D3" w14:textId="77777777" w:rsidTr="00C80916">
        <w:tc>
          <w:tcPr>
            <w:tcW w:w="1255" w:type="pct"/>
            <w:shd w:val="clear" w:color="auto" w:fill="auto"/>
          </w:tcPr>
          <w:p w14:paraId="65BC33C4" w14:textId="77777777" w:rsidR="00C145B3" w:rsidRPr="00D33D68" w:rsidRDefault="00C145B3" w:rsidP="008B2921">
            <w:pPr>
              <w:spacing w:after="0"/>
            </w:pPr>
            <w:r w:rsidRPr="00D33D68">
              <w:t>3.B.1 - Increase in the percentage of fulfilment of data calls</w:t>
            </w:r>
          </w:p>
        </w:tc>
        <w:tc>
          <w:tcPr>
            <w:tcW w:w="489" w:type="pct"/>
            <w:shd w:val="clear" w:color="auto" w:fill="auto"/>
          </w:tcPr>
          <w:p w14:paraId="001ADF84" w14:textId="3CCDD988" w:rsidR="00C145B3" w:rsidRPr="00D33D68" w:rsidRDefault="00852EC3" w:rsidP="00CD7DDD">
            <w:pPr>
              <w:spacing w:after="0"/>
              <w:jc w:val="right"/>
            </w:pPr>
            <w:r w:rsidRPr="00D33D68">
              <w:t>20.92</w:t>
            </w:r>
          </w:p>
        </w:tc>
        <w:tc>
          <w:tcPr>
            <w:tcW w:w="484" w:type="pct"/>
            <w:shd w:val="clear" w:color="auto" w:fill="auto"/>
          </w:tcPr>
          <w:p w14:paraId="21FD815A" w14:textId="77777777" w:rsidR="00C145B3" w:rsidRPr="00D33D68" w:rsidRDefault="00C145B3" w:rsidP="00DE71C9">
            <w:pPr>
              <w:spacing w:after="0"/>
              <w:ind w:left="-104" w:right="-105"/>
              <w:jc w:val="center"/>
            </w:pPr>
            <w:r w:rsidRPr="00D33D68">
              <w:t>%</w:t>
            </w:r>
          </w:p>
        </w:tc>
        <w:tc>
          <w:tcPr>
            <w:tcW w:w="533" w:type="pct"/>
          </w:tcPr>
          <w:p w14:paraId="15582E98" w14:textId="77777777" w:rsidR="00C145B3" w:rsidRPr="00D33D68" w:rsidRDefault="00C145B3" w:rsidP="008B2921">
            <w:pPr>
              <w:spacing w:after="0"/>
              <w:jc w:val="center"/>
            </w:pPr>
          </w:p>
        </w:tc>
        <w:tc>
          <w:tcPr>
            <w:tcW w:w="2239" w:type="pct"/>
          </w:tcPr>
          <w:p w14:paraId="264B6EC9" w14:textId="77777777" w:rsidR="00664A9A" w:rsidRPr="00D33D68" w:rsidRDefault="005F000F" w:rsidP="00664A9A">
            <w:pPr>
              <w:spacing w:after="0"/>
            </w:pPr>
            <w:r w:rsidRPr="00D33D68">
              <w:t>Индикаторът се образува от м</w:t>
            </w:r>
            <w:r w:rsidR="00914895" w:rsidRPr="00D33D68">
              <w:t>ярка 3.2. Начална стойност 25</w:t>
            </w:r>
            <w:r w:rsidRPr="00D33D68">
              <w:t xml:space="preserve">. Намаляването на бюджета на </w:t>
            </w:r>
            <w:r w:rsidR="00914895" w:rsidRPr="00D33D68">
              <w:t>мярка 3.2</w:t>
            </w:r>
            <w:r w:rsidRPr="00D33D68">
              <w:t xml:space="preserve"> с </w:t>
            </w:r>
            <w:r w:rsidR="00914895" w:rsidRPr="00D33D68">
              <w:t>16.31</w:t>
            </w:r>
            <w:r w:rsidRPr="00D33D68">
              <w:t xml:space="preserve">% при 1вата стъпка променя индикатора на </w:t>
            </w:r>
            <w:r w:rsidR="00CA6B0D" w:rsidRPr="00D33D68">
              <w:t>20.9216</w:t>
            </w:r>
            <w:r w:rsidRPr="00D33D68">
              <w:t xml:space="preserve">. </w:t>
            </w:r>
          </w:p>
          <w:p w14:paraId="7300375C" w14:textId="4B6CC196" w:rsidR="005F000F" w:rsidRPr="00D33D68" w:rsidRDefault="00852EC3" w:rsidP="00664A9A">
            <w:pPr>
              <w:spacing w:after="0"/>
            </w:pPr>
            <w:r w:rsidRPr="00D33D68">
              <w:t>При следващите изменения стойностите не се променят</w:t>
            </w:r>
            <w:r w:rsidR="005F000F" w:rsidRPr="00D33D68">
              <w:t xml:space="preserve"> и се получава 2023 Target value.</w:t>
            </w:r>
          </w:p>
        </w:tc>
      </w:tr>
    </w:tbl>
    <w:p w14:paraId="6A3702F9" w14:textId="77777777" w:rsidR="00B5762F" w:rsidRPr="00D33D68" w:rsidRDefault="00B5762F" w:rsidP="00B5762F">
      <w:pPr>
        <w:spacing w:after="0"/>
      </w:pPr>
    </w:p>
    <w:tbl>
      <w:tblPr>
        <w:tblW w:w="498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332"/>
        <w:gridCol w:w="908"/>
        <w:gridCol w:w="899"/>
        <w:gridCol w:w="992"/>
        <w:gridCol w:w="4120"/>
      </w:tblGrid>
      <w:tr w:rsidR="00D33D68" w:rsidRPr="00D33D68" w14:paraId="722154AB" w14:textId="77777777" w:rsidTr="00E02DDB">
        <w:tc>
          <w:tcPr>
            <w:tcW w:w="1260" w:type="pct"/>
            <w:shd w:val="clear" w:color="auto" w:fill="auto"/>
          </w:tcPr>
          <w:p w14:paraId="5B7A00FE" w14:textId="77777777" w:rsidR="00843BEC" w:rsidRPr="00D33D68" w:rsidRDefault="00843BEC" w:rsidP="008B2921">
            <w:pPr>
              <w:pStyle w:val="Text1"/>
              <w:spacing w:before="0" w:after="0"/>
              <w:ind w:left="0"/>
              <w:rPr>
                <w:b/>
                <w:lang w:val="bg-BG"/>
              </w:rPr>
            </w:pPr>
            <w:r w:rsidRPr="00D33D68">
              <w:rPr>
                <w:b/>
                <w:noProof/>
                <w:lang w:val="bg-BG"/>
              </w:rPr>
              <w:t>Specific objective</w:t>
            </w:r>
          </w:p>
        </w:tc>
        <w:tc>
          <w:tcPr>
            <w:tcW w:w="3740" w:type="pct"/>
            <w:gridSpan w:val="4"/>
            <w:shd w:val="clear" w:color="auto" w:fill="auto"/>
          </w:tcPr>
          <w:p w14:paraId="7284F7BF" w14:textId="77777777" w:rsidR="00843BEC" w:rsidRPr="00D33D68" w:rsidRDefault="00843BEC" w:rsidP="008B2921">
            <w:pPr>
              <w:pStyle w:val="Text1"/>
              <w:spacing w:before="0" w:after="0"/>
              <w:ind w:left="0"/>
              <w:rPr>
                <w:b/>
                <w:noProof/>
                <w:lang w:val="bg-BG"/>
              </w:rPr>
            </w:pPr>
            <w:r w:rsidRPr="00D33D68">
              <w:rPr>
                <w:b/>
                <w:noProof/>
                <w:lang w:val="bg-BG"/>
              </w:rPr>
              <w:t>2</w:t>
            </w:r>
            <w:r w:rsidRPr="00D33D68">
              <w:rPr>
                <w:b/>
                <w:lang w:val="bg-BG"/>
              </w:rPr>
              <w:t xml:space="preserve"> - </w:t>
            </w:r>
            <w:r w:rsidRPr="00D33D68">
              <w:rPr>
                <w:b/>
                <w:noProof/>
                <w:lang w:val="bg-BG"/>
              </w:rPr>
              <w:t>Provision of support to monitoring, control and enforcement, enhancing institutional capacity and the efficiency of public administration, without increasing the administrative burden</w:t>
            </w:r>
          </w:p>
        </w:tc>
      </w:tr>
      <w:tr w:rsidR="00D33D68" w:rsidRPr="00D33D68" w14:paraId="1AB11AC7" w14:textId="77777777" w:rsidTr="00C80916">
        <w:tc>
          <w:tcPr>
            <w:tcW w:w="1260" w:type="pct"/>
            <w:shd w:val="clear" w:color="auto" w:fill="auto"/>
          </w:tcPr>
          <w:p w14:paraId="03BA0EC0" w14:textId="77777777" w:rsidR="00843BEC" w:rsidRPr="00D33D68" w:rsidRDefault="00843BEC" w:rsidP="00843BEC">
            <w:pPr>
              <w:spacing w:after="0"/>
              <w:jc w:val="center"/>
              <w:rPr>
                <w:b/>
              </w:rPr>
            </w:pPr>
            <w:r w:rsidRPr="00D33D68">
              <w:rPr>
                <w:b/>
              </w:rPr>
              <w:t>Result indicator</w:t>
            </w:r>
          </w:p>
        </w:tc>
        <w:tc>
          <w:tcPr>
            <w:tcW w:w="491" w:type="pct"/>
            <w:shd w:val="clear" w:color="auto" w:fill="auto"/>
          </w:tcPr>
          <w:p w14:paraId="13D47B26" w14:textId="77777777" w:rsidR="00843BEC" w:rsidRPr="00D33D68" w:rsidRDefault="00843BEC" w:rsidP="00843BEC">
            <w:pPr>
              <w:spacing w:after="0"/>
              <w:ind w:left="-110" w:right="-106"/>
              <w:jc w:val="center"/>
              <w:rPr>
                <w:b/>
              </w:rPr>
            </w:pPr>
            <w:r w:rsidRPr="00D33D68">
              <w:rPr>
                <w:b/>
              </w:rPr>
              <w:t>Target value for 2023</w:t>
            </w:r>
          </w:p>
          <w:p w14:paraId="59851866" w14:textId="77777777" w:rsidR="00632F0A" w:rsidRPr="00D33D68" w:rsidRDefault="00632F0A" w:rsidP="00843BEC">
            <w:pPr>
              <w:spacing w:after="0"/>
              <w:ind w:left="-110" w:right="-106"/>
              <w:jc w:val="center"/>
              <w:rPr>
                <w:b/>
              </w:rPr>
            </w:pPr>
            <w:r w:rsidRPr="00D33D68">
              <w:rPr>
                <w:b/>
              </w:rPr>
              <w:t>(new)</w:t>
            </w:r>
          </w:p>
        </w:tc>
        <w:tc>
          <w:tcPr>
            <w:tcW w:w="486" w:type="pct"/>
            <w:shd w:val="clear" w:color="auto" w:fill="auto"/>
          </w:tcPr>
          <w:p w14:paraId="6205F8B7" w14:textId="77777777" w:rsidR="00843BEC" w:rsidRPr="00D33D68" w:rsidRDefault="00843BEC" w:rsidP="00664A9A">
            <w:pPr>
              <w:spacing w:after="0"/>
              <w:ind w:left="-104" w:right="-105"/>
              <w:jc w:val="center"/>
              <w:rPr>
                <w:b/>
              </w:rPr>
            </w:pPr>
            <w:r w:rsidRPr="00D33D68">
              <w:rPr>
                <w:b/>
              </w:rPr>
              <w:t>Measurement unit</w:t>
            </w:r>
          </w:p>
        </w:tc>
        <w:tc>
          <w:tcPr>
            <w:tcW w:w="536" w:type="pct"/>
          </w:tcPr>
          <w:p w14:paraId="1A236165" w14:textId="77777777" w:rsidR="00843BEC" w:rsidRPr="00D33D68" w:rsidRDefault="00843BEC" w:rsidP="00664A9A">
            <w:pPr>
              <w:spacing w:after="0"/>
              <w:ind w:left="-108" w:right="-105"/>
              <w:jc w:val="center"/>
              <w:rPr>
                <w:b/>
              </w:rPr>
            </w:pPr>
            <w:r w:rsidRPr="00D33D68">
              <w:rPr>
                <w:b/>
              </w:rPr>
              <w:t>Not applicable</w:t>
            </w:r>
          </w:p>
        </w:tc>
        <w:tc>
          <w:tcPr>
            <w:tcW w:w="2227" w:type="pct"/>
          </w:tcPr>
          <w:p w14:paraId="5A5C1C28" w14:textId="53CC7570" w:rsidR="00843BEC" w:rsidRPr="00D33D68" w:rsidRDefault="00EB4109" w:rsidP="00843BEC">
            <w:pPr>
              <w:spacing w:after="0"/>
              <w:jc w:val="center"/>
              <w:rPr>
                <w:b/>
              </w:rPr>
            </w:pPr>
            <w:r w:rsidRPr="00D33D68">
              <w:rPr>
                <w:b/>
              </w:rPr>
              <w:t>Explanation</w:t>
            </w:r>
          </w:p>
        </w:tc>
      </w:tr>
      <w:tr w:rsidR="00D33D68" w:rsidRPr="00D33D68" w14:paraId="554113B4" w14:textId="77777777" w:rsidTr="00C80916">
        <w:tc>
          <w:tcPr>
            <w:tcW w:w="1260" w:type="pct"/>
            <w:shd w:val="clear" w:color="auto" w:fill="auto"/>
          </w:tcPr>
          <w:p w14:paraId="175CFB85" w14:textId="77777777" w:rsidR="00843BEC" w:rsidRPr="00D33D68" w:rsidRDefault="00843BEC" w:rsidP="008B2921">
            <w:pPr>
              <w:spacing w:after="0"/>
            </w:pPr>
            <w:r w:rsidRPr="00D33D68">
              <w:lastRenderedPageBreak/>
              <w:t>3.A.1 - Number of serious infringements detected</w:t>
            </w:r>
          </w:p>
        </w:tc>
        <w:tc>
          <w:tcPr>
            <w:tcW w:w="491" w:type="pct"/>
            <w:shd w:val="clear" w:color="auto" w:fill="auto"/>
          </w:tcPr>
          <w:p w14:paraId="6529CBC5" w14:textId="77777777" w:rsidR="00843BEC" w:rsidRPr="00D33D68" w:rsidRDefault="00843BEC" w:rsidP="00CD7DDD">
            <w:pPr>
              <w:spacing w:after="0"/>
              <w:jc w:val="right"/>
            </w:pPr>
            <w:r w:rsidRPr="00D33D68">
              <w:t>0.00</w:t>
            </w:r>
          </w:p>
        </w:tc>
        <w:tc>
          <w:tcPr>
            <w:tcW w:w="486" w:type="pct"/>
            <w:shd w:val="clear" w:color="auto" w:fill="auto"/>
          </w:tcPr>
          <w:p w14:paraId="0F7B3616" w14:textId="77777777" w:rsidR="00843BEC" w:rsidRPr="00D33D68" w:rsidRDefault="00843BEC" w:rsidP="00664A9A">
            <w:pPr>
              <w:spacing w:after="0"/>
              <w:ind w:left="-104" w:right="-105"/>
              <w:jc w:val="center"/>
            </w:pPr>
            <w:r w:rsidRPr="00D33D68">
              <w:t>number</w:t>
            </w:r>
          </w:p>
        </w:tc>
        <w:tc>
          <w:tcPr>
            <w:tcW w:w="536" w:type="pct"/>
          </w:tcPr>
          <w:p w14:paraId="04D6A497" w14:textId="77777777" w:rsidR="00843BEC" w:rsidRPr="00D33D68" w:rsidRDefault="00843BEC" w:rsidP="008B2921">
            <w:pPr>
              <w:spacing w:after="0"/>
              <w:jc w:val="center"/>
            </w:pPr>
          </w:p>
        </w:tc>
        <w:tc>
          <w:tcPr>
            <w:tcW w:w="2227" w:type="pct"/>
          </w:tcPr>
          <w:p w14:paraId="3974E9FB" w14:textId="5ED90DCE" w:rsidR="00843BEC" w:rsidRPr="00D33D68" w:rsidRDefault="00F57D2B" w:rsidP="008B2921">
            <w:pPr>
              <w:spacing w:after="0"/>
              <w:jc w:val="center"/>
            </w:pPr>
            <w:r w:rsidRPr="00D33D68">
              <w:t>(N/A)</w:t>
            </w:r>
          </w:p>
        </w:tc>
      </w:tr>
      <w:tr w:rsidR="00843BEC" w:rsidRPr="00D33D68" w14:paraId="5F1253AF" w14:textId="77777777" w:rsidTr="00C80916">
        <w:tc>
          <w:tcPr>
            <w:tcW w:w="1260" w:type="pct"/>
            <w:shd w:val="clear" w:color="auto" w:fill="auto"/>
          </w:tcPr>
          <w:p w14:paraId="3C9DD235" w14:textId="77777777" w:rsidR="00843BEC" w:rsidRPr="00D33D68" w:rsidRDefault="00843BEC" w:rsidP="008B2921">
            <w:pPr>
              <w:spacing w:after="0"/>
            </w:pPr>
            <w:r w:rsidRPr="00D33D68">
              <w:t>3.A.2 - Landings that have been the subject to physical control</w:t>
            </w:r>
          </w:p>
        </w:tc>
        <w:tc>
          <w:tcPr>
            <w:tcW w:w="491" w:type="pct"/>
            <w:shd w:val="clear" w:color="auto" w:fill="auto"/>
          </w:tcPr>
          <w:p w14:paraId="0D9611B9" w14:textId="6CA30A2A" w:rsidR="00843BEC" w:rsidRPr="00D33D68" w:rsidRDefault="00852EC3" w:rsidP="008B2921">
            <w:pPr>
              <w:spacing w:after="0"/>
              <w:jc w:val="right"/>
            </w:pPr>
            <w:r w:rsidRPr="00D33D68">
              <w:t>35</w:t>
            </w:r>
          </w:p>
        </w:tc>
        <w:tc>
          <w:tcPr>
            <w:tcW w:w="486" w:type="pct"/>
            <w:shd w:val="clear" w:color="auto" w:fill="auto"/>
          </w:tcPr>
          <w:p w14:paraId="5132B136" w14:textId="77777777" w:rsidR="00843BEC" w:rsidRPr="00D33D68" w:rsidRDefault="00843BEC" w:rsidP="00664A9A">
            <w:pPr>
              <w:spacing w:after="0"/>
              <w:ind w:left="-104" w:right="-105"/>
              <w:jc w:val="center"/>
            </w:pPr>
            <w:r w:rsidRPr="00D33D68">
              <w:t>%</w:t>
            </w:r>
          </w:p>
        </w:tc>
        <w:tc>
          <w:tcPr>
            <w:tcW w:w="536" w:type="pct"/>
          </w:tcPr>
          <w:p w14:paraId="20C537A4" w14:textId="77777777" w:rsidR="00843BEC" w:rsidRPr="00D33D68" w:rsidRDefault="00843BEC" w:rsidP="008B2921">
            <w:pPr>
              <w:spacing w:after="0"/>
              <w:jc w:val="center"/>
            </w:pPr>
          </w:p>
        </w:tc>
        <w:tc>
          <w:tcPr>
            <w:tcW w:w="2227" w:type="pct"/>
          </w:tcPr>
          <w:p w14:paraId="48F44BF2" w14:textId="4093F24E" w:rsidR="00EF059C" w:rsidRPr="00D33D68" w:rsidRDefault="00EF059C" w:rsidP="00852EC3">
            <w:pPr>
              <w:spacing w:after="0"/>
            </w:pPr>
            <w:r w:rsidRPr="00D33D68">
              <w:t>Индикаторът се образува от м</w:t>
            </w:r>
            <w:r w:rsidR="00CE56C4" w:rsidRPr="00D33D68">
              <w:t>ярка</w:t>
            </w:r>
            <w:r w:rsidRPr="00D33D68">
              <w:t xml:space="preserve"> </w:t>
            </w:r>
            <w:r w:rsidR="00CE56C4" w:rsidRPr="00D33D68">
              <w:t>3.1</w:t>
            </w:r>
            <w:r w:rsidRPr="00D33D68">
              <w:t xml:space="preserve">. Начална стойност </w:t>
            </w:r>
            <w:r w:rsidR="00CE56C4" w:rsidRPr="00D33D68">
              <w:t>35</w:t>
            </w:r>
            <w:r w:rsidRPr="00D33D68">
              <w:t xml:space="preserve">. </w:t>
            </w:r>
            <w:r w:rsidR="00852EC3" w:rsidRPr="00D33D68">
              <w:t>При измененията стойностите не се променят и се получава 2023 Target value.</w:t>
            </w:r>
          </w:p>
        </w:tc>
      </w:tr>
    </w:tbl>
    <w:p w14:paraId="5D21596F" w14:textId="77777777" w:rsidR="00B5762F" w:rsidRPr="00D33D68" w:rsidRDefault="00B5762F" w:rsidP="00B5762F">
      <w:pPr>
        <w:spacing w:after="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2"/>
        <w:gridCol w:w="7066"/>
      </w:tblGrid>
      <w:tr w:rsidR="00B5762F" w:rsidRPr="00D33D68" w14:paraId="103DE39E" w14:textId="77777777" w:rsidTr="008B2921">
        <w:tc>
          <w:tcPr>
            <w:tcW w:w="0" w:type="auto"/>
            <w:shd w:val="clear" w:color="auto" w:fill="auto"/>
          </w:tcPr>
          <w:p w14:paraId="6370D0A3" w14:textId="77777777" w:rsidR="00B5762F" w:rsidRPr="00D33D68" w:rsidRDefault="00B5762F" w:rsidP="008B2921">
            <w:pPr>
              <w:pStyle w:val="Text1"/>
              <w:spacing w:before="0" w:after="0"/>
              <w:ind w:left="0"/>
              <w:rPr>
                <w:b/>
                <w:lang w:val="bg-BG"/>
              </w:rPr>
            </w:pPr>
            <w:r w:rsidRPr="00D33D68">
              <w:rPr>
                <w:b/>
                <w:noProof/>
                <w:lang w:val="bg-BG"/>
              </w:rPr>
              <w:t>Union priority</w:t>
            </w:r>
          </w:p>
        </w:tc>
        <w:tc>
          <w:tcPr>
            <w:tcW w:w="0" w:type="auto"/>
            <w:shd w:val="clear" w:color="auto" w:fill="auto"/>
          </w:tcPr>
          <w:p w14:paraId="7A00EAD5" w14:textId="77777777" w:rsidR="00B5762F" w:rsidRPr="00D33D68" w:rsidRDefault="00B5762F" w:rsidP="008B2921">
            <w:pPr>
              <w:pStyle w:val="Text1"/>
              <w:spacing w:before="0" w:after="0"/>
              <w:ind w:left="0"/>
              <w:rPr>
                <w:b/>
                <w:lang w:val="bg-BG"/>
              </w:rPr>
            </w:pPr>
            <w:r w:rsidRPr="00D33D68">
              <w:rPr>
                <w:b/>
                <w:noProof/>
                <w:lang w:val="bg-BG"/>
              </w:rPr>
              <w:t>4</w:t>
            </w:r>
            <w:r w:rsidRPr="00D33D68">
              <w:rPr>
                <w:b/>
                <w:lang w:val="bg-BG"/>
              </w:rPr>
              <w:t xml:space="preserve"> - </w:t>
            </w:r>
            <w:r w:rsidRPr="00D33D68">
              <w:rPr>
                <w:b/>
                <w:noProof/>
                <w:lang w:val="bg-BG"/>
              </w:rPr>
              <w:t>Increasing employment and territorial cohesion</w:t>
            </w:r>
          </w:p>
        </w:tc>
      </w:tr>
    </w:tbl>
    <w:p w14:paraId="3151F027" w14:textId="77777777" w:rsidR="00B5762F" w:rsidRPr="00D33D68" w:rsidRDefault="00B5762F" w:rsidP="00B5762F">
      <w:pPr>
        <w:spacing w:after="0"/>
      </w:pPr>
    </w:p>
    <w:tbl>
      <w:tblPr>
        <w:tblW w:w="498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330"/>
        <w:gridCol w:w="910"/>
        <w:gridCol w:w="899"/>
        <w:gridCol w:w="992"/>
        <w:gridCol w:w="4120"/>
      </w:tblGrid>
      <w:tr w:rsidR="00D33D68" w:rsidRPr="00D33D68" w14:paraId="57A2F4AC" w14:textId="77777777" w:rsidTr="00FC2C95">
        <w:tc>
          <w:tcPr>
            <w:tcW w:w="1259" w:type="pct"/>
            <w:shd w:val="clear" w:color="auto" w:fill="auto"/>
          </w:tcPr>
          <w:p w14:paraId="2F76D426" w14:textId="77777777" w:rsidR="00B10CE3" w:rsidRPr="00D33D68" w:rsidRDefault="00B10CE3" w:rsidP="008B2921">
            <w:pPr>
              <w:pStyle w:val="Text1"/>
              <w:spacing w:before="0" w:after="0"/>
              <w:ind w:left="0"/>
              <w:rPr>
                <w:b/>
                <w:lang w:val="bg-BG"/>
              </w:rPr>
            </w:pPr>
            <w:r w:rsidRPr="00D33D68">
              <w:rPr>
                <w:b/>
                <w:noProof/>
                <w:lang w:val="bg-BG"/>
              </w:rPr>
              <w:t>Specific objective</w:t>
            </w:r>
          </w:p>
        </w:tc>
        <w:tc>
          <w:tcPr>
            <w:tcW w:w="3741" w:type="pct"/>
            <w:gridSpan w:val="4"/>
            <w:shd w:val="clear" w:color="auto" w:fill="auto"/>
          </w:tcPr>
          <w:p w14:paraId="7CB57052" w14:textId="77777777" w:rsidR="00B10CE3" w:rsidRPr="00D33D68" w:rsidRDefault="00B10CE3" w:rsidP="008B2921">
            <w:pPr>
              <w:pStyle w:val="Text1"/>
              <w:spacing w:before="0" w:after="0"/>
              <w:ind w:left="0"/>
              <w:rPr>
                <w:b/>
                <w:noProof/>
                <w:lang w:val="bg-BG"/>
              </w:rPr>
            </w:pPr>
            <w:r w:rsidRPr="00D33D68">
              <w:rPr>
                <w:b/>
                <w:noProof/>
                <w:lang w:val="bg-BG"/>
              </w:rPr>
              <w:t>1</w:t>
            </w:r>
            <w:r w:rsidRPr="00D33D68">
              <w:rPr>
                <w:b/>
                <w:lang w:val="bg-BG"/>
              </w:rPr>
              <w:t xml:space="preserve"> - </w:t>
            </w:r>
            <w:r w:rsidRPr="00D33D68">
              <w:rPr>
                <w:b/>
                <w:noProof/>
                <w:lang w:val="bg-BG"/>
              </w:rPr>
              <w:t>Promotion of economic growth, social inclusion and job creation, and providing support to employability and labour mobility in coastal and inland communities which depend on fishing and aquaculture, including the diversification of activities within fisheries and into other sectors of maritime economy</w:t>
            </w:r>
          </w:p>
        </w:tc>
      </w:tr>
      <w:tr w:rsidR="00D33D68" w:rsidRPr="00D33D68" w14:paraId="311DFB93" w14:textId="77777777" w:rsidTr="00C80916">
        <w:tc>
          <w:tcPr>
            <w:tcW w:w="1259" w:type="pct"/>
            <w:shd w:val="clear" w:color="auto" w:fill="auto"/>
          </w:tcPr>
          <w:p w14:paraId="21914021" w14:textId="77777777" w:rsidR="00B10CE3" w:rsidRPr="00D33D68" w:rsidRDefault="00B10CE3" w:rsidP="00632F0A">
            <w:pPr>
              <w:spacing w:after="0"/>
              <w:jc w:val="center"/>
              <w:rPr>
                <w:b/>
              </w:rPr>
            </w:pPr>
            <w:r w:rsidRPr="00D33D68">
              <w:rPr>
                <w:b/>
              </w:rPr>
              <w:t>Result indicator</w:t>
            </w:r>
          </w:p>
        </w:tc>
        <w:tc>
          <w:tcPr>
            <w:tcW w:w="492" w:type="pct"/>
            <w:shd w:val="clear" w:color="auto" w:fill="auto"/>
          </w:tcPr>
          <w:p w14:paraId="5C55FD11" w14:textId="77777777" w:rsidR="00B10CE3" w:rsidRPr="00D33D68" w:rsidRDefault="00B10CE3" w:rsidP="00632F0A">
            <w:pPr>
              <w:spacing w:after="0"/>
              <w:jc w:val="center"/>
              <w:rPr>
                <w:b/>
              </w:rPr>
            </w:pPr>
            <w:r w:rsidRPr="00D33D68">
              <w:rPr>
                <w:b/>
              </w:rPr>
              <w:t>Target value for 2023</w:t>
            </w:r>
          </w:p>
          <w:p w14:paraId="69DA4F2A" w14:textId="77777777" w:rsidR="00632F0A" w:rsidRPr="00D33D68" w:rsidRDefault="00632F0A" w:rsidP="00632F0A">
            <w:pPr>
              <w:spacing w:after="0"/>
              <w:jc w:val="center"/>
              <w:rPr>
                <w:b/>
              </w:rPr>
            </w:pPr>
            <w:r w:rsidRPr="00D33D68">
              <w:rPr>
                <w:b/>
              </w:rPr>
              <w:t>(new)</w:t>
            </w:r>
          </w:p>
        </w:tc>
        <w:tc>
          <w:tcPr>
            <w:tcW w:w="486" w:type="pct"/>
            <w:shd w:val="clear" w:color="auto" w:fill="auto"/>
          </w:tcPr>
          <w:p w14:paraId="771BDDDD" w14:textId="77777777" w:rsidR="00B10CE3" w:rsidRPr="00D33D68" w:rsidRDefault="00B10CE3" w:rsidP="00902F7C">
            <w:pPr>
              <w:spacing w:after="0"/>
              <w:ind w:left="-104" w:right="-105"/>
              <w:jc w:val="center"/>
              <w:rPr>
                <w:b/>
              </w:rPr>
            </w:pPr>
            <w:r w:rsidRPr="00D33D68">
              <w:rPr>
                <w:b/>
              </w:rPr>
              <w:t>Measurement unit</w:t>
            </w:r>
          </w:p>
        </w:tc>
        <w:tc>
          <w:tcPr>
            <w:tcW w:w="536" w:type="pct"/>
          </w:tcPr>
          <w:p w14:paraId="031B5ECD" w14:textId="77777777" w:rsidR="00B10CE3" w:rsidRPr="00D33D68" w:rsidRDefault="00B10CE3" w:rsidP="00632F0A">
            <w:pPr>
              <w:spacing w:after="0"/>
              <w:jc w:val="center"/>
              <w:rPr>
                <w:b/>
              </w:rPr>
            </w:pPr>
            <w:r w:rsidRPr="00D33D68">
              <w:rPr>
                <w:b/>
              </w:rPr>
              <w:t>Not applicable</w:t>
            </w:r>
          </w:p>
        </w:tc>
        <w:tc>
          <w:tcPr>
            <w:tcW w:w="2227" w:type="pct"/>
          </w:tcPr>
          <w:p w14:paraId="4C108729" w14:textId="66E7A089" w:rsidR="00B10CE3" w:rsidRPr="00D33D68" w:rsidRDefault="00EB4109" w:rsidP="00632F0A">
            <w:pPr>
              <w:spacing w:after="0"/>
              <w:jc w:val="center"/>
              <w:rPr>
                <w:b/>
              </w:rPr>
            </w:pPr>
            <w:r w:rsidRPr="00D33D68">
              <w:rPr>
                <w:b/>
              </w:rPr>
              <w:t>Explanation</w:t>
            </w:r>
          </w:p>
        </w:tc>
      </w:tr>
      <w:tr w:rsidR="00D33D68" w:rsidRPr="00D33D68" w14:paraId="32A71AB1" w14:textId="77777777" w:rsidTr="00C80916">
        <w:tc>
          <w:tcPr>
            <w:tcW w:w="1259" w:type="pct"/>
            <w:shd w:val="clear" w:color="auto" w:fill="auto"/>
          </w:tcPr>
          <w:p w14:paraId="6649126A" w14:textId="77777777" w:rsidR="00B10CE3" w:rsidRPr="00D33D68" w:rsidRDefault="00B10CE3" w:rsidP="008B2921">
            <w:pPr>
              <w:spacing w:after="0"/>
            </w:pPr>
            <w:r w:rsidRPr="00D33D68">
              <w:t>4.1 - Employment created (FTE)</w:t>
            </w:r>
          </w:p>
        </w:tc>
        <w:tc>
          <w:tcPr>
            <w:tcW w:w="492" w:type="pct"/>
            <w:shd w:val="clear" w:color="auto" w:fill="auto"/>
          </w:tcPr>
          <w:p w14:paraId="1C544873" w14:textId="40B1E567" w:rsidR="00B10CE3" w:rsidRPr="00D33D68" w:rsidRDefault="00161B32" w:rsidP="00161B32">
            <w:pPr>
              <w:spacing w:after="0"/>
              <w:jc w:val="right"/>
            </w:pPr>
            <w:r w:rsidRPr="00D33D68">
              <w:t>46</w:t>
            </w:r>
          </w:p>
        </w:tc>
        <w:tc>
          <w:tcPr>
            <w:tcW w:w="486" w:type="pct"/>
            <w:shd w:val="clear" w:color="auto" w:fill="auto"/>
          </w:tcPr>
          <w:p w14:paraId="686C1261" w14:textId="77777777" w:rsidR="00B10CE3" w:rsidRPr="00D33D68" w:rsidRDefault="00B10CE3" w:rsidP="00902F7C">
            <w:pPr>
              <w:spacing w:after="0"/>
              <w:ind w:left="-104" w:right="-105"/>
              <w:jc w:val="center"/>
            </w:pPr>
            <w:r w:rsidRPr="00D33D68">
              <w:t>FTE</w:t>
            </w:r>
          </w:p>
        </w:tc>
        <w:tc>
          <w:tcPr>
            <w:tcW w:w="536" w:type="pct"/>
          </w:tcPr>
          <w:p w14:paraId="150A12B2" w14:textId="77777777" w:rsidR="00B10CE3" w:rsidRPr="00D33D68" w:rsidRDefault="00B10CE3" w:rsidP="008B2921">
            <w:pPr>
              <w:spacing w:after="0"/>
              <w:jc w:val="center"/>
            </w:pPr>
          </w:p>
        </w:tc>
        <w:tc>
          <w:tcPr>
            <w:tcW w:w="2227" w:type="pct"/>
          </w:tcPr>
          <w:p w14:paraId="32131894" w14:textId="77777777" w:rsidR="0039474D" w:rsidRPr="00D33D68" w:rsidRDefault="00027948" w:rsidP="0039474D">
            <w:pPr>
              <w:spacing w:after="0"/>
            </w:pPr>
            <w:r w:rsidRPr="00D33D68">
              <w:t xml:space="preserve">Индикаторът се образува от мерки </w:t>
            </w:r>
            <w:r w:rsidR="00AF24E0" w:rsidRPr="00D33D68">
              <w:t>4.1 и 4.2</w:t>
            </w:r>
            <w:r w:rsidRPr="00D33D68">
              <w:t xml:space="preserve">. Начална стойност </w:t>
            </w:r>
            <w:r w:rsidR="00AF24E0" w:rsidRPr="00D33D68">
              <w:t>50</w:t>
            </w:r>
            <w:r w:rsidRPr="00D33D68">
              <w:t xml:space="preserve">. Намаляването на бюджета на мерки </w:t>
            </w:r>
            <w:r w:rsidR="00AF24E0" w:rsidRPr="00D33D68">
              <w:t>4.1 и 4.2</w:t>
            </w:r>
            <w:r w:rsidRPr="00D33D68">
              <w:t xml:space="preserve"> с </w:t>
            </w:r>
            <w:r w:rsidR="00AF24E0" w:rsidRPr="00D33D68">
              <w:t>6.55</w:t>
            </w:r>
            <w:r w:rsidRPr="00D33D68">
              <w:t xml:space="preserve">% при 1вата стъпка променя индикатора на </w:t>
            </w:r>
            <w:r w:rsidR="00AF24E0" w:rsidRPr="00D33D68">
              <w:t>46.7246</w:t>
            </w:r>
            <w:r w:rsidRPr="00D33D68">
              <w:t xml:space="preserve">. </w:t>
            </w:r>
          </w:p>
          <w:p w14:paraId="1A60F94D" w14:textId="77777777" w:rsidR="0039474D" w:rsidRPr="00D33D68" w:rsidRDefault="0039474D" w:rsidP="0039474D">
            <w:pPr>
              <w:spacing w:after="0"/>
            </w:pPr>
            <w:r w:rsidRPr="00D33D68">
              <w:t xml:space="preserve">С изменението поради COVID-19 </w:t>
            </w:r>
            <w:r w:rsidR="00852EC3" w:rsidRPr="00D33D68">
              <w:t xml:space="preserve">бюджетът </w:t>
            </w:r>
            <w:r w:rsidR="00027948" w:rsidRPr="00D33D68">
              <w:t xml:space="preserve">на мерки </w:t>
            </w:r>
            <w:r w:rsidR="00AF24E0" w:rsidRPr="00D33D68">
              <w:t>4.1 и 4.2</w:t>
            </w:r>
            <w:r w:rsidR="00027948" w:rsidRPr="00D33D68">
              <w:t xml:space="preserve"> се намаля</w:t>
            </w:r>
            <w:r w:rsidR="00FA56BD" w:rsidRPr="00D33D68">
              <w:t xml:space="preserve"> </w:t>
            </w:r>
            <w:r w:rsidR="00027948" w:rsidRPr="00D33D68">
              <w:t xml:space="preserve">с </w:t>
            </w:r>
            <w:r w:rsidR="00AF24E0" w:rsidRPr="00D33D68">
              <w:t>1.35</w:t>
            </w:r>
            <w:r w:rsidR="00027948" w:rsidRPr="00D33D68">
              <w:t>%</w:t>
            </w:r>
            <w:r w:rsidR="00852EC3" w:rsidRPr="00D33D68">
              <w:t xml:space="preserve"> до 46,09.</w:t>
            </w:r>
            <w:r w:rsidR="00027948" w:rsidRPr="00D33D68">
              <w:t xml:space="preserve"> </w:t>
            </w:r>
          </w:p>
          <w:p w14:paraId="3E7BE904" w14:textId="41692289" w:rsidR="000E1695" w:rsidRPr="00D33D68" w:rsidRDefault="00852EC3" w:rsidP="0039474D">
            <w:pPr>
              <w:spacing w:after="0"/>
            </w:pPr>
            <w:r w:rsidRPr="00D33D68">
              <w:t>При настоящето изменение стойностите не се променят и се получава 2023 Target value</w:t>
            </w:r>
            <w:r w:rsidR="0039474D" w:rsidRPr="00D33D68">
              <w:t xml:space="preserve"> след закръгляване</w:t>
            </w:r>
            <w:r w:rsidRPr="00D33D68">
              <w:t>.</w:t>
            </w:r>
          </w:p>
        </w:tc>
      </w:tr>
      <w:tr w:rsidR="00D33D68" w:rsidRPr="00D33D68" w14:paraId="27705C84" w14:textId="77777777" w:rsidTr="00C80916">
        <w:tc>
          <w:tcPr>
            <w:tcW w:w="1259" w:type="pct"/>
            <w:shd w:val="clear" w:color="auto" w:fill="auto"/>
          </w:tcPr>
          <w:p w14:paraId="4FB7C2C7" w14:textId="77777777" w:rsidR="00B10CE3" w:rsidRPr="00D33D68" w:rsidRDefault="00B10CE3" w:rsidP="008B2921">
            <w:pPr>
              <w:spacing w:after="0"/>
            </w:pPr>
            <w:r w:rsidRPr="00D33D68">
              <w:t>4.2 - Employment maintained (FTE)</w:t>
            </w:r>
          </w:p>
        </w:tc>
        <w:tc>
          <w:tcPr>
            <w:tcW w:w="492" w:type="pct"/>
            <w:shd w:val="clear" w:color="auto" w:fill="auto"/>
          </w:tcPr>
          <w:p w14:paraId="57B83B43" w14:textId="03BA67FA" w:rsidR="00B10CE3" w:rsidRPr="00D33D68" w:rsidRDefault="009F29C4" w:rsidP="00161B32">
            <w:pPr>
              <w:spacing w:after="0"/>
              <w:jc w:val="right"/>
            </w:pPr>
            <w:r w:rsidRPr="00D33D68">
              <w:t>161</w:t>
            </w:r>
          </w:p>
        </w:tc>
        <w:tc>
          <w:tcPr>
            <w:tcW w:w="486" w:type="pct"/>
            <w:shd w:val="clear" w:color="auto" w:fill="auto"/>
          </w:tcPr>
          <w:p w14:paraId="51C6538E" w14:textId="77777777" w:rsidR="00B10CE3" w:rsidRPr="00D33D68" w:rsidRDefault="00B10CE3" w:rsidP="00902F7C">
            <w:pPr>
              <w:spacing w:after="0"/>
              <w:ind w:left="-104" w:right="-105"/>
              <w:jc w:val="center"/>
            </w:pPr>
            <w:r w:rsidRPr="00D33D68">
              <w:t>FTE</w:t>
            </w:r>
          </w:p>
        </w:tc>
        <w:tc>
          <w:tcPr>
            <w:tcW w:w="536" w:type="pct"/>
          </w:tcPr>
          <w:p w14:paraId="40803CBD" w14:textId="77777777" w:rsidR="00B10CE3" w:rsidRPr="00D33D68" w:rsidRDefault="00B10CE3" w:rsidP="008B2921">
            <w:pPr>
              <w:spacing w:after="0"/>
              <w:jc w:val="center"/>
            </w:pPr>
          </w:p>
        </w:tc>
        <w:tc>
          <w:tcPr>
            <w:tcW w:w="2227" w:type="pct"/>
          </w:tcPr>
          <w:p w14:paraId="1A30471D" w14:textId="77777777" w:rsidR="00902042" w:rsidRPr="00D33D68" w:rsidRDefault="00AF24E0" w:rsidP="0039474D">
            <w:pPr>
              <w:spacing w:after="0"/>
            </w:pPr>
            <w:r w:rsidRPr="00D33D68">
              <w:t>Индикаторът се образува от мерки 4.1 и 4.2. Начална стойност 175. Намаляването на бюджета на мерки 4.1 и 4.2 с 6.55% при 1вата стъпка променя индикатора на 163.5</w:t>
            </w:r>
            <w:r w:rsidR="0039474D" w:rsidRPr="00D33D68">
              <w:t>4</w:t>
            </w:r>
            <w:r w:rsidRPr="00D33D68">
              <w:t xml:space="preserve">. </w:t>
            </w:r>
          </w:p>
          <w:p w14:paraId="5CF0EE66" w14:textId="77777777" w:rsidR="00902042" w:rsidRPr="00D33D68" w:rsidRDefault="0039474D" w:rsidP="0039474D">
            <w:pPr>
              <w:spacing w:after="0"/>
            </w:pPr>
            <w:r w:rsidRPr="00D33D68">
              <w:t>С изменението поради COVID-19 бюджетът</w:t>
            </w:r>
            <w:r w:rsidR="00852EC3" w:rsidRPr="00D33D68">
              <w:t xml:space="preserve"> на мерки 4.1 и 4.2 се намаля с 1.35% до 161</w:t>
            </w:r>
            <w:r w:rsidRPr="00D33D68">
              <w:t>.</w:t>
            </w:r>
            <w:r w:rsidR="00852EC3" w:rsidRPr="00D33D68">
              <w:t xml:space="preserve">33. </w:t>
            </w:r>
          </w:p>
          <w:p w14:paraId="12A6E373" w14:textId="29C3F093" w:rsidR="00990CAF" w:rsidRPr="00D33D68" w:rsidRDefault="00852EC3" w:rsidP="0039474D">
            <w:pPr>
              <w:spacing w:after="0"/>
            </w:pPr>
            <w:r w:rsidRPr="00D33D68">
              <w:t>При настоящето изменение стойностите не се променят и се получава 2023 Target value</w:t>
            </w:r>
            <w:r w:rsidR="0039474D" w:rsidRPr="00D33D68">
              <w:t xml:space="preserve"> след </w:t>
            </w:r>
            <w:r w:rsidR="0039474D" w:rsidRPr="00D33D68">
              <w:lastRenderedPageBreak/>
              <w:t>закръгляване.</w:t>
            </w:r>
          </w:p>
        </w:tc>
      </w:tr>
      <w:tr w:rsidR="00B10CE3" w:rsidRPr="00D33D68" w14:paraId="441D4084" w14:textId="77777777" w:rsidTr="00C80916">
        <w:tc>
          <w:tcPr>
            <w:tcW w:w="1259" w:type="pct"/>
            <w:shd w:val="clear" w:color="auto" w:fill="auto"/>
          </w:tcPr>
          <w:p w14:paraId="1C99EE1A" w14:textId="77777777" w:rsidR="00B10CE3" w:rsidRPr="00D33D68" w:rsidRDefault="00B10CE3" w:rsidP="008B2921">
            <w:pPr>
              <w:spacing w:after="0"/>
            </w:pPr>
            <w:r w:rsidRPr="00D33D68">
              <w:lastRenderedPageBreak/>
              <w:t>4.3 - Businesses created</w:t>
            </w:r>
          </w:p>
        </w:tc>
        <w:tc>
          <w:tcPr>
            <w:tcW w:w="492" w:type="pct"/>
            <w:shd w:val="clear" w:color="auto" w:fill="auto"/>
          </w:tcPr>
          <w:p w14:paraId="58500D1F" w14:textId="2133A735" w:rsidR="00B10CE3" w:rsidRPr="00D33D68" w:rsidRDefault="009F29C4" w:rsidP="00161B32">
            <w:pPr>
              <w:spacing w:after="0"/>
              <w:jc w:val="right"/>
            </w:pPr>
            <w:r w:rsidRPr="00D33D68">
              <w:t>69</w:t>
            </w:r>
          </w:p>
        </w:tc>
        <w:tc>
          <w:tcPr>
            <w:tcW w:w="486" w:type="pct"/>
            <w:shd w:val="clear" w:color="auto" w:fill="auto"/>
          </w:tcPr>
          <w:p w14:paraId="12144883" w14:textId="77777777" w:rsidR="00B10CE3" w:rsidRPr="00D33D68" w:rsidRDefault="00B10CE3" w:rsidP="00902F7C">
            <w:pPr>
              <w:spacing w:after="0"/>
              <w:ind w:left="-104" w:right="-105"/>
              <w:jc w:val="center"/>
            </w:pPr>
            <w:r w:rsidRPr="00D33D68">
              <w:t>number</w:t>
            </w:r>
          </w:p>
        </w:tc>
        <w:tc>
          <w:tcPr>
            <w:tcW w:w="536" w:type="pct"/>
          </w:tcPr>
          <w:p w14:paraId="2F2E92CC" w14:textId="77777777" w:rsidR="00B10CE3" w:rsidRPr="00D33D68" w:rsidRDefault="00B10CE3" w:rsidP="008B2921">
            <w:pPr>
              <w:spacing w:after="0"/>
              <w:jc w:val="center"/>
            </w:pPr>
          </w:p>
        </w:tc>
        <w:tc>
          <w:tcPr>
            <w:tcW w:w="2227" w:type="pct"/>
          </w:tcPr>
          <w:p w14:paraId="5C3622DB" w14:textId="77777777" w:rsidR="00902042" w:rsidRPr="00D33D68" w:rsidRDefault="00902042" w:rsidP="00902042">
            <w:pPr>
              <w:spacing w:after="0"/>
            </w:pPr>
            <w:r w:rsidRPr="00D33D68">
              <w:t xml:space="preserve">Индикаторът се образува от мерки 4.1 и 4.2. Начална стойност 75. Намаляването на бюджета на мерки 4.1 и 4.2 с 6.55% при 1вата стъпка променя индикатора на 70.09. </w:t>
            </w:r>
          </w:p>
          <w:p w14:paraId="12A5294A" w14:textId="7734BE51" w:rsidR="00902042" w:rsidRPr="00D33D68" w:rsidRDefault="00902042" w:rsidP="00902042">
            <w:pPr>
              <w:spacing w:after="0"/>
            </w:pPr>
            <w:r w:rsidRPr="00D33D68">
              <w:t xml:space="preserve">С изменението поради COVID-19 бюджетът на мерки 4.1 и 4.2 се намаля с 1.35% до 69.14. </w:t>
            </w:r>
          </w:p>
          <w:p w14:paraId="28C26158" w14:textId="19E8CA4A" w:rsidR="0065378B" w:rsidRPr="00D33D68" w:rsidRDefault="00902042" w:rsidP="00902042">
            <w:pPr>
              <w:spacing w:after="0"/>
            </w:pPr>
            <w:r w:rsidRPr="00D33D68">
              <w:t>При настоящето изменение стойностите не се променят и се получава 2023 Target value след закръгляване.</w:t>
            </w:r>
          </w:p>
        </w:tc>
      </w:tr>
    </w:tbl>
    <w:p w14:paraId="3140CFBC" w14:textId="77777777" w:rsidR="00B5762F" w:rsidRPr="00D33D68" w:rsidRDefault="00B5762F" w:rsidP="00B5762F">
      <w:pPr>
        <w:spacing w:after="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9"/>
        <w:gridCol w:w="6619"/>
      </w:tblGrid>
      <w:tr w:rsidR="00B5762F" w:rsidRPr="00D33D68" w14:paraId="0051BBB4" w14:textId="77777777" w:rsidTr="008B2921">
        <w:tc>
          <w:tcPr>
            <w:tcW w:w="0" w:type="auto"/>
            <w:shd w:val="clear" w:color="auto" w:fill="auto"/>
          </w:tcPr>
          <w:p w14:paraId="1E6E3996" w14:textId="77777777" w:rsidR="00B5762F" w:rsidRPr="00D33D68" w:rsidRDefault="00B5762F" w:rsidP="008B2921">
            <w:pPr>
              <w:pStyle w:val="Text1"/>
              <w:spacing w:before="0" w:after="0"/>
              <w:ind w:left="0"/>
              <w:rPr>
                <w:b/>
                <w:lang w:val="bg-BG"/>
              </w:rPr>
            </w:pPr>
            <w:r w:rsidRPr="00D33D68">
              <w:rPr>
                <w:b/>
                <w:noProof/>
                <w:lang w:val="bg-BG"/>
              </w:rPr>
              <w:t>Union priority</w:t>
            </w:r>
          </w:p>
        </w:tc>
        <w:tc>
          <w:tcPr>
            <w:tcW w:w="0" w:type="auto"/>
            <w:shd w:val="clear" w:color="auto" w:fill="auto"/>
          </w:tcPr>
          <w:p w14:paraId="05A4049D" w14:textId="77777777" w:rsidR="00B5762F" w:rsidRPr="00D33D68" w:rsidRDefault="00B5762F" w:rsidP="008B2921">
            <w:pPr>
              <w:pStyle w:val="Text1"/>
              <w:spacing w:before="0" w:after="0"/>
              <w:ind w:left="0"/>
              <w:rPr>
                <w:b/>
                <w:lang w:val="bg-BG"/>
              </w:rPr>
            </w:pPr>
            <w:r w:rsidRPr="00D33D68">
              <w:rPr>
                <w:b/>
                <w:noProof/>
                <w:lang w:val="bg-BG"/>
              </w:rPr>
              <w:t>5</w:t>
            </w:r>
            <w:r w:rsidRPr="00D33D68">
              <w:rPr>
                <w:b/>
                <w:lang w:val="bg-BG"/>
              </w:rPr>
              <w:t xml:space="preserve"> - </w:t>
            </w:r>
            <w:r w:rsidRPr="00D33D68">
              <w:rPr>
                <w:b/>
                <w:noProof/>
                <w:lang w:val="bg-BG"/>
              </w:rPr>
              <w:t>Fostering marketing and processing</w:t>
            </w:r>
          </w:p>
        </w:tc>
      </w:tr>
    </w:tbl>
    <w:p w14:paraId="5A9A9280" w14:textId="77777777" w:rsidR="00B5762F" w:rsidRPr="00D33D68" w:rsidRDefault="00B5762F" w:rsidP="00B5762F">
      <w:pPr>
        <w:spacing w:after="0"/>
      </w:pPr>
    </w:p>
    <w:tbl>
      <w:tblPr>
        <w:tblW w:w="498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330"/>
        <w:gridCol w:w="910"/>
        <w:gridCol w:w="899"/>
        <w:gridCol w:w="992"/>
        <w:gridCol w:w="4120"/>
      </w:tblGrid>
      <w:tr w:rsidR="00D33D68" w:rsidRPr="00D33D68" w14:paraId="2AD674C3" w14:textId="77777777" w:rsidTr="00C80916">
        <w:tc>
          <w:tcPr>
            <w:tcW w:w="1259" w:type="pct"/>
            <w:shd w:val="clear" w:color="auto" w:fill="auto"/>
          </w:tcPr>
          <w:p w14:paraId="76F3157C" w14:textId="77777777" w:rsidR="00B10CE3" w:rsidRPr="00D33D68" w:rsidRDefault="00B10CE3" w:rsidP="008B2921">
            <w:pPr>
              <w:pStyle w:val="Text1"/>
              <w:spacing w:before="0" w:after="0"/>
              <w:ind w:left="0"/>
              <w:rPr>
                <w:b/>
                <w:lang w:val="bg-BG"/>
              </w:rPr>
            </w:pPr>
            <w:r w:rsidRPr="00D33D68">
              <w:rPr>
                <w:b/>
                <w:noProof/>
                <w:lang w:val="bg-BG"/>
              </w:rPr>
              <w:t>Specific objective</w:t>
            </w:r>
          </w:p>
        </w:tc>
        <w:tc>
          <w:tcPr>
            <w:tcW w:w="3741" w:type="pct"/>
            <w:gridSpan w:val="4"/>
            <w:shd w:val="clear" w:color="auto" w:fill="auto"/>
          </w:tcPr>
          <w:p w14:paraId="668C2E3B" w14:textId="77777777" w:rsidR="00B10CE3" w:rsidRPr="00D33D68" w:rsidRDefault="00B10CE3" w:rsidP="008B2921">
            <w:pPr>
              <w:pStyle w:val="Text1"/>
              <w:spacing w:before="0" w:after="0"/>
              <w:ind w:left="0"/>
              <w:rPr>
                <w:b/>
                <w:noProof/>
                <w:lang w:val="bg-BG"/>
              </w:rPr>
            </w:pPr>
            <w:r w:rsidRPr="00D33D68">
              <w:rPr>
                <w:b/>
                <w:noProof/>
                <w:lang w:val="bg-BG"/>
              </w:rPr>
              <w:t>1</w:t>
            </w:r>
            <w:r w:rsidRPr="00D33D68">
              <w:rPr>
                <w:b/>
                <w:lang w:val="bg-BG"/>
              </w:rPr>
              <w:t xml:space="preserve"> - </w:t>
            </w:r>
            <w:r w:rsidRPr="00D33D68">
              <w:rPr>
                <w:b/>
                <w:noProof/>
                <w:lang w:val="bg-BG"/>
              </w:rPr>
              <w:t>Improvement of market organisation for fishery and aquaculture products</w:t>
            </w:r>
          </w:p>
        </w:tc>
      </w:tr>
      <w:tr w:rsidR="00D33D68" w:rsidRPr="00D33D68" w14:paraId="20A6FD3D" w14:textId="77777777" w:rsidTr="00C80916">
        <w:tc>
          <w:tcPr>
            <w:tcW w:w="1259" w:type="pct"/>
            <w:shd w:val="clear" w:color="auto" w:fill="auto"/>
          </w:tcPr>
          <w:p w14:paraId="004A22D4" w14:textId="77777777" w:rsidR="00B10CE3" w:rsidRPr="00D33D68" w:rsidRDefault="00B10CE3" w:rsidP="00B10CE3">
            <w:pPr>
              <w:spacing w:after="0"/>
              <w:jc w:val="center"/>
              <w:rPr>
                <w:b/>
              </w:rPr>
            </w:pPr>
            <w:r w:rsidRPr="00D33D68">
              <w:rPr>
                <w:b/>
              </w:rPr>
              <w:t>Result indicator</w:t>
            </w:r>
          </w:p>
        </w:tc>
        <w:tc>
          <w:tcPr>
            <w:tcW w:w="492" w:type="pct"/>
            <w:shd w:val="clear" w:color="auto" w:fill="auto"/>
          </w:tcPr>
          <w:p w14:paraId="3726C528" w14:textId="77777777" w:rsidR="00B10CE3" w:rsidRPr="00D33D68" w:rsidRDefault="00B10CE3" w:rsidP="00B10CE3">
            <w:pPr>
              <w:spacing w:after="0"/>
              <w:jc w:val="center"/>
              <w:rPr>
                <w:b/>
              </w:rPr>
            </w:pPr>
            <w:r w:rsidRPr="00D33D68">
              <w:rPr>
                <w:b/>
              </w:rPr>
              <w:t>Target value for 2023</w:t>
            </w:r>
          </w:p>
          <w:p w14:paraId="65665477" w14:textId="77777777" w:rsidR="00632F0A" w:rsidRPr="00D33D68" w:rsidRDefault="00632F0A" w:rsidP="00B10CE3">
            <w:pPr>
              <w:spacing w:after="0"/>
              <w:jc w:val="center"/>
              <w:rPr>
                <w:b/>
              </w:rPr>
            </w:pPr>
            <w:r w:rsidRPr="00D33D68">
              <w:rPr>
                <w:b/>
              </w:rPr>
              <w:t>(new)</w:t>
            </w:r>
          </w:p>
        </w:tc>
        <w:tc>
          <w:tcPr>
            <w:tcW w:w="486" w:type="pct"/>
            <w:shd w:val="clear" w:color="auto" w:fill="auto"/>
          </w:tcPr>
          <w:p w14:paraId="21C345A7" w14:textId="77777777" w:rsidR="00B10CE3" w:rsidRPr="00D33D68" w:rsidRDefault="00B10CE3" w:rsidP="00950CDA">
            <w:pPr>
              <w:spacing w:after="0"/>
              <w:ind w:left="-104" w:right="-105"/>
              <w:jc w:val="center"/>
              <w:rPr>
                <w:b/>
              </w:rPr>
            </w:pPr>
            <w:r w:rsidRPr="00D33D68">
              <w:rPr>
                <w:b/>
              </w:rPr>
              <w:t>Measurement unit</w:t>
            </w:r>
          </w:p>
        </w:tc>
        <w:tc>
          <w:tcPr>
            <w:tcW w:w="536" w:type="pct"/>
          </w:tcPr>
          <w:p w14:paraId="5B53EB23" w14:textId="77777777" w:rsidR="00B10CE3" w:rsidRPr="00D33D68" w:rsidRDefault="00B10CE3" w:rsidP="00B10CE3">
            <w:pPr>
              <w:spacing w:after="0"/>
              <w:jc w:val="center"/>
              <w:rPr>
                <w:b/>
              </w:rPr>
            </w:pPr>
            <w:r w:rsidRPr="00D33D68">
              <w:rPr>
                <w:b/>
              </w:rPr>
              <w:t>Not applicable</w:t>
            </w:r>
          </w:p>
        </w:tc>
        <w:tc>
          <w:tcPr>
            <w:tcW w:w="2226" w:type="pct"/>
          </w:tcPr>
          <w:p w14:paraId="3D7084E4" w14:textId="1C139C64" w:rsidR="00B10CE3" w:rsidRPr="00D33D68" w:rsidRDefault="00EB4109" w:rsidP="00B10CE3">
            <w:pPr>
              <w:spacing w:after="0"/>
              <w:jc w:val="center"/>
              <w:rPr>
                <w:b/>
              </w:rPr>
            </w:pPr>
            <w:r w:rsidRPr="00D33D68">
              <w:rPr>
                <w:b/>
              </w:rPr>
              <w:t>Explanation</w:t>
            </w:r>
          </w:p>
        </w:tc>
      </w:tr>
      <w:tr w:rsidR="00D33D68" w:rsidRPr="00D33D68" w14:paraId="4EF50A71" w14:textId="77777777" w:rsidTr="00C80916">
        <w:trPr>
          <w:trHeight w:val="1837"/>
        </w:trPr>
        <w:tc>
          <w:tcPr>
            <w:tcW w:w="1259" w:type="pct"/>
            <w:shd w:val="clear" w:color="auto" w:fill="auto"/>
          </w:tcPr>
          <w:p w14:paraId="414DE1E8" w14:textId="77777777" w:rsidR="00B10CE3" w:rsidRPr="00D33D68" w:rsidRDefault="00B10CE3" w:rsidP="008B2921">
            <w:pPr>
              <w:spacing w:after="0"/>
            </w:pPr>
            <w:r w:rsidRPr="00D33D68">
              <w:t>5.1.a - Change in value of first sales in POs</w:t>
            </w:r>
          </w:p>
        </w:tc>
        <w:tc>
          <w:tcPr>
            <w:tcW w:w="492" w:type="pct"/>
            <w:shd w:val="clear" w:color="auto" w:fill="auto"/>
          </w:tcPr>
          <w:p w14:paraId="63E04577" w14:textId="6934DE65" w:rsidR="00B10CE3" w:rsidRPr="00D33D68" w:rsidRDefault="00446AA9" w:rsidP="00182C4A">
            <w:pPr>
              <w:spacing w:after="0"/>
              <w:ind w:left="-104"/>
              <w:jc w:val="right"/>
            </w:pPr>
            <w:r w:rsidRPr="00D33D68">
              <w:t>533</w:t>
            </w:r>
            <w:r w:rsidR="00182C4A" w:rsidRPr="00D33D68">
              <w:rPr>
                <w:lang w:val="en-US"/>
              </w:rPr>
              <w:t>4</w:t>
            </w:r>
            <w:r w:rsidRPr="00D33D68">
              <w:t>.35</w:t>
            </w:r>
          </w:p>
        </w:tc>
        <w:tc>
          <w:tcPr>
            <w:tcW w:w="486" w:type="pct"/>
            <w:shd w:val="clear" w:color="auto" w:fill="auto"/>
          </w:tcPr>
          <w:p w14:paraId="2DD5CB4F" w14:textId="77777777" w:rsidR="00B10CE3" w:rsidRPr="00D33D68" w:rsidRDefault="00B10CE3" w:rsidP="00950CDA">
            <w:pPr>
              <w:spacing w:after="0"/>
              <w:ind w:left="-104" w:right="-105"/>
              <w:jc w:val="center"/>
            </w:pPr>
            <w:r w:rsidRPr="00D33D68">
              <w:t>thousand Euros</w:t>
            </w:r>
          </w:p>
        </w:tc>
        <w:tc>
          <w:tcPr>
            <w:tcW w:w="536" w:type="pct"/>
          </w:tcPr>
          <w:p w14:paraId="7DE570CF" w14:textId="77777777" w:rsidR="00B10CE3" w:rsidRPr="00D33D68" w:rsidRDefault="00B10CE3" w:rsidP="008B2921">
            <w:pPr>
              <w:spacing w:after="0"/>
              <w:jc w:val="center"/>
            </w:pPr>
          </w:p>
        </w:tc>
        <w:tc>
          <w:tcPr>
            <w:tcW w:w="2226" w:type="pct"/>
          </w:tcPr>
          <w:p w14:paraId="0FAF5E2C" w14:textId="77777777" w:rsidR="006F6458" w:rsidRPr="00D33D68" w:rsidRDefault="00D6177C" w:rsidP="000F7C52">
            <w:pPr>
              <w:spacing w:after="0" w:line="240" w:lineRule="auto"/>
            </w:pPr>
            <w:r w:rsidRPr="00D33D68">
              <w:t xml:space="preserve">Индикаторът се образува от мерки </w:t>
            </w:r>
            <w:r w:rsidR="0036022B" w:rsidRPr="00D33D68">
              <w:t>5.1</w:t>
            </w:r>
            <w:r w:rsidR="00E05C0A" w:rsidRPr="00D33D68">
              <w:t>,</w:t>
            </w:r>
            <w:r w:rsidR="0036022B" w:rsidRPr="00D33D68">
              <w:t xml:space="preserve"> 5.3</w:t>
            </w:r>
            <w:r w:rsidR="00E05C0A" w:rsidRPr="00D33D68">
              <w:t xml:space="preserve"> и</w:t>
            </w:r>
            <w:r w:rsidR="0036022B" w:rsidRPr="00D33D68">
              <w:t xml:space="preserve"> 5.4</w:t>
            </w:r>
            <w:r w:rsidRPr="00D33D68">
              <w:t xml:space="preserve">. Начална стойност </w:t>
            </w:r>
            <w:r w:rsidR="00E05C0A" w:rsidRPr="00D33D68">
              <w:t>5000</w:t>
            </w:r>
            <w:r w:rsidRPr="00D33D68">
              <w:t xml:space="preserve">. Намаляването на бюджета на мерки </w:t>
            </w:r>
            <w:r w:rsidR="00E05C0A" w:rsidRPr="00D33D68">
              <w:t>5.1, 5.3 и 5.4</w:t>
            </w:r>
            <w:r w:rsidRPr="00D33D68">
              <w:t xml:space="preserve"> с </w:t>
            </w:r>
            <w:r w:rsidR="00E05C0A" w:rsidRPr="00D33D68">
              <w:t>6</w:t>
            </w:r>
            <w:r w:rsidRPr="00D33D68">
              <w:t xml:space="preserve">% при 1вата стъпка променя индикатора на </w:t>
            </w:r>
            <w:r w:rsidR="00E05C0A" w:rsidRPr="00D33D68">
              <w:t>4700</w:t>
            </w:r>
            <w:r w:rsidRPr="00D33D68">
              <w:t xml:space="preserve">. </w:t>
            </w:r>
            <w:r w:rsidR="00852EC3" w:rsidRPr="00D33D68">
              <w:t xml:space="preserve"> </w:t>
            </w:r>
          </w:p>
          <w:p w14:paraId="6625B09B" w14:textId="25117FF0" w:rsidR="00D6177C" w:rsidRPr="00D33D68" w:rsidRDefault="006F6458" w:rsidP="00182C4A">
            <w:pPr>
              <w:spacing w:after="0" w:line="240" w:lineRule="auto"/>
            </w:pPr>
            <w:r w:rsidRPr="00D33D68">
              <w:t>С изменението поради COVID-19 бюджетът на</w:t>
            </w:r>
            <w:r w:rsidR="00852EC3" w:rsidRPr="00D33D68">
              <w:t xml:space="preserve"> мярка 5.4 се увеличава с 19,</w:t>
            </w:r>
            <w:r w:rsidR="00446AA9" w:rsidRPr="00D33D68">
              <w:t>21%, а 5.1 и 5.3 не се променят и</w:t>
            </w:r>
            <w:r w:rsidR="00852EC3" w:rsidRPr="00D33D68">
              <w:t xml:space="preserve"> сто</w:t>
            </w:r>
            <w:r w:rsidR="00ED18DF" w:rsidRPr="00D33D68">
              <w:t>й</w:t>
            </w:r>
            <w:r w:rsidR="00852EC3" w:rsidRPr="00D33D68">
              <w:t xml:space="preserve">ността на индикатора </w:t>
            </w:r>
            <w:r w:rsidR="00446AA9" w:rsidRPr="00D33D68">
              <w:t>се увеличава със средна стойност от 6.40% до</w:t>
            </w:r>
            <w:r w:rsidR="00852EC3" w:rsidRPr="00D33D68">
              <w:t xml:space="preserve"> 5</w:t>
            </w:r>
            <w:r w:rsidR="00446AA9" w:rsidRPr="00D33D68">
              <w:t>000.96</w:t>
            </w:r>
            <w:r w:rsidR="00852EC3" w:rsidRPr="00D33D68">
              <w:t xml:space="preserve">. </w:t>
            </w:r>
            <w:r w:rsidR="00D6177C" w:rsidRPr="00D33D68">
              <w:t>Сега бюджет</w:t>
            </w:r>
            <w:r w:rsidR="00AA7D9B" w:rsidRPr="00D33D68">
              <w:t>ът</w:t>
            </w:r>
            <w:r w:rsidR="00D6177C" w:rsidRPr="00D33D68">
              <w:t xml:space="preserve"> на </w:t>
            </w:r>
            <w:r w:rsidR="00AA7D9B" w:rsidRPr="00D33D68">
              <w:t xml:space="preserve">мярка </w:t>
            </w:r>
            <w:r w:rsidR="00E05C0A" w:rsidRPr="00D33D68">
              <w:t>5.4</w:t>
            </w:r>
            <w:r w:rsidR="00D6177C" w:rsidRPr="00D33D68">
              <w:t xml:space="preserve"> се увеличава с </w:t>
            </w:r>
            <w:r w:rsidR="00182C4A" w:rsidRPr="00D33D68">
              <w:rPr>
                <w:lang w:val="en-US"/>
              </w:rPr>
              <w:t>20.00</w:t>
            </w:r>
            <w:r w:rsidRPr="00D33D68">
              <w:t>%</w:t>
            </w:r>
            <w:r w:rsidR="00182C4A" w:rsidRPr="00D33D68">
              <w:rPr>
                <w:lang w:val="en-US"/>
              </w:rPr>
              <w:t>,</w:t>
            </w:r>
            <w:r w:rsidR="00D6177C" w:rsidRPr="00D33D68">
              <w:t xml:space="preserve"> </w:t>
            </w:r>
            <w:r w:rsidR="00446AA9" w:rsidRPr="00D33D68">
              <w:t>а 5.1 и 5.3 не се променят и стойността на индикатора</w:t>
            </w:r>
            <w:r w:rsidR="00182C4A" w:rsidRPr="00D33D68">
              <w:t xml:space="preserve"> се увеличава със средна стойност от 6.69% и</w:t>
            </w:r>
            <w:r w:rsidR="00446AA9" w:rsidRPr="00D33D68">
              <w:t xml:space="preserve"> </w:t>
            </w:r>
            <w:r w:rsidR="00D6177C" w:rsidRPr="00D33D68">
              <w:t>се получава 2023 Target value.</w:t>
            </w:r>
          </w:p>
        </w:tc>
      </w:tr>
      <w:tr w:rsidR="00D33D68" w:rsidRPr="00D33D68" w14:paraId="47AC5D15" w14:textId="77777777" w:rsidTr="00C80916">
        <w:tc>
          <w:tcPr>
            <w:tcW w:w="1259" w:type="pct"/>
            <w:shd w:val="clear" w:color="auto" w:fill="auto"/>
          </w:tcPr>
          <w:p w14:paraId="299E6C9D" w14:textId="77777777" w:rsidR="00B10CE3" w:rsidRPr="00D33D68" w:rsidRDefault="00B10CE3" w:rsidP="008B2921">
            <w:pPr>
              <w:spacing w:after="0"/>
            </w:pPr>
            <w:r w:rsidRPr="00D33D68">
              <w:t>5.1.b - Change in volume of first sales in POs</w:t>
            </w:r>
          </w:p>
        </w:tc>
        <w:tc>
          <w:tcPr>
            <w:tcW w:w="492" w:type="pct"/>
            <w:shd w:val="clear" w:color="auto" w:fill="auto"/>
          </w:tcPr>
          <w:p w14:paraId="3DB99B87" w14:textId="5D783E41" w:rsidR="00B10CE3" w:rsidRPr="00D33D68" w:rsidRDefault="000C2829" w:rsidP="00182C4A">
            <w:pPr>
              <w:spacing w:after="0"/>
              <w:ind w:left="-98"/>
              <w:jc w:val="right"/>
            </w:pPr>
            <w:r w:rsidRPr="00D33D68">
              <w:t>213</w:t>
            </w:r>
            <w:r w:rsidR="00182C4A" w:rsidRPr="00D33D68">
              <w:rPr>
                <w:lang w:val="en-US"/>
              </w:rPr>
              <w:t>3</w:t>
            </w:r>
            <w:r w:rsidRPr="00D33D68">
              <w:t>.</w:t>
            </w:r>
            <w:r w:rsidR="00182C4A" w:rsidRPr="00D33D68">
              <w:rPr>
                <w:lang w:val="en-US"/>
              </w:rPr>
              <w:t>7</w:t>
            </w:r>
            <w:r w:rsidRPr="00D33D68">
              <w:t>4</w:t>
            </w:r>
          </w:p>
        </w:tc>
        <w:tc>
          <w:tcPr>
            <w:tcW w:w="486" w:type="pct"/>
            <w:shd w:val="clear" w:color="auto" w:fill="auto"/>
          </w:tcPr>
          <w:p w14:paraId="14905161" w14:textId="77777777" w:rsidR="00B10CE3" w:rsidRPr="00D33D68" w:rsidRDefault="00B10CE3" w:rsidP="00950CDA">
            <w:pPr>
              <w:spacing w:after="0"/>
              <w:ind w:left="-104" w:right="-105"/>
              <w:jc w:val="center"/>
            </w:pPr>
            <w:r w:rsidRPr="00D33D68">
              <w:t>tonnes</w:t>
            </w:r>
          </w:p>
        </w:tc>
        <w:tc>
          <w:tcPr>
            <w:tcW w:w="536" w:type="pct"/>
          </w:tcPr>
          <w:p w14:paraId="7F8EA6B7" w14:textId="77777777" w:rsidR="00B10CE3" w:rsidRPr="00D33D68" w:rsidRDefault="00B10CE3" w:rsidP="008B2921">
            <w:pPr>
              <w:spacing w:after="0"/>
              <w:jc w:val="center"/>
            </w:pPr>
          </w:p>
        </w:tc>
        <w:tc>
          <w:tcPr>
            <w:tcW w:w="2226" w:type="pct"/>
          </w:tcPr>
          <w:p w14:paraId="3F62EBA9" w14:textId="1EC04A9A" w:rsidR="00144292" w:rsidRPr="00D33D68" w:rsidRDefault="00144292" w:rsidP="00144292">
            <w:pPr>
              <w:spacing w:after="0" w:line="240" w:lineRule="auto"/>
            </w:pPr>
            <w:r w:rsidRPr="00D33D68">
              <w:t xml:space="preserve">Индикаторът се образува от мерки 5.1, 5.3 и 5.4. Начална стойност </w:t>
            </w:r>
            <w:r w:rsidR="002C7273" w:rsidRPr="00D33D68">
              <w:t>2</w:t>
            </w:r>
            <w:r w:rsidRPr="00D33D68">
              <w:t xml:space="preserve">000. Намаляването на бюджета на мерки 5.1, 5.3 и 5.4 с 6% при 1вата стъпка променя индикатора на </w:t>
            </w:r>
            <w:r w:rsidR="002C7273" w:rsidRPr="00D33D68">
              <w:t>1880</w:t>
            </w:r>
            <w:r w:rsidRPr="00D33D68">
              <w:t xml:space="preserve">.  </w:t>
            </w:r>
          </w:p>
          <w:p w14:paraId="1E9EA854" w14:textId="3CE52386" w:rsidR="00481777" w:rsidRPr="00D33D68" w:rsidRDefault="00144292" w:rsidP="00182C4A">
            <w:pPr>
              <w:spacing w:after="0"/>
            </w:pPr>
            <w:r w:rsidRPr="00D33D68">
              <w:t xml:space="preserve">С изменението поради COVID-19 бюджетът на мярка 5.4 се увеличава с </w:t>
            </w:r>
            <w:r w:rsidRPr="00D33D68">
              <w:lastRenderedPageBreak/>
              <w:t xml:space="preserve">19,21%, а 5.1 и 5.3 не се променят и стойността на индикатора се увеличава със средна стойност от 6.40% до </w:t>
            </w:r>
            <w:r w:rsidR="002C7273" w:rsidRPr="00D33D68">
              <w:t>2000.38</w:t>
            </w:r>
            <w:r w:rsidRPr="00D33D68">
              <w:t xml:space="preserve">. Сега бюджетът на мярка 5.4 се увеличава с </w:t>
            </w:r>
            <w:r w:rsidR="00182C4A" w:rsidRPr="00D33D68">
              <w:rPr>
                <w:lang w:val="en-US"/>
              </w:rPr>
              <w:t>20.00</w:t>
            </w:r>
            <w:r w:rsidRPr="00D33D68">
              <w:t>% а 5.1 и 5.3 не се променят и стойността на индикатора се увеличава със средна стойност от 6.69% и се получава 2023 Target value.</w:t>
            </w:r>
          </w:p>
        </w:tc>
      </w:tr>
      <w:tr w:rsidR="00D33D68" w:rsidRPr="00D33D68" w14:paraId="573A80E9" w14:textId="77777777" w:rsidTr="00C80916">
        <w:tc>
          <w:tcPr>
            <w:tcW w:w="1259" w:type="pct"/>
            <w:shd w:val="clear" w:color="auto" w:fill="auto"/>
          </w:tcPr>
          <w:p w14:paraId="3A7BBBCE" w14:textId="77777777" w:rsidR="00B10CE3" w:rsidRPr="00D33D68" w:rsidRDefault="00B10CE3" w:rsidP="008B2921">
            <w:pPr>
              <w:spacing w:after="0"/>
            </w:pPr>
            <w:r w:rsidRPr="00D33D68">
              <w:lastRenderedPageBreak/>
              <w:t>5.1.c - Change in value of first sales in non-POs</w:t>
            </w:r>
          </w:p>
        </w:tc>
        <w:tc>
          <w:tcPr>
            <w:tcW w:w="492" w:type="pct"/>
            <w:shd w:val="clear" w:color="auto" w:fill="auto"/>
          </w:tcPr>
          <w:p w14:paraId="37E0AB1F" w14:textId="77777777" w:rsidR="00B10CE3" w:rsidRPr="00D33D68" w:rsidRDefault="00B10CE3" w:rsidP="008B2921">
            <w:pPr>
              <w:spacing w:after="0"/>
              <w:jc w:val="right"/>
            </w:pPr>
          </w:p>
        </w:tc>
        <w:tc>
          <w:tcPr>
            <w:tcW w:w="486" w:type="pct"/>
            <w:shd w:val="clear" w:color="auto" w:fill="auto"/>
          </w:tcPr>
          <w:p w14:paraId="4111A392" w14:textId="77777777" w:rsidR="00B10CE3" w:rsidRPr="00D33D68" w:rsidRDefault="00B10CE3" w:rsidP="00950CDA">
            <w:pPr>
              <w:spacing w:after="0"/>
              <w:ind w:left="-104" w:right="-105"/>
              <w:jc w:val="center"/>
            </w:pPr>
            <w:r w:rsidRPr="00D33D68">
              <w:t>thousand Euros</w:t>
            </w:r>
          </w:p>
        </w:tc>
        <w:tc>
          <w:tcPr>
            <w:tcW w:w="536" w:type="pct"/>
          </w:tcPr>
          <w:p w14:paraId="5CBCF3AD" w14:textId="77777777" w:rsidR="00B10CE3" w:rsidRPr="00D33D68" w:rsidRDefault="00B10CE3" w:rsidP="008B2921">
            <w:pPr>
              <w:spacing w:after="0"/>
              <w:jc w:val="center"/>
            </w:pPr>
            <w:r w:rsidRPr="00D33D68">
              <w:sym w:font="Wingdings" w:char="F0FC"/>
            </w:r>
          </w:p>
        </w:tc>
        <w:tc>
          <w:tcPr>
            <w:tcW w:w="2226" w:type="pct"/>
          </w:tcPr>
          <w:p w14:paraId="57DD134E" w14:textId="35CDAAA8" w:rsidR="00B10CE3" w:rsidRPr="00D33D68" w:rsidRDefault="00AE0C4A" w:rsidP="008B2921">
            <w:pPr>
              <w:spacing w:after="0"/>
              <w:jc w:val="center"/>
            </w:pPr>
            <w:r w:rsidRPr="00D33D68">
              <w:t>(N/A)</w:t>
            </w:r>
          </w:p>
        </w:tc>
      </w:tr>
      <w:tr w:rsidR="00D33D68" w:rsidRPr="00D33D68" w14:paraId="4F2F9647" w14:textId="77777777" w:rsidTr="00C80916">
        <w:tc>
          <w:tcPr>
            <w:tcW w:w="1259" w:type="pct"/>
            <w:shd w:val="clear" w:color="auto" w:fill="auto"/>
          </w:tcPr>
          <w:p w14:paraId="7A7041DC" w14:textId="77777777" w:rsidR="00B10CE3" w:rsidRPr="00D33D68" w:rsidRDefault="00B10CE3" w:rsidP="008B2921">
            <w:pPr>
              <w:spacing w:after="0"/>
            </w:pPr>
            <w:r w:rsidRPr="00D33D68">
              <w:t>5.1.d - Change in volume of first sales in non-POs</w:t>
            </w:r>
          </w:p>
        </w:tc>
        <w:tc>
          <w:tcPr>
            <w:tcW w:w="492" w:type="pct"/>
            <w:shd w:val="clear" w:color="auto" w:fill="auto"/>
          </w:tcPr>
          <w:p w14:paraId="3F9B7F3F" w14:textId="77777777" w:rsidR="00B10CE3" w:rsidRPr="00D33D68" w:rsidRDefault="00B10CE3" w:rsidP="008B2921">
            <w:pPr>
              <w:spacing w:after="0"/>
              <w:jc w:val="right"/>
            </w:pPr>
          </w:p>
        </w:tc>
        <w:tc>
          <w:tcPr>
            <w:tcW w:w="486" w:type="pct"/>
            <w:shd w:val="clear" w:color="auto" w:fill="auto"/>
          </w:tcPr>
          <w:p w14:paraId="4B6D6422" w14:textId="77777777" w:rsidR="00B10CE3" w:rsidRPr="00D33D68" w:rsidRDefault="00B10CE3" w:rsidP="00950CDA">
            <w:pPr>
              <w:spacing w:after="0"/>
              <w:ind w:left="-104" w:right="-105"/>
              <w:jc w:val="center"/>
            </w:pPr>
            <w:r w:rsidRPr="00D33D68">
              <w:t>tonnes</w:t>
            </w:r>
          </w:p>
        </w:tc>
        <w:tc>
          <w:tcPr>
            <w:tcW w:w="536" w:type="pct"/>
          </w:tcPr>
          <w:p w14:paraId="3EA75ACC" w14:textId="77777777" w:rsidR="00B10CE3" w:rsidRPr="00D33D68" w:rsidRDefault="00B10CE3" w:rsidP="008B2921">
            <w:pPr>
              <w:spacing w:after="0"/>
              <w:jc w:val="center"/>
            </w:pPr>
            <w:r w:rsidRPr="00D33D68">
              <w:sym w:font="Wingdings" w:char="F0FC"/>
            </w:r>
          </w:p>
        </w:tc>
        <w:tc>
          <w:tcPr>
            <w:tcW w:w="2226" w:type="pct"/>
          </w:tcPr>
          <w:p w14:paraId="355313E9" w14:textId="2E18B444" w:rsidR="00B10CE3" w:rsidRPr="00D33D68" w:rsidRDefault="00AE0C4A" w:rsidP="008B2921">
            <w:pPr>
              <w:spacing w:after="0"/>
              <w:jc w:val="center"/>
            </w:pPr>
            <w:r w:rsidRPr="00D33D68">
              <w:t>(N/A)</w:t>
            </w:r>
          </w:p>
        </w:tc>
      </w:tr>
    </w:tbl>
    <w:p w14:paraId="6FA50A51" w14:textId="77777777" w:rsidR="00B5762F" w:rsidRPr="00D33D68" w:rsidRDefault="00B5762F" w:rsidP="00B5762F">
      <w:pPr>
        <w:spacing w:after="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337"/>
        <w:gridCol w:w="903"/>
        <w:gridCol w:w="901"/>
        <w:gridCol w:w="990"/>
        <w:gridCol w:w="4157"/>
      </w:tblGrid>
      <w:tr w:rsidR="00D33D68" w:rsidRPr="00D33D68" w14:paraId="6DF5DD3F" w14:textId="77777777" w:rsidTr="000F7C52">
        <w:tc>
          <w:tcPr>
            <w:tcW w:w="1258" w:type="pct"/>
            <w:shd w:val="clear" w:color="auto" w:fill="auto"/>
          </w:tcPr>
          <w:p w14:paraId="2989AE2D" w14:textId="77777777" w:rsidR="007B01E1" w:rsidRPr="00D33D68" w:rsidRDefault="007B01E1" w:rsidP="008B2921">
            <w:pPr>
              <w:pStyle w:val="Text1"/>
              <w:spacing w:before="0" w:after="0"/>
              <w:ind w:left="0"/>
              <w:rPr>
                <w:b/>
                <w:lang w:val="bg-BG"/>
              </w:rPr>
            </w:pPr>
            <w:r w:rsidRPr="00D33D68">
              <w:rPr>
                <w:b/>
                <w:noProof/>
                <w:lang w:val="bg-BG"/>
              </w:rPr>
              <w:t>Specific objective</w:t>
            </w:r>
          </w:p>
        </w:tc>
        <w:tc>
          <w:tcPr>
            <w:tcW w:w="3742" w:type="pct"/>
            <w:gridSpan w:val="4"/>
            <w:shd w:val="clear" w:color="auto" w:fill="auto"/>
          </w:tcPr>
          <w:p w14:paraId="21EBCBCB" w14:textId="77777777" w:rsidR="007B01E1" w:rsidRPr="00D33D68" w:rsidRDefault="007B01E1" w:rsidP="008B2921">
            <w:pPr>
              <w:pStyle w:val="Text1"/>
              <w:spacing w:before="0" w:after="0"/>
              <w:ind w:left="0"/>
              <w:rPr>
                <w:b/>
                <w:noProof/>
                <w:lang w:val="bg-BG"/>
              </w:rPr>
            </w:pPr>
            <w:r w:rsidRPr="00D33D68">
              <w:rPr>
                <w:b/>
                <w:noProof/>
                <w:lang w:val="bg-BG"/>
              </w:rPr>
              <w:t>2</w:t>
            </w:r>
            <w:r w:rsidRPr="00D33D68">
              <w:rPr>
                <w:b/>
                <w:lang w:val="bg-BG"/>
              </w:rPr>
              <w:t xml:space="preserve"> - </w:t>
            </w:r>
            <w:r w:rsidRPr="00D33D68">
              <w:rPr>
                <w:b/>
                <w:noProof/>
                <w:lang w:val="bg-BG"/>
              </w:rPr>
              <w:t>Encouragement of investment in the processing and marketing sectors</w:t>
            </w:r>
          </w:p>
        </w:tc>
      </w:tr>
      <w:tr w:rsidR="00D33D68" w:rsidRPr="00D33D68" w14:paraId="5CDEC342" w14:textId="77777777" w:rsidTr="00511333">
        <w:tc>
          <w:tcPr>
            <w:tcW w:w="1258" w:type="pct"/>
            <w:shd w:val="clear" w:color="auto" w:fill="auto"/>
          </w:tcPr>
          <w:p w14:paraId="0C35A410" w14:textId="77777777" w:rsidR="007B01E1" w:rsidRPr="00D33D68" w:rsidRDefault="007B01E1" w:rsidP="007B01E1">
            <w:pPr>
              <w:spacing w:after="0"/>
              <w:jc w:val="center"/>
              <w:rPr>
                <w:b/>
              </w:rPr>
            </w:pPr>
            <w:r w:rsidRPr="00D33D68">
              <w:rPr>
                <w:b/>
              </w:rPr>
              <w:t>Result indicator</w:t>
            </w:r>
          </w:p>
        </w:tc>
        <w:tc>
          <w:tcPr>
            <w:tcW w:w="486" w:type="pct"/>
            <w:shd w:val="clear" w:color="auto" w:fill="auto"/>
          </w:tcPr>
          <w:p w14:paraId="00E3BC21" w14:textId="77777777" w:rsidR="007B01E1" w:rsidRPr="00D33D68" w:rsidRDefault="007B01E1" w:rsidP="004B3469">
            <w:pPr>
              <w:spacing w:after="0"/>
              <w:ind w:left="-110" w:right="-107"/>
              <w:jc w:val="center"/>
              <w:rPr>
                <w:b/>
              </w:rPr>
            </w:pPr>
            <w:r w:rsidRPr="00D33D68">
              <w:rPr>
                <w:b/>
              </w:rPr>
              <w:t>Target value for 2023</w:t>
            </w:r>
          </w:p>
          <w:p w14:paraId="3BB4E7F3" w14:textId="77777777" w:rsidR="00632F0A" w:rsidRPr="00D33D68" w:rsidRDefault="00632F0A" w:rsidP="004B3469">
            <w:pPr>
              <w:spacing w:after="0"/>
              <w:ind w:left="-110" w:right="-107"/>
              <w:jc w:val="center"/>
              <w:rPr>
                <w:b/>
              </w:rPr>
            </w:pPr>
            <w:r w:rsidRPr="00D33D68">
              <w:rPr>
                <w:b/>
              </w:rPr>
              <w:t>(new)</w:t>
            </w:r>
          </w:p>
        </w:tc>
        <w:tc>
          <w:tcPr>
            <w:tcW w:w="485" w:type="pct"/>
            <w:shd w:val="clear" w:color="auto" w:fill="auto"/>
          </w:tcPr>
          <w:p w14:paraId="26332454" w14:textId="77777777" w:rsidR="007B01E1" w:rsidRPr="00D33D68" w:rsidRDefault="007B01E1" w:rsidP="00A66D6E">
            <w:pPr>
              <w:spacing w:after="0"/>
              <w:ind w:left="-104" w:right="-105"/>
              <w:jc w:val="center"/>
              <w:rPr>
                <w:b/>
              </w:rPr>
            </w:pPr>
            <w:r w:rsidRPr="00D33D68">
              <w:rPr>
                <w:b/>
              </w:rPr>
              <w:t>Measurement unit</w:t>
            </w:r>
          </w:p>
        </w:tc>
        <w:tc>
          <w:tcPr>
            <w:tcW w:w="533" w:type="pct"/>
          </w:tcPr>
          <w:p w14:paraId="130581A9" w14:textId="77777777" w:rsidR="007B01E1" w:rsidRPr="00D33D68" w:rsidRDefault="007B01E1" w:rsidP="007B01E1">
            <w:pPr>
              <w:spacing w:after="0"/>
              <w:jc w:val="center"/>
              <w:rPr>
                <w:b/>
              </w:rPr>
            </w:pPr>
            <w:r w:rsidRPr="00D33D68">
              <w:rPr>
                <w:b/>
              </w:rPr>
              <w:t>Not applicable</w:t>
            </w:r>
          </w:p>
        </w:tc>
        <w:tc>
          <w:tcPr>
            <w:tcW w:w="2238" w:type="pct"/>
          </w:tcPr>
          <w:p w14:paraId="554BED63" w14:textId="7D971389" w:rsidR="007B01E1" w:rsidRPr="00D33D68" w:rsidRDefault="00EB4109" w:rsidP="007B01E1">
            <w:pPr>
              <w:spacing w:after="0"/>
              <w:jc w:val="center"/>
              <w:rPr>
                <w:b/>
              </w:rPr>
            </w:pPr>
            <w:r w:rsidRPr="00D33D68">
              <w:rPr>
                <w:b/>
              </w:rPr>
              <w:t>Explanation</w:t>
            </w:r>
          </w:p>
        </w:tc>
      </w:tr>
      <w:tr w:rsidR="00D33D68" w:rsidRPr="00D33D68" w14:paraId="27C278EF" w14:textId="77777777" w:rsidTr="00511333">
        <w:tc>
          <w:tcPr>
            <w:tcW w:w="1258" w:type="pct"/>
            <w:shd w:val="clear" w:color="auto" w:fill="auto"/>
          </w:tcPr>
          <w:p w14:paraId="68F5A213" w14:textId="77777777" w:rsidR="007B01E1" w:rsidRPr="00D33D68" w:rsidRDefault="007B01E1" w:rsidP="008B2921">
            <w:pPr>
              <w:spacing w:after="0"/>
            </w:pPr>
            <w:r w:rsidRPr="00D33D68">
              <w:t>5.1.a - Change in value of first sales in POs</w:t>
            </w:r>
          </w:p>
        </w:tc>
        <w:tc>
          <w:tcPr>
            <w:tcW w:w="486" w:type="pct"/>
            <w:shd w:val="clear" w:color="auto" w:fill="auto"/>
          </w:tcPr>
          <w:p w14:paraId="3257B0B5" w14:textId="77777777" w:rsidR="007B01E1" w:rsidRPr="00D33D68" w:rsidRDefault="007B01E1" w:rsidP="004B3469">
            <w:pPr>
              <w:spacing w:after="0"/>
              <w:ind w:left="-110" w:right="-107"/>
              <w:jc w:val="right"/>
            </w:pPr>
          </w:p>
        </w:tc>
        <w:tc>
          <w:tcPr>
            <w:tcW w:w="485" w:type="pct"/>
            <w:shd w:val="clear" w:color="auto" w:fill="auto"/>
          </w:tcPr>
          <w:p w14:paraId="6922E89E" w14:textId="77777777" w:rsidR="007B01E1" w:rsidRPr="00D33D68" w:rsidRDefault="007B01E1" w:rsidP="00A66D6E">
            <w:pPr>
              <w:spacing w:after="0"/>
              <w:ind w:left="-104" w:right="-105"/>
              <w:jc w:val="center"/>
            </w:pPr>
            <w:r w:rsidRPr="00D33D68">
              <w:t>thousand Euros</w:t>
            </w:r>
          </w:p>
        </w:tc>
        <w:tc>
          <w:tcPr>
            <w:tcW w:w="533" w:type="pct"/>
          </w:tcPr>
          <w:p w14:paraId="7B42DF92" w14:textId="77777777" w:rsidR="007B01E1" w:rsidRPr="00D33D68" w:rsidRDefault="007B01E1" w:rsidP="008B2921">
            <w:pPr>
              <w:spacing w:after="0"/>
              <w:jc w:val="center"/>
            </w:pPr>
            <w:r w:rsidRPr="00D33D68">
              <w:sym w:font="Wingdings" w:char="F0FC"/>
            </w:r>
          </w:p>
        </w:tc>
        <w:tc>
          <w:tcPr>
            <w:tcW w:w="2238" w:type="pct"/>
          </w:tcPr>
          <w:p w14:paraId="4F87CCA3" w14:textId="3A3B7991" w:rsidR="007B01E1" w:rsidRPr="00D33D68" w:rsidRDefault="00444689" w:rsidP="008B2921">
            <w:pPr>
              <w:spacing w:after="0"/>
              <w:jc w:val="center"/>
            </w:pPr>
            <w:r w:rsidRPr="00D33D68">
              <w:t>(N/A)</w:t>
            </w:r>
          </w:p>
        </w:tc>
      </w:tr>
      <w:tr w:rsidR="00D33D68" w:rsidRPr="00D33D68" w14:paraId="003B41B8" w14:textId="77777777" w:rsidTr="00511333">
        <w:tc>
          <w:tcPr>
            <w:tcW w:w="1258" w:type="pct"/>
            <w:shd w:val="clear" w:color="auto" w:fill="auto"/>
          </w:tcPr>
          <w:p w14:paraId="6AA63BFE" w14:textId="77777777" w:rsidR="007B01E1" w:rsidRPr="00D33D68" w:rsidRDefault="007B01E1" w:rsidP="008B2921">
            <w:pPr>
              <w:spacing w:after="0"/>
            </w:pPr>
            <w:r w:rsidRPr="00D33D68">
              <w:t>5.1.b - Change in volume of first sales in POs</w:t>
            </w:r>
          </w:p>
        </w:tc>
        <w:tc>
          <w:tcPr>
            <w:tcW w:w="486" w:type="pct"/>
            <w:shd w:val="clear" w:color="auto" w:fill="auto"/>
          </w:tcPr>
          <w:p w14:paraId="065870F2" w14:textId="77777777" w:rsidR="007B01E1" w:rsidRPr="00D33D68" w:rsidRDefault="007B01E1" w:rsidP="004B3469">
            <w:pPr>
              <w:spacing w:after="0"/>
              <w:ind w:left="-110" w:right="-107"/>
              <w:jc w:val="right"/>
            </w:pPr>
          </w:p>
        </w:tc>
        <w:tc>
          <w:tcPr>
            <w:tcW w:w="485" w:type="pct"/>
            <w:shd w:val="clear" w:color="auto" w:fill="auto"/>
          </w:tcPr>
          <w:p w14:paraId="09F19616" w14:textId="77777777" w:rsidR="007B01E1" w:rsidRPr="00D33D68" w:rsidRDefault="007B01E1" w:rsidP="00A66D6E">
            <w:pPr>
              <w:spacing w:after="0"/>
              <w:ind w:left="-104" w:right="-105"/>
              <w:jc w:val="center"/>
            </w:pPr>
            <w:r w:rsidRPr="00D33D68">
              <w:t>tonnes</w:t>
            </w:r>
          </w:p>
        </w:tc>
        <w:tc>
          <w:tcPr>
            <w:tcW w:w="533" w:type="pct"/>
          </w:tcPr>
          <w:p w14:paraId="141776E1" w14:textId="77777777" w:rsidR="007B01E1" w:rsidRPr="00D33D68" w:rsidRDefault="007B01E1" w:rsidP="008B2921">
            <w:pPr>
              <w:spacing w:after="0"/>
              <w:jc w:val="center"/>
            </w:pPr>
            <w:r w:rsidRPr="00D33D68">
              <w:sym w:font="Wingdings" w:char="F0FC"/>
            </w:r>
          </w:p>
        </w:tc>
        <w:tc>
          <w:tcPr>
            <w:tcW w:w="2238" w:type="pct"/>
          </w:tcPr>
          <w:p w14:paraId="633841A5" w14:textId="16B38459" w:rsidR="007B01E1" w:rsidRPr="00D33D68" w:rsidRDefault="00444689" w:rsidP="008B2921">
            <w:pPr>
              <w:spacing w:after="0"/>
              <w:jc w:val="center"/>
            </w:pPr>
            <w:r w:rsidRPr="00D33D68">
              <w:t>(N/A)</w:t>
            </w:r>
          </w:p>
        </w:tc>
      </w:tr>
      <w:tr w:rsidR="00D33D68" w:rsidRPr="00D33D68" w14:paraId="25FF65D2" w14:textId="77777777" w:rsidTr="00511333">
        <w:tc>
          <w:tcPr>
            <w:tcW w:w="1258" w:type="pct"/>
            <w:shd w:val="clear" w:color="auto" w:fill="auto"/>
          </w:tcPr>
          <w:p w14:paraId="7C54DD19" w14:textId="77777777" w:rsidR="007B01E1" w:rsidRPr="00D33D68" w:rsidRDefault="007B01E1" w:rsidP="008B2921">
            <w:pPr>
              <w:spacing w:after="0"/>
            </w:pPr>
            <w:r w:rsidRPr="00D33D68">
              <w:t>5.1.c - Change in value of first sales in non-POs</w:t>
            </w:r>
          </w:p>
        </w:tc>
        <w:tc>
          <w:tcPr>
            <w:tcW w:w="486" w:type="pct"/>
            <w:shd w:val="clear" w:color="auto" w:fill="auto"/>
          </w:tcPr>
          <w:p w14:paraId="5EB2FD32" w14:textId="2F0CB776" w:rsidR="007B01E1" w:rsidRPr="00D33D68" w:rsidRDefault="003B5531" w:rsidP="001546BE">
            <w:pPr>
              <w:spacing w:after="0"/>
              <w:ind w:left="-110" w:right="-107"/>
              <w:jc w:val="right"/>
              <w:rPr>
                <w:lang w:val="en-US"/>
              </w:rPr>
            </w:pPr>
            <w:r w:rsidRPr="00D33D68">
              <w:t>141</w:t>
            </w:r>
            <w:r w:rsidR="001546BE" w:rsidRPr="00D33D68">
              <w:rPr>
                <w:lang w:val="en-US"/>
              </w:rPr>
              <w:t>19</w:t>
            </w:r>
            <w:r w:rsidRPr="00D33D68">
              <w:t>.2</w:t>
            </w:r>
            <w:r w:rsidR="001546BE" w:rsidRPr="00D33D68">
              <w:rPr>
                <w:lang w:val="en-US"/>
              </w:rPr>
              <w:t>3</w:t>
            </w:r>
          </w:p>
        </w:tc>
        <w:tc>
          <w:tcPr>
            <w:tcW w:w="485" w:type="pct"/>
            <w:shd w:val="clear" w:color="auto" w:fill="auto"/>
          </w:tcPr>
          <w:p w14:paraId="13A84BCC" w14:textId="77777777" w:rsidR="007B01E1" w:rsidRPr="00D33D68" w:rsidRDefault="007B01E1" w:rsidP="00A66D6E">
            <w:pPr>
              <w:spacing w:after="0"/>
              <w:ind w:left="-104" w:right="-105"/>
              <w:jc w:val="center"/>
            </w:pPr>
            <w:r w:rsidRPr="00D33D68">
              <w:t>thousand Euros</w:t>
            </w:r>
          </w:p>
        </w:tc>
        <w:tc>
          <w:tcPr>
            <w:tcW w:w="533" w:type="pct"/>
          </w:tcPr>
          <w:p w14:paraId="3A70826A" w14:textId="77777777" w:rsidR="007B01E1" w:rsidRPr="00D33D68" w:rsidRDefault="007B01E1" w:rsidP="008B2921">
            <w:pPr>
              <w:spacing w:after="0"/>
              <w:jc w:val="center"/>
            </w:pPr>
          </w:p>
        </w:tc>
        <w:tc>
          <w:tcPr>
            <w:tcW w:w="2238" w:type="pct"/>
          </w:tcPr>
          <w:p w14:paraId="4719CAC0" w14:textId="77777777" w:rsidR="003B5531" w:rsidRPr="00D33D68" w:rsidRDefault="0087152E" w:rsidP="003B5531">
            <w:pPr>
              <w:spacing w:after="0"/>
            </w:pPr>
            <w:r w:rsidRPr="00D33D68">
              <w:t xml:space="preserve">Индикаторът се образува от </w:t>
            </w:r>
            <w:r w:rsidR="003B5531" w:rsidRPr="00D33D68">
              <w:t>мярка</w:t>
            </w:r>
            <w:r w:rsidRPr="00D33D68">
              <w:t xml:space="preserve"> 5.4. Начална стойност </w:t>
            </w:r>
            <w:r w:rsidR="000F69DD" w:rsidRPr="00D33D68">
              <w:t>10500</w:t>
            </w:r>
            <w:r w:rsidRPr="00D33D68">
              <w:t xml:space="preserve">. Намаляването на бюджета на </w:t>
            </w:r>
            <w:r w:rsidR="003B5531" w:rsidRPr="00D33D68">
              <w:t>мярка 5.4</w:t>
            </w:r>
            <w:r w:rsidRPr="00D33D68">
              <w:t xml:space="preserve"> с 6% при 1вата стъпка променя индикатора на </w:t>
            </w:r>
            <w:r w:rsidR="000F69DD" w:rsidRPr="00D33D68">
              <w:t>9870</w:t>
            </w:r>
            <w:r w:rsidRPr="00D33D68">
              <w:t xml:space="preserve">. </w:t>
            </w:r>
          </w:p>
          <w:p w14:paraId="0077EF3F" w14:textId="77777777" w:rsidR="00645F9F" w:rsidRPr="00D33D68" w:rsidRDefault="003B5531" w:rsidP="003B5531">
            <w:pPr>
              <w:spacing w:after="0"/>
            </w:pPr>
            <w:r w:rsidRPr="00D33D68">
              <w:t xml:space="preserve">С изменението поради COVID-19 бюджетът на мярка 5.4 се увеличава с 19,21% и </w:t>
            </w:r>
            <w:r w:rsidR="00AA7D9B" w:rsidRPr="00D33D68">
              <w:t xml:space="preserve">стойността на индикатора е </w:t>
            </w:r>
            <w:r w:rsidRPr="00D33D68">
              <w:t>11 766.03</w:t>
            </w:r>
            <w:r w:rsidR="00AA7D9B" w:rsidRPr="00D33D68">
              <w:t xml:space="preserve">. </w:t>
            </w:r>
          </w:p>
          <w:p w14:paraId="0947E3EB" w14:textId="5B607E98" w:rsidR="00203E75" w:rsidRPr="00D33D68" w:rsidRDefault="00AA7D9B" w:rsidP="001546BE">
            <w:pPr>
              <w:spacing w:after="0"/>
            </w:pPr>
            <w:r w:rsidRPr="00D33D68">
              <w:t xml:space="preserve">Сега бюджетът на мярка 5.4 се увеличава с </w:t>
            </w:r>
            <w:r w:rsidR="003B5531" w:rsidRPr="00D33D68">
              <w:t>20.0</w:t>
            </w:r>
            <w:r w:rsidR="001546BE" w:rsidRPr="00D33D68">
              <w:rPr>
                <w:lang w:val="en-US"/>
              </w:rPr>
              <w:t>0</w:t>
            </w:r>
            <w:r w:rsidRPr="00D33D68">
              <w:t>% и се получава 2023 Target value.</w:t>
            </w:r>
          </w:p>
        </w:tc>
      </w:tr>
      <w:tr w:rsidR="000F7C52" w:rsidRPr="00D33D68" w14:paraId="1E4CAEA0" w14:textId="77777777" w:rsidTr="00511333">
        <w:tc>
          <w:tcPr>
            <w:tcW w:w="1258" w:type="pct"/>
            <w:shd w:val="clear" w:color="auto" w:fill="auto"/>
          </w:tcPr>
          <w:p w14:paraId="51F1ECA6" w14:textId="77777777" w:rsidR="000F7C52" w:rsidRPr="00D33D68" w:rsidRDefault="000F7C52" w:rsidP="008B2921">
            <w:pPr>
              <w:spacing w:after="0"/>
            </w:pPr>
            <w:r w:rsidRPr="00D33D68">
              <w:t>5.1.d - Change in volume of first sales in non-POs</w:t>
            </w:r>
          </w:p>
        </w:tc>
        <w:tc>
          <w:tcPr>
            <w:tcW w:w="486" w:type="pct"/>
            <w:shd w:val="clear" w:color="auto" w:fill="auto"/>
          </w:tcPr>
          <w:p w14:paraId="49108175" w14:textId="102FAC6A" w:rsidR="000F7C52" w:rsidRPr="00D33D68" w:rsidRDefault="006E7BC5" w:rsidP="001546BE">
            <w:pPr>
              <w:spacing w:after="0"/>
              <w:ind w:left="-110" w:right="-107"/>
              <w:jc w:val="right"/>
              <w:rPr>
                <w:lang w:val="en-US"/>
              </w:rPr>
            </w:pPr>
            <w:r w:rsidRPr="00D33D68">
              <w:t>605</w:t>
            </w:r>
            <w:r w:rsidR="001546BE" w:rsidRPr="00D33D68">
              <w:rPr>
                <w:lang w:val="en-US"/>
              </w:rPr>
              <w:t>1</w:t>
            </w:r>
            <w:r w:rsidRPr="00D33D68">
              <w:t>.1</w:t>
            </w:r>
            <w:r w:rsidR="001546BE" w:rsidRPr="00D33D68">
              <w:rPr>
                <w:lang w:val="en-US"/>
              </w:rPr>
              <w:t>0</w:t>
            </w:r>
          </w:p>
        </w:tc>
        <w:tc>
          <w:tcPr>
            <w:tcW w:w="485" w:type="pct"/>
            <w:shd w:val="clear" w:color="auto" w:fill="auto"/>
          </w:tcPr>
          <w:p w14:paraId="19434796" w14:textId="77777777" w:rsidR="000F7C52" w:rsidRPr="00D33D68" w:rsidRDefault="000F7C52" w:rsidP="00A66D6E">
            <w:pPr>
              <w:spacing w:after="0"/>
              <w:ind w:left="-104" w:right="-105"/>
              <w:jc w:val="center"/>
            </w:pPr>
            <w:r w:rsidRPr="00D33D68">
              <w:t>tonnes</w:t>
            </w:r>
          </w:p>
        </w:tc>
        <w:tc>
          <w:tcPr>
            <w:tcW w:w="533" w:type="pct"/>
          </w:tcPr>
          <w:p w14:paraId="451E166A" w14:textId="77777777" w:rsidR="000F7C52" w:rsidRPr="00D33D68" w:rsidRDefault="000F7C52" w:rsidP="008B2921">
            <w:pPr>
              <w:spacing w:after="0"/>
              <w:jc w:val="center"/>
            </w:pPr>
          </w:p>
        </w:tc>
        <w:tc>
          <w:tcPr>
            <w:tcW w:w="2238" w:type="pct"/>
          </w:tcPr>
          <w:p w14:paraId="0D696AB5" w14:textId="00F7C84B" w:rsidR="006C73F7" w:rsidRPr="00D33D68" w:rsidRDefault="006C73F7" w:rsidP="006C73F7">
            <w:pPr>
              <w:spacing w:after="0"/>
            </w:pPr>
            <w:r w:rsidRPr="00D33D68">
              <w:t xml:space="preserve">Индикаторът се образува от мярка 5.4. Начална стойност </w:t>
            </w:r>
            <w:r w:rsidR="006E7BC5" w:rsidRPr="00D33D68">
              <w:t>4500</w:t>
            </w:r>
            <w:r w:rsidRPr="00D33D68">
              <w:t xml:space="preserve">. Намаляването на бюджета на мярка 5.4 с 6% при 1вата стъпка променя </w:t>
            </w:r>
            <w:r w:rsidRPr="00D33D68">
              <w:lastRenderedPageBreak/>
              <w:t xml:space="preserve">индикатора на </w:t>
            </w:r>
            <w:r w:rsidR="006E7BC5" w:rsidRPr="00D33D68">
              <w:t>4230</w:t>
            </w:r>
            <w:r w:rsidRPr="00D33D68">
              <w:t xml:space="preserve">. </w:t>
            </w:r>
          </w:p>
          <w:p w14:paraId="3D1BCBA5" w14:textId="61844DBE" w:rsidR="00645F9F" w:rsidRPr="00D33D68" w:rsidRDefault="006C73F7" w:rsidP="006C73F7">
            <w:pPr>
              <w:spacing w:after="0"/>
            </w:pPr>
            <w:r w:rsidRPr="00D33D68">
              <w:t xml:space="preserve">С изменението поради COVID-19 бюджетът на мярка 5.4 се увеличава с 19,21% и стойността на индикатора е </w:t>
            </w:r>
            <w:r w:rsidR="006E7BC5" w:rsidRPr="00D33D68">
              <w:t>5042.58</w:t>
            </w:r>
            <w:r w:rsidRPr="00D33D68">
              <w:t xml:space="preserve">. </w:t>
            </w:r>
          </w:p>
          <w:p w14:paraId="2E4EC0F1" w14:textId="436C858C" w:rsidR="000F7C52" w:rsidRPr="00D33D68" w:rsidRDefault="006C73F7" w:rsidP="001546BE">
            <w:pPr>
              <w:spacing w:after="0"/>
            </w:pPr>
            <w:r w:rsidRPr="00D33D68">
              <w:t>Сега бюджетът на мярка 5.4 се увеличава с 20.0</w:t>
            </w:r>
            <w:r w:rsidR="001546BE" w:rsidRPr="00D33D68">
              <w:rPr>
                <w:lang w:val="en-US"/>
              </w:rPr>
              <w:t>0</w:t>
            </w:r>
            <w:r w:rsidRPr="00D33D68">
              <w:t>% и се получава 2023 Target value.</w:t>
            </w:r>
          </w:p>
        </w:tc>
      </w:tr>
    </w:tbl>
    <w:p w14:paraId="7ED3F821" w14:textId="77777777" w:rsidR="00B5762F" w:rsidRPr="00D33D68" w:rsidRDefault="00B5762F" w:rsidP="00B5762F">
      <w:pPr>
        <w:spacing w:after="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5"/>
        <w:gridCol w:w="7483"/>
      </w:tblGrid>
      <w:tr w:rsidR="00B5762F" w:rsidRPr="00D33D68" w14:paraId="31BCD52B" w14:textId="77777777" w:rsidTr="008B2921">
        <w:tc>
          <w:tcPr>
            <w:tcW w:w="0" w:type="auto"/>
            <w:shd w:val="clear" w:color="auto" w:fill="auto"/>
          </w:tcPr>
          <w:p w14:paraId="24E2F92F" w14:textId="77777777" w:rsidR="00B5762F" w:rsidRPr="00D33D68" w:rsidRDefault="00B5762F" w:rsidP="008B2921">
            <w:pPr>
              <w:pStyle w:val="Text1"/>
              <w:spacing w:before="0" w:after="0"/>
              <w:ind w:left="0"/>
              <w:rPr>
                <w:b/>
                <w:lang w:val="bg-BG"/>
              </w:rPr>
            </w:pPr>
            <w:r w:rsidRPr="00D33D68">
              <w:rPr>
                <w:b/>
                <w:noProof/>
                <w:lang w:val="bg-BG"/>
              </w:rPr>
              <w:t>Union priority</w:t>
            </w:r>
          </w:p>
        </w:tc>
        <w:tc>
          <w:tcPr>
            <w:tcW w:w="0" w:type="auto"/>
            <w:shd w:val="clear" w:color="auto" w:fill="auto"/>
          </w:tcPr>
          <w:p w14:paraId="327E48D5" w14:textId="77777777" w:rsidR="00B5762F" w:rsidRPr="00D33D68" w:rsidRDefault="00B5762F" w:rsidP="008B2921">
            <w:pPr>
              <w:pStyle w:val="Text1"/>
              <w:spacing w:before="0" w:after="0"/>
              <w:ind w:left="0"/>
              <w:rPr>
                <w:b/>
                <w:lang w:val="bg-BG"/>
              </w:rPr>
            </w:pPr>
            <w:r w:rsidRPr="00D33D68">
              <w:rPr>
                <w:b/>
                <w:noProof/>
                <w:lang w:val="bg-BG"/>
              </w:rPr>
              <w:t>6</w:t>
            </w:r>
            <w:r w:rsidRPr="00D33D68">
              <w:rPr>
                <w:b/>
                <w:lang w:val="bg-BG"/>
              </w:rPr>
              <w:t xml:space="preserve"> - </w:t>
            </w:r>
            <w:r w:rsidRPr="00D33D68">
              <w:rPr>
                <w:b/>
                <w:noProof/>
                <w:lang w:val="bg-BG"/>
              </w:rPr>
              <w:t>Fostering the implementation of the Integrated Maritime Policy</w:t>
            </w:r>
          </w:p>
        </w:tc>
      </w:tr>
    </w:tbl>
    <w:p w14:paraId="344A9888" w14:textId="77777777" w:rsidR="00B5762F" w:rsidRPr="00D33D68" w:rsidRDefault="00B5762F" w:rsidP="00B5762F">
      <w:pPr>
        <w:spacing w:after="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332"/>
        <w:gridCol w:w="908"/>
        <w:gridCol w:w="899"/>
        <w:gridCol w:w="990"/>
        <w:gridCol w:w="4159"/>
      </w:tblGrid>
      <w:tr w:rsidR="00D33D68" w:rsidRPr="00D33D68" w14:paraId="725573F7" w14:textId="77777777" w:rsidTr="006D0E1B">
        <w:tc>
          <w:tcPr>
            <w:tcW w:w="1255" w:type="pct"/>
            <w:shd w:val="clear" w:color="auto" w:fill="auto"/>
          </w:tcPr>
          <w:p w14:paraId="2CCA5EF1" w14:textId="77777777" w:rsidR="007B01E1" w:rsidRPr="00D33D68" w:rsidRDefault="007B01E1" w:rsidP="008B2921">
            <w:pPr>
              <w:pStyle w:val="Text1"/>
              <w:spacing w:before="0" w:after="0"/>
              <w:ind w:left="0"/>
              <w:rPr>
                <w:b/>
                <w:lang w:val="bg-BG"/>
              </w:rPr>
            </w:pPr>
            <w:r w:rsidRPr="00D33D68">
              <w:rPr>
                <w:b/>
                <w:noProof/>
                <w:lang w:val="bg-BG"/>
              </w:rPr>
              <w:t>Specific objective</w:t>
            </w:r>
          </w:p>
        </w:tc>
        <w:tc>
          <w:tcPr>
            <w:tcW w:w="3745" w:type="pct"/>
            <w:gridSpan w:val="4"/>
            <w:shd w:val="clear" w:color="auto" w:fill="auto"/>
          </w:tcPr>
          <w:p w14:paraId="6AA90C9B" w14:textId="77777777" w:rsidR="007B01E1" w:rsidRPr="00D33D68" w:rsidRDefault="007B01E1" w:rsidP="008B2921">
            <w:pPr>
              <w:pStyle w:val="Text1"/>
              <w:spacing w:before="0" w:after="0"/>
              <w:ind w:left="0"/>
              <w:rPr>
                <w:b/>
                <w:noProof/>
                <w:lang w:val="bg-BG"/>
              </w:rPr>
            </w:pPr>
            <w:r w:rsidRPr="00D33D68">
              <w:rPr>
                <w:b/>
                <w:noProof/>
                <w:lang w:val="bg-BG"/>
              </w:rPr>
              <w:t>1</w:t>
            </w:r>
            <w:r w:rsidRPr="00D33D68">
              <w:rPr>
                <w:b/>
                <w:lang w:val="bg-BG"/>
              </w:rPr>
              <w:t xml:space="preserve"> - </w:t>
            </w:r>
            <w:r w:rsidRPr="00D33D68">
              <w:rPr>
                <w:b/>
                <w:noProof/>
                <w:lang w:val="bg-BG"/>
              </w:rPr>
              <w:t>Development and implementation of the Integrated Maritime Policy</w:t>
            </w:r>
          </w:p>
        </w:tc>
      </w:tr>
      <w:tr w:rsidR="00D33D68" w:rsidRPr="00D33D68" w14:paraId="7E13D081" w14:textId="77777777" w:rsidTr="00511333">
        <w:tc>
          <w:tcPr>
            <w:tcW w:w="1255" w:type="pct"/>
            <w:shd w:val="clear" w:color="auto" w:fill="auto"/>
          </w:tcPr>
          <w:p w14:paraId="534ECCE1" w14:textId="77777777" w:rsidR="007B01E1" w:rsidRPr="00D33D68" w:rsidRDefault="007B01E1" w:rsidP="007B01E1">
            <w:pPr>
              <w:spacing w:after="0"/>
              <w:jc w:val="center"/>
              <w:rPr>
                <w:b/>
              </w:rPr>
            </w:pPr>
            <w:r w:rsidRPr="00D33D68">
              <w:rPr>
                <w:b/>
              </w:rPr>
              <w:t>Result indicator</w:t>
            </w:r>
          </w:p>
        </w:tc>
        <w:tc>
          <w:tcPr>
            <w:tcW w:w="489" w:type="pct"/>
            <w:shd w:val="clear" w:color="auto" w:fill="auto"/>
          </w:tcPr>
          <w:p w14:paraId="1116C136" w14:textId="77777777" w:rsidR="007B01E1" w:rsidRPr="00D33D68" w:rsidRDefault="007B01E1" w:rsidP="007B01E1">
            <w:pPr>
              <w:spacing w:after="0"/>
              <w:jc w:val="center"/>
              <w:rPr>
                <w:b/>
              </w:rPr>
            </w:pPr>
            <w:r w:rsidRPr="00D33D68">
              <w:rPr>
                <w:b/>
              </w:rPr>
              <w:t>Target value for 2023</w:t>
            </w:r>
          </w:p>
          <w:p w14:paraId="30FEF68E" w14:textId="77777777" w:rsidR="00632F0A" w:rsidRPr="00D33D68" w:rsidRDefault="00632F0A" w:rsidP="007B01E1">
            <w:pPr>
              <w:spacing w:after="0"/>
              <w:jc w:val="center"/>
              <w:rPr>
                <w:b/>
              </w:rPr>
            </w:pPr>
            <w:r w:rsidRPr="00D33D68">
              <w:rPr>
                <w:b/>
              </w:rPr>
              <w:t>(new)</w:t>
            </w:r>
          </w:p>
        </w:tc>
        <w:tc>
          <w:tcPr>
            <w:tcW w:w="484" w:type="pct"/>
            <w:shd w:val="clear" w:color="auto" w:fill="auto"/>
          </w:tcPr>
          <w:p w14:paraId="4045796E" w14:textId="77777777" w:rsidR="007B01E1" w:rsidRPr="00D33D68" w:rsidRDefault="007B01E1" w:rsidP="00911639">
            <w:pPr>
              <w:spacing w:after="0"/>
              <w:ind w:left="-104" w:right="-105"/>
              <w:jc w:val="center"/>
              <w:rPr>
                <w:b/>
              </w:rPr>
            </w:pPr>
            <w:r w:rsidRPr="00D33D68">
              <w:rPr>
                <w:b/>
              </w:rPr>
              <w:t>Measurement unit</w:t>
            </w:r>
          </w:p>
        </w:tc>
        <w:tc>
          <w:tcPr>
            <w:tcW w:w="533" w:type="pct"/>
          </w:tcPr>
          <w:p w14:paraId="4450549E" w14:textId="77777777" w:rsidR="007B01E1" w:rsidRPr="00D33D68" w:rsidRDefault="007B01E1" w:rsidP="00E972A5">
            <w:pPr>
              <w:spacing w:after="0"/>
              <w:ind w:left="-117" w:right="-95"/>
              <w:jc w:val="center"/>
              <w:rPr>
                <w:b/>
              </w:rPr>
            </w:pPr>
            <w:r w:rsidRPr="00D33D68">
              <w:rPr>
                <w:b/>
              </w:rPr>
              <w:t>Not applicable</w:t>
            </w:r>
          </w:p>
        </w:tc>
        <w:tc>
          <w:tcPr>
            <w:tcW w:w="2239" w:type="pct"/>
          </w:tcPr>
          <w:p w14:paraId="58CAFB34" w14:textId="3EFB7BA4" w:rsidR="007B01E1" w:rsidRPr="00D33D68" w:rsidRDefault="00EB4109" w:rsidP="007B01E1">
            <w:pPr>
              <w:spacing w:after="0"/>
              <w:jc w:val="center"/>
              <w:rPr>
                <w:b/>
              </w:rPr>
            </w:pPr>
            <w:r w:rsidRPr="00D33D68">
              <w:rPr>
                <w:b/>
              </w:rPr>
              <w:t>Explanation</w:t>
            </w:r>
          </w:p>
        </w:tc>
      </w:tr>
      <w:tr w:rsidR="00D33D68" w:rsidRPr="00D33D68" w14:paraId="76164D3C" w14:textId="77777777" w:rsidTr="00511333">
        <w:tc>
          <w:tcPr>
            <w:tcW w:w="1255" w:type="pct"/>
            <w:shd w:val="clear" w:color="auto" w:fill="auto"/>
          </w:tcPr>
          <w:p w14:paraId="5932E42A" w14:textId="77777777" w:rsidR="007B01E1" w:rsidRPr="00D33D68" w:rsidRDefault="007B01E1" w:rsidP="008B2921">
            <w:pPr>
              <w:spacing w:after="0"/>
            </w:pPr>
            <w:r w:rsidRPr="00D33D68">
              <w:t>6.1 - Increase in the Common Information Sharing Environment (CISE) for the surveillance of the EU maritime domain</w:t>
            </w:r>
          </w:p>
        </w:tc>
        <w:tc>
          <w:tcPr>
            <w:tcW w:w="489" w:type="pct"/>
            <w:shd w:val="clear" w:color="auto" w:fill="auto"/>
          </w:tcPr>
          <w:p w14:paraId="1068107A" w14:textId="5DA01B25" w:rsidR="007B01E1" w:rsidRPr="00D33D68" w:rsidRDefault="004B2C41" w:rsidP="008B2921">
            <w:pPr>
              <w:spacing w:after="0"/>
              <w:jc w:val="right"/>
            </w:pPr>
            <w:r w:rsidRPr="00D33D68">
              <w:t>93</w:t>
            </w:r>
            <w:r w:rsidR="009F29C4" w:rsidRPr="00D33D68">
              <w:t>.00</w:t>
            </w:r>
          </w:p>
        </w:tc>
        <w:tc>
          <w:tcPr>
            <w:tcW w:w="484" w:type="pct"/>
            <w:shd w:val="clear" w:color="auto" w:fill="auto"/>
          </w:tcPr>
          <w:p w14:paraId="034CDD69" w14:textId="77777777" w:rsidR="007B01E1" w:rsidRPr="00D33D68" w:rsidRDefault="007B01E1" w:rsidP="00911639">
            <w:pPr>
              <w:spacing w:after="0"/>
              <w:ind w:left="-104" w:right="-105"/>
              <w:jc w:val="center"/>
            </w:pPr>
            <w:r w:rsidRPr="00D33D68">
              <w:t>%</w:t>
            </w:r>
          </w:p>
        </w:tc>
        <w:tc>
          <w:tcPr>
            <w:tcW w:w="533" w:type="pct"/>
          </w:tcPr>
          <w:p w14:paraId="36D6A464" w14:textId="77777777" w:rsidR="007B01E1" w:rsidRPr="00D33D68" w:rsidRDefault="007B01E1" w:rsidP="008B2921">
            <w:pPr>
              <w:spacing w:after="0"/>
              <w:jc w:val="center"/>
            </w:pPr>
          </w:p>
        </w:tc>
        <w:tc>
          <w:tcPr>
            <w:tcW w:w="2239" w:type="pct"/>
          </w:tcPr>
          <w:p w14:paraId="636D605A" w14:textId="3C6D7C0D" w:rsidR="008E7470" w:rsidRPr="00D33D68" w:rsidRDefault="008E7470" w:rsidP="00084924">
            <w:pPr>
              <w:spacing w:after="0"/>
            </w:pPr>
            <w:r w:rsidRPr="00D33D68">
              <w:t xml:space="preserve">Индикаторът се образува от мерки </w:t>
            </w:r>
            <w:r w:rsidR="00C1551E" w:rsidRPr="00D33D68">
              <w:t>6.1</w:t>
            </w:r>
            <w:r w:rsidR="00B1388E" w:rsidRPr="00D33D68">
              <w:t>,</w:t>
            </w:r>
            <w:r w:rsidR="00C1551E" w:rsidRPr="00D33D68">
              <w:t xml:space="preserve"> 6.2</w:t>
            </w:r>
            <w:r w:rsidR="00B1388E" w:rsidRPr="00D33D68">
              <w:t xml:space="preserve"> и</w:t>
            </w:r>
            <w:r w:rsidR="00C1551E" w:rsidRPr="00D33D68">
              <w:t xml:space="preserve"> 6.3</w:t>
            </w:r>
            <w:r w:rsidRPr="00D33D68">
              <w:t xml:space="preserve">. Начална стойност </w:t>
            </w:r>
            <w:r w:rsidR="00B1388E" w:rsidRPr="00D33D68">
              <w:t>100.00</w:t>
            </w:r>
            <w:r w:rsidRPr="00D33D68">
              <w:t xml:space="preserve">. Намаляването на бюджета на </w:t>
            </w:r>
            <w:r w:rsidR="00B1388E" w:rsidRPr="00D33D68">
              <w:t>мерки 6.1, 6.2 и 6.3</w:t>
            </w:r>
            <w:r w:rsidRPr="00D33D68">
              <w:t xml:space="preserve"> с</w:t>
            </w:r>
            <w:r w:rsidR="00B1388E" w:rsidRPr="00D33D68">
              <w:t>ъс средно</w:t>
            </w:r>
            <w:r w:rsidRPr="00D33D68">
              <w:t xml:space="preserve"> </w:t>
            </w:r>
            <w:r w:rsidR="00B1388E" w:rsidRPr="00D33D68">
              <w:t>7</w:t>
            </w:r>
            <w:r w:rsidRPr="00D33D68">
              <w:t xml:space="preserve">% при 1вата стъпка променя индикатора на </w:t>
            </w:r>
            <w:r w:rsidR="005E629F" w:rsidRPr="00D33D68">
              <w:t>93</w:t>
            </w:r>
            <w:r w:rsidRPr="00D33D68">
              <w:t xml:space="preserve">. </w:t>
            </w:r>
            <w:r w:rsidR="00084924" w:rsidRPr="00D33D68">
              <w:t xml:space="preserve">С изменението поради COVID-19 </w:t>
            </w:r>
            <w:r w:rsidR="00DC5077" w:rsidRPr="00D33D68">
              <w:t>стойностите на индикатора не</w:t>
            </w:r>
            <w:r w:rsidR="000F7C52" w:rsidRPr="00D33D68">
              <w:t xml:space="preserve"> се променят. </w:t>
            </w:r>
            <w:r w:rsidRPr="00D33D68">
              <w:t>Сега бюджет</w:t>
            </w:r>
            <w:r w:rsidR="000F7C52" w:rsidRPr="00D33D68">
              <w:t>ът</w:t>
            </w:r>
            <w:r w:rsidRPr="00D33D68">
              <w:t xml:space="preserve"> на м</w:t>
            </w:r>
            <w:r w:rsidR="005E629F" w:rsidRPr="00D33D68">
              <w:t>ерки</w:t>
            </w:r>
            <w:r w:rsidRPr="00D33D68">
              <w:t xml:space="preserve"> </w:t>
            </w:r>
            <w:r w:rsidR="005E629F" w:rsidRPr="00D33D68">
              <w:t>6.1 и 6.2 се намаля със средно 50%, а мярка 6.3 се увеличава с 100</w:t>
            </w:r>
            <w:r w:rsidRPr="00D33D68">
              <w:t>% и се получава 2023 Target value.</w:t>
            </w:r>
          </w:p>
        </w:tc>
      </w:tr>
      <w:tr w:rsidR="00D33D68" w:rsidRPr="00D33D68" w14:paraId="75AAF1CA" w14:textId="77777777" w:rsidTr="00511333">
        <w:tc>
          <w:tcPr>
            <w:tcW w:w="1255" w:type="pct"/>
            <w:shd w:val="clear" w:color="auto" w:fill="auto"/>
          </w:tcPr>
          <w:p w14:paraId="509DF041" w14:textId="77777777" w:rsidR="007B01E1" w:rsidRPr="00D33D68" w:rsidRDefault="007B01E1" w:rsidP="008B2921">
            <w:pPr>
              <w:spacing w:after="0"/>
            </w:pPr>
            <w:r w:rsidRPr="00D33D68">
              <w:t>6.2.a - Change in the coverage of Natura 2000 areas designated under the Birds and Habitats directives</w:t>
            </w:r>
          </w:p>
        </w:tc>
        <w:tc>
          <w:tcPr>
            <w:tcW w:w="489" w:type="pct"/>
            <w:shd w:val="clear" w:color="auto" w:fill="auto"/>
          </w:tcPr>
          <w:p w14:paraId="5616D863" w14:textId="77777777" w:rsidR="007B01E1" w:rsidRPr="00D33D68" w:rsidRDefault="007B01E1" w:rsidP="009F29C4">
            <w:pPr>
              <w:spacing w:after="0"/>
              <w:jc w:val="right"/>
            </w:pPr>
            <w:r w:rsidRPr="00D33D68">
              <w:t>0.00</w:t>
            </w:r>
          </w:p>
        </w:tc>
        <w:tc>
          <w:tcPr>
            <w:tcW w:w="484" w:type="pct"/>
            <w:shd w:val="clear" w:color="auto" w:fill="auto"/>
          </w:tcPr>
          <w:p w14:paraId="45782196" w14:textId="77777777" w:rsidR="007B01E1" w:rsidRPr="00D33D68" w:rsidRDefault="007B01E1" w:rsidP="00911639">
            <w:pPr>
              <w:spacing w:after="0"/>
              <w:ind w:left="-104" w:right="-105"/>
              <w:jc w:val="center"/>
            </w:pPr>
            <w:r w:rsidRPr="00D33D68">
              <w:t>Km²</w:t>
            </w:r>
          </w:p>
        </w:tc>
        <w:tc>
          <w:tcPr>
            <w:tcW w:w="533" w:type="pct"/>
          </w:tcPr>
          <w:p w14:paraId="2CAD463E" w14:textId="77777777" w:rsidR="007B01E1" w:rsidRPr="00D33D68" w:rsidRDefault="00AF1E23" w:rsidP="008B2921">
            <w:pPr>
              <w:spacing w:after="0"/>
              <w:jc w:val="center"/>
            </w:pPr>
            <w:r w:rsidRPr="00D33D68">
              <w:sym w:font="Wingdings" w:char="F0FC"/>
            </w:r>
          </w:p>
        </w:tc>
        <w:tc>
          <w:tcPr>
            <w:tcW w:w="2239" w:type="pct"/>
          </w:tcPr>
          <w:p w14:paraId="0E6C8EB2" w14:textId="37C3B94D" w:rsidR="007B01E1" w:rsidRPr="00D33D68" w:rsidRDefault="00F57D2B" w:rsidP="008B2921">
            <w:pPr>
              <w:spacing w:after="0"/>
              <w:jc w:val="center"/>
            </w:pPr>
            <w:r w:rsidRPr="00D33D68">
              <w:t>(N/A)</w:t>
            </w:r>
          </w:p>
        </w:tc>
      </w:tr>
      <w:tr w:rsidR="006575A5" w:rsidRPr="00D33D68" w14:paraId="3F82DFCE" w14:textId="77777777" w:rsidTr="00511333">
        <w:tc>
          <w:tcPr>
            <w:tcW w:w="1255" w:type="pct"/>
            <w:shd w:val="clear" w:color="auto" w:fill="auto"/>
          </w:tcPr>
          <w:p w14:paraId="3A0ADC40" w14:textId="77777777" w:rsidR="007B01E1" w:rsidRPr="00D33D68" w:rsidRDefault="007B01E1" w:rsidP="008B2921">
            <w:pPr>
              <w:spacing w:after="0"/>
            </w:pPr>
            <w:r w:rsidRPr="00D33D68">
              <w:t>6.2.b - Change in the coverage of other spatial protection measures under Art. 13.4 of the Directive 2008/56/EC</w:t>
            </w:r>
          </w:p>
        </w:tc>
        <w:tc>
          <w:tcPr>
            <w:tcW w:w="489" w:type="pct"/>
            <w:shd w:val="clear" w:color="auto" w:fill="auto"/>
          </w:tcPr>
          <w:p w14:paraId="4DB0657B" w14:textId="77777777" w:rsidR="007B01E1" w:rsidRPr="00D33D68" w:rsidRDefault="007B01E1" w:rsidP="008B2921">
            <w:pPr>
              <w:spacing w:after="0"/>
              <w:jc w:val="right"/>
            </w:pPr>
          </w:p>
        </w:tc>
        <w:tc>
          <w:tcPr>
            <w:tcW w:w="484" w:type="pct"/>
            <w:shd w:val="clear" w:color="auto" w:fill="auto"/>
          </w:tcPr>
          <w:p w14:paraId="0331FE8C" w14:textId="77777777" w:rsidR="007B01E1" w:rsidRPr="00D33D68" w:rsidRDefault="007B01E1" w:rsidP="00911639">
            <w:pPr>
              <w:spacing w:after="0"/>
              <w:ind w:left="-104" w:right="-105"/>
              <w:jc w:val="center"/>
            </w:pPr>
            <w:r w:rsidRPr="00D33D68">
              <w:t>Km²</w:t>
            </w:r>
          </w:p>
        </w:tc>
        <w:tc>
          <w:tcPr>
            <w:tcW w:w="533" w:type="pct"/>
          </w:tcPr>
          <w:p w14:paraId="2FFEF2B0" w14:textId="77777777" w:rsidR="007B01E1" w:rsidRPr="00D33D68" w:rsidRDefault="007B01E1" w:rsidP="008B2921">
            <w:pPr>
              <w:spacing w:after="0"/>
              <w:jc w:val="center"/>
            </w:pPr>
            <w:r w:rsidRPr="00D33D68">
              <w:sym w:font="Wingdings" w:char="F0FC"/>
            </w:r>
          </w:p>
        </w:tc>
        <w:tc>
          <w:tcPr>
            <w:tcW w:w="2239" w:type="pct"/>
          </w:tcPr>
          <w:p w14:paraId="62B11BC2" w14:textId="6AA88A93" w:rsidR="007B01E1" w:rsidRPr="00D33D68" w:rsidRDefault="00F57D2B" w:rsidP="008B2921">
            <w:pPr>
              <w:spacing w:after="0"/>
              <w:jc w:val="center"/>
            </w:pPr>
            <w:r w:rsidRPr="00D33D68">
              <w:t>(N/A)</w:t>
            </w:r>
          </w:p>
        </w:tc>
      </w:tr>
    </w:tbl>
    <w:p w14:paraId="18B13CB5" w14:textId="77777777" w:rsidR="005E55CB" w:rsidRPr="00D33D68" w:rsidRDefault="005E55CB" w:rsidP="00B5762F">
      <w:pPr>
        <w:spacing w:after="0"/>
      </w:pPr>
    </w:p>
    <w:p w14:paraId="5626DD39" w14:textId="472DE4FD" w:rsidR="00DF709A" w:rsidRPr="00D33D68" w:rsidRDefault="00DF709A" w:rsidP="002F5AAA">
      <w:pPr>
        <w:pStyle w:val="Heading3"/>
        <w:rPr>
          <w:rFonts w:ascii="Times New Roman" w:hAnsi="Times New Roman" w:cs="Times New Roman"/>
          <w:sz w:val="24"/>
          <w:szCs w:val="24"/>
          <w:lang w:val="bg-BG"/>
        </w:rPr>
      </w:pPr>
      <w:r w:rsidRPr="00D33D68">
        <w:rPr>
          <w:rFonts w:ascii="Times New Roman" w:hAnsi="Times New Roman" w:cs="Times New Roman"/>
          <w:sz w:val="24"/>
          <w:szCs w:val="24"/>
          <w:lang w:val="bg-BG"/>
        </w:rPr>
        <w:t>Индикатори за изпълнението</w:t>
      </w:r>
    </w:p>
    <w:p w14:paraId="2C01BEEE" w14:textId="77777777" w:rsidR="008B2921" w:rsidRPr="00D33D68" w:rsidRDefault="008B2921" w:rsidP="008B2921">
      <w:pPr>
        <w:spacing w:after="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870"/>
      </w:tblGrid>
      <w:tr w:rsidR="008B2921" w:rsidRPr="00D33D68" w14:paraId="1957AE61" w14:textId="77777777" w:rsidTr="008B2921">
        <w:tc>
          <w:tcPr>
            <w:tcW w:w="0" w:type="auto"/>
            <w:shd w:val="clear" w:color="auto" w:fill="auto"/>
          </w:tcPr>
          <w:p w14:paraId="5A068787" w14:textId="77777777" w:rsidR="008B2921" w:rsidRPr="00D33D68" w:rsidRDefault="008B2921" w:rsidP="008B2921">
            <w:pPr>
              <w:pStyle w:val="Text1"/>
              <w:spacing w:before="0" w:after="0"/>
              <w:ind w:left="0"/>
              <w:rPr>
                <w:b/>
                <w:lang w:val="bg-BG"/>
              </w:rPr>
            </w:pPr>
            <w:r w:rsidRPr="00D33D68">
              <w:rPr>
                <w:b/>
                <w:noProof/>
                <w:lang w:val="bg-BG"/>
              </w:rPr>
              <w:lastRenderedPageBreak/>
              <w:t>Union priority</w:t>
            </w:r>
          </w:p>
        </w:tc>
        <w:tc>
          <w:tcPr>
            <w:tcW w:w="0" w:type="auto"/>
            <w:shd w:val="clear" w:color="auto" w:fill="auto"/>
          </w:tcPr>
          <w:p w14:paraId="478A226E" w14:textId="77777777" w:rsidR="008B2921" w:rsidRPr="00D33D68" w:rsidRDefault="008B2921" w:rsidP="008B2921">
            <w:pPr>
              <w:pStyle w:val="Text1"/>
              <w:spacing w:before="0" w:after="0"/>
              <w:ind w:left="0"/>
              <w:rPr>
                <w:b/>
                <w:lang w:val="bg-BG"/>
              </w:rPr>
            </w:pPr>
            <w:r w:rsidRPr="00D33D68">
              <w:rPr>
                <w:b/>
                <w:noProof/>
                <w:lang w:val="bg-BG"/>
              </w:rPr>
              <w:t>1</w:t>
            </w:r>
            <w:r w:rsidRPr="00D33D68">
              <w:rPr>
                <w:b/>
                <w:lang w:val="bg-BG"/>
              </w:rPr>
              <w:t xml:space="preserve"> - </w:t>
            </w:r>
            <w:r w:rsidRPr="00D33D68">
              <w:rPr>
                <w:b/>
                <w:noProof/>
                <w:lang w:val="bg-BG"/>
              </w:rPr>
              <w:t>Promoting environmentally sustainable, resource efficient, innovative, competitive and knowledge based fisheries</w:t>
            </w:r>
          </w:p>
        </w:tc>
      </w:tr>
    </w:tbl>
    <w:p w14:paraId="53C97F9A" w14:textId="77777777" w:rsidR="008B2921" w:rsidRPr="00D33D68" w:rsidRDefault="008B2921" w:rsidP="008B2921">
      <w:pPr>
        <w:spacing w:after="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185"/>
        <w:gridCol w:w="1505"/>
        <w:gridCol w:w="810"/>
        <w:gridCol w:w="810"/>
        <w:gridCol w:w="1102"/>
        <w:gridCol w:w="2876"/>
      </w:tblGrid>
      <w:tr w:rsidR="00D33D68" w:rsidRPr="00D33D68" w14:paraId="32D65420" w14:textId="77777777" w:rsidTr="00332BD0">
        <w:tc>
          <w:tcPr>
            <w:tcW w:w="1177" w:type="pct"/>
            <w:shd w:val="clear" w:color="auto" w:fill="auto"/>
          </w:tcPr>
          <w:p w14:paraId="743111E8" w14:textId="77777777" w:rsidR="008B2921" w:rsidRPr="00D33D68" w:rsidRDefault="008B2921" w:rsidP="008B2921">
            <w:pPr>
              <w:pStyle w:val="Text1"/>
              <w:spacing w:before="0" w:after="0"/>
              <w:ind w:left="0"/>
              <w:rPr>
                <w:b/>
                <w:lang w:val="bg-BG"/>
              </w:rPr>
            </w:pPr>
            <w:r w:rsidRPr="00D33D68">
              <w:rPr>
                <w:b/>
                <w:noProof/>
                <w:lang w:val="bg-BG"/>
              </w:rPr>
              <w:t>Specific objective</w:t>
            </w:r>
          </w:p>
        </w:tc>
        <w:tc>
          <w:tcPr>
            <w:tcW w:w="3823" w:type="pct"/>
            <w:gridSpan w:val="5"/>
            <w:shd w:val="clear" w:color="auto" w:fill="auto"/>
          </w:tcPr>
          <w:p w14:paraId="1988DEC1" w14:textId="77777777" w:rsidR="008B2921" w:rsidRPr="00D33D68" w:rsidRDefault="008B2921" w:rsidP="008B2921">
            <w:pPr>
              <w:pStyle w:val="Text1"/>
              <w:spacing w:before="0" w:after="0"/>
              <w:ind w:left="0"/>
              <w:rPr>
                <w:b/>
                <w:noProof/>
                <w:lang w:val="bg-BG"/>
              </w:rPr>
            </w:pPr>
            <w:r w:rsidRPr="00D33D68">
              <w:rPr>
                <w:b/>
                <w:noProof/>
                <w:lang w:val="bg-BG"/>
              </w:rPr>
              <w:t>1</w:t>
            </w:r>
            <w:r w:rsidRPr="00D33D68">
              <w:rPr>
                <w:b/>
                <w:lang w:val="bg-BG"/>
              </w:rPr>
              <w:t xml:space="preserve"> - </w:t>
            </w:r>
            <w:r w:rsidRPr="00D33D68">
              <w:rPr>
                <w:b/>
                <w:noProof/>
                <w:lang w:val="bg-BG"/>
              </w:rPr>
              <w:t>Reduction of the impact of fisheries on the marine environment, including the avoidance and reduction, as far as possible, of unwanted catches</w:t>
            </w:r>
          </w:p>
        </w:tc>
      </w:tr>
      <w:tr w:rsidR="00D33D68" w:rsidRPr="00D33D68" w14:paraId="22691552" w14:textId="77777777" w:rsidTr="00511333">
        <w:tc>
          <w:tcPr>
            <w:tcW w:w="1177" w:type="pct"/>
            <w:shd w:val="clear" w:color="auto" w:fill="auto"/>
          </w:tcPr>
          <w:p w14:paraId="63662A70" w14:textId="77777777" w:rsidR="008B2921" w:rsidRPr="00D33D68" w:rsidRDefault="008B2921" w:rsidP="008B2921">
            <w:pPr>
              <w:spacing w:after="0"/>
              <w:jc w:val="center"/>
              <w:rPr>
                <w:b/>
              </w:rPr>
            </w:pPr>
            <w:r w:rsidRPr="00D33D68">
              <w:rPr>
                <w:b/>
              </w:rPr>
              <w:t>EMFF measure</w:t>
            </w:r>
          </w:p>
        </w:tc>
        <w:tc>
          <w:tcPr>
            <w:tcW w:w="810" w:type="pct"/>
          </w:tcPr>
          <w:p w14:paraId="6176EA38" w14:textId="77777777" w:rsidR="008B2921" w:rsidRPr="00D33D68" w:rsidRDefault="008B2921" w:rsidP="008B2921">
            <w:pPr>
              <w:spacing w:after="0"/>
              <w:jc w:val="center"/>
              <w:rPr>
                <w:b/>
              </w:rPr>
            </w:pPr>
            <w:r w:rsidRPr="00D33D68">
              <w:rPr>
                <w:b/>
              </w:rPr>
              <w:t>Output indicator</w:t>
            </w:r>
          </w:p>
        </w:tc>
        <w:tc>
          <w:tcPr>
            <w:tcW w:w="436" w:type="pct"/>
            <w:shd w:val="clear" w:color="auto" w:fill="auto"/>
          </w:tcPr>
          <w:p w14:paraId="2A0456E3" w14:textId="77777777" w:rsidR="008B2921" w:rsidRPr="00D33D68" w:rsidRDefault="008B2921" w:rsidP="00C6327E">
            <w:pPr>
              <w:spacing w:after="0"/>
              <w:ind w:left="-80" w:right="-108"/>
              <w:jc w:val="center"/>
              <w:rPr>
                <w:b/>
              </w:rPr>
            </w:pPr>
            <w:r w:rsidRPr="00D33D68">
              <w:rPr>
                <w:b/>
              </w:rPr>
              <w:t>Target value for 2023</w:t>
            </w:r>
          </w:p>
          <w:p w14:paraId="03861590" w14:textId="77777777" w:rsidR="008B2921" w:rsidRPr="00D33D68" w:rsidRDefault="008B2921" w:rsidP="00C6327E">
            <w:pPr>
              <w:spacing w:after="0"/>
              <w:ind w:left="-80" w:right="-108"/>
              <w:jc w:val="center"/>
              <w:rPr>
                <w:b/>
              </w:rPr>
            </w:pPr>
            <w:r w:rsidRPr="00D33D68">
              <w:rPr>
                <w:b/>
              </w:rPr>
              <w:t>(new)</w:t>
            </w:r>
          </w:p>
        </w:tc>
        <w:tc>
          <w:tcPr>
            <w:tcW w:w="436" w:type="pct"/>
            <w:shd w:val="clear" w:color="auto" w:fill="auto"/>
          </w:tcPr>
          <w:p w14:paraId="49F5F9A6" w14:textId="77777777" w:rsidR="008B2921" w:rsidRPr="00D33D68" w:rsidRDefault="008B2921" w:rsidP="00511333">
            <w:pPr>
              <w:spacing w:after="0"/>
              <w:ind w:left="-118" w:right="-108" w:firstLine="10"/>
              <w:jc w:val="center"/>
              <w:rPr>
                <w:b/>
              </w:rPr>
            </w:pPr>
            <w:r w:rsidRPr="00D33D68">
              <w:rPr>
                <w:b/>
              </w:rPr>
              <w:t>Measurement unit</w:t>
            </w:r>
          </w:p>
        </w:tc>
        <w:tc>
          <w:tcPr>
            <w:tcW w:w="593" w:type="pct"/>
          </w:tcPr>
          <w:p w14:paraId="7C7721F4" w14:textId="77777777" w:rsidR="008B2921" w:rsidRPr="00D33D68" w:rsidRDefault="008B2921" w:rsidP="00676DE2">
            <w:pPr>
              <w:spacing w:after="0"/>
              <w:ind w:left="-108" w:right="-108"/>
              <w:jc w:val="center"/>
              <w:rPr>
                <w:b/>
              </w:rPr>
            </w:pPr>
            <w:r w:rsidRPr="00D33D68">
              <w:rPr>
                <w:b/>
              </w:rPr>
              <w:t>Include in the Performance Framework</w:t>
            </w:r>
          </w:p>
        </w:tc>
        <w:tc>
          <w:tcPr>
            <w:tcW w:w="1548" w:type="pct"/>
          </w:tcPr>
          <w:p w14:paraId="015E86E1" w14:textId="7856D79C" w:rsidR="008B2921" w:rsidRPr="00D33D68" w:rsidRDefault="00BA4AD7" w:rsidP="00C6327E">
            <w:pPr>
              <w:spacing w:after="0"/>
              <w:ind w:left="-108" w:right="-108"/>
              <w:jc w:val="center"/>
              <w:rPr>
                <w:b/>
              </w:rPr>
            </w:pPr>
            <w:r w:rsidRPr="00D33D68">
              <w:rPr>
                <w:b/>
              </w:rPr>
              <w:t>Explanation</w:t>
            </w:r>
          </w:p>
        </w:tc>
      </w:tr>
      <w:tr w:rsidR="00D33D68" w:rsidRPr="00D33D68" w14:paraId="719F5E27" w14:textId="77777777" w:rsidTr="00511333">
        <w:tc>
          <w:tcPr>
            <w:tcW w:w="1177" w:type="pct"/>
            <w:shd w:val="clear" w:color="auto" w:fill="auto"/>
          </w:tcPr>
          <w:p w14:paraId="3463AB61" w14:textId="77777777" w:rsidR="008B2921" w:rsidRPr="00D33D68" w:rsidRDefault="008B2921" w:rsidP="008B2921">
            <w:pPr>
              <w:spacing w:after="0"/>
            </w:pPr>
            <w:r w:rsidRPr="00D33D68">
              <w:t>02 - Article 38 Limiting the impact of fishing on the marine environment and adapting fishing to the protection of species (+ art. 44.1.c Inland fishing)</w:t>
            </w:r>
          </w:p>
        </w:tc>
        <w:tc>
          <w:tcPr>
            <w:tcW w:w="810" w:type="pct"/>
          </w:tcPr>
          <w:p w14:paraId="6EB27D3E" w14:textId="77777777" w:rsidR="008B2921" w:rsidRPr="00D33D68" w:rsidRDefault="008B2921" w:rsidP="008B2921">
            <w:pPr>
              <w:spacing w:after="0"/>
            </w:pPr>
            <w:r w:rsidRPr="00D33D68">
              <w:t>1.4 - N° of projects on conservation measures, reduction of the fishing impact on the marine environment and fishing adaptation to the protection of species</w:t>
            </w:r>
          </w:p>
        </w:tc>
        <w:tc>
          <w:tcPr>
            <w:tcW w:w="436" w:type="pct"/>
            <w:shd w:val="clear" w:color="auto" w:fill="auto"/>
          </w:tcPr>
          <w:p w14:paraId="507BA347" w14:textId="6F5D464D" w:rsidR="008B2921" w:rsidRPr="00D33D68" w:rsidRDefault="00DC5077" w:rsidP="008B2921">
            <w:pPr>
              <w:spacing w:after="0"/>
              <w:jc w:val="right"/>
            </w:pPr>
            <w:r w:rsidRPr="00D33D68">
              <w:t>0</w:t>
            </w:r>
          </w:p>
        </w:tc>
        <w:tc>
          <w:tcPr>
            <w:tcW w:w="436" w:type="pct"/>
            <w:shd w:val="clear" w:color="auto" w:fill="auto"/>
          </w:tcPr>
          <w:p w14:paraId="3233C4AB" w14:textId="77777777" w:rsidR="008B2921" w:rsidRPr="00D33D68" w:rsidRDefault="008B2921" w:rsidP="00511333">
            <w:pPr>
              <w:spacing w:after="0"/>
              <w:ind w:left="-118" w:right="-108"/>
            </w:pPr>
            <w:r w:rsidRPr="00D33D68">
              <w:t>Number</w:t>
            </w:r>
          </w:p>
        </w:tc>
        <w:tc>
          <w:tcPr>
            <w:tcW w:w="593" w:type="pct"/>
          </w:tcPr>
          <w:p w14:paraId="070CA0DA" w14:textId="77777777" w:rsidR="008B2921" w:rsidRPr="00D33D68" w:rsidRDefault="008B2921" w:rsidP="008B2921">
            <w:pPr>
              <w:spacing w:after="0"/>
              <w:jc w:val="center"/>
            </w:pPr>
          </w:p>
        </w:tc>
        <w:tc>
          <w:tcPr>
            <w:tcW w:w="1548" w:type="pct"/>
          </w:tcPr>
          <w:p w14:paraId="7A688A52" w14:textId="77777777" w:rsidR="006A1A25" w:rsidRPr="00D33D68" w:rsidRDefault="004A66C3" w:rsidP="00490CC6">
            <w:pPr>
              <w:spacing w:after="0"/>
            </w:pPr>
            <w:r w:rsidRPr="00D33D68">
              <w:t>Индикаторът се образува от мярка</w:t>
            </w:r>
            <w:r w:rsidR="005347B6" w:rsidRPr="00D33D68">
              <w:t xml:space="preserve"> </w:t>
            </w:r>
            <w:r w:rsidRPr="00D33D68">
              <w:t>1.4. Начална стойност 30</w:t>
            </w:r>
            <w:r w:rsidR="005347B6" w:rsidRPr="00D33D68">
              <w:t>. На</w:t>
            </w:r>
            <w:r w:rsidRPr="00D33D68">
              <w:t>маляването на бюджета на мярка 1.4</w:t>
            </w:r>
            <w:r w:rsidR="005347B6" w:rsidRPr="00D33D68">
              <w:t xml:space="preserve"> </w:t>
            </w:r>
            <w:r w:rsidRPr="00D33D68">
              <w:t>е с 7</w:t>
            </w:r>
            <w:r w:rsidR="005347B6" w:rsidRPr="00D33D68">
              <w:t xml:space="preserve">% при 1вата стъпка променя индикатора на </w:t>
            </w:r>
            <w:r w:rsidRPr="00D33D68">
              <w:t>28</w:t>
            </w:r>
            <w:r w:rsidR="005347B6" w:rsidRPr="00D33D68">
              <w:t xml:space="preserve">. </w:t>
            </w:r>
          </w:p>
          <w:p w14:paraId="0D1607C1" w14:textId="12CA5801" w:rsidR="006A1A25" w:rsidRPr="00D33D68" w:rsidRDefault="006A1A25" w:rsidP="00490CC6">
            <w:pPr>
              <w:spacing w:after="0"/>
            </w:pPr>
            <w:r w:rsidRPr="00D33D68">
              <w:t xml:space="preserve">С изменението поради COVID-19 </w:t>
            </w:r>
            <w:r w:rsidR="00166C2B" w:rsidRPr="00D33D68">
              <w:t xml:space="preserve">стойностите на индикатора се променят на 6. </w:t>
            </w:r>
          </w:p>
          <w:p w14:paraId="0A837EAD" w14:textId="68CFF5CF" w:rsidR="005347B6" w:rsidRPr="00D33D68" w:rsidRDefault="005347B6" w:rsidP="00490CC6">
            <w:pPr>
              <w:spacing w:after="0"/>
            </w:pPr>
            <w:r w:rsidRPr="00D33D68">
              <w:t xml:space="preserve">Сега бюджета на </w:t>
            </w:r>
            <w:r w:rsidR="00E143D8" w:rsidRPr="00D33D68">
              <w:t>мярка 1.4</w:t>
            </w:r>
            <w:r w:rsidRPr="00D33D68">
              <w:t xml:space="preserve"> се намалява с</w:t>
            </w:r>
            <w:r w:rsidR="00166C2B" w:rsidRPr="00D33D68">
              <w:t>ъс</w:t>
            </w:r>
            <w:r w:rsidRPr="00D33D68">
              <w:t xml:space="preserve"> </w:t>
            </w:r>
            <w:r w:rsidR="00166C2B" w:rsidRPr="00D33D68">
              <w:t>100</w:t>
            </w:r>
            <w:r w:rsidRPr="00D33D68">
              <w:t>% и се получава 2023 Target value.</w:t>
            </w:r>
            <w:r w:rsidR="00166C2B" w:rsidRPr="00D33D68">
              <w:t xml:space="preserve"> Индикаторът се закрива.</w:t>
            </w:r>
          </w:p>
        </w:tc>
      </w:tr>
      <w:tr w:rsidR="00D33D68" w:rsidRPr="00D33D68" w14:paraId="23D0D194" w14:textId="77777777" w:rsidTr="00511333">
        <w:tc>
          <w:tcPr>
            <w:tcW w:w="1177" w:type="pct"/>
            <w:shd w:val="clear" w:color="auto" w:fill="auto"/>
          </w:tcPr>
          <w:p w14:paraId="09EBFDED" w14:textId="77777777" w:rsidR="008B2921" w:rsidRPr="00D33D68" w:rsidRDefault="008B2921" w:rsidP="008B2921">
            <w:pPr>
              <w:spacing w:after="0"/>
            </w:pPr>
            <w:r w:rsidRPr="00D33D68">
              <w:t>03 - Article 39 Innovation linked to the conservation of marine biological resources (+ art. 44.1.c Inland fishing)</w:t>
            </w:r>
          </w:p>
        </w:tc>
        <w:tc>
          <w:tcPr>
            <w:tcW w:w="810" w:type="pct"/>
          </w:tcPr>
          <w:p w14:paraId="3D791509" w14:textId="77777777" w:rsidR="008B2921" w:rsidRPr="00D33D68" w:rsidRDefault="008B2921" w:rsidP="008B2921">
            <w:pPr>
              <w:spacing w:after="0"/>
            </w:pPr>
            <w:r w:rsidRPr="00D33D68">
              <w:t>1.4 - N° of projects on conservation measures, reduction of the fishing impact on the marine environment and fishing adaptation to the protection of species</w:t>
            </w:r>
          </w:p>
        </w:tc>
        <w:tc>
          <w:tcPr>
            <w:tcW w:w="436" w:type="pct"/>
            <w:shd w:val="clear" w:color="auto" w:fill="auto"/>
          </w:tcPr>
          <w:p w14:paraId="6928CCFD" w14:textId="1ACBD17B" w:rsidR="008B2921" w:rsidRPr="00D33D68" w:rsidRDefault="00166C2B" w:rsidP="008B2921">
            <w:pPr>
              <w:spacing w:after="0"/>
              <w:jc w:val="right"/>
            </w:pPr>
            <w:r w:rsidRPr="00D33D68">
              <w:t>0</w:t>
            </w:r>
          </w:p>
        </w:tc>
        <w:tc>
          <w:tcPr>
            <w:tcW w:w="436" w:type="pct"/>
            <w:shd w:val="clear" w:color="auto" w:fill="auto"/>
          </w:tcPr>
          <w:p w14:paraId="5D4CF421" w14:textId="77777777" w:rsidR="008B2921" w:rsidRPr="00D33D68" w:rsidRDefault="008B2921" w:rsidP="00511333">
            <w:pPr>
              <w:spacing w:after="0"/>
              <w:ind w:left="-118" w:right="-108"/>
            </w:pPr>
            <w:r w:rsidRPr="00D33D68">
              <w:t>Number</w:t>
            </w:r>
          </w:p>
        </w:tc>
        <w:tc>
          <w:tcPr>
            <w:tcW w:w="593" w:type="pct"/>
          </w:tcPr>
          <w:p w14:paraId="6C3E773E" w14:textId="77777777" w:rsidR="008B2921" w:rsidRPr="00D33D68" w:rsidRDefault="008B2921" w:rsidP="008B2921">
            <w:pPr>
              <w:spacing w:after="0"/>
              <w:jc w:val="center"/>
            </w:pPr>
          </w:p>
        </w:tc>
        <w:tc>
          <w:tcPr>
            <w:tcW w:w="1548" w:type="pct"/>
          </w:tcPr>
          <w:p w14:paraId="5E4DF0F6" w14:textId="77777777" w:rsidR="006A1A25" w:rsidRPr="00D33D68" w:rsidRDefault="00783B9E" w:rsidP="00166C2B">
            <w:pPr>
              <w:spacing w:after="0"/>
            </w:pPr>
            <w:r w:rsidRPr="00D33D68">
              <w:t xml:space="preserve">Индикаторът се образува от мярка </w:t>
            </w:r>
            <w:r w:rsidR="0016085D" w:rsidRPr="00D33D68">
              <w:t>1.5</w:t>
            </w:r>
            <w:r w:rsidRPr="00D33D68">
              <w:t xml:space="preserve">. Начална стойност </w:t>
            </w:r>
            <w:r w:rsidR="0016085D" w:rsidRPr="00D33D68">
              <w:t>14</w:t>
            </w:r>
            <w:r w:rsidRPr="00D33D68">
              <w:t>. Намаляването на бюджета на мярка 1.</w:t>
            </w:r>
            <w:r w:rsidR="00024E0A" w:rsidRPr="00D33D68">
              <w:t>5</w:t>
            </w:r>
            <w:r w:rsidRPr="00D33D68">
              <w:t xml:space="preserve"> е с 7% при 1вата стъпка променя индикатора на </w:t>
            </w:r>
            <w:r w:rsidR="0016085D" w:rsidRPr="00D33D68">
              <w:t>13</w:t>
            </w:r>
            <w:r w:rsidRPr="00D33D68">
              <w:t xml:space="preserve">. </w:t>
            </w:r>
          </w:p>
          <w:p w14:paraId="33717CE3" w14:textId="2A08804B" w:rsidR="005347B6" w:rsidRPr="00D33D68" w:rsidRDefault="006A1A25" w:rsidP="00166C2B">
            <w:pPr>
              <w:spacing w:after="0"/>
            </w:pPr>
            <w:r w:rsidRPr="00D33D68">
              <w:t xml:space="preserve">С изменението поради COVID-19 </w:t>
            </w:r>
            <w:r w:rsidR="00166C2B" w:rsidRPr="00D33D68">
              <w:t>стойностите на индикатора се променят</w:t>
            </w:r>
            <w:r w:rsidRPr="00D33D68">
              <w:t xml:space="preserve"> на 0. Индикаторът се заличава.</w:t>
            </w:r>
          </w:p>
        </w:tc>
      </w:tr>
      <w:tr w:rsidR="00D33D68" w:rsidRPr="00D33D68" w14:paraId="252C8F2F" w14:textId="77777777" w:rsidTr="00511333">
        <w:tc>
          <w:tcPr>
            <w:tcW w:w="1177" w:type="pct"/>
            <w:shd w:val="clear" w:color="auto" w:fill="auto"/>
          </w:tcPr>
          <w:p w14:paraId="1D04EEB0" w14:textId="77777777" w:rsidR="008B2921" w:rsidRPr="00D33D68" w:rsidRDefault="008B2921" w:rsidP="008B2921">
            <w:pPr>
              <w:spacing w:after="0"/>
            </w:pPr>
            <w:r w:rsidRPr="00D33D68">
              <w:t xml:space="preserve">04 - Article 40.1.a </w:t>
            </w:r>
            <w:r w:rsidRPr="00D33D68">
              <w:lastRenderedPageBreak/>
              <w:t>Protection and restoration of marine biodiversity – collection of lost fishing gear and marine litter</w:t>
            </w:r>
          </w:p>
        </w:tc>
        <w:tc>
          <w:tcPr>
            <w:tcW w:w="810" w:type="pct"/>
          </w:tcPr>
          <w:p w14:paraId="61459A32" w14:textId="77777777" w:rsidR="008B2921" w:rsidRPr="00D33D68" w:rsidRDefault="008B2921" w:rsidP="008B2921">
            <w:pPr>
              <w:spacing w:after="0"/>
            </w:pPr>
            <w:r w:rsidRPr="00D33D68">
              <w:lastRenderedPageBreak/>
              <w:t xml:space="preserve">1.6 - N° of </w:t>
            </w:r>
            <w:r w:rsidRPr="00D33D68">
              <w:lastRenderedPageBreak/>
              <w:t>projects on protection and restoration of marine biodiversity, ecosystems</w:t>
            </w:r>
          </w:p>
        </w:tc>
        <w:tc>
          <w:tcPr>
            <w:tcW w:w="436" w:type="pct"/>
            <w:shd w:val="clear" w:color="auto" w:fill="auto"/>
          </w:tcPr>
          <w:p w14:paraId="46395C36" w14:textId="77777777" w:rsidR="008B2921" w:rsidRPr="00D33D68" w:rsidRDefault="009F29C4" w:rsidP="008B2921">
            <w:pPr>
              <w:spacing w:after="0"/>
              <w:jc w:val="right"/>
            </w:pPr>
            <w:r w:rsidRPr="00D33D68">
              <w:lastRenderedPageBreak/>
              <w:t>3</w:t>
            </w:r>
          </w:p>
        </w:tc>
        <w:tc>
          <w:tcPr>
            <w:tcW w:w="436" w:type="pct"/>
            <w:shd w:val="clear" w:color="auto" w:fill="auto"/>
          </w:tcPr>
          <w:p w14:paraId="21935A9C" w14:textId="77777777" w:rsidR="008B2921" w:rsidRPr="00D33D68" w:rsidRDefault="008B2921" w:rsidP="00511333">
            <w:pPr>
              <w:spacing w:after="0"/>
              <w:ind w:left="-118" w:right="-108"/>
            </w:pPr>
            <w:r w:rsidRPr="00D33D68">
              <w:t>Number</w:t>
            </w:r>
          </w:p>
        </w:tc>
        <w:tc>
          <w:tcPr>
            <w:tcW w:w="593" w:type="pct"/>
          </w:tcPr>
          <w:p w14:paraId="2D07E817" w14:textId="77777777" w:rsidR="008B2921" w:rsidRPr="00D33D68" w:rsidRDefault="008B2921" w:rsidP="008B2921">
            <w:pPr>
              <w:spacing w:after="0"/>
              <w:jc w:val="center"/>
            </w:pPr>
          </w:p>
        </w:tc>
        <w:tc>
          <w:tcPr>
            <w:tcW w:w="1548" w:type="pct"/>
          </w:tcPr>
          <w:p w14:paraId="4A430DEF" w14:textId="77777777" w:rsidR="006A1A25" w:rsidRPr="00D33D68" w:rsidRDefault="00783B9E" w:rsidP="006A1A25">
            <w:pPr>
              <w:spacing w:after="0"/>
            </w:pPr>
            <w:r w:rsidRPr="00D33D68">
              <w:t xml:space="preserve">Индикаторът се образува </w:t>
            </w:r>
            <w:r w:rsidRPr="00D33D68">
              <w:lastRenderedPageBreak/>
              <w:t xml:space="preserve">от </w:t>
            </w:r>
            <w:r w:rsidR="006A1A25" w:rsidRPr="00D33D68">
              <w:t xml:space="preserve">съответната част на </w:t>
            </w:r>
            <w:r w:rsidRPr="00D33D68">
              <w:t>мярка 1.</w:t>
            </w:r>
            <w:r w:rsidR="00237883" w:rsidRPr="00D33D68">
              <w:t>6</w:t>
            </w:r>
            <w:r w:rsidRPr="00D33D68">
              <w:t xml:space="preserve">. Начална стойност </w:t>
            </w:r>
            <w:r w:rsidR="00237883" w:rsidRPr="00D33D68">
              <w:t>7</w:t>
            </w:r>
            <w:r w:rsidRPr="00D33D68">
              <w:t>. Намаляването на бюджета на мярка 1.</w:t>
            </w:r>
            <w:r w:rsidR="00767BBA" w:rsidRPr="00D33D68">
              <w:t>6</w:t>
            </w:r>
            <w:r w:rsidRPr="00D33D68">
              <w:t xml:space="preserve"> е с 7% при 1вата стъпка </w:t>
            </w:r>
            <w:r w:rsidR="00024E0A" w:rsidRPr="00D33D68">
              <w:t>оставя</w:t>
            </w:r>
            <w:r w:rsidRPr="00D33D68">
              <w:t xml:space="preserve"> индикатора на </w:t>
            </w:r>
            <w:r w:rsidR="00237883" w:rsidRPr="00D33D68">
              <w:t>7</w:t>
            </w:r>
            <w:r w:rsidR="00024E0A" w:rsidRPr="00D33D68">
              <w:t xml:space="preserve"> поради закръгляне</w:t>
            </w:r>
            <w:r w:rsidRPr="00D33D68">
              <w:t xml:space="preserve">. </w:t>
            </w:r>
          </w:p>
          <w:p w14:paraId="410BC87D" w14:textId="3F692EE7" w:rsidR="006A1A25" w:rsidRPr="00D33D68" w:rsidRDefault="006A1A25" w:rsidP="006A1A25">
            <w:pPr>
              <w:spacing w:after="0"/>
            </w:pPr>
            <w:r w:rsidRPr="00D33D68">
              <w:t xml:space="preserve">С изменението поради COVID-19 </w:t>
            </w:r>
            <w:r w:rsidR="00166C2B" w:rsidRPr="00D33D68">
              <w:t xml:space="preserve">стойностите на индикатора не се променят. </w:t>
            </w:r>
          </w:p>
          <w:p w14:paraId="235F96E5" w14:textId="34330A29" w:rsidR="008173BA" w:rsidRPr="00D33D68" w:rsidRDefault="00783B9E" w:rsidP="006A1A25">
            <w:pPr>
              <w:spacing w:after="0"/>
            </w:pPr>
            <w:r w:rsidRPr="00D33D68">
              <w:t xml:space="preserve">Сега </w:t>
            </w:r>
            <w:r w:rsidR="00166C2B" w:rsidRPr="00D33D68">
              <w:t xml:space="preserve">бюджетът </w:t>
            </w:r>
            <w:r w:rsidRPr="00D33D68">
              <w:t xml:space="preserve">на </w:t>
            </w:r>
            <w:r w:rsidR="006A1A25" w:rsidRPr="00D33D68">
              <w:t xml:space="preserve">съответната част на </w:t>
            </w:r>
            <w:r w:rsidRPr="00D33D68">
              <w:t>мярка 1.</w:t>
            </w:r>
            <w:r w:rsidR="00024E0A" w:rsidRPr="00D33D68">
              <w:t>6</w:t>
            </w:r>
            <w:r w:rsidRPr="00D33D68">
              <w:t xml:space="preserve"> се намалява с </w:t>
            </w:r>
            <w:r w:rsidR="006A1A25" w:rsidRPr="00D33D68">
              <w:t>47.46</w:t>
            </w:r>
            <w:r w:rsidRPr="00D33D68">
              <w:t>% и се получава 2023 Target value.</w:t>
            </w:r>
          </w:p>
        </w:tc>
      </w:tr>
      <w:tr w:rsidR="00676DE2" w:rsidRPr="00D33D68" w14:paraId="52A37897" w14:textId="77777777" w:rsidTr="00511333">
        <w:tc>
          <w:tcPr>
            <w:tcW w:w="1177" w:type="pct"/>
            <w:shd w:val="clear" w:color="auto" w:fill="auto"/>
          </w:tcPr>
          <w:p w14:paraId="397DB632" w14:textId="77777777" w:rsidR="008B2921" w:rsidRPr="00D33D68" w:rsidRDefault="008B2921" w:rsidP="008B2921">
            <w:pPr>
              <w:spacing w:after="0"/>
            </w:pPr>
            <w:r w:rsidRPr="00D33D68">
              <w:lastRenderedPageBreak/>
              <w:t>05 - Article 43.2 Fishing ports, landing sites, auction halls and shelters – investments to facilitate compliance with the obligation to land all catches</w:t>
            </w:r>
          </w:p>
        </w:tc>
        <w:tc>
          <w:tcPr>
            <w:tcW w:w="810" w:type="pct"/>
          </w:tcPr>
          <w:p w14:paraId="26C377E1" w14:textId="77777777" w:rsidR="008B2921" w:rsidRPr="00D33D68" w:rsidRDefault="008B2921" w:rsidP="008B2921">
            <w:pPr>
              <w:spacing w:after="0"/>
            </w:pPr>
            <w:r w:rsidRPr="00D33D68">
              <w:t>1.3 - N° of projects on added value, quality, use of unwanted catches and fishing ports, landing sites, actions halls and shelters</w:t>
            </w:r>
          </w:p>
        </w:tc>
        <w:tc>
          <w:tcPr>
            <w:tcW w:w="436" w:type="pct"/>
            <w:shd w:val="clear" w:color="auto" w:fill="auto"/>
          </w:tcPr>
          <w:p w14:paraId="33DAB2CE" w14:textId="77777777" w:rsidR="008B2921" w:rsidRPr="00D33D68" w:rsidRDefault="009F29C4" w:rsidP="008B2921">
            <w:pPr>
              <w:spacing w:after="0"/>
              <w:jc w:val="right"/>
            </w:pPr>
            <w:r w:rsidRPr="00D33D68">
              <w:t>1</w:t>
            </w:r>
          </w:p>
        </w:tc>
        <w:tc>
          <w:tcPr>
            <w:tcW w:w="436" w:type="pct"/>
            <w:shd w:val="clear" w:color="auto" w:fill="auto"/>
          </w:tcPr>
          <w:p w14:paraId="680A47EC" w14:textId="77777777" w:rsidR="008B2921" w:rsidRPr="00D33D68" w:rsidRDefault="008B2921" w:rsidP="00511333">
            <w:pPr>
              <w:spacing w:after="0"/>
              <w:ind w:left="-118" w:right="-108"/>
            </w:pPr>
            <w:r w:rsidRPr="00D33D68">
              <w:t>Number</w:t>
            </w:r>
          </w:p>
        </w:tc>
        <w:tc>
          <w:tcPr>
            <w:tcW w:w="593" w:type="pct"/>
          </w:tcPr>
          <w:p w14:paraId="6D7626B0" w14:textId="77777777" w:rsidR="008B2921" w:rsidRPr="00D33D68" w:rsidRDefault="008B2921" w:rsidP="008B2921">
            <w:pPr>
              <w:spacing w:after="0"/>
              <w:jc w:val="center"/>
            </w:pPr>
            <w:r w:rsidRPr="00D33D68">
              <w:rPr>
                <w:lang w:eastAsia="en-GB"/>
              </w:rPr>
              <w:sym w:font="Wingdings" w:char="F0FC"/>
            </w:r>
          </w:p>
        </w:tc>
        <w:tc>
          <w:tcPr>
            <w:tcW w:w="1548" w:type="pct"/>
          </w:tcPr>
          <w:p w14:paraId="2A4984A5" w14:textId="3706A83E" w:rsidR="006A1A25" w:rsidRPr="00D33D68" w:rsidRDefault="00783B9E" w:rsidP="00166C2B">
            <w:pPr>
              <w:spacing w:after="0"/>
            </w:pPr>
            <w:r w:rsidRPr="00D33D68">
              <w:t xml:space="preserve">Индикаторът се образува от </w:t>
            </w:r>
            <w:r w:rsidR="006A1A25" w:rsidRPr="00D33D68">
              <w:t xml:space="preserve">съответната част на </w:t>
            </w:r>
            <w:r w:rsidRPr="00D33D68">
              <w:t>мярка 1.</w:t>
            </w:r>
            <w:r w:rsidR="00767BBA" w:rsidRPr="00D33D68">
              <w:t>8</w:t>
            </w:r>
            <w:r w:rsidRPr="00D33D68">
              <w:t xml:space="preserve">. Начална стойност </w:t>
            </w:r>
            <w:r w:rsidR="00767BBA" w:rsidRPr="00D33D68">
              <w:t>1</w:t>
            </w:r>
            <w:r w:rsidRPr="00D33D68">
              <w:t>. Намаляването на бюджета на мярка 1.</w:t>
            </w:r>
            <w:r w:rsidR="00767BBA" w:rsidRPr="00D33D68">
              <w:t>8</w:t>
            </w:r>
            <w:r w:rsidRPr="00D33D68">
              <w:t xml:space="preserve"> е с </w:t>
            </w:r>
            <w:r w:rsidR="0041653C" w:rsidRPr="00D33D68">
              <w:t>7</w:t>
            </w:r>
            <w:r w:rsidRPr="00D33D68">
              <w:t xml:space="preserve">% при 1вата стъпка </w:t>
            </w:r>
            <w:r w:rsidR="00024E0A" w:rsidRPr="00D33D68">
              <w:t>оставя индикатора на 1 поради закръгляне</w:t>
            </w:r>
            <w:r w:rsidRPr="00D33D68">
              <w:t>.</w:t>
            </w:r>
            <w:r w:rsidR="00166C2B" w:rsidRPr="00D33D68">
              <w:t xml:space="preserve"> </w:t>
            </w:r>
          </w:p>
          <w:p w14:paraId="141E36C1" w14:textId="1860A388" w:rsidR="006A1A25" w:rsidRPr="00D33D68" w:rsidRDefault="006A1A25" w:rsidP="00166C2B">
            <w:pPr>
              <w:spacing w:after="0"/>
            </w:pPr>
            <w:r w:rsidRPr="00D33D68">
              <w:t xml:space="preserve">С изменението поради COVID-19 </w:t>
            </w:r>
            <w:r w:rsidR="00166C2B" w:rsidRPr="00D33D68">
              <w:t>стойностите на индикатора не се променят.</w:t>
            </w:r>
            <w:r w:rsidR="00783B9E" w:rsidRPr="00D33D68">
              <w:t xml:space="preserve"> </w:t>
            </w:r>
          </w:p>
          <w:p w14:paraId="68B714BD" w14:textId="27929E39" w:rsidR="00E61CAC" w:rsidRPr="00D33D68" w:rsidRDefault="00E61CAC" w:rsidP="006A1A25">
            <w:pPr>
              <w:spacing w:after="0"/>
              <w:rPr>
                <w:lang w:eastAsia="en-GB"/>
              </w:rPr>
            </w:pPr>
            <w:r w:rsidRPr="00D33D68">
              <w:t xml:space="preserve">Сега бюджета на </w:t>
            </w:r>
            <w:r w:rsidR="00024E0A" w:rsidRPr="00D33D68">
              <w:t xml:space="preserve">мярка </w:t>
            </w:r>
            <w:r w:rsidR="006A1A25" w:rsidRPr="00D33D68">
              <w:t xml:space="preserve">съответната част на </w:t>
            </w:r>
            <w:r w:rsidR="00024E0A" w:rsidRPr="00D33D68">
              <w:t xml:space="preserve">1.8 </w:t>
            </w:r>
            <w:r w:rsidRPr="00D33D68">
              <w:t xml:space="preserve">се </w:t>
            </w:r>
            <w:r w:rsidR="006A1A25" w:rsidRPr="00D33D68">
              <w:t>намаля с 16.79</w:t>
            </w:r>
            <w:r w:rsidRPr="00D33D68">
              <w:t>% и се получава 2023 Target value</w:t>
            </w:r>
            <w:r w:rsidR="006A1A25" w:rsidRPr="00D33D68">
              <w:t>, след закръгляне</w:t>
            </w:r>
            <w:r w:rsidRPr="00D33D68">
              <w:t>.</w:t>
            </w:r>
          </w:p>
        </w:tc>
      </w:tr>
    </w:tbl>
    <w:p w14:paraId="64562234" w14:textId="77777777" w:rsidR="00663796" w:rsidRPr="00D33D68" w:rsidRDefault="00663796" w:rsidP="008B2921">
      <w:pPr>
        <w:spacing w:after="0" w:line="240" w:lineRule="auto"/>
        <w:jc w:val="left"/>
        <w:rPr>
          <w:rFonts w:eastAsia="Times New Roman"/>
          <w:noProof w:val="0"/>
        </w:rPr>
      </w:pPr>
    </w:p>
    <w:tbl>
      <w:tblPr>
        <w:tblW w:w="503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186"/>
        <w:gridCol w:w="1503"/>
        <w:gridCol w:w="809"/>
        <w:gridCol w:w="813"/>
        <w:gridCol w:w="1101"/>
        <w:gridCol w:w="2932"/>
      </w:tblGrid>
      <w:tr w:rsidR="00D33D68" w:rsidRPr="00D33D68" w14:paraId="75E1830C" w14:textId="77777777" w:rsidTr="00332BD0">
        <w:trPr>
          <w:tblHeader/>
        </w:trPr>
        <w:tc>
          <w:tcPr>
            <w:tcW w:w="1170" w:type="pct"/>
            <w:shd w:val="clear" w:color="auto" w:fill="auto"/>
          </w:tcPr>
          <w:p w14:paraId="576B0D90" w14:textId="77777777" w:rsidR="00795457" w:rsidRPr="00D33D68" w:rsidRDefault="00795457" w:rsidP="006943E2">
            <w:pPr>
              <w:pStyle w:val="Text1"/>
              <w:spacing w:before="0" w:after="0"/>
              <w:ind w:left="0"/>
              <w:rPr>
                <w:b/>
                <w:lang w:val="bg-BG"/>
              </w:rPr>
            </w:pPr>
            <w:r w:rsidRPr="00D33D68">
              <w:rPr>
                <w:b/>
                <w:noProof/>
                <w:lang w:val="bg-BG"/>
              </w:rPr>
              <w:t>Specific objective</w:t>
            </w:r>
          </w:p>
        </w:tc>
        <w:tc>
          <w:tcPr>
            <w:tcW w:w="3830" w:type="pct"/>
            <w:gridSpan w:val="5"/>
            <w:shd w:val="clear" w:color="auto" w:fill="auto"/>
          </w:tcPr>
          <w:p w14:paraId="40F44400" w14:textId="77777777" w:rsidR="00795457" w:rsidRPr="00D33D68" w:rsidRDefault="00795457" w:rsidP="006943E2">
            <w:pPr>
              <w:pStyle w:val="Text1"/>
              <w:spacing w:before="0" w:after="0"/>
              <w:ind w:left="0"/>
              <w:rPr>
                <w:b/>
                <w:noProof/>
                <w:lang w:val="bg-BG"/>
              </w:rPr>
            </w:pPr>
            <w:r w:rsidRPr="00D33D68">
              <w:rPr>
                <w:b/>
                <w:noProof/>
                <w:lang w:val="bg-BG"/>
              </w:rPr>
              <w:t>2</w:t>
            </w:r>
            <w:r w:rsidRPr="00D33D68">
              <w:rPr>
                <w:b/>
                <w:lang w:val="bg-BG"/>
              </w:rPr>
              <w:t xml:space="preserve"> - </w:t>
            </w:r>
            <w:r w:rsidRPr="00D33D68">
              <w:rPr>
                <w:b/>
                <w:noProof/>
                <w:lang w:val="bg-BG"/>
              </w:rPr>
              <w:t>Protection and restoration of aquatic biodiversity and ecosystems</w:t>
            </w:r>
          </w:p>
        </w:tc>
      </w:tr>
      <w:tr w:rsidR="00D33D68" w:rsidRPr="00D33D68" w14:paraId="7E85EE43" w14:textId="77777777" w:rsidTr="00511333">
        <w:tc>
          <w:tcPr>
            <w:tcW w:w="1170" w:type="pct"/>
            <w:shd w:val="clear" w:color="auto" w:fill="auto"/>
          </w:tcPr>
          <w:p w14:paraId="676D5566" w14:textId="77777777" w:rsidR="00795457" w:rsidRPr="00D33D68" w:rsidRDefault="00795457" w:rsidP="00525B51">
            <w:pPr>
              <w:spacing w:after="0"/>
              <w:jc w:val="center"/>
              <w:rPr>
                <w:b/>
              </w:rPr>
            </w:pPr>
            <w:r w:rsidRPr="00D33D68">
              <w:rPr>
                <w:b/>
              </w:rPr>
              <w:t>EMFF measure</w:t>
            </w:r>
          </w:p>
        </w:tc>
        <w:tc>
          <w:tcPr>
            <w:tcW w:w="804" w:type="pct"/>
          </w:tcPr>
          <w:p w14:paraId="68721593" w14:textId="77777777" w:rsidR="00795457" w:rsidRPr="00D33D68" w:rsidRDefault="00795457" w:rsidP="00525B51">
            <w:pPr>
              <w:spacing w:after="0"/>
              <w:jc w:val="center"/>
              <w:rPr>
                <w:b/>
              </w:rPr>
            </w:pPr>
            <w:r w:rsidRPr="00D33D68">
              <w:rPr>
                <w:b/>
              </w:rPr>
              <w:t>Output indicator</w:t>
            </w:r>
          </w:p>
        </w:tc>
        <w:tc>
          <w:tcPr>
            <w:tcW w:w="433" w:type="pct"/>
            <w:shd w:val="clear" w:color="auto" w:fill="auto"/>
          </w:tcPr>
          <w:p w14:paraId="7BB29B57" w14:textId="77777777" w:rsidR="00795457" w:rsidRPr="00D33D68" w:rsidRDefault="00795457" w:rsidP="00511333">
            <w:pPr>
              <w:spacing w:after="0"/>
              <w:ind w:left="-134" w:right="-75"/>
              <w:jc w:val="center"/>
              <w:rPr>
                <w:b/>
              </w:rPr>
            </w:pPr>
            <w:r w:rsidRPr="00D33D68">
              <w:rPr>
                <w:b/>
              </w:rPr>
              <w:t>Target value for 2023</w:t>
            </w:r>
          </w:p>
          <w:p w14:paraId="0DFE4AE0" w14:textId="77777777" w:rsidR="00525B51" w:rsidRPr="00D33D68" w:rsidRDefault="00525B51" w:rsidP="00511333">
            <w:pPr>
              <w:spacing w:after="0"/>
              <w:ind w:left="-134" w:right="-75"/>
              <w:jc w:val="center"/>
              <w:rPr>
                <w:b/>
              </w:rPr>
            </w:pPr>
            <w:r w:rsidRPr="00D33D68">
              <w:rPr>
                <w:b/>
              </w:rPr>
              <w:t>(new)</w:t>
            </w:r>
          </w:p>
        </w:tc>
        <w:tc>
          <w:tcPr>
            <w:tcW w:w="435" w:type="pct"/>
            <w:shd w:val="clear" w:color="auto" w:fill="auto"/>
          </w:tcPr>
          <w:p w14:paraId="6F8B26FF" w14:textId="77777777" w:rsidR="00795457" w:rsidRPr="00D33D68" w:rsidRDefault="00795457" w:rsidP="00511333">
            <w:pPr>
              <w:spacing w:after="0"/>
              <w:ind w:left="-108" w:right="-105"/>
              <w:jc w:val="center"/>
              <w:rPr>
                <w:b/>
              </w:rPr>
            </w:pPr>
            <w:r w:rsidRPr="00D33D68">
              <w:rPr>
                <w:b/>
              </w:rPr>
              <w:t>Measurement unit</w:t>
            </w:r>
          </w:p>
        </w:tc>
        <w:tc>
          <w:tcPr>
            <w:tcW w:w="589" w:type="pct"/>
          </w:tcPr>
          <w:p w14:paraId="48640A9C" w14:textId="77777777" w:rsidR="00795457" w:rsidRPr="00D33D68" w:rsidRDefault="00795457" w:rsidP="00894B2B">
            <w:pPr>
              <w:spacing w:after="0"/>
              <w:ind w:left="-160" w:right="-80"/>
              <w:jc w:val="center"/>
              <w:rPr>
                <w:b/>
              </w:rPr>
            </w:pPr>
            <w:r w:rsidRPr="00D33D68">
              <w:rPr>
                <w:b/>
              </w:rPr>
              <w:t>Include in the Performance Framework</w:t>
            </w:r>
          </w:p>
        </w:tc>
        <w:tc>
          <w:tcPr>
            <w:tcW w:w="1570" w:type="pct"/>
          </w:tcPr>
          <w:p w14:paraId="40F7D3D2" w14:textId="5EDCDA23" w:rsidR="00795457" w:rsidRPr="00D33D68" w:rsidRDefault="00BA4AD7" w:rsidP="00525B51">
            <w:pPr>
              <w:spacing w:after="0"/>
              <w:ind w:left="-49" w:right="-108"/>
              <w:jc w:val="center"/>
              <w:rPr>
                <w:b/>
              </w:rPr>
            </w:pPr>
            <w:r w:rsidRPr="00D33D68">
              <w:rPr>
                <w:b/>
              </w:rPr>
              <w:t>Explanation</w:t>
            </w:r>
          </w:p>
        </w:tc>
      </w:tr>
      <w:tr w:rsidR="00EA15E3" w:rsidRPr="00D33D68" w14:paraId="3774F48A" w14:textId="77777777" w:rsidTr="00511333">
        <w:tc>
          <w:tcPr>
            <w:tcW w:w="1170" w:type="pct"/>
            <w:shd w:val="clear" w:color="auto" w:fill="auto"/>
          </w:tcPr>
          <w:p w14:paraId="73126B69" w14:textId="77777777" w:rsidR="00795457" w:rsidRPr="00D33D68" w:rsidRDefault="00795457" w:rsidP="006943E2">
            <w:pPr>
              <w:spacing w:after="0"/>
            </w:pPr>
            <w:r w:rsidRPr="00D33D68">
              <w:lastRenderedPageBreak/>
              <w:t>01 - Article 40.1.b-g, i Protection and restoration of marine biodiversity – contribution to a better management or conservation, construction, installation or modernisation of static or movable facilities, preparation of protection and management plans related to NATURA2000 sites and spatial protected areas, management, restoration and monitoring marine protected areas, including NATURA 2000 sites, environmental awareness, participation in other actions aimed at maintaining and enhancing biodiversity and ecosystem services (+ art. 44.6 Inland fishing)</w:t>
            </w:r>
          </w:p>
        </w:tc>
        <w:tc>
          <w:tcPr>
            <w:tcW w:w="804" w:type="pct"/>
          </w:tcPr>
          <w:p w14:paraId="24AF8AB7" w14:textId="77777777" w:rsidR="00795457" w:rsidRPr="00D33D68" w:rsidRDefault="00795457" w:rsidP="006943E2">
            <w:pPr>
              <w:spacing w:after="0"/>
            </w:pPr>
            <w:r w:rsidRPr="00D33D68">
              <w:t>1.6 - N° of projects on protection and restoration of marine biodiversity, ecosystems</w:t>
            </w:r>
          </w:p>
        </w:tc>
        <w:tc>
          <w:tcPr>
            <w:tcW w:w="433" w:type="pct"/>
            <w:shd w:val="clear" w:color="auto" w:fill="auto"/>
          </w:tcPr>
          <w:p w14:paraId="7D6953C9" w14:textId="39F0965C" w:rsidR="00795457" w:rsidRPr="00D33D68" w:rsidRDefault="00B9122A" w:rsidP="00511333">
            <w:pPr>
              <w:spacing w:after="0"/>
              <w:ind w:left="-134" w:right="-75"/>
              <w:jc w:val="right"/>
            </w:pPr>
            <w:r w:rsidRPr="00D33D68">
              <w:t>3</w:t>
            </w:r>
          </w:p>
        </w:tc>
        <w:tc>
          <w:tcPr>
            <w:tcW w:w="435" w:type="pct"/>
            <w:shd w:val="clear" w:color="auto" w:fill="auto"/>
          </w:tcPr>
          <w:p w14:paraId="4CC046E5" w14:textId="77777777" w:rsidR="00795457" w:rsidRPr="00D33D68" w:rsidRDefault="00795457" w:rsidP="00511333">
            <w:pPr>
              <w:spacing w:after="0"/>
              <w:ind w:left="-108" w:right="-105"/>
            </w:pPr>
            <w:r w:rsidRPr="00D33D68">
              <w:t>Number</w:t>
            </w:r>
          </w:p>
        </w:tc>
        <w:tc>
          <w:tcPr>
            <w:tcW w:w="589" w:type="pct"/>
          </w:tcPr>
          <w:p w14:paraId="076CA938" w14:textId="77777777" w:rsidR="00795457" w:rsidRPr="00D33D68" w:rsidRDefault="00795457" w:rsidP="006943E2">
            <w:pPr>
              <w:spacing w:after="0"/>
              <w:jc w:val="center"/>
            </w:pPr>
          </w:p>
        </w:tc>
        <w:tc>
          <w:tcPr>
            <w:tcW w:w="1570" w:type="pct"/>
          </w:tcPr>
          <w:p w14:paraId="6845B735" w14:textId="77777777" w:rsidR="00B9122A" w:rsidRPr="00D33D68" w:rsidRDefault="002F6075" w:rsidP="004B263A">
            <w:pPr>
              <w:spacing w:after="0"/>
            </w:pPr>
            <w:r w:rsidRPr="00D33D68">
              <w:t xml:space="preserve">Индикаторът се образува от </w:t>
            </w:r>
            <w:r w:rsidR="001B027C" w:rsidRPr="00D33D68">
              <w:t xml:space="preserve">съответната част на </w:t>
            </w:r>
            <w:r w:rsidRPr="00D33D68">
              <w:t>м</w:t>
            </w:r>
            <w:r w:rsidR="00F417E2" w:rsidRPr="00D33D68">
              <w:t>я</w:t>
            </w:r>
            <w:r w:rsidRPr="00D33D68">
              <w:t>рк</w:t>
            </w:r>
            <w:r w:rsidR="00F417E2" w:rsidRPr="00D33D68">
              <w:t>а</w:t>
            </w:r>
            <w:r w:rsidRPr="00D33D68">
              <w:t xml:space="preserve"> </w:t>
            </w:r>
            <w:r w:rsidR="00F417E2" w:rsidRPr="00D33D68">
              <w:t>1.6</w:t>
            </w:r>
            <w:r w:rsidRPr="00D33D68">
              <w:t xml:space="preserve">. Начална стойност </w:t>
            </w:r>
            <w:r w:rsidR="00F417E2" w:rsidRPr="00D33D68">
              <w:t>8</w:t>
            </w:r>
            <w:r w:rsidRPr="00D33D68">
              <w:t xml:space="preserve">. Намаляването на бюджета на </w:t>
            </w:r>
            <w:r w:rsidR="00F417E2" w:rsidRPr="00D33D68">
              <w:t xml:space="preserve">мярка 1.6 </w:t>
            </w:r>
            <w:r w:rsidRPr="00D33D68">
              <w:t xml:space="preserve">с </w:t>
            </w:r>
            <w:r w:rsidR="00F417E2" w:rsidRPr="00D33D68">
              <w:t>7</w:t>
            </w:r>
            <w:r w:rsidRPr="00D33D68">
              <w:t xml:space="preserve">% при 1вата стъпка променя индикатора на </w:t>
            </w:r>
            <w:r w:rsidR="00F417E2" w:rsidRPr="00D33D68">
              <w:t>7</w:t>
            </w:r>
            <w:r w:rsidRPr="00D33D68">
              <w:t xml:space="preserve">. </w:t>
            </w:r>
          </w:p>
          <w:p w14:paraId="39B8F8E4" w14:textId="3FF0E77F" w:rsidR="00B9122A" w:rsidRPr="00D33D68" w:rsidRDefault="00B9122A" w:rsidP="004B263A">
            <w:pPr>
              <w:spacing w:after="0"/>
            </w:pPr>
            <w:r w:rsidRPr="00D33D68">
              <w:t xml:space="preserve">С изменението поради COVID-19 </w:t>
            </w:r>
            <w:r w:rsidR="004B263A" w:rsidRPr="00D33D68">
              <w:t>стойностите на индикатора не се променят.</w:t>
            </w:r>
          </w:p>
          <w:p w14:paraId="6EA47DA4" w14:textId="223CCDA9" w:rsidR="002F6075" w:rsidRPr="00D33D68" w:rsidRDefault="002F6075" w:rsidP="00B9122A">
            <w:pPr>
              <w:spacing w:after="0"/>
            </w:pPr>
            <w:r w:rsidRPr="00D33D68">
              <w:t xml:space="preserve">Сега бюджета на </w:t>
            </w:r>
            <w:r w:rsidR="00B9122A" w:rsidRPr="00D33D68">
              <w:t xml:space="preserve">съответната част на </w:t>
            </w:r>
            <w:r w:rsidR="00F417E2" w:rsidRPr="00D33D68">
              <w:t xml:space="preserve">мярка 1.6 </w:t>
            </w:r>
            <w:r w:rsidRPr="00D33D68">
              <w:t xml:space="preserve">се намалява с </w:t>
            </w:r>
            <w:r w:rsidR="00B9122A" w:rsidRPr="00D33D68">
              <w:t>62</w:t>
            </w:r>
            <w:r w:rsidRPr="00D33D68">
              <w:t>% и се получава 2023 Target value</w:t>
            </w:r>
            <w:r w:rsidR="00B9122A" w:rsidRPr="00D33D68">
              <w:t xml:space="preserve"> след закръгляне</w:t>
            </w:r>
            <w:r w:rsidRPr="00D33D68">
              <w:t>.</w:t>
            </w:r>
          </w:p>
        </w:tc>
      </w:tr>
    </w:tbl>
    <w:p w14:paraId="1CD624A2" w14:textId="77777777" w:rsidR="00771E9D" w:rsidRPr="00D33D68" w:rsidRDefault="00771E9D" w:rsidP="008B2921">
      <w:pPr>
        <w:spacing w:after="0" w:line="240" w:lineRule="auto"/>
        <w:jc w:val="left"/>
        <w:rPr>
          <w:rFonts w:eastAsia="Times New Roman"/>
          <w:noProof w:val="0"/>
        </w:rPr>
      </w:pPr>
    </w:p>
    <w:tbl>
      <w:tblPr>
        <w:tblW w:w="503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188"/>
        <w:gridCol w:w="1502"/>
        <w:gridCol w:w="810"/>
        <w:gridCol w:w="810"/>
        <w:gridCol w:w="1102"/>
        <w:gridCol w:w="2928"/>
        <w:gridCol w:w="15"/>
      </w:tblGrid>
      <w:tr w:rsidR="00D33D68" w:rsidRPr="00D33D68" w14:paraId="5FBAEB97" w14:textId="77777777" w:rsidTr="00332BD0">
        <w:tc>
          <w:tcPr>
            <w:tcW w:w="1169" w:type="pct"/>
            <w:shd w:val="clear" w:color="auto" w:fill="auto"/>
          </w:tcPr>
          <w:p w14:paraId="5E480DCD" w14:textId="77777777" w:rsidR="00795457" w:rsidRPr="00D33D68" w:rsidRDefault="00795457" w:rsidP="006943E2">
            <w:pPr>
              <w:pStyle w:val="Text1"/>
              <w:spacing w:before="0" w:after="0"/>
              <w:ind w:left="0"/>
              <w:rPr>
                <w:b/>
                <w:lang w:val="bg-BG"/>
              </w:rPr>
            </w:pPr>
            <w:r w:rsidRPr="00D33D68">
              <w:rPr>
                <w:b/>
                <w:noProof/>
                <w:lang w:val="bg-BG"/>
              </w:rPr>
              <w:t>Specific objective</w:t>
            </w:r>
          </w:p>
        </w:tc>
        <w:tc>
          <w:tcPr>
            <w:tcW w:w="3831" w:type="pct"/>
            <w:gridSpan w:val="6"/>
            <w:shd w:val="clear" w:color="auto" w:fill="auto"/>
          </w:tcPr>
          <w:p w14:paraId="0D465F19" w14:textId="77777777" w:rsidR="00795457" w:rsidRPr="00D33D68" w:rsidRDefault="00795457" w:rsidP="006943E2">
            <w:pPr>
              <w:pStyle w:val="Text1"/>
              <w:spacing w:before="0" w:after="0"/>
              <w:ind w:left="0"/>
              <w:rPr>
                <w:b/>
                <w:noProof/>
                <w:lang w:val="bg-BG"/>
              </w:rPr>
            </w:pPr>
            <w:r w:rsidRPr="00D33D68">
              <w:rPr>
                <w:b/>
                <w:noProof/>
                <w:lang w:val="bg-BG"/>
              </w:rPr>
              <w:t>3</w:t>
            </w:r>
            <w:r w:rsidRPr="00D33D68">
              <w:rPr>
                <w:b/>
                <w:lang w:val="bg-BG"/>
              </w:rPr>
              <w:t xml:space="preserve"> - </w:t>
            </w:r>
            <w:r w:rsidRPr="00D33D68">
              <w:rPr>
                <w:b/>
                <w:noProof/>
                <w:lang w:val="bg-BG"/>
              </w:rPr>
              <w:t>Ensuring a balance between fishing capacity and available fishing opportunities</w:t>
            </w:r>
          </w:p>
        </w:tc>
      </w:tr>
      <w:tr w:rsidR="00D33D68" w:rsidRPr="00D33D68" w14:paraId="5789E223" w14:textId="77777777" w:rsidTr="00511333">
        <w:trPr>
          <w:gridAfter w:val="1"/>
          <w:wAfter w:w="8" w:type="pct"/>
        </w:trPr>
        <w:tc>
          <w:tcPr>
            <w:tcW w:w="1169" w:type="pct"/>
            <w:shd w:val="clear" w:color="auto" w:fill="auto"/>
          </w:tcPr>
          <w:p w14:paraId="20ECF1D3" w14:textId="77777777" w:rsidR="00795457" w:rsidRPr="00D33D68" w:rsidRDefault="00795457" w:rsidP="00525B51">
            <w:pPr>
              <w:spacing w:after="0"/>
              <w:jc w:val="center"/>
              <w:rPr>
                <w:b/>
              </w:rPr>
            </w:pPr>
            <w:r w:rsidRPr="00D33D68">
              <w:rPr>
                <w:b/>
              </w:rPr>
              <w:t>EMFF measure</w:t>
            </w:r>
          </w:p>
        </w:tc>
        <w:tc>
          <w:tcPr>
            <w:tcW w:w="803" w:type="pct"/>
          </w:tcPr>
          <w:p w14:paraId="3D05E9B2" w14:textId="77777777" w:rsidR="00795457" w:rsidRPr="00D33D68" w:rsidRDefault="00795457" w:rsidP="00525B51">
            <w:pPr>
              <w:spacing w:after="0"/>
              <w:jc w:val="center"/>
              <w:rPr>
                <w:b/>
              </w:rPr>
            </w:pPr>
            <w:r w:rsidRPr="00D33D68">
              <w:rPr>
                <w:b/>
              </w:rPr>
              <w:t>Output indicator</w:t>
            </w:r>
          </w:p>
        </w:tc>
        <w:tc>
          <w:tcPr>
            <w:tcW w:w="433" w:type="pct"/>
            <w:shd w:val="clear" w:color="auto" w:fill="auto"/>
          </w:tcPr>
          <w:p w14:paraId="26E3146D" w14:textId="77777777" w:rsidR="00795457" w:rsidRPr="00D33D68" w:rsidRDefault="00795457" w:rsidP="00511333">
            <w:pPr>
              <w:spacing w:after="0"/>
              <w:ind w:left="-108" w:right="-75"/>
              <w:jc w:val="center"/>
              <w:rPr>
                <w:b/>
              </w:rPr>
            </w:pPr>
            <w:r w:rsidRPr="00D33D68">
              <w:rPr>
                <w:b/>
              </w:rPr>
              <w:t>Target value for 2023</w:t>
            </w:r>
          </w:p>
          <w:p w14:paraId="70936D5D" w14:textId="77777777" w:rsidR="003A2F6A" w:rsidRPr="00D33D68" w:rsidRDefault="003A2F6A" w:rsidP="00511333">
            <w:pPr>
              <w:spacing w:after="0"/>
              <w:ind w:left="-108" w:right="-75"/>
              <w:jc w:val="center"/>
              <w:rPr>
                <w:b/>
              </w:rPr>
            </w:pPr>
            <w:r w:rsidRPr="00D33D68">
              <w:rPr>
                <w:b/>
              </w:rPr>
              <w:lastRenderedPageBreak/>
              <w:t>(new)</w:t>
            </w:r>
          </w:p>
        </w:tc>
        <w:tc>
          <w:tcPr>
            <w:tcW w:w="433" w:type="pct"/>
            <w:shd w:val="clear" w:color="auto" w:fill="auto"/>
          </w:tcPr>
          <w:p w14:paraId="62D78BD5" w14:textId="77777777" w:rsidR="00795457" w:rsidRPr="00D33D68" w:rsidRDefault="00795457" w:rsidP="008C6424">
            <w:pPr>
              <w:spacing w:after="0"/>
              <w:ind w:left="-109" w:right="-105"/>
              <w:jc w:val="center"/>
              <w:rPr>
                <w:b/>
              </w:rPr>
            </w:pPr>
            <w:r w:rsidRPr="00D33D68">
              <w:rPr>
                <w:b/>
              </w:rPr>
              <w:lastRenderedPageBreak/>
              <w:t>Measurement unit</w:t>
            </w:r>
          </w:p>
        </w:tc>
        <w:tc>
          <w:tcPr>
            <w:tcW w:w="589" w:type="pct"/>
          </w:tcPr>
          <w:p w14:paraId="021C5EBF" w14:textId="77777777" w:rsidR="00795457" w:rsidRPr="00D33D68" w:rsidRDefault="00795457" w:rsidP="00C8036B">
            <w:pPr>
              <w:spacing w:after="0"/>
              <w:ind w:left="-110" w:right="-200"/>
              <w:jc w:val="center"/>
              <w:rPr>
                <w:b/>
              </w:rPr>
            </w:pPr>
            <w:r w:rsidRPr="00D33D68">
              <w:rPr>
                <w:b/>
              </w:rPr>
              <w:t xml:space="preserve">Include in the Performance </w:t>
            </w:r>
            <w:r w:rsidRPr="00D33D68">
              <w:rPr>
                <w:b/>
              </w:rPr>
              <w:lastRenderedPageBreak/>
              <w:t>Framework</w:t>
            </w:r>
          </w:p>
        </w:tc>
        <w:tc>
          <w:tcPr>
            <w:tcW w:w="1565" w:type="pct"/>
          </w:tcPr>
          <w:p w14:paraId="156B7C3D" w14:textId="5363A44B" w:rsidR="00795457" w:rsidRPr="00D33D68" w:rsidRDefault="00BA4AD7" w:rsidP="00525B51">
            <w:pPr>
              <w:spacing w:after="0"/>
              <w:ind w:left="-108" w:right="-108"/>
              <w:jc w:val="center"/>
              <w:rPr>
                <w:b/>
              </w:rPr>
            </w:pPr>
            <w:r w:rsidRPr="00D33D68">
              <w:rPr>
                <w:b/>
              </w:rPr>
              <w:lastRenderedPageBreak/>
              <w:t>Explanation</w:t>
            </w:r>
          </w:p>
        </w:tc>
      </w:tr>
      <w:tr w:rsidR="00C8036B" w:rsidRPr="00D33D68" w14:paraId="3EA813BC" w14:textId="77777777" w:rsidTr="00511333">
        <w:trPr>
          <w:gridAfter w:val="1"/>
          <w:wAfter w:w="8" w:type="pct"/>
        </w:trPr>
        <w:tc>
          <w:tcPr>
            <w:tcW w:w="1169" w:type="pct"/>
            <w:shd w:val="clear" w:color="auto" w:fill="auto"/>
          </w:tcPr>
          <w:p w14:paraId="5FB54F79" w14:textId="77777777" w:rsidR="00795457" w:rsidRPr="00D33D68" w:rsidRDefault="00795457" w:rsidP="006943E2">
            <w:pPr>
              <w:spacing w:after="0"/>
            </w:pPr>
            <w:r w:rsidRPr="00D33D68">
              <w:lastRenderedPageBreak/>
              <w:t>01 - Article 34 Permanent cessation of fishing activities</w:t>
            </w:r>
          </w:p>
        </w:tc>
        <w:tc>
          <w:tcPr>
            <w:tcW w:w="803" w:type="pct"/>
          </w:tcPr>
          <w:p w14:paraId="49B6D156" w14:textId="77777777" w:rsidR="00795457" w:rsidRPr="00D33D68" w:rsidRDefault="00795457" w:rsidP="006943E2">
            <w:pPr>
              <w:spacing w:after="0"/>
            </w:pPr>
            <w:r w:rsidRPr="00D33D68">
              <w:t>1.5 - N° of projects on permanent cessation</w:t>
            </w:r>
          </w:p>
        </w:tc>
        <w:tc>
          <w:tcPr>
            <w:tcW w:w="433" w:type="pct"/>
            <w:shd w:val="clear" w:color="auto" w:fill="auto"/>
          </w:tcPr>
          <w:p w14:paraId="0589BE2A" w14:textId="77777777" w:rsidR="00795457" w:rsidRPr="00D33D68" w:rsidRDefault="00795457" w:rsidP="009F29C4">
            <w:pPr>
              <w:spacing w:after="0"/>
              <w:jc w:val="right"/>
            </w:pPr>
            <w:r w:rsidRPr="00D33D68">
              <w:t>8</w:t>
            </w:r>
          </w:p>
        </w:tc>
        <w:tc>
          <w:tcPr>
            <w:tcW w:w="433" w:type="pct"/>
            <w:shd w:val="clear" w:color="auto" w:fill="auto"/>
          </w:tcPr>
          <w:p w14:paraId="105116A5" w14:textId="77777777" w:rsidR="00795457" w:rsidRPr="00D33D68" w:rsidRDefault="00795457" w:rsidP="008C6424">
            <w:pPr>
              <w:spacing w:after="0"/>
              <w:ind w:left="-109" w:right="-105"/>
            </w:pPr>
            <w:r w:rsidRPr="00D33D68">
              <w:t>Number</w:t>
            </w:r>
          </w:p>
        </w:tc>
        <w:tc>
          <w:tcPr>
            <w:tcW w:w="589" w:type="pct"/>
          </w:tcPr>
          <w:p w14:paraId="11DE7310" w14:textId="77777777" w:rsidR="00795457" w:rsidRPr="00D33D68" w:rsidRDefault="00795457" w:rsidP="006943E2">
            <w:pPr>
              <w:spacing w:after="0"/>
              <w:jc w:val="center"/>
            </w:pPr>
            <w:r w:rsidRPr="00D33D68">
              <w:rPr>
                <w:lang w:eastAsia="en-GB"/>
              </w:rPr>
              <w:sym w:font="Wingdings" w:char="F0FC"/>
            </w:r>
          </w:p>
        </w:tc>
        <w:tc>
          <w:tcPr>
            <w:tcW w:w="1565" w:type="pct"/>
          </w:tcPr>
          <w:p w14:paraId="1DF0EC5B" w14:textId="70449929" w:rsidR="00795457" w:rsidRPr="00D33D68" w:rsidRDefault="00B76E1E" w:rsidP="00C62AB9">
            <w:pPr>
              <w:spacing w:after="0"/>
              <w:jc w:val="center"/>
              <w:rPr>
                <w:lang w:eastAsia="en-GB"/>
              </w:rPr>
            </w:pPr>
            <w:r w:rsidRPr="00D33D68">
              <w:t>(</w:t>
            </w:r>
            <w:r w:rsidR="00C62AB9" w:rsidRPr="00D33D68">
              <w:t>N/А</w:t>
            </w:r>
            <w:r w:rsidRPr="00D33D68">
              <w:t>)</w:t>
            </w:r>
          </w:p>
        </w:tc>
      </w:tr>
    </w:tbl>
    <w:p w14:paraId="5109E15F" w14:textId="77777777" w:rsidR="00771E9D" w:rsidRPr="00D33D68" w:rsidRDefault="00771E9D" w:rsidP="008B2921">
      <w:pPr>
        <w:spacing w:after="0" w:line="240" w:lineRule="auto"/>
        <w:jc w:val="left"/>
        <w:rPr>
          <w:rFonts w:eastAsia="Times New Roman"/>
          <w:noProof w:val="0"/>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186"/>
        <w:gridCol w:w="1503"/>
        <w:gridCol w:w="810"/>
        <w:gridCol w:w="810"/>
        <w:gridCol w:w="1167"/>
        <w:gridCol w:w="2812"/>
      </w:tblGrid>
      <w:tr w:rsidR="00D33D68" w:rsidRPr="00D33D68" w14:paraId="3EAE0574" w14:textId="77777777" w:rsidTr="00550DD8">
        <w:tc>
          <w:tcPr>
            <w:tcW w:w="1177" w:type="pct"/>
            <w:shd w:val="clear" w:color="auto" w:fill="auto"/>
          </w:tcPr>
          <w:p w14:paraId="0317DDB2" w14:textId="77777777" w:rsidR="003A2F6A" w:rsidRPr="00D33D68" w:rsidRDefault="003A2F6A" w:rsidP="006943E2">
            <w:pPr>
              <w:pStyle w:val="Text1"/>
              <w:spacing w:before="0" w:after="0"/>
              <w:ind w:left="0"/>
              <w:rPr>
                <w:b/>
                <w:lang w:val="bg-BG"/>
              </w:rPr>
            </w:pPr>
            <w:r w:rsidRPr="00D33D68">
              <w:rPr>
                <w:b/>
                <w:noProof/>
                <w:lang w:val="bg-BG"/>
              </w:rPr>
              <w:t>Specific objective</w:t>
            </w:r>
          </w:p>
        </w:tc>
        <w:tc>
          <w:tcPr>
            <w:tcW w:w="3823" w:type="pct"/>
            <w:gridSpan w:val="5"/>
            <w:shd w:val="clear" w:color="auto" w:fill="auto"/>
          </w:tcPr>
          <w:p w14:paraId="45A0A385" w14:textId="77777777" w:rsidR="003A2F6A" w:rsidRPr="00D33D68" w:rsidRDefault="003A2F6A" w:rsidP="006943E2">
            <w:pPr>
              <w:pStyle w:val="Text1"/>
              <w:spacing w:before="0" w:after="0"/>
              <w:ind w:left="0"/>
              <w:rPr>
                <w:b/>
                <w:noProof/>
                <w:lang w:val="bg-BG"/>
              </w:rPr>
            </w:pPr>
            <w:r w:rsidRPr="00D33D68">
              <w:rPr>
                <w:b/>
                <w:noProof/>
                <w:lang w:val="bg-BG"/>
              </w:rPr>
              <w:t>4</w:t>
            </w:r>
            <w:r w:rsidRPr="00D33D68">
              <w:rPr>
                <w:b/>
                <w:lang w:val="bg-BG"/>
              </w:rPr>
              <w:t xml:space="preserve"> - </w:t>
            </w:r>
            <w:r w:rsidRPr="00D33D68">
              <w:rPr>
                <w:b/>
                <w:noProof/>
                <w:lang w:val="bg-BG"/>
              </w:rPr>
              <w:t>Enhancement of the competitiveness and viability of fisheries enterprises, including of small scale coastal fleet, and the improvement of safety or working conditions</w:t>
            </w:r>
          </w:p>
        </w:tc>
      </w:tr>
      <w:tr w:rsidR="00D33D68" w:rsidRPr="00D33D68" w14:paraId="6CC12DFF" w14:textId="77777777" w:rsidTr="00550DD8">
        <w:tc>
          <w:tcPr>
            <w:tcW w:w="1177" w:type="pct"/>
            <w:shd w:val="clear" w:color="auto" w:fill="auto"/>
          </w:tcPr>
          <w:p w14:paraId="3513FF58" w14:textId="77777777" w:rsidR="003A2F6A" w:rsidRPr="00D33D68" w:rsidRDefault="003A2F6A" w:rsidP="00525B51">
            <w:pPr>
              <w:spacing w:after="0"/>
              <w:jc w:val="center"/>
              <w:rPr>
                <w:b/>
              </w:rPr>
            </w:pPr>
            <w:r w:rsidRPr="00D33D68">
              <w:rPr>
                <w:b/>
              </w:rPr>
              <w:t>EMFF measure</w:t>
            </w:r>
          </w:p>
        </w:tc>
        <w:tc>
          <w:tcPr>
            <w:tcW w:w="809" w:type="pct"/>
          </w:tcPr>
          <w:p w14:paraId="5B37A264" w14:textId="77777777" w:rsidR="003A2F6A" w:rsidRPr="00D33D68" w:rsidRDefault="003A2F6A" w:rsidP="00525B51">
            <w:pPr>
              <w:spacing w:after="0"/>
              <w:jc w:val="center"/>
              <w:rPr>
                <w:b/>
              </w:rPr>
            </w:pPr>
            <w:r w:rsidRPr="00D33D68">
              <w:rPr>
                <w:b/>
              </w:rPr>
              <w:t>Output indicator</w:t>
            </w:r>
          </w:p>
        </w:tc>
        <w:tc>
          <w:tcPr>
            <w:tcW w:w="436" w:type="pct"/>
            <w:shd w:val="clear" w:color="auto" w:fill="auto"/>
          </w:tcPr>
          <w:p w14:paraId="005DC4DA" w14:textId="77777777" w:rsidR="003A2F6A" w:rsidRPr="00D33D68" w:rsidRDefault="003A2F6A" w:rsidP="009679B5">
            <w:pPr>
              <w:spacing w:after="0"/>
              <w:ind w:left="-109"/>
              <w:jc w:val="center"/>
              <w:rPr>
                <w:b/>
              </w:rPr>
            </w:pPr>
            <w:r w:rsidRPr="00D33D68">
              <w:rPr>
                <w:b/>
              </w:rPr>
              <w:t>Target value for 2023</w:t>
            </w:r>
          </w:p>
          <w:p w14:paraId="28558F9A" w14:textId="77777777" w:rsidR="003A2F6A" w:rsidRPr="00D33D68" w:rsidRDefault="003A2F6A" w:rsidP="009679B5">
            <w:pPr>
              <w:spacing w:after="0"/>
              <w:ind w:left="-109"/>
              <w:jc w:val="center"/>
              <w:rPr>
                <w:b/>
              </w:rPr>
            </w:pPr>
            <w:r w:rsidRPr="00D33D68">
              <w:rPr>
                <w:b/>
              </w:rPr>
              <w:t>(new)</w:t>
            </w:r>
          </w:p>
        </w:tc>
        <w:tc>
          <w:tcPr>
            <w:tcW w:w="436" w:type="pct"/>
            <w:shd w:val="clear" w:color="auto" w:fill="auto"/>
          </w:tcPr>
          <w:p w14:paraId="7572C775" w14:textId="77777777" w:rsidR="003A2F6A" w:rsidRPr="00D33D68" w:rsidRDefault="003A2F6A" w:rsidP="00F1086E">
            <w:pPr>
              <w:spacing w:after="0"/>
              <w:ind w:left="-104" w:right="-105"/>
              <w:jc w:val="center"/>
              <w:rPr>
                <w:b/>
              </w:rPr>
            </w:pPr>
            <w:r w:rsidRPr="00D33D68">
              <w:rPr>
                <w:b/>
              </w:rPr>
              <w:t>Measurement unit</w:t>
            </w:r>
          </w:p>
        </w:tc>
        <w:tc>
          <w:tcPr>
            <w:tcW w:w="628" w:type="pct"/>
          </w:tcPr>
          <w:p w14:paraId="4F5ACACA" w14:textId="77777777" w:rsidR="003A2F6A" w:rsidRPr="00D33D68" w:rsidRDefault="003A2F6A" w:rsidP="00C8036B">
            <w:pPr>
              <w:spacing w:after="0"/>
              <w:ind w:left="-160" w:right="-150"/>
              <w:jc w:val="center"/>
              <w:rPr>
                <w:b/>
              </w:rPr>
            </w:pPr>
            <w:r w:rsidRPr="00D33D68">
              <w:rPr>
                <w:b/>
              </w:rPr>
              <w:t>Include in the Performance Framework</w:t>
            </w:r>
          </w:p>
        </w:tc>
        <w:tc>
          <w:tcPr>
            <w:tcW w:w="1513" w:type="pct"/>
          </w:tcPr>
          <w:p w14:paraId="692287D0" w14:textId="6D75C68C" w:rsidR="003A2F6A" w:rsidRPr="00D33D68" w:rsidRDefault="00BA4AD7" w:rsidP="00525B51">
            <w:pPr>
              <w:spacing w:after="0"/>
              <w:ind w:left="-92" w:right="-112"/>
              <w:jc w:val="center"/>
              <w:rPr>
                <w:b/>
              </w:rPr>
            </w:pPr>
            <w:r w:rsidRPr="00D33D68">
              <w:rPr>
                <w:b/>
              </w:rPr>
              <w:t>Explanation</w:t>
            </w:r>
          </w:p>
        </w:tc>
      </w:tr>
      <w:tr w:rsidR="00D33D68" w:rsidRPr="00D33D68" w14:paraId="25EC6264" w14:textId="77777777" w:rsidTr="00550DD8">
        <w:tc>
          <w:tcPr>
            <w:tcW w:w="1177" w:type="pct"/>
            <w:shd w:val="clear" w:color="auto" w:fill="auto"/>
          </w:tcPr>
          <w:p w14:paraId="4A0E7E01" w14:textId="77777777" w:rsidR="003A2F6A" w:rsidRPr="00D33D68" w:rsidRDefault="003A2F6A" w:rsidP="006943E2">
            <w:pPr>
              <w:spacing w:after="0"/>
            </w:pPr>
            <w:r w:rsidRPr="00D33D68">
              <w:t>02 - Article 30 Diversification and new forms of income (+ art. 44.4 Inland fishing)</w:t>
            </w:r>
          </w:p>
        </w:tc>
        <w:tc>
          <w:tcPr>
            <w:tcW w:w="809" w:type="pct"/>
          </w:tcPr>
          <w:p w14:paraId="2904DBA2" w14:textId="77777777" w:rsidR="003A2F6A" w:rsidRPr="00D33D68" w:rsidRDefault="003A2F6A" w:rsidP="006943E2">
            <w:pPr>
              <w:spacing w:after="0"/>
            </w:pPr>
            <w:r w:rsidRPr="00D33D68">
              <w:t>1.9 - N° of projects on promotion of human capital and social dialogue, diversification and new forms of income, start-ups for fishermen and health/safety</w:t>
            </w:r>
          </w:p>
        </w:tc>
        <w:tc>
          <w:tcPr>
            <w:tcW w:w="436" w:type="pct"/>
            <w:shd w:val="clear" w:color="auto" w:fill="auto"/>
          </w:tcPr>
          <w:p w14:paraId="3A6AA593" w14:textId="77777777" w:rsidR="003A2F6A" w:rsidRPr="00D33D68" w:rsidRDefault="009F29C4" w:rsidP="006943E2">
            <w:pPr>
              <w:spacing w:after="0"/>
              <w:jc w:val="right"/>
            </w:pPr>
            <w:r w:rsidRPr="00D33D68">
              <w:t>7</w:t>
            </w:r>
          </w:p>
        </w:tc>
        <w:tc>
          <w:tcPr>
            <w:tcW w:w="436" w:type="pct"/>
            <w:shd w:val="clear" w:color="auto" w:fill="auto"/>
          </w:tcPr>
          <w:p w14:paraId="285EDC6F" w14:textId="77777777" w:rsidR="003A2F6A" w:rsidRPr="00D33D68" w:rsidRDefault="003A2F6A" w:rsidP="00F1086E">
            <w:pPr>
              <w:spacing w:after="0"/>
              <w:ind w:left="-104" w:right="-105"/>
              <w:jc w:val="center"/>
            </w:pPr>
            <w:r w:rsidRPr="00D33D68">
              <w:t>Number</w:t>
            </w:r>
          </w:p>
        </w:tc>
        <w:tc>
          <w:tcPr>
            <w:tcW w:w="628" w:type="pct"/>
          </w:tcPr>
          <w:p w14:paraId="5A3B549B" w14:textId="77777777" w:rsidR="003A2F6A" w:rsidRPr="00D33D68" w:rsidRDefault="003A2F6A" w:rsidP="006943E2">
            <w:pPr>
              <w:spacing w:after="0"/>
              <w:jc w:val="center"/>
            </w:pPr>
          </w:p>
        </w:tc>
        <w:tc>
          <w:tcPr>
            <w:tcW w:w="1513" w:type="pct"/>
          </w:tcPr>
          <w:p w14:paraId="6A698FDC" w14:textId="77777777" w:rsidR="005A6C33" w:rsidRPr="00D33D68" w:rsidRDefault="00BF27EE" w:rsidP="00654336">
            <w:pPr>
              <w:spacing w:after="0"/>
              <w:ind w:left="-100" w:right="-72"/>
            </w:pPr>
            <w:r w:rsidRPr="00D33D68">
              <w:t>Индикаторът се образува от м</w:t>
            </w:r>
            <w:r w:rsidR="00654336" w:rsidRPr="00D33D68">
              <w:t>ярка 1.1. Начална стойност 60</w:t>
            </w:r>
            <w:r w:rsidRPr="00D33D68">
              <w:t xml:space="preserve">. Намаляването на бюджета на </w:t>
            </w:r>
            <w:r w:rsidR="00654336" w:rsidRPr="00D33D68">
              <w:t>мярка 1.1</w:t>
            </w:r>
            <w:r w:rsidRPr="00D33D68">
              <w:t xml:space="preserve"> с </w:t>
            </w:r>
            <w:r w:rsidR="00654336" w:rsidRPr="00D33D68">
              <w:t>37.58</w:t>
            </w:r>
            <w:r w:rsidRPr="00D33D68">
              <w:t xml:space="preserve">% при 1вата стъпка променя индикатора на </w:t>
            </w:r>
            <w:r w:rsidR="00654336" w:rsidRPr="00D33D68">
              <w:t>37</w:t>
            </w:r>
            <w:r w:rsidR="00267A66" w:rsidRPr="00D33D68">
              <w:t xml:space="preserve"> след закръгляне</w:t>
            </w:r>
            <w:r w:rsidRPr="00D33D68">
              <w:t xml:space="preserve">. </w:t>
            </w:r>
          </w:p>
          <w:p w14:paraId="29933EBC" w14:textId="77777777" w:rsidR="005A6C33" w:rsidRPr="00D33D68" w:rsidRDefault="005A6C33" w:rsidP="00654336">
            <w:pPr>
              <w:spacing w:after="0"/>
              <w:ind w:left="-100" w:right="-72"/>
            </w:pPr>
            <w:r w:rsidRPr="00D33D68">
              <w:t xml:space="preserve">С изменението поради COVID-19 </w:t>
            </w:r>
            <w:r w:rsidR="004B263A" w:rsidRPr="00D33D68">
              <w:t>стойностите на индикатора не се променят.</w:t>
            </w:r>
          </w:p>
          <w:p w14:paraId="3129A6AF" w14:textId="6FC311EA" w:rsidR="00BF27EE" w:rsidRPr="00D33D68" w:rsidRDefault="00BF27EE" w:rsidP="00654336">
            <w:pPr>
              <w:spacing w:after="0"/>
              <w:ind w:left="-100" w:right="-72"/>
            </w:pPr>
            <w:r w:rsidRPr="00D33D68">
              <w:t xml:space="preserve">Сега бюджета на </w:t>
            </w:r>
            <w:r w:rsidR="00654336" w:rsidRPr="00D33D68">
              <w:t>мярка 1.1</w:t>
            </w:r>
            <w:r w:rsidRPr="00D33D68">
              <w:t xml:space="preserve"> се намалява с </w:t>
            </w:r>
            <w:r w:rsidR="00654336" w:rsidRPr="00D33D68">
              <w:t>80</w:t>
            </w:r>
            <w:r w:rsidRPr="00D33D68">
              <w:t>% и се получава 2023 Target value.</w:t>
            </w:r>
          </w:p>
        </w:tc>
      </w:tr>
      <w:tr w:rsidR="00D33D68" w:rsidRPr="00D33D68" w14:paraId="77BDA80A" w14:textId="77777777" w:rsidTr="00550DD8">
        <w:tc>
          <w:tcPr>
            <w:tcW w:w="1177" w:type="pct"/>
            <w:shd w:val="clear" w:color="auto" w:fill="auto"/>
          </w:tcPr>
          <w:p w14:paraId="78874F7F" w14:textId="77777777" w:rsidR="003A2F6A" w:rsidRPr="00D33D68" w:rsidRDefault="003A2F6A" w:rsidP="006943E2">
            <w:pPr>
              <w:spacing w:after="0"/>
            </w:pPr>
            <w:r w:rsidRPr="00D33D68">
              <w:t>04 - Article 32 Health and safety (+ art. 44.1.b Inland fishing)</w:t>
            </w:r>
          </w:p>
        </w:tc>
        <w:tc>
          <w:tcPr>
            <w:tcW w:w="809" w:type="pct"/>
          </w:tcPr>
          <w:p w14:paraId="7A01ABAD" w14:textId="77777777" w:rsidR="003A2F6A" w:rsidRPr="00D33D68" w:rsidRDefault="003A2F6A" w:rsidP="006943E2">
            <w:pPr>
              <w:spacing w:after="0"/>
            </w:pPr>
            <w:r w:rsidRPr="00D33D68">
              <w:t xml:space="preserve">1.9 - N° of projects on promotion of human capital and social dialogue, diversification and new forms of income, start-ups for fishermen </w:t>
            </w:r>
            <w:r w:rsidRPr="00D33D68">
              <w:lastRenderedPageBreak/>
              <w:t>and health/safety</w:t>
            </w:r>
          </w:p>
        </w:tc>
        <w:tc>
          <w:tcPr>
            <w:tcW w:w="436" w:type="pct"/>
            <w:shd w:val="clear" w:color="auto" w:fill="auto"/>
          </w:tcPr>
          <w:p w14:paraId="2D240575" w14:textId="5A89C375" w:rsidR="003A2F6A" w:rsidRPr="00D33D68" w:rsidRDefault="00446602" w:rsidP="006943E2">
            <w:pPr>
              <w:spacing w:after="0"/>
              <w:jc w:val="right"/>
              <w:rPr>
                <w:lang w:val="en-US"/>
              </w:rPr>
            </w:pPr>
            <w:r w:rsidRPr="00D33D68">
              <w:rPr>
                <w:lang w:val="en-US"/>
              </w:rPr>
              <w:lastRenderedPageBreak/>
              <w:t>8</w:t>
            </w:r>
          </w:p>
        </w:tc>
        <w:tc>
          <w:tcPr>
            <w:tcW w:w="436" w:type="pct"/>
            <w:shd w:val="clear" w:color="auto" w:fill="auto"/>
          </w:tcPr>
          <w:p w14:paraId="59F22BD9" w14:textId="77777777" w:rsidR="003A2F6A" w:rsidRPr="00D33D68" w:rsidRDefault="003A2F6A" w:rsidP="00F1086E">
            <w:pPr>
              <w:spacing w:after="0"/>
              <w:ind w:left="-104" w:right="-105"/>
              <w:jc w:val="center"/>
            </w:pPr>
            <w:r w:rsidRPr="00D33D68">
              <w:t>Number</w:t>
            </w:r>
          </w:p>
        </w:tc>
        <w:tc>
          <w:tcPr>
            <w:tcW w:w="628" w:type="pct"/>
          </w:tcPr>
          <w:p w14:paraId="3A891593" w14:textId="77777777" w:rsidR="003A2F6A" w:rsidRPr="00D33D68" w:rsidRDefault="003A2F6A" w:rsidP="006943E2">
            <w:pPr>
              <w:spacing w:after="0"/>
              <w:jc w:val="center"/>
            </w:pPr>
          </w:p>
        </w:tc>
        <w:tc>
          <w:tcPr>
            <w:tcW w:w="1513" w:type="pct"/>
          </w:tcPr>
          <w:p w14:paraId="4114D322" w14:textId="77777777" w:rsidR="00C14670" w:rsidRPr="00D33D68" w:rsidRDefault="00E06560" w:rsidP="004B263A">
            <w:pPr>
              <w:spacing w:after="0"/>
            </w:pPr>
            <w:r w:rsidRPr="00D33D68">
              <w:t>Индикаторът се образува от м</w:t>
            </w:r>
            <w:r w:rsidR="004132D6" w:rsidRPr="00D33D68">
              <w:t>ярка</w:t>
            </w:r>
            <w:r w:rsidRPr="00D33D68">
              <w:t xml:space="preserve"> </w:t>
            </w:r>
            <w:r w:rsidR="004132D6" w:rsidRPr="00D33D68">
              <w:t>1.2</w:t>
            </w:r>
            <w:r w:rsidRPr="00D33D68">
              <w:t>. Нача</w:t>
            </w:r>
            <w:r w:rsidR="004132D6" w:rsidRPr="00D33D68">
              <w:t>лна стойност 125</w:t>
            </w:r>
            <w:r w:rsidRPr="00D33D68">
              <w:t>. Намалява</w:t>
            </w:r>
            <w:r w:rsidR="004132D6" w:rsidRPr="00D33D68">
              <w:t>нето на бюджета на мярка 1.2 с 7</w:t>
            </w:r>
            <w:r w:rsidRPr="00D33D68">
              <w:t xml:space="preserve">% при 1вата стъпка променя индикатора на </w:t>
            </w:r>
            <w:r w:rsidR="004132D6" w:rsidRPr="00D33D68">
              <w:t>116 след закръгляне</w:t>
            </w:r>
            <w:r w:rsidRPr="00D33D68">
              <w:t xml:space="preserve">. </w:t>
            </w:r>
          </w:p>
          <w:p w14:paraId="773D4CAB" w14:textId="77777777" w:rsidR="00C14670" w:rsidRPr="00D33D68" w:rsidRDefault="00C14670" w:rsidP="004B263A">
            <w:pPr>
              <w:spacing w:after="0"/>
            </w:pPr>
            <w:r w:rsidRPr="00D33D68">
              <w:t xml:space="preserve">С изменението поради COVID-19 </w:t>
            </w:r>
            <w:r w:rsidR="004B263A" w:rsidRPr="00D33D68">
              <w:t>стойностите на индикатора се променят с 80% на 23.</w:t>
            </w:r>
            <w:r w:rsidRPr="00D33D68">
              <w:t xml:space="preserve"> </w:t>
            </w:r>
          </w:p>
          <w:p w14:paraId="380D77E7" w14:textId="640D379D" w:rsidR="00E06560" w:rsidRPr="00D33D68" w:rsidRDefault="00E06560" w:rsidP="00C14670">
            <w:pPr>
              <w:spacing w:after="0"/>
            </w:pPr>
            <w:r w:rsidRPr="00D33D68">
              <w:t xml:space="preserve">Сега бюджета на </w:t>
            </w:r>
            <w:r w:rsidR="004132D6" w:rsidRPr="00D33D68">
              <w:t xml:space="preserve">мярка </w:t>
            </w:r>
            <w:r w:rsidR="004132D6" w:rsidRPr="00D33D68">
              <w:lastRenderedPageBreak/>
              <w:t>1.2</w:t>
            </w:r>
            <w:r w:rsidRPr="00D33D68">
              <w:t xml:space="preserve"> се намалява с </w:t>
            </w:r>
            <w:r w:rsidR="004B263A" w:rsidRPr="00D33D68">
              <w:t>8</w:t>
            </w:r>
            <w:r w:rsidR="00C14670" w:rsidRPr="00D33D68">
              <w:t>2.58</w:t>
            </w:r>
            <w:r w:rsidRPr="00D33D68">
              <w:t>% и се получава 2023 Target value</w:t>
            </w:r>
            <w:r w:rsidR="00C14670" w:rsidRPr="00D33D68">
              <w:t xml:space="preserve"> след закръгляне</w:t>
            </w:r>
            <w:r w:rsidRPr="00D33D68">
              <w:t>.</w:t>
            </w:r>
          </w:p>
        </w:tc>
      </w:tr>
      <w:tr w:rsidR="00D33D68" w:rsidRPr="00D33D68" w14:paraId="792D6A84" w14:textId="77777777" w:rsidTr="00550DD8">
        <w:tc>
          <w:tcPr>
            <w:tcW w:w="1177" w:type="pct"/>
            <w:shd w:val="clear" w:color="auto" w:fill="auto"/>
          </w:tcPr>
          <w:p w14:paraId="41E480A4" w14:textId="77777777" w:rsidR="003A2F6A" w:rsidRPr="00D33D68" w:rsidRDefault="003A2F6A" w:rsidP="006943E2">
            <w:pPr>
              <w:spacing w:after="0"/>
            </w:pPr>
            <w:r w:rsidRPr="00D33D68">
              <w:lastRenderedPageBreak/>
              <w:t>08 - Article 42 Added value, product quality and use of unwanted catches (+ art. 44.1.e Inland fishing)</w:t>
            </w:r>
          </w:p>
        </w:tc>
        <w:tc>
          <w:tcPr>
            <w:tcW w:w="809" w:type="pct"/>
          </w:tcPr>
          <w:p w14:paraId="7627FAE7" w14:textId="77777777" w:rsidR="003A2F6A" w:rsidRPr="00D33D68" w:rsidRDefault="003A2F6A" w:rsidP="006943E2">
            <w:pPr>
              <w:spacing w:after="0"/>
            </w:pPr>
            <w:r w:rsidRPr="00D33D68">
              <w:t>1.3 - N° of projects on added value, quality, use of unwanted catches and fishing ports, landing sites, actions halls and shelters</w:t>
            </w:r>
          </w:p>
        </w:tc>
        <w:tc>
          <w:tcPr>
            <w:tcW w:w="436" w:type="pct"/>
            <w:shd w:val="clear" w:color="auto" w:fill="auto"/>
          </w:tcPr>
          <w:p w14:paraId="76D15C43" w14:textId="34BC353C" w:rsidR="003A2F6A" w:rsidRPr="00D33D68" w:rsidRDefault="004B263A" w:rsidP="006943E2">
            <w:pPr>
              <w:spacing w:after="0"/>
              <w:jc w:val="right"/>
            </w:pPr>
            <w:r w:rsidRPr="00D33D68">
              <w:t>3</w:t>
            </w:r>
          </w:p>
        </w:tc>
        <w:tc>
          <w:tcPr>
            <w:tcW w:w="436" w:type="pct"/>
            <w:shd w:val="clear" w:color="auto" w:fill="auto"/>
          </w:tcPr>
          <w:p w14:paraId="58CD695B" w14:textId="77777777" w:rsidR="003A2F6A" w:rsidRPr="00D33D68" w:rsidRDefault="003A2F6A" w:rsidP="00F1086E">
            <w:pPr>
              <w:spacing w:after="0"/>
              <w:ind w:left="-104" w:right="-105"/>
              <w:jc w:val="center"/>
            </w:pPr>
            <w:r w:rsidRPr="00D33D68">
              <w:t>Number</w:t>
            </w:r>
          </w:p>
        </w:tc>
        <w:tc>
          <w:tcPr>
            <w:tcW w:w="628" w:type="pct"/>
          </w:tcPr>
          <w:p w14:paraId="5B4F9B01" w14:textId="77777777" w:rsidR="003A2F6A" w:rsidRPr="00D33D68" w:rsidRDefault="003A2F6A" w:rsidP="006943E2">
            <w:pPr>
              <w:spacing w:after="0"/>
              <w:jc w:val="center"/>
            </w:pPr>
            <w:r w:rsidRPr="00D33D68">
              <w:rPr>
                <w:lang w:eastAsia="en-GB"/>
              </w:rPr>
              <w:sym w:font="Wingdings" w:char="F0FC"/>
            </w:r>
          </w:p>
        </w:tc>
        <w:tc>
          <w:tcPr>
            <w:tcW w:w="1513" w:type="pct"/>
          </w:tcPr>
          <w:p w14:paraId="5DAD6B8B" w14:textId="77777777" w:rsidR="00C14670" w:rsidRPr="00D33D68" w:rsidRDefault="003F71B6" w:rsidP="0098196D">
            <w:pPr>
              <w:spacing w:after="0"/>
              <w:ind w:left="-100" w:right="-72"/>
            </w:pPr>
            <w:r w:rsidRPr="00D33D68">
              <w:t>Индикаторът се образува от м</w:t>
            </w:r>
            <w:r w:rsidR="008632D4" w:rsidRPr="00D33D68">
              <w:t>я</w:t>
            </w:r>
            <w:r w:rsidRPr="00D33D68">
              <w:t>рк</w:t>
            </w:r>
            <w:r w:rsidR="008632D4" w:rsidRPr="00D33D68">
              <w:t>а 1.7</w:t>
            </w:r>
            <w:r w:rsidRPr="00D33D68">
              <w:t xml:space="preserve">. Начална стойност </w:t>
            </w:r>
            <w:r w:rsidR="008632D4" w:rsidRPr="00D33D68">
              <w:t>36.</w:t>
            </w:r>
            <w:r w:rsidRPr="00D33D68">
              <w:t xml:space="preserve"> Намаляването на бюджета на </w:t>
            </w:r>
            <w:r w:rsidR="00583FF5" w:rsidRPr="00D33D68">
              <w:t>мярка 1.7</w:t>
            </w:r>
            <w:r w:rsidRPr="00D33D68">
              <w:t xml:space="preserve"> с </w:t>
            </w:r>
            <w:r w:rsidR="008632D4" w:rsidRPr="00D33D68">
              <w:t>50.88</w:t>
            </w:r>
            <w:r w:rsidRPr="00D33D68">
              <w:t xml:space="preserve">% при 1вата стъпка променя индикатора на </w:t>
            </w:r>
            <w:r w:rsidR="008632D4" w:rsidRPr="00D33D68">
              <w:t>18 след закръгляне</w:t>
            </w:r>
            <w:r w:rsidRPr="00D33D68">
              <w:t xml:space="preserve">. </w:t>
            </w:r>
          </w:p>
          <w:p w14:paraId="2AA87689" w14:textId="77777777" w:rsidR="00C14670" w:rsidRPr="00D33D68" w:rsidRDefault="00C14670" w:rsidP="0098196D">
            <w:pPr>
              <w:spacing w:after="0"/>
              <w:ind w:left="-100" w:right="-72"/>
            </w:pPr>
            <w:r w:rsidRPr="00D33D68">
              <w:t xml:space="preserve">С изменението поради COVID-19 </w:t>
            </w:r>
            <w:r w:rsidR="0098196D" w:rsidRPr="00D33D68">
              <w:t xml:space="preserve"> стойностите на индикатора не се променят.</w:t>
            </w:r>
          </w:p>
          <w:p w14:paraId="17FA5221" w14:textId="6DC6702F" w:rsidR="003F71B6" w:rsidRPr="00D33D68" w:rsidRDefault="003F71B6" w:rsidP="0098196D">
            <w:pPr>
              <w:spacing w:after="0"/>
              <w:ind w:left="-100" w:right="-72"/>
              <w:rPr>
                <w:lang w:eastAsia="en-GB"/>
              </w:rPr>
            </w:pPr>
            <w:r w:rsidRPr="00D33D68">
              <w:t xml:space="preserve">Сега бюджета на </w:t>
            </w:r>
            <w:r w:rsidR="00583FF5" w:rsidRPr="00D33D68">
              <w:t>мярка 1.7</w:t>
            </w:r>
            <w:r w:rsidRPr="00D33D68">
              <w:t xml:space="preserve"> се намалява с </w:t>
            </w:r>
            <w:r w:rsidR="0098196D" w:rsidRPr="00D33D68">
              <w:t>81</w:t>
            </w:r>
            <w:r w:rsidR="00C14670" w:rsidRPr="00D33D68">
              <w:t>.41</w:t>
            </w:r>
            <w:r w:rsidRPr="00D33D68">
              <w:t>% и се получава 2023 Target value</w:t>
            </w:r>
            <w:r w:rsidR="00C14670" w:rsidRPr="00D33D68">
              <w:t xml:space="preserve"> след закръгляне</w:t>
            </w:r>
            <w:r w:rsidRPr="00D33D68">
              <w:t>.</w:t>
            </w:r>
          </w:p>
        </w:tc>
      </w:tr>
      <w:tr w:rsidR="00D33D68" w:rsidRPr="00D33D68" w14:paraId="4085763E" w14:textId="77777777" w:rsidTr="00550DD8">
        <w:tc>
          <w:tcPr>
            <w:tcW w:w="1177" w:type="pct"/>
            <w:shd w:val="clear" w:color="auto" w:fill="auto"/>
          </w:tcPr>
          <w:p w14:paraId="5E5C4270" w14:textId="77777777" w:rsidR="003A2F6A" w:rsidRPr="00D33D68" w:rsidRDefault="003A2F6A" w:rsidP="006943E2">
            <w:pPr>
              <w:spacing w:after="0"/>
            </w:pPr>
            <w:r w:rsidRPr="00D33D68">
              <w:t>09 - Article 43.1 + 3 Fishing ports, landing sites, auction halls and shelters - investments improving fishing port and auctions halls infrastructure or landing sites and shelters; construction of shelters to improve safety of fishermen (+ art. 44.1.f Inland fishing)</w:t>
            </w:r>
          </w:p>
        </w:tc>
        <w:tc>
          <w:tcPr>
            <w:tcW w:w="809" w:type="pct"/>
          </w:tcPr>
          <w:p w14:paraId="146D9F87" w14:textId="77777777" w:rsidR="003A2F6A" w:rsidRPr="00D33D68" w:rsidRDefault="003A2F6A" w:rsidP="006943E2">
            <w:pPr>
              <w:spacing w:after="0"/>
            </w:pPr>
            <w:r w:rsidRPr="00D33D68">
              <w:t>1.3 - N° of projects on added value, quality, use of unwanted catches and fishing ports, landing sites, actions halls and shelters</w:t>
            </w:r>
          </w:p>
        </w:tc>
        <w:tc>
          <w:tcPr>
            <w:tcW w:w="436" w:type="pct"/>
            <w:shd w:val="clear" w:color="auto" w:fill="auto"/>
          </w:tcPr>
          <w:p w14:paraId="4C8DB38B" w14:textId="77777777" w:rsidR="003A2F6A" w:rsidRPr="00D33D68" w:rsidRDefault="009F29C4" w:rsidP="006943E2">
            <w:pPr>
              <w:spacing w:after="0"/>
              <w:jc w:val="right"/>
            </w:pPr>
            <w:r w:rsidRPr="00D33D68">
              <w:t>9</w:t>
            </w:r>
          </w:p>
        </w:tc>
        <w:tc>
          <w:tcPr>
            <w:tcW w:w="436" w:type="pct"/>
            <w:shd w:val="clear" w:color="auto" w:fill="auto"/>
          </w:tcPr>
          <w:p w14:paraId="732DA97E" w14:textId="77777777" w:rsidR="003A2F6A" w:rsidRPr="00D33D68" w:rsidRDefault="003A2F6A" w:rsidP="00F1086E">
            <w:pPr>
              <w:spacing w:after="0"/>
              <w:ind w:left="-104" w:right="-105"/>
              <w:jc w:val="center"/>
            </w:pPr>
            <w:r w:rsidRPr="00D33D68">
              <w:t>Number</w:t>
            </w:r>
          </w:p>
        </w:tc>
        <w:tc>
          <w:tcPr>
            <w:tcW w:w="628" w:type="pct"/>
          </w:tcPr>
          <w:p w14:paraId="39CC4A59" w14:textId="77777777" w:rsidR="003A2F6A" w:rsidRPr="00D33D68" w:rsidRDefault="003A2F6A" w:rsidP="006943E2">
            <w:pPr>
              <w:spacing w:after="0"/>
              <w:jc w:val="center"/>
            </w:pPr>
            <w:r w:rsidRPr="00D33D68">
              <w:rPr>
                <w:lang w:eastAsia="en-GB"/>
              </w:rPr>
              <w:sym w:font="Wingdings" w:char="F0FC"/>
            </w:r>
          </w:p>
        </w:tc>
        <w:tc>
          <w:tcPr>
            <w:tcW w:w="1513" w:type="pct"/>
          </w:tcPr>
          <w:p w14:paraId="016B3A28" w14:textId="77777777" w:rsidR="00684851" w:rsidRPr="00D33D68" w:rsidRDefault="00D21B40" w:rsidP="0098196D">
            <w:pPr>
              <w:spacing w:after="0"/>
            </w:pPr>
            <w:r w:rsidRPr="00D33D68">
              <w:t xml:space="preserve">Индикаторът се образува от </w:t>
            </w:r>
            <w:r w:rsidR="00684851" w:rsidRPr="00D33D68">
              <w:t xml:space="preserve">съответната част на </w:t>
            </w:r>
            <w:r w:rsidRPr="00D33D68">
              <w:t>м</w:t>
            </w:r>
            <w:r w:rsidR="006D5167" w:rsidRPr="00D33D68">
              <w:t>ярка</w:t>
            </w:r>
            <w:r w:rsidRPr="00D33D68">
              <w:t xml:space="preserve"> </w:t>
            </w:r>
            <w:r w:rsidR="007464DC" w:rsidRPr="00D33D68">
              <w:t>1.8</w:t>
            </w:r>
            <w:r w:rsidRPr="00D33D68">
              <w:t xml:space="preserve">. Начална стойност </w:t>
            </w:r>
            <w:r w:rsidR="007464DC" w:rsidRPr="00D33D68">
              <w:t>8</w:t>
            </w:r>
            <w:r w:rsidRPr="00D33D68">
              <w:t xml:space="preserve">. Намаляването на бюджета на </w:t>
            </w:r>
            <w:r w:rsidR="006D5167" w:rsidRPr="00D33D68">
              <w:t>мярка 1.8</w:t>
            </w:r>
            <w:r w:rsidRPr="00D33D68">
              <w:t xml:space="preserve"> с </w:t>
            </w:r>
            <w:r w:rsidR="007464DC" w:rsidRPr="00D33D68">
              <w:t>7</w:t>
            </w:r>
            <w:r w:rsidRPr="00D33D68">
              <w:t xml:space="preserve">% при 1вата стъпка променя индикатора на </w:t>
            </w:r>
            <w:r w:rsidR="007464DC" w:rsidRPr="00D33D68">
              <w:t>7 след закръгляне</w:t>
            </w:r>
            <w:r w:rsidRPr="00D33D68">
              <w:t>.</w:t>
            </w:r>
            <w:r w:rsidR="0098196D" w:rsidRPr="00D33D68">
              <w:t xml:space="preserve"> </w:t>
            </w:r>
          </w:p>
          <w:p w14:paraId="35FDFA41" w14:textId="77777777" w:rsidR="00684851" w:rsidRPr="00D33D68" w:rsidRDefault="00684851" w:rsidP="0098196D">
            <w:pPr>
              <w:spacing w:after="0"/>
            </w:pPr>
            <w:r w:rsidRPr="00D33D68">
              <w:t xml:space="preserve">С изменението поради COVID-19 </w:t>
            </w:r>
            <w:r w:rsidR="0098196D" w:rsidRPr="00D33D68">
              <w:t xml:space="preserve"> стойностите на индикатора не се променят.</w:t>
            </w:r>
            <w:r w:rsidR="00D21B40" w:rsidRPr="00D33D68">
              <w:t xml:space="preserve"> </w:t>
            </w:r>
          </w:p>
          <w:p w14:paraId="6D4D10AC" w14:textId="5EBA8B5F" w:rsidR="00D21B40" w:rsidRPr="00D33D68" w:rsidRDefault="00D21B40" w:rsidP="00684851">
            <w:pPr>
              <w:spacing w:after="0"/>
              <w:rPr>
                <w:lang w:eastAsia="en-GB"/>
              </w:rPr>
            </w:pPr>
            <w:r w:rsidRPr="00D33D68">
              <w:t xml:space="preserve">Сега бюджета на </w:t>
            </w:r>
            <w:r w:rsidR="006D5167" w:rsidRPr="00D33D68">
              <w:t>мярка 1.8</w:t>
            </w:r>
            <w:r w:rsidRPr="00D33D68">
              <w:t xml:space="preserve"> се увеличава с </w:t>
            </w:r>
            <w:r w:rsidR="00684851" w:rsidRPr="00D33D68">
              <w:t>16.79</w:t>
            </w:r>
            <w:r w:rsidRPr="00D33D68">
              <w:t>% и се получава 2023 Target value</w:t>
            </w:r>
            <w:r w:rsidR="00684851" w:rsidRPr="00D33D68">
              <w:t xml:space="preserve"> след закръгляне</w:t>
            </w:r>
            <w:r w:rsidRPr="00D33D68">
              <w:t>.</w:t>
            </w:r>
          </w:p>
        </w:tc>
      </w:tr>
      <w:tr w:rsidR="00550DD8" w:rsidRPr="00D33D68" w14:paraId="6BDD33B5" w14:textId="77777777" w:rsidTr="00550DD8">
        <w:tc>
          <w:tcPr>
            <w:tcW w:w="1177" w:type="pct"/>
            <w:shd w:val="clear" w:color="auto" w:fill="auto"/>
          </w:tcPr>
          <w:p w14:paraId="276D302C" w14:textId="3C7F3118" w:rsidR="00550DD8" w:rsidRPr="00D33D68" w:rsidRDefault="00550DD8" w:rsidP="00550DD8">
            <w:pPr>
              <w:spacing w:after="0"/>
            </w:pPr>
            <w:r w:rsidRPr="00D33D68">
              <w:rPr>
                <w:lang w:val="en-GB"/>
              </w:rPr>
              <w:t>05 - Article 33 Temporary cessation of fishing activities</w:t>
            </w:r>
          </w:p>
        </w:tc>
        <w:tc>
          <w:tcPr>
            <w:tcW w:w="809" w:type="pct"/>
          </w:tcPr>
          <w:p w14:paraId="22DDDCBB" w14:textId="768B2A80" w:rsidR="00550DD8" w:rsidRPr="00D33D68" w:rsidRDefault="00550DD8" w:rsidP="00550DD8">
            <w:pPr>
              <w:spacing w:after="0"/>
            </w:pPr>
            <w:r w:rsidRPr="00D33D68">
              <w:rPr>
                <w:lang w:val="en-GB"/>
              </w:rPr>
              <w:t>1.10 - N° of projects on temporary cessation</w:t>
            </w:r>
          </w:p>
        </w:tc>
        <w:tc>
          <w:tcPr>
            <w:tcW w:w="436" w:type="pct"/>
            <w:shd w:val="clear" w:color="auto" w:fill="auto"/>
          </w:tcPr>
          <w:p w14:paraId="3469B61F" w14:textId="515E1222" w:rsidR="00550DD8" w:rsidRPr="00D33D68" w:rsidRDefault="009950D1" w:rsidP="00550DD8">
            <w:pPr>
              <w:spacing w:after="0"/>
              <w:jc w:val="right"/>
            </w:pPr>
            <w:r w:rsidRPr="00D33D68">
              <w:t>10</w:t>
            </w:r>
            <w:r w:rsidR="00550DD8" w:rsidRPr="00D33D68">
              <w:rPr>
                <w:lang w:val="en-GB"/>
              </w:rPr>
              <w:t>0.00</w:t>
            </w:r>
          </w:p>
        </w:tc>
        <w:tc>
          <w:tcPr>
            <w:tcW w:w="436" w:type="pct"/>
            <w:shd w:val="clear" w:color="auto" w:fill="auto"/>
          </w:tcPr>
          <w:p w14:paraId="567C81FA" w14:textId="627CCBF3" w:rsidR="00550DD8" w:rsidRPr="00D33D68" w:rsidRDefault="00550DD8" w:rsidP="00550DD8">
            <w:pPr>
              <w:spacing w:after="0"/>
              <w:ind w:left="-104" w:right="-105"/>
              <w:jc w:val="center"/>
            </w:pPr>
            <w:r w:rsidRPr="00D33D68">
              <w:rPr>
                <w:lang w:val="en-GB"/>
              </w:rPr>
              <w:t>Number</w:t>
            </w:r>
          </w:p>
        </w:tc>
        <w:tc>
          <w:tcPr>
            <w:tcW w:w="628" w:type="pct"/>
          </w:tcPr>
          <w:p w14:paraId="01932EF0" w14:textId="77777777" w:rsidR="00550DD8" w:rsidRPr="00D33D68" w:rsidRDefault="00550DD8" w:rsidP="00550DD8">
            <w:pPr>
              <w:spacing w:after="0"/>
              <w:jc w:val="center"/>
              <w:rPr>
                <w:lang w:eastAsia="en-GB"/>
              </w:rPr>
            </w:pPr>
          </w:p>
        </w:tc>
        <w:tc>
          <w:tcPr>
            <w:tcW w:w="1513" w:type="pct"/>
          </w:tcPr>
          <w:p w14:paraId="067C5BDF" w14:textId="494992A6" w:rsidR="00550DD8" w:rsidRPr="00D33D68" w:rsidRDefault="009950D1" w:rsidP="00550DD8">
            <w:pPr>
              <w:spacing w:after="0"/>
            </w:pPr>
            <w:r w:rsidRPr="00D33D68">
              <w:t xml:space="preserve">Индикаторът е създаден при създаването на COVID-19 мерките с начална стойност 50. Сега бюджетът на </w:t>
            </w:r>
            <w:r w:rsidRPr="00D33D68">
              <w:lastRenderedPageBreak/>
              <w:t>индикатора се увеличава с 100% и се получава 2023 Target value.</w:t>
            </w:r>
          </w:p>
        </w:tc>
      </w:tr>
    </w:tbl>
    <w:p w14:paraId="5B1607C2" w14:textId="77777777" w:rsidR="003A2F6A" w:rsidRPr="00D33D68" w:rsidRDefault="003A2F6A" w:rsidP="008B2921">
      <w:pPr>
        <w:spacing w:after="0" w:line="240" w:lineRule="auto"/>
        <w:jc w:val="left"/>
        <w:rPr>
          <w:rFonts w:eastAsia="Times New Roman"/>
          <w:noProof w:val="0"/>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7880"/>
      </w:tblGrid>
      <w:tr w:rsidR="00771E9D" w:rsidRPr="00D33D68" w14:paraId="0B917E18" w14:textId="77777777" w:rsidTr="006943E2">
        <w:tc>
          <w:tcPr>
            <w:tcW w:w="0" w:type="auto"/>
            <w:shd w:val="clear" w:color="auto" w:fill="auto"/>
          </w:tcPr>
          <w:p w14:paraId="77347224" w14:textId="77777777" w:rsidR="00771E9D" w:rsidRPr="00D33D68" w:rsidRDefault="00771E9D" w:rsidP="006943E2">
            <w:pPr>
              <w:pStyle w:val="Text1"/>
              <w:spacing w:before="0" w:after="0"/>
              <w:ind w:left="0"/>
              <w:rPr>
                <w:b/>
                <w:lang w:val="bg-BG"/>
              </w:rPr>
            </w:pPr>
            <w:r w:rsidRPr="00D33D68">
              <w:rPr>
                <w:b/>
                <w:noProof/>
                <w:lang w:val="bg-BG"/>
              </w:rPr>
              <w:t>Union priority</w:t>
            </w:r>
          </w:p>
        </w:tc>
        <w:tc>
          <w:tcPr>
            <w:tcW w:w="0" w:type="auto"/>
            <w:shd w:val="clear" w:color="auto" w:fill="auto"/>
          </w:tcPr>
          <w:p w14:paraId="320BD906" w14:textId="77777777" w:rsidR="00771E9D" w:rsidRPr="00D33D68" w:rsidRDefault="00771E9D" w:rsidP="006943E2">
            <w:pPr>
              <w:pStyle w:val="Text1"/>
              <w:spacing w:before="0" w:after="0"/>
              <w:ind w:left="0"/>
              <w:rPr>
                <w:b/>
                <w:lang w:val="bg-BG"/>
              </w:rPr>
            </w:pPr>
            <w:r w:rsidRPr="00D33D68">
              <w:rPr>
                <w:b/>
                <w:noProof/>
                <w:lang w:val="bg-BG"/>
              </w:rPr>
              <w:t>2</w:t>
            </w:r>
            <w:r w:rsidRPr="00D33D68">
              <w:rPr>
                <w:b/>
                <w:lang w:val="bg-BG"/>
              </w:rPr>
              <w:t xml:space="preserve"> - </w:t>
            </w:r>
            <w:r w:rsidRPr="00D33D68">
              <w:rPr>
                <w:b/>
                <w:noProof/>
                <w:lang w:val="bg-BG"/>
              </w:rPr>
              <w:t>Fostering environmentally sustainable, resource efficient, innovative, competitive and knowledge based aquaculture</w:t>
            </w:r>
          </w:p>
        </w:tc>
      </w:tr>
    </w:tbl>
    <w:p w14:paraId="679F1A0F" w14:textId="77777777" w:rsidR="00771E9D" w:rsidRPr="00D33D68" w:rsidRDefault="00771E9D" w:rsidP="00771E9D">
      <w:pPr>
        <w:spacing w:after="0"/>
      </w:pPr>
    </w:p>
    <w:tbl>
      <w:tblPr>
        <w:tblW w:w="503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186"/>
        <w:gridCol w:w="1504"/>
        <w:gridCol w:w="810"/>
        <w:gridCol w:w="810"/>
        <w:gridCol w:w="1101"/>
        <w:gridCol w:w="2933"/>
      </w:tblGrid>
      <w:tr w:rsidR="00D33D68" w:rsidRPr="00D33D68" w14:paraId="54028BDE" w14:textId="77777777" w:rsidTr="00511333">
        <w:tc>
          <w:tcPr>
            <w:tcW w:w="2186" w:type="dxa"/>
            <w:shd w:val="clear" w:color="auto" w:fill="auto"/>
          </w:tcPr>
          <w:p w14:paraId="5DB7AC41" w14:textId="77777777" w:rsidR="0009390A" w:rsidRPr="00D33D68" w:rsidRDefault="0009390A" w:rsidP="006943E2">
            <w:pPr>
              <w:pStyle w:val="Text1"/>
              <w:spacing w:before="0" w:after="0"/>
              <w:ind w:left="0"/>
              <w:rPr>
                <w:b/>
                <w:lang w:val="bg-BG"/>
              </w:rPr>
            </w:pPr>
            <w:r w:rsidRPr="00D33D68">
              <w:rPr>
                <w:b/>
                <w:noProof/>
                <w:lang w:val="bg-BG"/>
              </w:rPr>
              <w:t>Specific objective</w:t>
            </w:r>
          </w:p>
        </w:tc>
        <w:tc>
          <w:tcPr>
            <w:tcW w:w="7158" w:type="dxa"/>
            <w:gridSpan w:val="5"/>
            <w:shd w:val="clear" w:color="auto" w:fill="auto"/>
          </w:tcPr>
          <w:p w14:paraId="6A582EA6" w14:textId="77777777" w:rsidR="0009390A" w:rsidRPr="00D33D68" w:rsidRDefault="0009390A" w:rsidP="006943E2">
            <w:pPr>
              <w:pStyle w:val="Text1"/>
              <w:spacing w:before="0" w:after="0"/>
              <w:ind w:left="0"/>
              <w:rPr>
                <w:b/>
                <w:noProof/>
                <w:lang w:val="bg-BG"/>
              </w:rPr>
            </w:pPr>
            <w:r w:rsidRPr="00D33D68">
              <w:rPr>
                <w:b/>
                <w:noProof/>
                <w:lang w:val="bg-BG"/>
              </w:rPr>
              <w:t>1</w:t>
            </w:r>
            <w:r w:rsidRPr="00D33D68">
              <w:rPr>
                <w:b/>
                <w:lang w:val="bg-BG"/>
              </w:rPr>
              <w:t xml:space="preserve"> - </w:t>
            </w:r>
            <w:r w:rsidRPr="00D33D68">
              <w:rPr>
                <w:b/>
                <w:noProof/>
                <w:lang w:val="bg-BG"/>
              </w:rPr>
              <w:t>Provision of support to strengthen technological development, innovation and knowledge transfer</w:t>
            </w:r>
          </w:p>
        </w:tc>
      </w:tr>
      <w:tr w:rsidR="00D33D68" w:rsidRPr="00D33D68" w14:paraId="76745C58" w14:textId="77777777" w:rsidTr="00511333">
        <w:tc>
          <w:tcPr>
            <w:tcW w:w="2186" w:type="dxa"/>
            <w:shd w:val="clear" w:color="auto" w:fill="auto"/>
          </w:tcPr>
          <w:p w14:paraId="00BC9D44" w14:textId="77777777" w:rsidR="006C6C34" w:rsidRPr="00D33D68" w:rsidRDefault="006C6C34" w:rsidP="006C6C34">
            <w:pPr>
              <w:spacing w:after="0"/>
              <w:jc w:val="center"/>
              <w:rPr>
                <w:b/>
              </w:rPr>
            </w:pPr>
            <w:r w:rsidRPr="00D33D68">
              <w:rPr>
                <w:b/>
              </w:rPr>
              <w:t>EMFF measure</w:t>
            </w:r>
          </w:p>
        </w:tc>
        <w:tc>
          <w:tcPr>
            <w:tcW w:w="1504" w:type="dxa"/>
          </w:tcPr>
          <w:p w14:paraId="5EE9F678" w14:textId="77777777" w:rsidR="006C6C34" w:rsidRPr="00D33D68" w:rsidRDefault="006C6C34" w:rsidP="006C6C34">
            <w:pPr>
              <w:spacing w:after="0"/>
              <w:jc w:val="center"/>
              <w:rPr>
                <w:b/>
              </w:rPr>
            </w:pPr>
            <w:r w:rsidRPr="00D33D68">
              <w:rPr>
                <w:b/>
              </w:rPr>
              <w:t>Output indicator</w:t>
            </w:r>
          </w:p>
        </w:tc>
        <w:tc>
          <w:tcPr>
            <w:tcW w:w="810" w:type="dxa"/>
            <w:shd w:val="clear" w:color="auto" w:fill="auto"/>
          </w:tcPr>
          <w:p w14:paraId="50A13F59" w14:textId="77777777" w:rsidR="006C6C34" w:rsidRPr="00D33D68" w:rsidRDefault="006C6C34" w:rsidP="008B5BDF">
            <w:pPr>
              <w:spacing w:after="0"/>
              <w:ind w:left="-108"/>
              <w:jc w:val="center"/>
              <w:rPr>
                <w:b/>
              </w:rPr>
            </w:pPr>
            <w:r w:rsidRPr="00D33D68">
              <w:rPr>
                <w:b/>
              </w:rPr>
              <w:t>Target value for 2023</w:t>
            </w:r>
          </w:p>
          <w:p w14:paraId="550811E5" w14:textId="77777777" w:rsidR="003A2F6A" w:rsidRPr="00D33D68" w:rsidRDefault="003A2F6A" w:rsidP="008B5BDF">
            <w:pPr>
              <w:spacing w:after="0"/>
              <w:ind w:left="-108"/>
              <w:jc w:val="center"/>
              <w:rPr>
                <w:b/>
              </w:rPr>
            </w:pPr>
            <w:r w:rsidRPr="00D33D68">
              <w:rPr>
                <w:b/>
              </w:rPr>
              <w:t>(new)</w:t>
            </w:r>
          </w:p>
        </w:tc>
        <w:tc>
          <w:tcPr>
            <w:tcW w:w="810" w:type="dxa"/>
            <w:shd w:val="clear" w:color="auto" w:fill="auto"/>
          </w:tcPr>
          <w:p w14:paraId="31A372DB" w14:textId="77777777" w:rsidR="006C6C34" w:rsidRPr="00D33D68" w:rsidRDefault="006C6C34" w:rsidP="001637F9">
            <w:pPr>
              <w:spacing w:after="0"/>
              <w:ind w:left="-104" w:right="-110"/>
              <w:jc w:val="center"/>
              <w:rPr>
                <w:b/>
              </w:rPr>
            </w:pPr>
            <w:r w:rsidRPr="00D33D68">
              <w:rPr>
                <w:b/>
              </w:rPr>
              <w:t>Measurement unit</w:t>
            </w:r>
          </w:p>
        </w:tc>
        <w:tc>
          <w:tcPr>
            <w:tcW w:w="1101" w:type="dxa"/>
          </w:tcPr>
          <w:p w14:paraId="667A0E47" w14:textId="77777777" w:rsidR="006C6C34" w:rsidRPr="00D33D68" w:rsidRDefault="006C6C34" w:rsidP="00767B54">
            <w:pPr>
              <w:spacing w:after="0"/>
              <w:ind w:left="-110" w:right="-90"/>
              <w:jc w:val="center"/>
              <w:rPr>
                <w:b/>
              </w:rPr>
            </w:pPr>
            <w:r w:rsidRPr="00D33D68">
              <w:rPr>
                <w:b/>
              </w:rPr>
              <w:t>Include in the Performance Framework</w:t>
            </w:r>
          </w:p>
        </w:tc>
        <w:tc>
          <w:tcPr>
            <w:tcW w:w="2933" w:type="dxa"/>
          </w:tcPr>
          <w:p w14:paraId="7382A802" w14:textId="1E1F55B5" w:rsidR="006C6C34" w:rsidRPr="00D33D68" w:rsidRDefault="00BA4AD7" w:rsidP="006C6C34">
            <w:pPr>
              <w:spacing w:after="0"/>
              <w:ind w:left="-108" w:right="-108"/>
              <w:jc w:val="center"/>
              <w:rPr>
                <w:b/>
              </w:rPr>
            </w:pPr>
            <w:r w:rsidRPr="00D33D68">
              <w:rPr>
                <w:b/>
              </w:rPr>
              <w:t>Explanation</w:t>
            </w:r>
          </w:p>
        </w:tc>
      </w:tr>
      <w:tr w:rsidR="00BA50BF" w:rsidRPr="00D33D68" w14:paraId="52503988" w14:textId="77777777" w:rsidTr="00511333">
        <w:tc>
          <w:tcPr>
            <w:tcW w:w="2186" w:type="dxa"/>
            <w:shd w:val="clear" w:color="auto" w:fill="auto"/>
          </w:tcPr>
          <w:p w14:paraId="6907937A" w14:textId="77777777" w:rsidR="006C6C34" w:rsidRPr="00D33D68" w:rsidRDefault="006C6C34" w:rsidP="006943E2">
            <w:pPr>
              <w:spacing w:after="0"/>
            </w:pPr>
            <w:r w:rsidRPr="00D33D68">
              <w:t>01 - Article 47 Innovation</w:t>
            </w:r>
          </w:p>
        </w:tc>
        <w:tc>
          <w:tcPr>
            <w:tcW w:w="1504" w:type="dxa"/>
          </w:tcPr>
          <w:p w14:paraId="62B1A4BB" w14:textId="77777777" w:rsidR="006C6C34" w:rsidRPr="00D33D68" w:rsidRDefault="006C6C34" w:rsidP="006943E2">
            <w:pPr>
              <w:spacing w:after="0"/>
            </w:pPr>
            <w:r w:rsidRPr="00D33D68">
              <w:t>2.1 - N° of projects on innovation, advisory services</w:t>
            </w:r>
          </w:p>
        </w:tc>
        <w:tc>
          <w:tcPr>
            <w:tcW w:w="810" w:type="dxa"/>
            <w:shd w:val="clear" w:color="auto" w:fill="auto"/>
          </w:tcPr>
          <w:p w14:paraId="54098BF9" w14:textId="09F957CB" w:rsidR="006C6C34" w:rsidRPr="00D33D68" w:rsidRDefault="006C6C34" w:rsidP="006943E2">
            <w:pPr>
              <w:spacing w:after="0"/>
              <w:jc w:val="right"/>
            </w:pPr>
          </w:p>
        </w:tc>
        <w:tc>
          <w:tcPr>
            <w:tcW w:w="810" w:type="dxa"/>
            <w:shd w:val="clear" w:color="auto" w:fill="auto"/>
          </w:tcPr>
          <w:p w14:paraId="0D4BBAD5" w14:textId="77777777" w:rsidR="006C6C34" w:rsidRPr="00D33D68" w:rsidRDefault="006C6C34" w:rsidP="001637F9">
            <w:pPr>
              <w:spacing w:after="0"/>
              <w:ind w:left="-104" w:right="-110"/>
            </w:pPr>
            <w:r w:rsidRPr="00D33D68">
              <w:t>Number</w:t>
            </w:r>
          </w:p>
        </w:tc>
        <w:tc>
          <w:tcPr>
            <w:tcW w:w="1101" w:type="dxa"/>
          </w:tcPr>
          <w:p w14:paraId="2D4B3C05" w14:textId="77777777" w:rsidR="006C6C34" w:rsidRPr="00D33D68" w:rsidRDefault="006C6C34" w:rsidP="006943E2">
            <w:pPr>
              <w:spacing w:after="0"/>
              <w:jc w:val="center"/>
            </w:pPr>
          </w:p>
        </w:tc>
        <w:tc>
          <w:tcPr>
            <w:tcW w:w="2933" w:type="dxa"/>
          </w:tcPr>
          <w:p w14:paraId="3A4A5FF6" w14:textId="7D2C6FC9" w:rsidR="002F3FF5" w:rsidRPr="00D33D68" w:rsidRDefault="002F3FF5" w:rsidP="00684851">
            <w:pPr>
              <w:spacing w:after="0"/>
            </w:pPr>
            <w:r w:rsidRPr="00D33D68">
              <w:t xml:space="preserve">Индикаторът </w:t>
            </w:r>
            <w:r w:rsidR="004322BD" w:rsidRPr="00D33D68">
              <w:t xml:space="preserve">е изтрит при създаването на </w:t>
            </w:r>
            <w:r w:rsidR="00520B05" w:rsidRPr="00D33D68">
              <w:t>C</w:t>
            </w:r>
            <w:r w:rsidR="00684851" w:rsidRPr="00D33D68">
              <w:rPr>
                <w:lang w:val="en-US"/>
              </w:rPr>
              <w:t>OVID</w:t>
            </w:r>
            <w:r w:rsidR="00520B05" w:rsidRPr="00D33D68">
              <w:t>-19 мерките.</w:t>
            </w:r>
          </w:p>
        </w:tc>
      </w:tr>
    </w:tbl>
    <w:p w14:paraId="6ABBF616" w14:textId="77777777" w:rsidR="00771E9D" w:rsidRPr="00D33D68" w:rsidRDefault="00771E9D" w:rsidP="00771E9D">
      <w:pPr>
        <w:spacing w:after="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186"/>
        <w:gridCol w:w="1504"/>
        <w:gridCol w:w="810"/>
        <w:gridCol w:w="810"/>
        <w:gridCol w:w="1101"/>
        <w:gridCol w:w="2877"/>
      </w:tblGrid>
      <w:tr w:rsidR="00D33D68" w:rsidRPr="00D33D68" w14:paraId="75CE6A0F" w14:textId="77777777" w:rsidTr="00511333">
        <w:tc>
          <w:tcPr>
            <w:tcW w:w="2186" w:type="dxa"/>
            <w:shd w:val="clear" w:color="auto" w:fill="auto"/>
          </w:tcPr>
          <w:p w14:paraId="7737F4CF" w14:textId="77777777" w:rsidR="006C6C34" w:rsidRPr="00D33D68" w:rsidRDefault="006C6C34" w:rsidP="006943E2">
            <w:pPr>
              <w:pStyle w:val="Text1"/>
              <w:spacing w:before="0" w:after="0"/>
              <w:ind w:left="0"/>
              <w:rPr>
                <w:b/>
                <w:lang w:val="bg-BG"/>
              </w:rPr>
            </w:pPr>
            <w:r w:rsidRPr="00D33D68">
              <w:rPr>
                <w:b/>
                <w:noProof/>
                <w:lang w:val="bg-BG"/>
              </w:rPr>
              <w:t>Specific objective</w:t>
            </w:r>
          </w:p>
        </w:tc>
        <w:tc>
          <w:tcPr>
            <w:tcW w:w="7102" w:type="dxa"/>
            <w:gridSpan w:val="5"/>
            <w:shd w:val="clear" w:color="auto" w:fill="auto"/>
          </w:tcPr>
          <w:p w14:paraId="38B794A6" w14:textId="77777777" w:rsidR="006C6C34" w:rsidRPr="00D33D68" w:rsidRDefault="006C6C34" w:rsidP="006943E2">
            <w:pPr>
              <w:pStyle w:val="Text1"/>
              <w:spacing w:before="0" w:after="0"/>
              <w:ind w:left="0"/>
              <w:rPr>
                <w:b/>
                <w:noProof/>
                <w:lang w:val="bg-BG"/>
              </w:rPr>
            </w:pPr>
            <w:r w:rsidRPr="00D33D68">
              <w:rPr>
                <w:b/>
                <w:noProof/>
                <w:lang w:val="bg-BG"/>
              </w:rPr>
              <w:t>2</w:t>
            </w:r>
            <w:r w:rsidRPr="00D33D68">
              <w:rPr>
                <w:b/>
                <w:lang w:val="bg-BG"/>
              </w:rPr>
              <w:t xml:space="preserve"> - </w:t>
            </w:r>
            <w:r w:rsidRPr="00D33D68">
              <w:rPr>
                <w:b/>
                <w:noProof/>
                <w:lang w:val="bg-BG"/>
              </w:rPr>
              <w:t>Enhancement of the competitiveness and viability of aquaculture enterprises, including improvement of safety or working conditions, in particular of SMEs</w:t>
            </w:r>
          </w:p>
        </w:tc>
      </w:tr>
      <w:tr w:rsidR="00D33D68" w:rsidRPr="00D33D68" w14:paraId="0A20200F" w14:textId="77777777" w:rsidTr="00511333">
        <w:tc>
          <w:tcPr>
            <w:tcW w:w="2186" w:type="dxa"/>
            <w:shd w:val="clear" w:color="auto" w:fill="auto"/>
          </w:tcPr>
          <w:p w14:paraId="0AC7C5C7" w14:textId="77777777" w:rsidR="006C6C34" w:rsidRPr="00D33D68" w:rsidRDefault="006C6C34" w:rsidP="006C6C34">
            <w:pPr>
              <w:spacing w:after="0"/>
              <w:jc w:val="center"/>
              <w:rPr>
                <w:b/>
              </w:rPr>
            </w:pPr>
            <w:r w:rsidRPr="00D33D68">
              <w:rPr>
                <w:b/>
              </w:rPr>
              <w:t>EMFF measure</w:t>
            </w:r>
          </w:p>
        </w:tc>
        <w:tc>
          <w:tcPr>
            <w:tcW w:w="1504" w:type="dxa"/>
          </w:tcPr>
          <w:p w14:paraId="2CFB0E61" w14:textId="77777777" w:rsidR="006C6C34" w:rsidRPr="00D33D68" w:rsidRDefault="006C6C34" w:rsidP="006C6C34">
            <w:pPr>
              <w:spacing w:after="0"/>
              <w:jc w:val="center"/>
              <w:rPr>
                <w:b/>
              </w:rPr>
            </w:pPr>
            <w:r w:rsidRPr="00D33D68">
              <w:rPr>
                <w:b/>
              </w:rPr>
              <w:t>Output indicator</w:t>
            </w:r>
          </w:p>
        </w:tc>
        <w:tc>
          <w:tcPr>
            <w:tcW w:w="810" w:type="dxa"/>
            <w:shd w:val="clear" w:color="auto" w:fill="auto"/>
          </w:tcPr>
          <w:p w14:paraId="366363B9" w14:textId="77777777" w:rsidR="006C6C34" w:rsidRPr="00D33D68" w:rsidRDefault="006C6C34" w:rsidP="00F207AC">
            <w:pPr>
              <w:spacing w:after="0"/>
              <w:ind w:left="-108"/>
              <w:jc w:val="center"/>
              <w:rPr>
                <w:b/>
              </w:rPr>
            </w:pPr>
            <w:r w:rsidRPr="00D33D68">
              <w:rPr>
                <w:b/>
              </w:rPr>
              <w:t>Target value for 2023</w:t>
            </w:r>
          </w:p>
          <w:p w14:paraId="1DF58ACC" w14:textId="77777777" w:rsidR="003A2F6A" w:rsidRPr="00D33D68" w:rsidRDefault="003A2F6A" w:rsidP="00F207AC">
            <w:pPr>
              <w:spacing w:after="0"/>
              <w:ind w:left="-108"/>
              <w:jc w:val="center"/>
              <w:rPr>
                <w:b/>
              </w:rPr>
            </w:pPr>
            <w:r w:rsidRPr="00D33D68">
              <w:rPr>
                <w:b/>
              </w:rPr>
              <w:t>(new)</w:t>
            </w:r>
          </w:p>
        </w:tc>
        <w:tc>
          <w:tcPr>
            <w:tcW w:w="810" w:type="dxa"/>
            <w:shd w:val="clear" w:color="auto" w:fill="auto"/>
          </w:tcPr>
          <w:p w14:paraId="6FDA7EBC" w14:textId="77777777" w:rsidR="006C6C34" w:rsidRPr="00D33D68" w:rsidRDefault="006C6C34" w:rsidP="0092205C">
            <w:pPr>
              <w:spacing w:after="0"/>
              <w:ind w:left="-104" w:right="-105"/>
              <w:jc w:val="center"/>
              <w:rPr>
                <w:b/>
              </w:rPr>
            </w:pPr>
            <w:r w:rsidRPr="00D33D68">
              <w:rPr>
                <w:b/>
              </w:rPr>
              <w:t>Measurement unit</w:t>
            </w:r>
          </w:p>
        </w:tc>
        <w:tc>
          <w:tcPr>
            <w:tcW w:w="1101" w:type="dxa"/>
          </w:tcPr>
          <w:p w14:paraId="2C3CEF34" w14:textId="77777777" w:rsidR="006C6C34" w:rsidRPr="00D33D68" w:rsidRDefault="006C6C34" w:rsidP="00C41D16">
            <w:pPr>
              <w:spacing w:after="0"/>
              <w:ind w:left="-160" w:right="-150"/>
              <w:jc w:val="center"/>
              <w:rPr>
                <w:b/>
              </w:rPr>
            </w:pPr>
            <w:r w:rsidRPr="00D33D68">
              <w:rPr>
                <w:b/>
              </w:rPr>
              <w:t>Include in the Performance Framework</w:t>
            </w:r>
          </w:p>
        </w:tc>
        <w:tc>
          <w:tcPr>
            <w:tcW w:w="2877" w:type="dxa"/>
          </w:tcPr>
          <w:p w14:paraId="38B16FF0" w14:textId="14DB3160" w:rsidR="006C6C34" w:rsidRPr="00D33D68" w:rsidRDefault="00BA4AD7" w:rsidP="006C6C34">
            <w:pPr>
              <w:spacing w:after="0"/>
              <w:ind w:left="-49" w:right="-108"/>
              <w:jc w:val="center"/>
              <w:rPr>
                <w:b/>
              </w:rPr>
            </w:pPr>
            <w:r w:rsidRPr="00D33D68">
              <w:rPr>
                <w:b/>
              </w:rPr>
              <w:t>Explanation</w:t>
            </w:r>
          </w:p>
        </w:tc>
      </w:tr>
      <w:tr w:rsidR="00D33D68" w:rsidRPr="00D33D68" w14:paraId="0E7F51D7" w14:textId="77777777" w:rsidTr="00511333">
        <w:tc>
          <w:tcPr>
            <w:tcW w:w="2186" w:type="dxa"/>
            <w:shd w:val="clear" w:color="auto" w:fill="auto"/>
          </w:tcPr>
          <w:p w14:paraId="0D7A9913" w14:textId="77777777" w:rsidR="006C6C34" w:rsidRPr="00D33D68" w:rsidRDefault="006C6C34" w:rsidP="006943E2">
            <w:pPr>
              <w:spacing w:after="0"/>
            </w:pPr>
            <w:r w:rsidRPr="00D33D68">
              <w:t>01 - Article 48.1.a-d, f-h Productive investments in aquaculture</w:t>
            </w:r>
          </w:p>
        </w:tc>
        <w:tc>
          <w:tcPr>
            <w:tcW w:w="1504" w:type="dxa"/>
          </w:tcPr>
          <w:p w14:paraId="334F152A" w14:textId="77777777" w:rsidR="006C6C34" w:rsidRPr="00D33D68" w:rsidRDefault="006C6C34" w:rsidP="006943E2">
            <w:pPr>
              <w:spacing w:after="0"/>
            </w:pPr>
            <w:r w:rsidRPr="00D33D68">
              <w:t>2.2 - N° of projects on productive investments in aquaculture</w:t>
            </w:r>
          </w:p>
        </w:tc>
        <w:tc>
          <w:tcPr>
            <w:tcW w:w="810" w:type="dxa"/>
            <w:shd w:val="clear" w:color="auto" w:fill="auto"/>
          </w:tcPr>
          <w:p w14:paraId="7BEBCCFD" w14:textId="5E67E205" w:rsidR="006C6C34" w:rsidRPr="00D33D68" w:rsidRDefault="009F5FF4" w:rsidP="0091077D">
            <w:pPr>
              <w:spacing w:after="0"/>
              <w:jc w:val="right"/>
            </w:pPr>
            <w:r w:rsidRPr="00D33D68">
              <w:t>33</w:t>
            </w:r>
          </w:p>
        </w:tc>
        <w:tc>
          <w:tcPr>
            <w:tcW w:w="810" w:type="dxa"/>
            <w:shd w:val="clear" w:color="auto" w:fill="auto"/>
          </w:tcPr>
          <w:p w14:paraId="2023F2DC" w14:textId="77777777" w:rsidR="006C6C34" w:rsidRPr="00D33D68" w:rsidRDefault="006C6C34" w:rsidP="0092205C">
            <w:pPr>
              <w:spacing w:after="0"/>
              <w:ind w:left="-104" w:right="-105"/>
            </w:pPr>
            <w:r w:rsidRPr="00D33D68">
              <w:t>Number</w:t>
            </w:r>
          </w:p>
        </w:tc>
        <w:tc>
          <w:tcPr>
            <w:tcW w:w="1101" w:type="dxa"/>
          </w:tcPr>
          <w:p w14:paraId="1E289999" w14:textId="77777777" w:rsidR="006C6C34" w:rsidRPr="00D33D68" w:rsidRDefault="006C6C34" w:rsidP="006943E2">
            <w:pPr>
              <w:spacing w:after="0"/>
              <w:jc w:val="center"/>
            </w:pPr>
            <w:r w:rsidRPr="00D33D68">
              <w:rPr>
                <w:lang w:eastAsia="en-GB"/>
              </w:rPr>
              <w:sym w:font="Wingdings" w:char="F0FC"/>
            </w:r>
          </w:p>
        </w:tc>
        <w:tc>
          <w:tcPr>
            <w:tcW w:w="2877" w:type="dxa"/>
          </w:tcPr>
          <w:p w14:paraId="07F674FE" w14:textId="77777777" w:rsidR="009F5FF4" w:rsidRPr="00D33D68" w:rsidRDefault="0044649F" w:rsidP="00520B05">
            <w:pPr>
              <w:spacing w:after="0"/>
            </w:pPr>
            <w:r w:rsidRPr="00D33D68">
              <w:t xml:space="preserve">Индикаторът се образува от </w:t>
            </w:r>
            <w:r w:rsidR="00B575A8" w:rsidRPr="00D33D68">
              <w:t xml:space="preserve">съответната част на </w:t>
            </w:r>
            <w:r w:rsidRPr="00D33D68">
              <w:t>м</w:t>
            </w:r>
            <w:r w:rsidR="00A6557D" w:rsidRPr="00D33D68">
              <w:t>ярка</w:t>
            </w:r>
            <w:r w:rsidRPr="00D33D68">
              <w:t xml:space="preserve"> </w:t>
            </w:r>
            <w:r w:rsidR="00F06AE7" w:rsidRPr="00D33D68">
              <w:t>2.2. Начална стойност 55</w:t>
            </w:r>
            <w:r w:rsidRPr="00D33D68">
              <w:t xml:space="preserve">. Намаляването на бюджета на </w:t>
            </w:r>
            <w:r w:rsidR="00A6557D" w:rsidRPr="00D33D68">
              <w:t>мярка 2.2</w:t>
            </w:r>
            <w:r w:rsidRPr="00D33D68">
              <w:t xml:space="preserve"> с </w:t>
            </w:r>
            <w:r w:rsidR="00F06AE7" w:rsidRPr="00D33D68">
              <w:t>6</w:t>
            </w:r>
            <w:r w:rsidRPr="00D33D68">
              <w:t xml:space="preserve">% при 1вата стъпка променя индикатора на </w:t>
            </w:r>
            <w:r w:rsidR="00F06AE7" w:rsidRPr="00D33D68">
              <w:t>52</w:t>
            </w:r>
            <w:r w:rsidR="00A6557D" w:rsidRPr="00D33D68">
              <w:t xml:space="preserve"> след закръгляне</w:t>
            </w:r>
            <w:r w:rsidRPr="00D33D68">
              <w:t>.</w:t>
            </w:r>
            <w:r w:rsidR="00520B05" w:rsidRPr="00D33D68">
              <w:t xml:space="preserve"> </w:t>
            </w:r>
          </w:p>
          <w:p w14:paraId="21EC8DB5" w14:textId="77777777" w:rsidR="009F5FF4" w:rsidRPr="00D33D68" w:rsidRDefault="009F5FF4" w:rsidP="00520B05">
            <w:pPr>
              <w:spacing w:after="0"/>
            </w:pPr>
            <w:r w:rsidRPr="00D33D68">
              <w:t>С изменението поради COVID-19</w:t>
            </w:r>
            <w:r w:rsidR="00520B05" w:rsidRPr="00D33D68">
              <w:t xml:space="preserve"> стойностите на индикатора не се променят. </w:t>
            </w:r>
            <w:r w:rsidR="0044649F" w:rsidRPr="00D33D68">
              <w:t xml:space="preserve"> </w:t>
            </w:r>
          </w:p>
          <w:p w14:paraId="1699347D" w14:textId="40CBE789" w:rsidR="0044649F" w:rsidRPr="00D33D68" w:rsidRDefault="0044649F" w:rsidP="009F5FF4">
            <w:pPr>
              <w:spacing w:after="0"/>
              <w:rPr>
                <w:lang w:eastAsia="en-GB"/>
              </w:rPr>
            </w:pPr>
            <w:r w:rsidRPr="00D33D68">
              <w:t xml:space="preserve">Сега бюджета на </w:t>
            </w:r>
            <w:r w:rsidR="009F5FF4" w:rsidRPr="00D33D68">
              <w:lastRenderedPageBreak/>
              <w:t xml:space="preserve">съответната част на </w:t>
            </w:r>
            <w:r w:rsidR="00A6557D" w:rsidRPr="00D33D68">
              <w:t>мярка 2.2</w:t>
            </w:r>
            <w:r w:rsidRPr="00D33D68">
              <w:t xml:space="preserve"> се </w:t>
            </w:r>
            <w:r w:rsidR="00520B05" w:rsidRPr="00D33D68">
              <w:t>намалява съ</w:t>
            </w:r>
            <w:r w:rsidRPr="00D33D68">
              <w:t xml:space="preserve">с </w:t>
            </w:r>
            <w:r w:rsidR="009F5FF4" w:rsidRPr="00D33D68">
              <w:t>35.83</w:t>
            </w:r>
            <w:r w:rsidRPr="00D33D68">
              <w:t>% и се получава 2023 Target value</w:t>
            </w:r>
            <w:r w:rsidR="009F5FF4" w:rsidRPr="00D33D68">
              <w:t xml:space="preserve"> след закръгляне</w:t>
            </w:r>
            <w:r w:rsidRPr="00D33D68">
              <w:t>.</w:t>
            </w:r>
          </w:p>
        </w:tc>
      </w:tr>
      <w:tr w:rsidR="006C6C34" w:rsidRPr="00D33D68" w14:paraId="0D333283" w14:textId="77777777" w:rsidTr="00511333">
        <w:tc>
          <w:tcPr>
            <w:tcW w:w="2186" w:type="dxa"/>
            <w:shd w:val="clear" w:color="auto" w:fill="auto"/>
          </w:tcPr>
          <w:p w14:paraId="457361F2" w14:textId="77777777" w:rsidR="006C6C34" w:rsidRPr="00D33D68" w:rsidRDefault="006C6C34" w:rsidP="006943E2">
            <w:pPr>
              <w:spacing w:after="0"/>
            </w:pPr>
            <w:r w:rsidRPr="00D33D68">
              <w:lastRenderedPageBreak/>
              <w:t>02 - Article 52 Encouraging new sustainable aquaculture farmers</w:t>
            </w:r>
          </w:p>
        </w:tc>
        <w:tc>
          <w:tcPr>
            <w:tcW w:w="1504" w:type="dxa"/>
          </w:tcPr>
          <w:p w14:paraId="76816DA2" w14:textId="77777777" w:rsidR="006C6C34" w:rsidRPr="00D33D68" w:rsidRDefault="006C6C34" w:rsidP="006943E2">
            <w:pPr>
              <w:spacing w:after="0"/>
            </w:pPr>
            <w:r w:rsidRPr="00D33D68">
              <w:t>2.5 - N° of projects on promoting human capital of aquaculture in general and of new aquaculture farmers</w:t>
            </w:r>
          </w:p>
        </w:tc>
        <w:tc>
          <w:tcPr>
            <w:tcW w:w="810" w:type="dxa"/>
            <w:shd w:val="clear" w:color="auto" w:fill="auto"/>
          </w:tcPr>
          <w:p w14:paraId="5E57CF32" w14:textId="2001EE4D" w:rsidR="006C6C34" w:rsidRPr="00D33D68" w:rsidRDefault="009F29C4" w:rsidP="009F5FF4">
            <w:pPr>
              <w:spacing w:after="0"/>
              <w:jc w:val="right"/>
            </w:pPr>
            <w:r w:rsidRPr="00D33D68">
              <w:t>2</w:t>
            </w:r>
            <w:r w:rsidR="009F5FF4" w:rsidRPr="00D33D68">
              <w:t>3</w:t>
            </w:r>
          </w:p>
        </w:tc>
        <w:tc>
          <w:tcPr>
            <w:tcW w:w="810" w:type="dxa"/>
            <w:shd w:val="clear" w:color="auto" w:fill="auto"/>
          </w:tcPr>
          <w:p w14:paraId="69B48801" w14:textId="77777777" w:rsidR="006C6C34" w:rsidRPr="00D33D68" w:rsidRDefault="006C6C34" w:rsidP="0092205C">
            <w:pPr>
              <w:spacing w:after="0"/>
              <w:ind w:left="-104" w:right="-105"/>
            </w:pPr>
            <w:r w:rsidRPr="00D33D68">
              <w:t>Number</w:t>
            </w:r>
          </w:p>
        </w:tc>
        <w:tc>
          <w:tcPr>
            <w:tcW w:w="1101" w:type="dxa"/>
          </w:tcPr>
          <w:p w14:paraId="4DD27C35" w14:textId="77777777" w:rsidR="006C6C34" w:rsidRPr="00D33D68" w:rsidRDefault="006C6C34" w:rsidP="006943E2">
            <w:pPr>
              <w:spacing w:after="0"/>
              <w:jc w:val="center"/>
            </w:pPr>
            <w:r w:rsidRPr="00D33D68">
              <w:rPr>
                <w:lang w:eastAsia="en-GB"/>
              </w:rPr>
              <w:sym w:font="Wingdings" w:char="F0FC"/>
            </w:r>
          </w:p>
        </w:tc>
        <w:tc>
          <w:tcPr>
            <w:tcW w:w="2877" w:type="dxa"/>
          </w:tcPr>
          <w:p w14:paraId="00440613" w14:textId="77777777" w:rsidR="009F5FF4" w:rsidRPr="00D33D68" w:rsidRDefault="0044649F" w:rsidP="00414F1E">
            <w:pPr>
              <w:spacing w:after="0"/>
            </w:pPr>
            <w:r w:rsidRPr="00D33D68">
              <w:t>Индикаторът се образува от м</w:t>
            </w:r>
            <w:r w:rsidR="00EF07F4" w:rsidRPr="00D33D68">
              <w:t>ярка</w:t>
            </w:r>
            <w:r w:rsidRPr="00D33D68">
              <w:t xml:space="preserve"> </w:t>
            </w:r>
            <w:r w:rsidR="00414F1E" w:rsidRPr="00D33D68">
              <w:t>2.3</w:t>
            </w:r>
            <w:r w:rsidRPr="00D33D68">
              <w:t xml:space="preserve">. Начална стойност </w:t>
            </w:r>
            <w:r w:rsidR="00414F1E" w:rsidRPr="00D33D68">
              <w:t>20</w:t>
            </w:r>
            <w:r w:rsidRPr="00D33D68">
              <w:t xml:space="preserve">. Намаляването на бюджета на </w:t>
            </w:r>
            <w:r w:rsidR="00414F1E" w:rsidRPr="00D33D68">
              <w:t>мярка 2.3</w:t>
            </w:r>
            <w:r w:rsidRPr="00D33D68">
              <w:t xml:space="preserve"> с </w:t>
            </w:r>
            <w:r w:rsidR="00414F1E" w:rsidRPr="00D33D68">
              <w:t>6</w:t>
            </w:r>
            <w:r w:rsidRPr="00D33D68">
              <w:t xml:space="preserve">% при 1вата стъпка променя индикатора на </w:t>
            </w:r>
            <w:r w:rsidR="00414F1E" w:rsidRPr="00D33D68">
              <w:t>19 след закръгляне</w:t>
            </w:r>
            <w:r w:rsidR="009F5FF4" w:rsidRPr="00D33D68">
              <w:t>.</w:t>
            </w:r>
          </w:p>
          <w:p w14:paraId="775B226A" w14:textId="77777777" w:rsidR="009F5FF4" w:rsidRPr="00D33D68" w:rsidRDefault="009F5FF4" w:rsidP="00414F1E">
            <w:pPr>
              <w:spacing w:after="0"/>
            </w:pPr>
            <w:r w:rsidRPr="00D33D68">
              <w:t xml:space="preserve">С изменението поради COVID-19 </w:t>
            </w:r>
            <w:r w:rsidR="003113BE" w:rsidRPr="00D33D68">
              <w:t xml:space="preserve">стойностите на индикатора не се променят. </w:t>
            </w:r>
          </w:p>
          <w:p w14:paraId="1EF3E209" w14:textId="4A93F42D" w:rsidR="0044649F" w:rsidRPr="00D33D68" w:rsidRDefault="0044649F" w:rsidP="009F5FF4">
            <w:pPr>
              <w:spacing w:after="0"/>
              <w:rPr>
                <w:lang w:eastAsia="en-GB"/>
              </w:rPr>
            </w:pPr>
            <w:r w:rsidRPr="00D33D68">
              <w:t xml:space="preserve">Сега бюджета на </w:t>
            </w:r>
            <w:r w:rsidR="00414F1E" w:rsidRPr="00D33D68">
              <w:t>мярка 2.3</w:t>
            </w:r>
            <w:r w:rsidRPr="00D33D68">
              <w:t xml:space="preserve"> се увеличава с </w:t>
            </w:r>
            <w:r w:rsidR="009F5FF4" w:rsidRPr="00D33D68">
              <w:t>21.56</w:t>
            </w:r>
            <w:r w:rsidRPr="00D33D68">
              <w:t>% и се получава 2023 Target value</w:t>
            </w:r>
            <w:r w:rsidR="009F5FF4" w:rsidRPr="00D33D68">
              <w:t xml:space="preserve"> след закръгляне</w:t>
            </w:r>
            <w:r w:rsidRPr="00D33D68">
              <w:t>.</w:t>
            </w:r>
          </w:p>
        </w:tc>
      </w:tr>
    </w:tbl>
    <w:p w14:paraId="00258AC2" w14:textId="77777777" w:rsidR="00771E9D" w:rsidRPr="00D33D68" w:rsidRDefault="00771E9D" w:rsidP="00771E9D">
      <w:pPr>
        <w:spacing w:after="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188"/>
        <w:gridCol w:w="1501"/>
        <w:gridCol w:w="810"/>
        <w:gridCol w:w="810"/>
        <w:gridCol w:w="1102"/>
        <w:gridCol w:w="2877"/>
      </w:tblGrid>
      <w:tr w:rsidR="00D33D68" w:rsidRPr="00D33D68" w14:paraId="2BB1ECF4" w14:textId="77777777" w:rsidTr="00E272EC">
        <w:trPr>
          <w:tblHeader/>
        </w:trPr>
        <w:tc>
          <w:tcPr>
            <w:tcW w:w="1178" w:type="pct"/>
            <w:shd w:val="clear" w:color="auto" w:fill="auto"/>
          </w:tcPr>
          <w:p w14:paraId="3B48ECAC" w14:textId="77777777" w:rsidR="006C6C34" w:rsidRPr="00D33D68" w:rsidRDefault="006C6C34" w:rsidP="006943E2">
            <w:pPr>
              <w:pStyle w:val="Text1"/>
              <w:spacing w:before="0" w:after="0"/>
              <w:ind w:left="0"/>
              <w:rPr>
                <w:b/>
                <w:lang w:val="bg-BG"/>
              </w:rPr>
            </w:pPr>
            <w:r w:rsidRPr="00D33D68">
              <w:rPr>
                <w:b/>
                <w:noProof/>
                <w:lang w:val="bg-BG"/>
              </w:rPr>
              <w:t>Specific objective</w:t>
            </w:r>
          </w:p>
        </w:tc>
        <w:tc>
          <w:tcPr>
            <w:tcW w:w="3822" w:type="pct"/>
            <w:gridSpan w:val="5"/>
            <w:shd w:val="clear" w:color="auto" w:fill="auto"/>
          </w:tcPr>
          <w:p w14:paraId="77AC652A" w14:textId="77777777" w:rsidR="006C6C34" w:rsidRPr="00D33D68" w:rsidRDefault="006C6C34" w:rsidP="006943E2">
            <w:pPr>
              <w:pStyle w:val="Text1"/>
              <w:spacing w:before="0" w:after="0"/>
              <w:ind w:left="0"/>
              <w:rPr>
                <w:b/>
                <w:noProof/>
                <w:lang w:val="bg-BG"/>
              </w:rPr>
            </w:pPr>
            <w:r w:rsidRPr="00D33D68">
              <w:rPr>
                <w:b/>
                <w:noProof/>
                <w:lang w:val="bg-BG"/>
              </w:rPr>
              <w:t>3</w:t>
            </w:r>
            <w:r w:rsidRPr="00D33D68">
              <w:rPr>
                <w:b/>
                <w:lang w:val="bg-BG"/>
              </w:rPr>
              <w:t xml:space="preserve"> - </w:t>
            </w:r>
            <w:r w:rsidRPr="00D33D68">
              <w:rPr>
                <w:b/>
                <w:noProof/>
                <w:lang w:val="bg-BG"/>
              </w:rPr>
              <w:t>Protection and restoration of aquatic biodiversity and enhancement of ecosystems related to aquaculture and promotion of resource efficient aquaculture</w:t>
            </w:r>
          </w:p>
        </w:tc>
      </w:tr>
      <w:tr w:rsidR="00D33D68" w:rsidRPr="00D33D68" w14:paraId="71E64A7B" w14:textId="77777777" w:rsidTr="00511333">
        <w:tc>
          <w:tcPr>
            <w:tcW w:w="1178" w:type="pct"/>
            <w:shd w:val="clear" w:color="auto" w:fill="auto"/>
          </w:tcPr>
          <w:p w14:paraId="63DC074F" w14:textId="77777777" w:rsidR="006C6C34" w:rsidRPr="00D33D68" w:rsidRDefault="006C6C34" w:rsidP="006C6C34">
            <w:pPr>
              <w:spacing w:after="0"/>
              <w:jc w:val="center"/>
              <w:rPr>
                <w:b/>
              </w:rPr>
            </w:pPr>
            <w:r w:rsidRPr="00D33D68">
              <w:rPr>
                <w:b/>
              </w:rPr>
              <w:t>EMFF measure</w:t>
            </w:r>
          </w:p>
        </w:tc>
        <w:tc>
          <w:tcPr>
            <w:tcW w:w="808" w:type="pct"/>
          </w:tcPr>
          <w:p w14:paraId="0B114429" w14:textId="77777777" w:rsidR="006C6C34" w:rsidRPr="00D33D68" w:rsidRDefault="006C6C34" w:rsidP="006C6C34">
            <w:pPr>
              <w:spacing w:after="0"/>
              <w:jc w:val="center"/>
              <w:rPr>
                <w:b/>
              </w:rPr>
            </w:pPr>
            <w:r w:rsidRPr="00D33D68">
              <w:rPr>
                <w:b/>
              </w:rPr>
              <w:t>Output indicator</w:t>
            </w:r>
          </w:p>
        </w:tc>
        <w:tc>
          <w:tcPr>
            <w:tcW w:w="436" w:type="pct"/>
            <w:shd w:val="clear" w:color="auto" w:fill="auto"/>
          </w:tcPr>
          <w:p w14:paraId="30707FEF" w14:textId="77777777" w:rsidR="006C6C34" w:rsidRPr="00D33D68" w:rsidRDefault="006C6C34" w:rsidP="00E272EC">
            <w:pPr>
              <w:spacing w:after="0"/>
              <w:ind w:left="-109"/>
              <w:jc w:val="center"/>
              <w:rPr>
                <w:b/>
              </w:rPr>
            </w:pPr>
            <w:r w:rsidRPr="00D33D68">
              <w:rPr>
                <w:b/>
              </w:rPr>
              <w:t>Target value for 2023</w:t>
            </w:r>
          </w:p>
          <w:p w14:paraId="66E8BFA6" w14:textId="77777777" w:rsidR="003A2F6A" w:rsidRPr="00D33D68" w:rsidRDefault="003A2F6A" w:rsidP="00E272EC">
            <w:pPr>
              <w:spacing w:after="0"/>
              <w:ind w:left="-109"/>
              <w:jc w:val="center"/>
              <w:rPr>
                <w:b/>
              </w:rPr>
            </w:pPr>
            <w:r w:rsidRPr="00D33D68">
              <w:rPr>
                <w:b/>
              </w:rPr>
              <w:t>(new)</w:t>
            </w:r>
          </w:p>
        </w:tc>
        <w:tc>
          <w:tcPr>
            <w:tcW w:w="436" w:type="pct"/>
            <w:shd w:val="clear" w:color="auto" w:fill="auto"/>
          </w:tcPr>
          <w:p w14:paraId="0A0D3C9E" w14:textId="77777777" w:rsidR="006C6C34" w:rsidRPr="00D33D68" w:rsidRDefault="006C6C34" w:rsidP="00041A7E">
            <w:pPr>
              <w:spacing w:after="0"/>
              <w:ind w:left="-104" w:right="-105"/>
              <w:jc w:val="center"/>
              <w:rPr>
                <w:b/>
              </w:rPr>
            </w:pPr>
            <w:r w:rsidRPr="00D33D68">
              <w:rPr>
                <w:b/>
              </w:rPr>
              <w:t>Measurement unit</w:t>
            </w:r>
          </w:p>
        </w:tc>
        <w:tc>
          <w:tcPr>
            <w:tcW w:w="593" w:type="pct"/>
          </w:tcPr>
          <w:p w14:paraId="38DB2FCC" w14:textId="77777777" w:rsidR="006C6C34" w:rsidRPr="00D33D68" w:rsidRDefault="006C6C34" w:rsidP="00D1759A">
            <w:pPr>
              <w:spacing w:after="0"/>
              <w:ind w:left="-150" w:right="-160"/>
              <w:jc w:val="center"/>
              <w:rPr>
                <w:b/>
              </w:rPr>
            </w:pPr>
            <w:r w:rsidRPr="00D33D68">
              <w:rPr>
                <w:b/>
              </w:rPr>
              <w:t>Include in the Performance Framework</w:t>
            </w:r>
          </w:p>
        </w:tc>
        <w:tc>
          <w:tcPr>
            <w:tcW w:w="1549" w:type="pct"/>
          </w:tcPr>
          <w:p w14:paraId="4BC57A01" w14:textId="3E8C8210" w:rsidR="006C6C34" w:rsidRPr="00D33D68" w:rsidRDefault="00BA4AD7" w:rsidP="006C6C34">
            <w:pPr>
              <w:spacing w:after="0"/>
              <w:ind w:left="-106" w:right="-108"/>
              <w:jc w:val="center"/>
              <w:rPr>
                <w:b/>
              </w:rPr>
            </w:pPr>
            <w:r w:rsidRPr="00D33D68">
              <w:rPr>
                <w:b/>
              </w:rPr>
              <w:t>Explanation</w:t>
            </w:r>
          </w:p>
        </w:tc>
      </w:tr>
      <w:tr w:rsidR="00D33D68" w:rsidRPr="00D33D68" w14:paraId="484AA780" w14:textId="77777777" w:rsidTr="00511333">
        <w:tc>
          <w:tcPr>
            <w:tcW w:w="1178" w:type="pct"/>
            <w:shd w:val="clear" w:color="auto" w:fill="auto"/>
          </w:tcPr>
          <w:p w14:paraId="2AC453E2" w14:textId="77777777" w:rsidR="006C6C34" w:rsidRPr="00D33D68" w:rsidRDefault="006C6C34" w:rsidP="006943E2">
            <w:pPr>
              <w:spacing w:after="0"/>
            </w:pPr>
            <w:r w:rsidRPr="00D33D68">
              <w:t>01 - Article 48.1.k Productive investments in aquaculture - increasing energy efficiency, renewable energy</w:t>
            </w:r>
          </w:p>
        </w:tc>
        <w:tc>
          <w:tcPr>
            <w:tcW w:w="808" w:type="pct"/>
          </w:tcPr>
          <w:p w14:paraId="48D2E10A" w14:textId="77777777" w:rsidR="006C6C34" w:rsidRPr="00D33D68" w:rsidRDefault="006C6C34" w:rsidP="006943E2">
            <w:pPr>
              <w:spacing w:after="0"/>
            </w:pPr>
            <w:r w:rsidRPr="00D33D68">
              <w:t>2.2 - N° of projects on productive investments in aquaculture</w:t>
            </w:r>
          </w:p>
        </w:tc>
        <w:tc>
          <w:tcPr>
            <w:tcW w:w="436" w:type="pct"/>
            <w:shd w:val="clear" w:color="auto" w:fill="auto"/>
          </w:tcPr>
          <w:p w14:paraId="5D10119A" w14:textId="62F7B200" w:rsidR="006C6C34" w:rsidRPr="00D33D68" w:rsidRDefault="003A025E" w:rsidP="006943E2">
            <w:pPr>
              <w:spacing w:after="0"/>
              <w:jc w:val="right"/>
            </w:pPr>
            <w:r w:rsidRPr="00D33D68">
              <w:t>5</w:t>
            </w:r>
          </w:p>
        </w:tc>
        <w:tc>
          <w:tcPr>
            <w:tcW w:w="436" w:type="pct"/>
            <w:shd w:val="clear" w:color="auto" w:fill="auto"/>
          </w:tcPr>
          <w:p w14:paraId="4C801A09" w14:textId="77777777" w:rsidR="006C6C34" w:rsidRPr="00D33D68" w:rsidRDefault="006C6C34" w:rsidP="00041A7E">
            <w:pPr>
              <w:spacing w:after="0"/>
              <w:ind w:left="-104" w:right="-105"/>
            </w:pPr>
            <w:r w:rsidRPr="00D33D68">
              <w:t>Number</w:t>
            </w:r>
          </w:p>
        </w:tc>
        <w:tc>
          <w:tcPr>
            <w:tcW w:w="593" w:type="pct"/>
          </w:tcPr>
          <w:p w14:paraId="6973A3FC" w14:textId="77777777" w:rsidR="006C6C34" w:rsidRPr="00D33D68" w:rsidRDefault="006C6C34" w:rsidP="006943E2">
            <w:pPr>
              <w:spacing w:after="0"/>
              <w:jc w:val="center"/>
            </w:pPr>
            <w:r w:rsidRPr="00D33D68">
              <w:rPr>
                <w:lang w:eastAsia="en-GB"/>
              </w:rPr>
              <w:sym w:font="Wingdings" w:char="F0FC"/>
            </w:r>
          </w:p>
        </w:tc>
        <w:tc>
          <w:tcPr>
            <w:tcW w:w="1549" w:type="pct"/>
          </w:tcPr>
          <w:p w14:paraId="3F3FC05D" w14:textId="23A4C821" w:rsidR="00D0020A" w:rsidRPr="00D33D68" w:rsidRDefault="00254206" w:rsidP="003328D3">
            <w:pPr>
              <w:spacing w:after="0"/>
            </w:pPr>
            <w:r w:rsidRPr="00D33D68">
              <w:t>Индикаторът се образува от</w:t>
            </w:r>
            <w:r w:rsidR="003C7AF4" w:rsidRPr="00D33D68">
              <w:t xml:space="preserve"> съответната част на</w:t>
            </w:r>
            <w:r w:rsidRPr="00D33D68">
              <w:t xml:space="preserve"> м</w:t>
            </w:r>
            <w:r w:rsidR="00511047" w:rsidRPr="00D33D68">
              <w:t>ярка</w:t>
            </w:r>
            <w:r w:rsidRPr="00D33D68">
              <w:t xml:space="preserve"> </w:t>
            </w:r>
            <w:r w:rsidR="000C5EAD" w:rsidRPr="00D33D68">
              <w:t>2.2</w:t>
            </w:r>
            <w:r w:rsidRPr="00D33D68">
              <w:t xml:space="preserve">. Начална стойност </w:t>
            </w:r>
            <w:r w:rsidR="000C5EAD" w:rsidRPr="00D33D68">
              <w:t>5</w:t>
            </w:r>
            <w:r w:rsidRPr="00D33D68">
              <w:t xml:space="preserve">. Намаляването на бюджета на </w:t>
            </w:r>
            <w:r w:rsidR="000C5EAD" w:rsidRPr="00D33D68">
              <w:t>мярка 2.2</w:t>
            </w:r>
            <w:r w:rsidRPr="00D33D68">
              <w:t xml:space="preserve"> с </w:t>
            </w:r>
            <w:r w:rsidR="000C5EAD" w:rsidRPr="00D33D68">
              <w:t>6</w:t>
            </w:r>
            <w:r w:rsidRPr="00D33D68">
              <w:t>%</w:t>
            </w:r>
            <w:r w:rsidR="000C5EAD" w:rsidRPr="00D33D68">
              <w:t xml:space="preserve"> при 1вата стъпка</w:t>
            </w:r>
            <w:r w:rsidR="00036763" w:rsidRPr="00D33D68">
              <w:t xml:space="preserve"> не променя индикатора поради закръгляне</w:t>
            </w:r>
            <w:r w:rsidRPr="00D33D68">
              <w:t xml:space="preserve">. </w:t>
            </w:r>
          </w:p>
          <w:p w14:paraId="3719DC2E" w14:textId="74607E54" w:rsidR="00D0020A" w:rsidRPr="00D33D68" w:rsidRDefault="003C7AF4" w:rsidP="003328D3">
            <w:pPr>
              <w:spacing w:after="0"/>
            </w:pPr>
            <w:r w:rsidRPr="00D33D68">
              <w:t xml:space="preserve">С изменението поради COVID-19 </w:t>
            </w:r>
            <w:r w:rsidR="003328D3" w:rsidRPr="00D33D68">
              <w:t>стойностит</w:t>
            </w:r>
            <w:r w:rsidR="003A025E" w:rsidRPr="00D33D68">
              <w:t>е на индикатора не се променят.</w:t>
            </w:r>
          </w:p>
          <w:p w14:paraId="1466D6C9" w14:textId="2ABA052D" w:rsidR="00254206" w:rsidRPr="00D33D68" w:rsidRDefault="00254206" w:rsidP="003A025E">
            <w:pPr>
              <w:spacing w:after="0"/>
              <w:rPr>
                <w:lang w:eastAsia="en-GB"/>
              </w:rPr>
            </w:pPr>
            <w:r w:rsidRPr="00D33D68">
              <w:lastRenderedPageBreak/>
              <w:t xml:space="preserve">Сега бюджета на </w:t>
            </w:r>
            <w:r w:rsidR="003A025E" w:rsidRPr="00D33D68">
              <w:t xml:space="preserve">съответната част на </w:t>
            </w:r>
            <w:r w:rsidR="000C5EAD" w:rsidRPr="00D33D68">
              <w:t>мярка 2.2</w:t>
            </w:r>
            <w:r w:rsidRPr="00D33D68">
              <w:t xml:space="preserve"> се </w:t>
            </w:r>
            <w:r w:rsidR="003A025E" w:rsidRPr="00D33D68">
              <w:t>увеличава</w:t>
            </w:r>
            <w:r w:rsidRPr="00D33D68">
              <w:t xml:space="preserve"> с </w:t>
            </w:r>
            <w:r w:rsidR="003A025E" w:rsidRPr="00D33D68">
              <w:t>5.14</w:t>
            </w:r>
            <w:r w:rsidRPr="00D33D68">
              <w:t>% и се получава 2023 Target value</w:t>
            </w:r>
            <w:r w:rsidR="003A025E" w:rsidRPr="00D33D68">
              <w:t xml:space="preserve"> след закръгляне</w:t>
            </w:r>
            <w:r w:rsidRPr="00D33D68">
              <w:t>.</w:t>
            </w:r>
          </w:p>
        </w:tc>
      </w:tr>
      <w:tr w:rsidR="00D33D68" w:rsidRPr="00D33D68" w14:paraId="68641083" w14:textId="77777777" w:rsidTr="00511333">
        <w:tc>
          <w:tcPr>
            <w:tcW w:w="1178" w:type="pct"/>
            <w:shd w:val="clear" w:color="auto" w:fill="auto"/>
          </w:tcPr>
          <w:p w14:paraId="7308A21A" w14:textId="77777777" w:rsidR="006C6C34" w:rsidRPr="00D33D68" w:rsidRDefault="006C6C34" w:rsidP="006943E2">
            <w:pPr>
              <w:spacing w:after="0"/>
            </w:pPr>
            <w:r w:rsidRPr="00D33D68">
              <w:lastRenderedPageBreak/>
              <w:t>02 - Article 48.1.e, i, j Productive investments in aquaculture - resource efficiency, reducing usage of water and chemicals, recirculation systems minimising water use</w:t>
            </w:r>
          </w:p>
        </w:tc>
        <w:tc>
          <w:tcPr>
            <w:tcW w:w="808" w:type="pct"/>
          </w:tcPr>
          <w:p w14:paraId="2D3FC006" w14:textId="77777777" w:rsidR="006C6C34" w:rsidRPr="00D33D68" w:rsidRDefault="006C6C34" w:rsidP="006943E2">
            <w:pPr>
              <w:spacing w:after="0"/>
            </w:pPr>
            <w:r w:rsidRPr="00D33D68">
              <w:t>2.2 - N° of projects on productive investments in aquaculture</w:t>
            </w:r>
          </w:p>
        </w:tc>
        <w:tc>
          <w:tcPr>
            <w:tcW w:w="436" w:type="pct"/>
            <w:shd w:val="clear" w:color="auto" w:fill="auto"/>
          </w:tcPr>
          <w:p w14:paraId="01B67456" w14:textId="2A41EF0B" w:rsidR="006C6C34" w:rsidRPr="00D33D68" w:rsidRDefault="001711F7" w:rsidP="003328D3">
            <w:pPr>
              <w:spacing w:after="0"/>
              <w:jc w:val="right"/>
            </w:pPr>
            <w:r w:rsidRPr="00D33D68">
              <w:t>18</w:t>
            </w:r>
          </w:p>
        </w:tc>
        <w:tc>
          <w:tcPr>
            <w:tcW w:w="436" w:type="pct"/>
            <w:shd w:val="clear" w:color="auto" w:fill="auto"/>
          </w:tcPr>
          <w:p w14:paraId="4F99A5AA" w14:textId="77777777" w:rsidR="006C6C34" w:rsidRPr="00D33D68" w:rsidRDefault="006C6C34" w:rsidP="00041A7E">
            <w:pPr>
              <w:spacing w:after="0"/>
              <w:ind w:left="-104" w:right="-105"/>
            </w:pPr>
            <w:r w:rsidRPr="00D33D68">
              <w:t>Number</w:t>
            </w:r>
          </w:p>
        </w:tc>
        <w:tc>
          <w:tcPr>
            <w:tcW w:w="593" w:type="pct"/>
          </w:tcPr>
          <w:p w14:paraId="54753ADC" w14:textId="77777777" w:rsidR="006C6C34" w:rsidRPr="00D33D68" w:rsidRDefault="006C6C34" w:rsidP="006943E2">
            <w:pPr>
              <w:spacing w:after="0"/>
              <w:jc w:val="center"/>
            </w:pPr>
            <w:r w:rsidRPr="00D33D68">
              <w:rPr>
                <w:lang w:eastAsia="en-GB"/>
              </w:rPr>
              <w:sym w:font="Wingdings" w:char="F0FC"/>
            </w:r>
          </w:p>
        </w:tc>
        <w:tc>
          <w:tcPr>
            <w:tcW w:w="1549" w:type="pct"/>
          </w:tcPr>
          <w:p w14:paraId="2DB5FD37" w14:textId="77777777" w:rsidR="00D0020A" w:rsidRPr="00D33D68" w:rsidRDefault="00157B7F" w:rsidP="003328D3">
            <w:pPr>
              <w:spacing w:after="0"/>
            </w:pPr>
            <w:r w:rsidRPr="00D33D68">
              <w:t>Индикаторът се образува от м</w:t>
            </w:r>
            <w:r w:rsidR="007E26EE" w:rsidRPr="00D33D68">
              <w:t>ярка</w:t>
            </w:r>
            <w:r w:rsidRPr="00D33D68">
              <w:t xml:space="preserve"> </w:t>
            </w:r>
            <w:r w:rsidR="007E26EE" w:rsidRPr="00D33D68">
              <w:t>2.2</w:t>
            </w:r>
            <w:r w:rsidRPr="00D33D68">
              <w:t xml:space="preserve">. Начална стойност </w:t>
            </w:r>
            <w:r w:rsidR="007E26EE" w:rsidRPr="00D33D68">
              <w:t>10</w:t>
            </w:r>
            <w:r w:rsidRPr="00D33D68">
              <w:t xml:space="preserve">. </w:t>
            </w:r>
            <w:r w:rsidR="007E26EE" w:rsidRPr="00D33D68">
              <w:t xml:space="preserve">Намаляването на бюджета на </w:t>
            </w:r>
            <w:r w:rsidR="00A67587" w:rsidRPr="00D33D68">
              <w:t>мярка 2.2</w:t>
            </w:r>
            <w:r w:rsidRPr="00D33D68">
              <w:t xml:space="preserve"> с </w:t>
            </w:r>
            <w:r w:rsidR="007E26EE" w:rsidRPr="00D33D68">
              <w:t>6</w:t>
            </w:r>
            <w:r w:rsidRPr="00D33D68">
              <w:t xml:space="preserve">% при 1вата стъпка променя индикатора на </w:t>
            </w:r>
            <w:r w:rsidR="007E26EE" w:rsidRPr="00D33D68">
              <w:t>9 след закръгляне</w:t>
            </w:r>
            <w:r w:rsidRPr="00D33D68">
              <w:t xml:space="preserve">. </w:t>
            </w:r>
          </w:p>
          <w:p w14:paraId="781BAFF9" w14:textId="43E2E66D" w:rsidR="00D0020A" w:rsidRPr="00D33D68" w:rsidRDefault="001711F7" w:rsidP="003328D3">
            <w:pPr>
              <w:spacing w:after="0"/>
            </w:pPr>
            <w:r w:rsidRPr="00D33D68">
              <w:t xml:space="preserve">С изменението поради COVID-19 </w:t>
            </w:r>
            <w:r w:rsidR="003328D3" w:rsidRPr="00D33D68">
              <w:t xml:space="preserve">стойностите на индикатора не се променят. </w:t>
            </w:r>
          </w:p>
          <w:p w14:paraId="305FDB12" w14:textId="35DCAC0C" w:rsidR="00157B7F" w:rsidRPr="00D33D68" w:rsidRDefault="00157B7F" w:rsidP="001711F7">
            <w:pPr>
              <w:spacing w:after="0"/>
              <w:rPr>
                <w:lang w:eastAsia="en-GB"/>
              </w:rPr>
            </w:pPr>
            <w:r w:rsidRPr="00D33D68">
              <w:t xml:space="preserve">Сега бюджета на </w:t>
            </w:r>
            <w:r w:rsidR="001711F7" w:rsidRPr="00D33D68">
              <w:t xml:space="preserve">съответната част на мярка 2.2 </w:t>
            </w:r>
            <w:r w:rsidRPr="00D33D68">
              <w:t xml:space="preserve">се </w:t>
            </w:r>
            <w:r w:rsidR="001711F7" w:rsidRPr="00D33D68">
              <w:t>увеличава</w:t>
            </w:r>
            <w:r w:rsidRPr="00D33D68">
              <w:t xml:space="preserve"> с </w:t>
            </w:r>
            <w:r w:rsidR="001711F7" w:rsidRPr="00D33D68">
              <w:t>93.71</w:t>
            </w:r>
            <w:r w:rsidRPr="00D33D68">
              <w:t>% и се получава 2023 Target value</w:t>
            </w:r>
            <w:r w:rsidR="001711F7" w:rsidRPr="00D33D68">
              <w:t xml:space="preserve"> след закръгляне</w:t>
            </w:r>
            <w:r w:rsidRPr="00D33D68">
              <w:t>.</w:t>
            </w:r>
          </w:p>
        </w:tc>
      </w:tr>
      <w:tr w:rsidR="00D1759A" w:rsidRPr="00D33D68" w14:paraId="04386984" w14:textId="77777777" w:rsidTr="00511333">
        <w:tc>
          <w:tcPr>
            <w:tcW w:w="1178" w:type="pct"/>
            <w:shd w:val="clear" w:color="auto" w:fill="auto"/>
          </w:tcPr>
          <w:p w14:paraId="61DA5CA9" w14:textId="77777777" w:rsidR="006C6C34" w:rsidRPr="00D33D68" w:rsidRDefault="006C6C34" w:rsidP="006943E2">
            <w:pPr>
              <w:spacing w:after="0"/>
            </w:pPr>
            <w:r w:rsidRPr="00D33D68">
              <w:t>04 - Article 53 Conversion to eco-management and audit schemes and organic aquaculture</w:t>
            </w:r>
          </w:p>
        </w:tc>
        <w:tc>
          <w:tcPr>
            <w:tcW w:w="808" w:type="pct"/>
          </w:tcPr>
          <w:p w14:paraId="1121AEE4" w14:textId="77777777" w:rsidR="006C6C34" w:rsidRPr="00D33D68" w:rsidRDefault="006C6C34" w:rsidP="006943E2">
            <w:pPr>
              <w:spacing w:after="0"/>
            </w:pPr>
            <w:r w:rsidRPr="00D33D68">
              <w:t>2.3 - N° of projects on limiting the impact of aquaculture on the environment (eco-management, audit schemes, organic aquaculture environmental services)</w:t>
            </w:r>
          </w:p>
        </w:tc>
        <w:tc>
          <w:tcPr>
            <w:tcW w:w="436" w:type="pct"/>
            <w:shd w:val="clear" w:color="auto" w:fill="auto"/>
          </w:tcPr>
          <w:p w14:paraId="543F1F18" w14:textId="6C68440F" w:rsidR="006C6C34" w:rsidRPr="00D33D68" w:rsidRDefault="003328D3" w:rsidP="006943E2">
            <w:pPr>
              <w:spacing w:after="0"/>
              <w:jc w:val="right"/>
            </w:pPr>
            <w:r w:rsidRPr="00D33D68">
              <w:t>0</w:t>
            </w:r>
          </w:p>
        </w:tc>
        <w:tc>
          <w:tcPr>
            <w:tcW w:w="436" w:type="pct"/>
            <w:shd w:val="clear" w:color="auto" w:fill="auto"/>
          </w:tcPr>
          <w:p w14:paraId="1498B363" w14:textId="77777777" w:rsidR="006C6C34" w:rsidRPr="00D33D68" w:rsidRDefault="006C6C34" w:rsidP="003D57FB">
            <w:pPr>
              <w:spacing w:after="0"/>
              <w:ind w:left="-104" w:right="-105"/>
            </w:pPr>
            <w:r w:rsidRPr="00D33D68">
              <w:t>Number</w:t>
            </w:r>
          </w:p>
        </w:tc>
        <w:tc>
          <w:tcPr>
            <w:tcW w:w="593" w:type="pct"/>
          </w:tcPr>
          <w:p w14:paraId="4126A45F" w14:textId="77777777" w:rsidR="006C6C34" w:rsidRPr="00D33D68" w:rsidRDefault="006C6C34" w:rsidP="006943E2">
            <w:pPr>
              <w:spacing w:after="0"/>
              <w:jc w:val="center"/>
            </w:pPr>
          </w:p>
        </w:tc>
        <w:tc>
          <w:tcPr>
            <w:tcW w:w="1549" w:type="pct"/>
          </w:tcPr>
          <w:p w14:paraId="027CAE53" w14:textId="32EE19F1" w:rsidR="00157B7F" w:rsidRPr="00D33D68" w:rsidRDefault="00157B7F" w:rsidP="003328D3">
            <w:pPr>
              <w:spacing w:after="0"/>
            </w:pPr>
            <w:r w:rsidRPr="00D33D68">
              <w:t xml:space="preserve">Индикаторът </w:t>
            </w:r>
            <w:r w:rsidR="003328D3" w:rsidRPr="00D33D68">
              <w:t>изтрит при изменението за COVID-19 мерките</w:t>
            </w:r>
            <w:r w:rsidRPr="00D33D68">
              <w:t>.</w:t>
            </w:r>
          </w:p>
        </w:tc>
      </w:tr>
    </w:tbl>
    <w:p w14:paraId="0334ABC0" w14:textId="77777777" w:rsidR="00771E9D" w:rsidRPr="00D33D68" w:rsidRDefault="00771E9D" w:rsidP="00771E9D">
      <w:pPr>
        <w:spacing w:after="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184"/>
        <w:gridCol w:w="1505"/>
        <w:gridCol w:w="810"/>
        <w:gridCol w:w="899"/>
        <w:gridCol w:w="1011"/>
        <w:gridCol w:w="2879"/>
      </w:tblGrid>
      <w:tr w:rsidR="00D33D68" w:rsidRPr="00D33D68" w14:paraId="100353C8" w14:textId="77777777" w:rsidTr="00E272EC">
        <w:tc>
          <w:tcPr>
            <w:tcW w:w="1176" w:type="pct"/>
            <w:shd w:val="clear" w:color="auto" w:fill="auto"/>
          </w:tcPr>
          <w:p w14:paraId="1BA44B0D" w14:textId="77777777" w:rsidR="00B3409B" w:rsidRPr="00D33D68" w:rsidRDefault="00B3409B" w:rsidP="006943E2">
            <w:pPr>
              <w:pStyle w:val="Text1"/>
              <w:spacing w:before="0" w:after="0"/>
              <w:ind w:left="0"/>
              <w:rPr>
                <w:b/>
                <w:lang w:val="bg-BG"/>
              </w:rPr>
            </w:pPr>
            <w:r w:rsidRPr="00D33D68">
              <w:rPr>
                <w:b/>
                <w:noProof/>
                <w:lang w:val="bg-BG"/>
              </w:rPr>
              <w:t>Specific objective</w:t>
            </w:r>
          </w:p>
        </w:tc>
        <w:tc>
          <w:tcPr>
            <w:tcW w:w="3824" w:type="pct"/>
            <w:gridSpan w:val="5"/>
            <w:shd w:val="clear" w:color="auto" w:fill="auto"/>
          </w:tcPr>
          <w:p w14:paraId="08DFE290" w14:textId="77777777" w:rsidR="00B3409B" w:rsidRPr="00D33D68" w:rsidRDefault="00B3409B" w:rsidP="006943E2">
            <w:pPr>
              <w:pStyle w:val="Text1"/>
              <w:spacing w:before="0" w:after="0"/>
              <w:ind w:left="0"/>
              <w:rPr>
                <w:b/>
                <w:noProof/>
                <w:lang w:val="bg-BG"/>
              </w:rPr>
            </w:pPr>
            <w:r w:rsidRPr="00D33D68">
              <w:rPr>
                <w:b/>
                <w:noProof/>
                <w:lang w:val="bg-BG"/>
              </w:rPr>
              <w:t>4</w:t>
            </w:r>
            <w:r w:rsidRPr="00D33D68">
              <w:rPr>
                <w:b/>
                <w:lang w:val="bg-BG"/>
              </w:rPr>
              <w:t xml:space="preserve"> - </w:t>
            </w:r>
            <w:r w:rsidRPr="00D33D68">
              <w:rPr>
                <w:b/>
                <w:noProof/>
                <w:lang w:val="bg-BG"/>
              </w:rPr>
              <w:t xml:space="preserve">Promotion of aquaculture having a high level of environmental </w:t>
            </w:r>
            <w:r w:rsidRPr="00D33D68">
              <w:rPr>
                <w:b/>
                <w:noProof/>
                <w:lang w:val="bg-BG"/>
              </w:rPr>
              <w:lastRenderedPageBreak/>
              <w:t>protection, and the promotion of animal health and welfare and of public health and safety</w:t>
            </w:r>
          </w:p>
        </w:tc>
      </w:tr>
      <w:tr w:rsidR="00D33D68" w:rsidRPr="00D33D68" w14:paraId="040BD846" w14:textId="77777777" w:rsidTr="00F04827">
        <w:tc>
          <w:tcPr>
            <w:tcW w:w="1176" w:type="pct"/>
            <w:shd w:val="clear" w:color="auto" w:fill="auto"/>
          </w:tcPr>
          <w:p w14:paraId="6AB1CC3C" w14:textId="77777777" w:rsidR="00B3409B" w:rsidRPr="00D33D68" w:rsidRDefault="00B3409B" w:rsidP="00805397">
            <w:pPr>
              <w:spacing w:after="0"/>
              <w:jc w:val="center"/>
              <w:rPr>
                <w:b/>
              </w:rPr>
            </w:pPr>
            <w:r w:rsidRPr="00D33D68">
              <w:rPr>
                <w:b/>
              </w:rPr>
              <w:lastRenderedPageBreak/>
              <w:t>EMFF measure</w:t>
            </w:r>
          </w:p>
        </w:tc>
        <w:tc>
          <w:tcPr>
            <w:tcW w:w="810" w:type="pct"/>
          </w:tcPr>
          <w:p w14:paraId="41F51CEC" w14:textId="77777777" w:rsidR="00B3409B" w:rsidRPr="00D33D68" w:rsidRDefault="00B3409B" w:rsidP="00805397">
            <w:pPr>
              <w:spacing w:after="0"/>
              <w:jc w:val="center"/>
              <w:rPr>
                <w:b/>
              </w:rPr>
            </w:pPr>
            <w:r w:rsidRPr="00D33D68">
              <w:rPr>
                <w:b/>
              </w:rPr>
              <w:t>Output indicator</w:t>
            </w:r>
          </w:p>
        </w:tc>
        <w:tc>
          <w:tcPr>
            <w:tcW w:w="436" w:type="pct"/>
            <w:shd w:val="clear" w:color="auto" w:fill="auto"/>
          </w:tcPr>
          <w:p w14:paraId="73635EA0" w14:textId="77777777" w:rsidR="00B3409B" w:rsidRPr="00D33D68" w:rsidRDefault="00B3409B" w:rsidP="00E272EC">
            <w:pPr>
              <w:spacing w:after="0"/>
              <w:ind w:left="-107"/>
              <w:jc w:val="center"/>
              <w:rPr>
                <w:b/>
              </w:rPr>
            </w:pPr>
            <w:r w:rsidRPr="00D33D68">
              <w:rPr>
                <w:b/>
              </w:rPr>
              <w:t>Target value for 2023</w:t>
            </w:r>
          </w:p>
          <w:p w14:paraId="4632189C" w14:textId="77777777" w:rsidR="00805397" w:rsidRPr="00D33D68" w:rsidRDefault="00805397" w:rsidP="00E272EC">
            <w:pPr>
              <w:spacing w:after="0"/>
              <w:ind w:left="-107"/>
              <w:jc w:val="center"/>
              <w:rPr>
                <w:b/>
              </w:rPr>
            </w:pPr>
            <w:r w:rsidRPr="00D33D68">
              <w:rPr>
                <w:b/>
              </w:rPr>
              <w:t>(new)</w:t>
            </w:r>
          </w:p>
        </w:tc>
        <w:tc>
          <w:tcPr>
            <w:tcW w:w="484" w:type="pct"/>
            <w:shd w:val="clear" w:color="auto" w:fill="auto"/>
          </w:tcPr>
          <w:p w14:paraId="0AE6F583" w14:textId="77777777" w:rsidR="00B3409B" w:rsidRPr="00D33D68" w:rsidRDefault="00B3409B" w:rsidP="00DB202E">
            <w:pPr>
              <w:spacing w:after="0"/>
              <w:ind w:left="-104"/>
              <w:jc w:val="center"/>
              <w:rPr>
                <w:b/>
              </w:rPr>
            </w:pPr>
            <w:r w:rsidRPr="00D33D68">
              <w:rPr>
                <w:b/>
              </w:rPr>
              <w:t>Measurement unit</w:t>
            </w:r>
          </w:p>
        </w:tc>
        <w:tc>
          <w:tcPr>
            <w:tcW w:w="544" w:type="pct"/>
          </w:tcPr>
          <w:p w14:paraId="59655816" w14:textId="77777777" w:rsidR="00B3409B" w:rsidRPr="00D33D68" w:rsidRDefault="00B3409B" w:rsidP="00E92160">
            <w:pPr>
              <w:spacing w:after="0"/>
              <w:ind w:left="-110" w:right="-110"/>
              <w:jc w:val="center"/>
              <w:rPr>
                <w:b/>
              </w:rPr>
            </w:pPr>
            <w:r w:rsidRPr="00D33D68">
              <w:rPr>
                <w:b/>
              </w:rPr>
              <w:t>Include in the Performance Framework</w:t>
            </w:r>
          </w:p>
        </w:tc>
        <w:tc>
          <w:tcPr>
            <w:tcW w:w="1550" w:type="pct"/>
          </w:tcPr>
          <w:p w14:paraId="1FF1385C" w14:textId="076483B8" w:rsidR="00B3409B" w:rsidRPr="00D33D68" w:rsidRDefault="00BA4AD7" w:rsidP="00805397">
            <w:pPr>
              <w:spacing w:after="0"/>
              <w:ind w:left="-108" w:right="-108"/>
              <w:jc w:val="center"/>
              <w:rPr>
                <w:b/>
              </w:rPr>
            </w:pPr>
            <w:r w:rsidRPr="00D33D68">
              <w:rPr>
                <w:b/>
              </w:rPr>
              <w:t>Explanation</w:t>
            </w:r>
          </w:p>
        </w:tc>
      </w:tr>
      <w:tr w:rsidR="00D33D68" w:rsidRPr="00D33D68" w14:paraId="41F29DC7" w14:textId="77777777" w:rsidTr="00F04827">
        <w:tc>
          <w:tcPr>
            <w:tcW w:w="1176" w:type="pct"/>
            <w:shd w:val="clear" w:color="auto" w:fill="auto"/>
          </w:tcPr>
          <w:p w14:paraId="5574A768" w14:textId="77777777" w:rsidR="00B3409B" w:rsidRPr="00D33D68" w:rsidRDefault="00B3409B" w:rsidP="006943E2">
            <w:pPr>
              <w:spacing w:after="0"/>
            </w:pPr>
            <w:r w:rsidRPr="00D33D68">
              <w:t>01 - Article 54 Aquaculture providing environmental services</w:t>
            </w:r>
          </w:p>
        </w:tc>
        <w:tc>
          <w:tcPr>
            <w:tcW w:w="810" w:type="pct"/>
          </w:tcPr>
          <w:p w14:paraId="77472089" w14:textId="77777777" w:rsidR="00B3409B" w:rsidRPr="00D33D68" w:rsidRDefault="00B3409B" w:rsidP="006943E2">
            <w:pPr>
              <w:spacing w:after="0"/>
            </w:pPr>
            <w:r w:rsidRPr="00D33D68">
              <w:t>2.3 - N° of projects on limiting the impact of aquaculture on the environment (eco-management, audit schemes, organic aquaculture environmental services)</w:t>
            </w:r>
          </w:p>
        </w:tc>
        <w:tc>
          <w:tcPr>
            <w:tcW w:w="436" w:type="pct"/>
            <w:shd w:val="clear" w:color="auto" w:fill="auto"/>
          </w:tcPr>
          <w:p w14:paraId="7EB82D37" w14:textId="73660711" w:rsidR="00B3409B" w:rsidRPr="00D33D68" w:rsidRDefault="003F7D88" w:rsidP="006943E2">
            <w:pPr>
              <w:spacing w:after="0"/>
              <w:jc w:val="right"/>
            </w:pPr>
            <w:r w:rsidRPr="00D33D68">
              <w:t>8</w:t>
            </w:r>
          </w:p>
        </w:tc>
        <w:tc>
          <w:tcPr>
            <w:tcW w:w="484" w:type="pct"/>
            <w:shd w:val="clear" w:color="auto" w:fill="auto"/>
          </w:tcPr>
          <w:p w14:paraId="7AAB8426" w14:textId="77777777" w:rsidR="00B3409B" w:rsidRPr="00D33D68" w:rsidRDefault="00B3409B" w:rsidP="00DB202E">
            <w:pPr>
              <w:spacing w:after="0"/>
              <w:ind w:left="-104"/>
              <w:jc w:val="center"/>
            </w:pPr>
            <w:r w:rsidRPr="00D33D68">
              <w:t>Number</w:t>
            </w:r>
          </w:p>
        </w:tc>
        <w:tc>
          <w:tcPr>
            <w:tcW w:w="544" w:type="pct"/>
          </w:tcPr>
          <w:p w14:paraId="20F998AC" w14:textId="77777777" w:rsidR="00B3409B" w:rsidRPr="00D33D68" w:rsidRDefault="00B3409B" w:rsidP="006943E2">
            <w:pPr>
              <w:spacing w:after="0"/>
              <w:jc w:val="center"/>
            </w:pPr>
          </w:p>
        </w:tc>
        <w:tc>
          <w:tcPr>
            <w:tcW w:w="1550" w:type="pct"/>
          </w:tcPr>
          <w:p w14:paraId="4D8530A1" w14:textId="77777777" w:rsidR="003746E7" w:rsidRPr="00D33D68" w:rsidRDefault="0038081C" w:rsidP="003F7D88">
            <w:pPr>
              <w:spacing w:after="0"/>
            </w:pPr>
            <w:r w:rsidRPr="00D33D68">
              <w:t>Индикаторът се образува от м</w:t>
            </w:r>
            <w:r w:rsidR="00977E0F" w:rsidRPr="00D33D68">
              <w:t>я</w:t>
            </w:r>
            <w:r w:rsidRPr="00D33D68">
              <w:t>рк</w:t>
            </w:r>
            <w:r w:rsidR="00977E0F" w:rsidRPr="00D33D68">
              <w:t>а</w:t>
            </w:r>
            <w:r w:rsidRPr="00D33D68">
              <w:t xml:space="preserve"> </w:t>
            </w:r>
            <w:r w:rsidR="00977E0F" w:rsidRPr="00D33D68">
              <w:t>2.5.</w:t>
            </w:r>
            <w:r w:rsidRPr="00D33D68">
              <w:t xml:space="preserve"> Начална стойност </w:t>
            </w:r>
            <w:r w:rsidR="00977E0F" w:rsidRPr="00D33D68">
              <w:t>50</w:t>
            </w:r>
            <w:r w:rsidRPr="00D33D68">
              <w:t xml:space="preserve">. Намаляването на бюджета на </w:t>
            </w:r>
            <w:r w:rsidR="00977E0F" w:rsidRPr="00D33D68">
              <w:t>мярка 2.5</w:t>
            </w:r>
            <w:r w:rsidRPr="00D33D68">
              <w:t xml:space="preserve"> с </w:t>
            </w:r>
            <w:r w:rsidR="00977E0F" w:rsidRPr="00D33D68">
              <w:t>6</w:t>
            </w:r>
            <w:r w:rsidRPr="00D33D68">
              <w:t xml:space="preserve">% при 1вата стъпка променя индикатора на </w:t>
            </w:r>
            <w:r w:rsidR="00977E0F" w:rsidRPr="00D33D68">
              <w:t>47</w:t>
            </w:r>
            <w:r w:rsidRPr="00D33D68">
              <w:t xml:space="preserve">. </w:t>
            </w:r>
          </w:p>
          <w:p w14:paraId="3754C4F0" w14:textId="77777777" w:rsidR="00197EDE" w:rsidRPr="00D33D68" w:rsidRDefault="003746E7" w:rsidP="003746E7">
            <w:pPr>
              <w:spacing w:after="0"/>
            </w:pPr>
            <w:r w:rsidRPr="00D33D68">
              <w:t xml:space="preserve">С изменението поради COVID-19 </w:t>
            </w:r>
            <w:r w:rsidR="003F7D88" w:rsidRPr="00D33D68">
              <w:t xml:space="preserve"> </w:t>
            </w:r>
            <w:r w:rsidRPr="00D33D68">
              <w:t xml:space="preserve">бюджетът на мярка 2.5 </w:t>
            </w:r>
            <w:r w:rsidR="003F7D88" w:rsidRPr="00D33D68">
              <w:t xml:space="preserve">се </w:t>
            </w:r>
            <w:r w:rsidRPr="00D33D68">
              <w:t>намаля</w:t>
            </w:r>
            <w:r w:rsidR="003F7D88" w:rsidRPr="00D33D68">
              <w:t xml:space="preserve"> с 83.47% на 8. </w:t>
            </w:r>
          </w:p>
          <w:p w14:paraId="2262C37F" w14:textId="79D0CC3C" w:rsidR="0038081C" w:rsidRPr="00D33D68" w:rsidRDefault="0038081C" w:rsidP="003746E7">
            <w:pPr>
              <w:spacing w:after="0"/>
            </w:pPr>
            <w:r w:rsidRPr="00D33D68">
              <w:t xml:space="preserve">Сега бюджета на </w:t>
            </w:r>
            <w:r w:rsidR="00977E0F" w:rsidRPr="00D33D68">
              <w:t>мярка 2.5</w:t>
            </w:r>
            <w:r w:rsidR="00197EDE" w:rsidRPr="00D33D68">
              <w:t xml:space="preserve"> </w:t>
            </w:r>
            <w:r w:rsidR="003F7D88" w:rsidRPr="00D33D68">
              <w:t>не</w:t>
            </w:r>
            <w:r w:rsidRPr="00D33D68">
              <w:t xml:space="preserve"> се </w:t>
            </w:r>
            <w:r w:rsidR="003F7D88" w:rsidRPr="00D33D68">
              <w:t>променя</w:t>
            </w:r>
            <w:r w:rsidRPr="00D33D68">
              <w:t xml:space="preserve"> и се получава 2023 Target value.</w:t>
            </w:r>
          </w:p>
        </w:tc>
      </w:tr>
      <w:tr w:rsidR="00E64D4B" w:rsidRPr="00D33D68" w14:paraId="7CB9F494" w14:textId="77777777" w:rsidTr="00F04827">
        <w:tc>
          <w:tcPr>
            <w:tcW w:w="1176" w:type="pct"/>
            <w:shd w:val="clear" w:color="auto" w:fill="auto"/>
          </w:tcPr>
          <w:p w14:paraId="3A5F5B53" w14:textId="39D3BAC6" w:rsidR="00E64D4B" w:rsidRPr="00D33D68" w:rsidRDefault="00E64D4B" w:rsidP="00E64D4B">
            <w:pPr>
              <w:spacing w:after="0"/>
            </w:pPr>
            <w:r w:rsidRPr="00D33D68">
              <w:rPr>
                <w:szCs w:val="20"/>
                <w:lang w:val="en-GB"/>
              </w:rPr>
              <w:t>02 - Article 55 Public health measures</w:t>
            </w:r>
          </w:p>
        </w:tc>
        <w:tc>
          <w:tcPr>
            <w:tcW w:w="810" w:type="pct"/>
          </w:tcPr>
          <w:p w14:paraId="773F6294" w14:textId="0AB10544" w:rsidR="00E64D4B" w:rsidRPr="00D33D68" w:rsidRDefault="00E64D4B" w:rsidP="00E64D4B">
            <w:pPr>
              <w:spacing w:after="0"/>
            </w:pPr>
            <w:r w:rsidRPr="00D33D68">
              <w:rPr>
                <w:szCs w:val="20"/>
                <w:lang w:val="en-GB"/>
              </w:rPr>
              <w:t>2.4 - N° of projects on increasing potential of aquaculture sites and measures on public and animal health</w:t>
            </w:r>
          </w:p>
        </w:tc>
        <w:tc>
          <w:tcPr>
            <w:tcW w:w="436" w:type="pct"/>
            <w:shd w:val="clear" w:color="auto" w:fill="auto"/>
          </w:tcPr>
          <w:p w14:paraId="55B5C964" w14:textId="65EA4BE2" w:rsidR="00E64D4B" w:rsidRPr="00D33D68" w:rsidRDefault="00DF7545" w:rsidP="00E64D4B">
            <w:pPr>
              <w:spacing w:after="0"/>
              <w:jc w:val="right"/>
            </w:pPr>
            <w:r w:rsidRPr="00D33D68">
              <w:rPr>
                <w:szCs w:val="20"/>
              </w:rPr>
              <w:t>162</w:t>
            </w:r>
            <w:r w:rsidR="00E64D4B" w:rsidRPr="00D33D68">
              <w:rPr>
                <w:szCs w:val="20"/>
                <w:lang w:val="en-GB"/>
              </w:rPr>
              <w:t>.00</w:t>
            </w:r>
          </w:p>
        </w:tc>
        <w:tc>
          <w:tcPr>
            <w:tcW w:w="484" w:type="pct"/>
            <w:shd w:val="clear" w:color="auto" w:fill="auto"/>
          </w:tcPr>
          <w:p w14:paraId="39FBE475" w14:textId="28777C8F" w:rsidR="00E64D4B" w:rsidRPr="00D33D68" w:rsidRDefault="00E64D4B" w:rsidP="00E64D4B">
            <w:pPr>
              <w:spacing w:after="0"/>
              <w:ind w:left="-104"/>
              <w:jc w:val="center"/>
            </w:pPr>
            <w:r w:rsidRPr="00D33D68">
              <w:rPr>
                <w:szCs w:val="20"/>
                <w:lang w:val="en-GB"/>
              </w:rPr>
              <w:t>Number</w:t>
            </w:r>
          </w:p>
        </w:tc>
        <w:tc>
          <w:tcPr>
            <w:tcW w:w="544" w:type="pct"/>
          </w:tcPr>
          <w:p w14:paraId="0F784243" w14:textId="77777777" w:rsidR="00E64D4B" w:rsidRPr="00D33D68" w:rsidRDefault="00E64D4B" w:rsidP="00E64D4B">
            <w:pPr>
              <w:spacing w:after="0"/>
              <w:jc w:val="center"/>
            </w:pPr>
          </w:p>
        </w:tc>
        <w:tc>
          <w:tcPr>
            <w:tcW w:w="1550" w:type="pct"/>
          </w:tcPr>
          <w:p w14:paraId="1392AB15" w14:textId="55986138" w:rsidR="00E64D4B" w:rsidRPr="00D33D68" w:rsidRDefault="00DF7545" w:rsidP="00E64D4B">
            <w:pPr>
              <w:spacing w:after="0"/>
            </w:pPr>
            <w:r w:rsidRPr="00D33D68">
              <w:t>Индикаторът е създаден при създаването на COVID-19 мерките с начална стойност 200. Бюджетът на мярка 2.6 (чл. 55, параграф 1, буква б) се намаля с 19% и се получава 2023 Target value.</w:t>
            </w:r>
          </w:p>
        </w:tc>
      </w:tr>
    </w:tbl>
    <w:p w14:paraId="56A634DA" w14:textId="77777777" w:rsidR="00771E9D" w:rsidRPr="00D33D68" w:rsidRDefault="00771E9D" w:rsidP="00771E9D">
      <w:pPr>
        <w:pStyle w:val="Text1"/>
        <w:spacing w:before="0" w:after="0"/>
        <w:ind w:left="0"/>
        <w:rPr>
          <w:lang w:val="bg-BG"/>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9"/>
        <w:gridCol w:w="6829"/>
      </w:tblGrid>
      <w:tr w:rsidR="00771E9D" w:rsidRPr="00D33D68" w14:paraId="35D3ED6A" w14:textId="77777777" w:rsidTr="006943E2">
        <w:tc>
          <w:tcPr>
            <w:tcW w:w="0" w:type="auto"/>
            <w:shd w:val="clear" w:color="auto" w:fill="auto"/>
          </w:tcPr>
          <w:p w14:paraId="41466EE1" w14:textId="77777777" w:rsidR="00771E9D" w:rsidRPr="00D33D68" w:rsidRDefault="00771E9D" w:rsidP="006943E2">
            <w:pPr>
              <w:pStyle w:val="Text1"/>
              <w:spacing w:before="0" w:after="0"/>
              <w:ind w:left="0"/>
              <w:rPr>
                <w:b/>
                <w:lang w:val="bg-BG"/>
              </w:rPr>
            </w:pPr>
            <w:r w:rsidRPr="00D33D68">
              <w:rPr>
                <w:b/>
                <w:noProof/>
                <w:lang w:val="bg-BG"/>
              </w:rPr>
              <w:t>Union priority</w:t>
            </w:r>
          </w:p>
        </w:tc>
        <w:tc>
          <w:tcPr>
            <w:tcW w:w="0" w:type="auto"/>
            <w:shd w:val="clear" w:color="auto" w:fill="auto"/>
          </w:tcPr>
          <w:p w14:paraId="461885DB" w14:textId="77777777" w:rsidR="00771E9D" w:rsidRPr="00D33D68" w:rsidRDefault="00771E9D" w:rsidP="006943E2">
            <w:pPr>
              <w:pStyle w:val="Text1"/>
              <w:spacing w:before="0" w:after="0"/>
              <w:ind w:left="0"/>
              <w:rPr>
                <w:b/>
                <w:lang w:val="bg-BG"/>
              </w:rPr>
            </w:pPr>
            <w:r w:rsidRPr="00D33D68">
              <w:rPr>
                <w:b/>
                <w:noProof/>
                <w:lang w:val="bg-BG"/>
              </w:rPr>
              <w:t>3</w:t>
            </w:r>
            <w:r w:rsidRPr="00D33D68">
              <w:rPr>
                <w:b/>
                <w:lang w:val="bg-BG"/>
              </w:rPr>
              <w:t xml:space="preserve"> - </w:t>
            </w:r>
            <w:r w:rsidRPr="00D33D68">
              <w:rPr>
                <w:b/>
                <w:noProof/>
                <w:lang w:val="bg-BG"/>
              </w:rPr>
              <w:t>Fostering the implementation of the CFP</w:t>
            </w:r>
          </w:p>
        </w:tc>
      </w:tr>
    </w:tbl>
    <w:p w14:paraId="1E47C098" w14:textId="77777777" w:rsidR="00771E9D" w:rsidRPr="00D33D68" w:rsidRDefault="00771E9D" w:rsidP="00771E9D">
      <w:pPr>
        <w:spacing w:after="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184"/>
        <w:gridCol w:w="1505"/>
        <w:gridCol w:w="810"/>
        <w:gridCol w:w="899"/>
        <w:gridCol w:w="1011"/>
        <w:gridCol w:w="2879"/>
      </w:tblGrid>
      <w:tr w:rsidR="00D33D68" w:rsidRPr="00D33D68" w14:paraId="7F0A262B" w14:textId="77777777" w:rsidTr="00E272EC">
        <w:tc>
          <w:tcPr>
            <w:tcW w:w="1176" w:type="pct"/>
            <w:shd w:val="clear" w:color="auto" w:fill="auto"/>
          </w:tcPr>
          <w:p w14:paraId="41B44CD4" w14:textId="77777777" w:rsidR="00E32516" w:rsidRPr="00D33D68" w:rsidRDefault="00E32516" w:rsidP="006943E2">
            <w:pPr>
              <w:pStyle w:val="Text1"/>
              <w:spacing w:before="0" w:after="0"/>
              <w:ind w:left="0"/>
              <w:rPr>
                <w:b/>
                <w:lang w:val="bg-BG"/>
              </w:rPr>
            </w:pPr>
            <w:r w:rsidRPr="00D33D68">
              <w:rPr>
                <w:b/>
                <w:noProof/>
                <w:lang w:val="bg-BG"/>
              </w:rPr>
              <w:t>Specific objective</w:t>
            </w:r>
          </w:p>
        </w:tc>
        <w:tc>
          <w:tcPr>
            <w:tcW w:w="3824" w:type="pct"/>
            <w:gridSpan w:val="5"/>
            <w:shd w:val="clear" w:color="auto" w:fill="auto"/>
          </w:tcPr>
          <w:p w14:paraId="3CF4310A" w14:textId="77777777" w:rsidR="00E32516" w:rsidRPr="00D33D68" w:rsidRDefault="00E32516" w:rsidP="006943E2">
            <w:pPr>
              <w:pStyle w:val="Text1"/>
              <w:spacing w:before="0" w:after="0"/>
              <w:ind w:left="0"/>
              <w:rPr>
                <w:b/>
                <w:noProof/>
                <w:lang w:val="bg-BG"/>
              </w:rPr>
            </w:pPr>
            <w:r w:rsidRPr="00D33D68">
              <w:rPr>
                <w:b/>
                <w:noProof/>
                <w:lang w:val="bg-BG"/>
              </w:rPr>
              <w:t>1</w:t>
            </w:r>
            <w:r w:rsidRPr="00D33D68">
              <w:rPr>
                <w:b/>
                <w:lang w:val="bg-BG"/>
              </w:rPr>
              <w:t xml:space="preserve"> - </w:t>
            </w:r>
            <w:r w:rsidRPr="00D33D68">
              <w:rPr>
                <w:b/>
                <w:noProof/>
                <w:lang w:val="bg-BG"/>
              </w:rPr>
              <w:t>Improvement and supply of scientific knowledge and collection and management of data</w:t>
            </w:r>
          </w:p>
        </w:tc>
      </w:tr>
      <w:tr w:rsidR="00D33D68" w:rsidRPr="00D33D68" w14:paraId="0CEBA662" w14:textId="77777777" w:rsidTr="00511333">
        <w:tc>
          <w:tcPr>
            <w:tcW w:w="1176" w:type="pct"/>
            <w:shd w:val="clear" w:color="auto" w:fill="auto"/>
          </w:tcPr>
          <w:p w14:paraId="43674225" w14:textId="77777777" w:rsidR="00E32516" w:rsidRPr="00D33D68" w:rsidRDefault="00E32516" w:rsidP="00805397">
            <w:pPr>
              <w:spacing w:after="0"/>
              <w:jc w:val="center"/>
              <w:rPr>
                <w:b/>
              </w:rPr>
            </w:pPr>
            <w:r w:rsidRPr="00D33D68">
              <w:rPr>
                <w:b/>
              </w:rPr>
              <w:t>EMFF measure</w:t>
            </w:r>
          </w:p>
        </w:tc>
        <w:tc>
          <w:tcPr>
            <w:tcW w:w="810" w:type="pct"/>
          </w:tcPr>
          <w:p w14:paraId="6B616F76" w14:textId="77777777" w:rsidR="00E32516" w:rsidRPr="00D33D68" w:rsidRDefault="00E32516" w:rsidP="00805397">
            <w:pPr>
              <w:spacing w:after="0"/>
              <w:jc w:val="center"/>
              <w:rPr>
                <w:b/>
              </w:rPr>
            </w:pPr>
            <w:r w:rsidRPr="00D33D68">
              <w:rPr>
                <w:b/>
              </w:rPr>
              <w:t>Output indicator</w:t>
            </w:r>
          </w:p>
        </w:tc>
        <w:tc>
          <w:tcPr>
            <w:tcW w:w="436" w:type="pct"/>
            <w:shd w:val="clear" w:color="auto" w:fill="auto"/>
          </w:tcPr>
          <w:p w14:paraId="13FE02E6" w14:textId="77777777" w:rsidR="00E32516" w:rsidRPr="00D33D68" w:rsidRDefault="00E32516" w:rsidP="00E272EC">
            <w:pPr>
              <w:spacing w:after="0"/>
              <w:ind w:left="-109"/>
              <w:jc w:val="center"/>
              <w:rPr>
                <w:b/>
              </w:rPr>
            </w:pPr>
            <w:r w:rsidRPr="00D33D68">
              <w:rPr>
                <w:b/>
              </w:rPr>
              <w:t>Target value for 2023</w:t>
            </w:r>
          </w:p>
          <w:p w14:paraId="12C1DCF1" w14:textId="77777777" w:rsidR="00805397" w:rsidRPr="00D33D68" w:rsidRDefault="00805397" w:rsidP="00E272EC">
            <w:pPr>
              <w:spacing w:after="0"/>
              <w:ind w:left="-109"/>
              <w:jc w:val="center"/>
              <w:rPr>
                <w:b/>
              </w:rPr>
            </w:pPr>
            <w:r w:rsidRPr="00D33D68">
              <w:rPr>
                <w:b/>
              </w:rPr>
              <w:t>(new)</w:t>
            </w:r>
          </w:p>
        </w:tc>
        <w:tc>
          <w:tcPr>
            <w:tcW w:w="484" w:type="pct"/>
            <w:shd w:val="clear" w:color="auto" w:fill="auto"/>
          </w:tcPr>
          <w:p w14:paraId="3245C38C" w14:textId="77777777" w:rsidR="00E32516" w:rsidRPr="00D33D68" w:rsidRDefault="00E32516" w:rsidP="00F56206">
            <w:pPr>
              <w:spacing w:after="0"/>
              <w:ind w:left="-104"/>
              <w:jc w:val="center"/>
              <w:rPr>
                <w:b/>
              </w:rPr>
            </w:pPr>
            <w:r w:rsidRPr="00D33D68">
              <w:rPr>
                <w:b/>
              </w:rPr>
              <w:t>Measurement unit</w:t>
            </w:r>
          </w:p>
        </w:tc>
        <w:tc>
          <w:tcPr>
            <w:tcW w:w="544" w:type="pct"/>
          </w:tcPr>
          <w:p w14:paraId="396B9BF7" w14:textId="77777777" w:rsidR="00E32516" w:rsidRPr="00D33D68" w:rsidRDefault="00E32516" w:rsidP="00DB142B">
            <w:pPr>
              <w:spacing w:after="0"/>
              <w:ind w:left="-110" w:right="-150"/>
              <w:jc w:val="center"/>
              <w:rPr>
                <w:b/>
              </w:rPr>
            </w:pPr>
            <w:r w:rsidRPr="00D33D68">
              <w:rPr>
                <w:b/>
              </w:rPr>
              <w:t>Include in the Performance Framewo</w:t>
            </w:r>
            <w:r w:rsidRPr="00D33D68">
              <w:rPr>
                <w:b/>
              </w:rPr>
              <w:lastRenderedPageBreak/>
              <w:t>rk</w:t>
            </w:r>
          </w:p>
        </w:tc>
        <w:tc>
          <w:tcPr>
            <w:tcW w:w="1549" w:type="pct"/>
          </w:tcPr>
          <w:p w14:paraId="704B1EDB" w14:textId="304AE0C9" w:rsidR="00E32516" w:rsidRPr="00D33D68" w:rsidRDefault="00BA4AD7" w:rsidP="00805397">
            <w:pPr>
              <w:spacing w:after="0"/>
              <w:ind w:left="-108" w:right="-108"/>
              <w:jc w:val="center"/>
              <w:rPr>
                <w:b/>
              </w:rPr>
            </w:pPr>
            <w:r w:rsidRPr="00D33D68">
              <w:rPr>
                <w:b/>
              </w:rPr>
              <w:lastRenderedPageBreak/>
              <w:t>Explanation</w:t>
            </w:r>
          </w:p>
        </w:tc>
      </w:tr>
      <w:tr w:rsidR="00DB142B" w:rsidRPr="00D33D68" w14:paraId="3BA7C79A" w14:textId="77777777" w:rsidTr="00511333">
        <w:tc>
          <w:tcPr>
            <w:tcW w:w="1176" w:type="pct"/>
            <w:shd w:val="clear" w:color="auto" w:fill="auto"/>
          </w:tcPr>
          <w:p w14:paraId="475AA397" w14:textId="77777777" w:rsidR="00E32516" w:rsidRPr="00D33D68" w:rsidRDefault="00E32516" w:rsidP="006943E2">
            <w:pPr>
              <w:spacing w:after="0"/>
            </w:pPr>
            <w:r w:rsidRPr="00D33D68">
              <w:lastRenderedPageBreak/>
              <w:t>01 - Article 77 Data collection</w:t>
            </w:r>
          </w:p>
        </w:tc>
        <w:tc>
          <w:tcPr>
            <w:tcW w:w="810" w:type="pct"/>
          </w:tcPr>
          <w:p w14:paraId="7B42B536" w14:textId="77777777" w:rsidR="00E32516" w:rsidRPr="00D33D68" w:rsidRDefault="00E32516" w:rsidP="006943E2">
            <w:pPr>
              <w:spacing w:after="0"/>
            </w:pPr>
            <w:r w:rsidRPr="00D33D68">
              <w:t>3.2 - N° of projects on supporting the collection, management and use of data</w:t>
            </w:r>
          </w:p>
        </w:tc>
        <w:tc>
          <w:tcPr>
            <w:tcW w:w="436" w:type="pct"/>
            <w:shd w:val="clear" w:color="auto" w:fill="auto"/>
          </w:tcPr>
          <w:p w14:paraId="492EE542" w14:textId="1BCB5708" w:rsidR="00E32516" w:rsidRPr="00D33D68" w:rsidRDefault="00222B96" w:rsidP="001F603D">
            <w:pPr>
              <w:spacing w:after="0"/>
              <w:jc w:val="right"/>
            </w:pPr>
            <w:r w:rsidRPr="00D33D68">
              <w:t>2</w:t>
            </w:r>
          </w:p>
        </w:tc>
        <w:tc>
          <w:tcPr>
            <w:tcW w:w="484" w:type="pct"/>
            <w:shd w:val="clear" w:color="auto" w:fill="auto"/>
          </w:tcPr>
          <w:p w14:paraId="271DEC92" w14:textId="77777777" w:rsidR="00E32516" w:rsidRPr="00D33D68" w:rsidRDefault="00E32516" w:rsidP="00F56206">
            <w:pPr>
              <w:spacing w:after="0"/>
              <w:ind w:left="-104"/>
            </w:pPr>
            <w:r w:rsidRPr="00D33D68">
              <w:t>Number</w:t>
            </w:r>
          </w:p>
        </w:tc>
        <w:tc>
          <w:tcPr>
            <w:tcW w:w="544" w:type="pct"/>
          </w:tcPr>
          <w:p w14:paraId="42095D7A" w14:textId="77777777" w:rsidR="00E32516" w:rsidRPr="00D33D68" w:rsidRDefault="00E32516" w:rsidP="006943E2">
            <w:pPr>
              <w:spacing w:after="0"/>
              <w:jc w:val="center"/>
            </w:pPr>
            <w:r w:rsidRPr="00D33D68">
              <w:rPr>
                <w:lang w:eastAsia="en-GB"/>
              </w:rPr>
              <w:sym w:font="Wingdings" w:char="F0FC"/>
            </w:r>
          </w:p>
        </w:tc>
        <w:tc>
          <w:tcPr>
            <w:tcW w:w="1549" w:type="pct"/>
          </w:tcPr>
          <w:p w14:paraId="4E9D53AC" w14:textId="77777777" w:rsidR="00D0020A" w:rsidRPr="00D33D68" w:rsidRDefault="00121495" w:rsidP="00DE56FA">
            <w:pPr>
              <w:spacing w:after="0"/>
            </w:pPr>
            <w:r w:rsidRPr="00D33D68">
              <w:t>Индикаторът се образува от м</w:t>
            </w:r>
            <w:r w:rsidR="00B02F6B" w:rsidRPr="00D33D68">
              <w:t>я</w:t>
            </w:r>
            <w:r w:rsidRPr="00D33D68">
              <w:t>рк</w:t>
            </w:r>
            <w:r w:rsidR="00C35BAF" w:rsidRPr="00D33D68">
              <w:t>а 3.2</w:t>
            </w:r>
            <w:r w:rsidRPr="00D33D68">
              <w:t xml:space="preserve">. Начална стойност </w:t>
            </w:r>
            <w:r w:rsidR="00C35BAF" w:rsidRPr="00D33D68">
              <w:t>2</w:t>
            </w:r>
            <w:r w:rsidRPr="00D33D68">
              <w:t xml:space="preserve">. Намаляването на бюджета на </w:t>
            </w:r>
            <w:r w:rsidR="00B02F6B" w:rsidRPr="00D33D68">
              <w:t>мярка 3.2</w:t>
            </w:r>
            <w:r w:rsidRPr="00D33D68">
              <w:t xml:space="preserve"> с </w:t>
            </w:r>
            <w:r w:rsidR="00C35BAF" w:rsidRPr="00D33D68">
              <w:t>16,31</w:t>
            </w:r>
            <w:r w:rsidRPr="00D33D68">
              <w:t xml:space="preserve">% при 1вата стъпка </w:t>
            </w:r>
            <w:r w:rsidR="00C35BAF" w:rsidRPr="00D33D68">
              <w:t>не променя индикатора поради закръгляне</w:t>
            </w:r>
            <w:r w:rsidRPr="00D33D68">
              <w:t xml:space="preserve">. </w:t>
            </w:r>
          </w:p>
          <w:p w14:paraId="7C53F340" w14:textId="32D91F95" w:rsidR="00121495" w:rsidRPr="00D33D68" w:rsidRDefault="00222B96" w:rsidP="00DE56FA">
            <w:pPr>
              <w:spacing w:after="0"/>
              <w:rPr>
                <w:lang w:eastAsia="en-GB"/>
              </w:rPr>
            </w:pPr>
            <w:r w:rsidRPr="00D33D68">
              <w:t xml:space="preserve">При следващите изменения стойностите на индикатора не се променят </w:t>
            </w:r>
            <w:r w:rsidR="00121495" w:rsidRPr="00D33D68">
              <w:t>и се получава 2023 Target value.</w:t>
            </w:r>
          </w:p>
        </w:tc>
      </w:tr>
    </w:tbl>
    <w:p w14:paraId="768B710A" w14:textId="77777777" w:rsidR="00771E9D" w:rsidRPr="00D33D68" w:rsidRDefault="00771E9D" w:rsidP="00771E9D">
      <w:pPr>
        <w:pStyle w:val="Text1"/>
        <w:spacing w:before="0" w:after="0"/>
        <w:ind w:left="0"/>
        <w:rPr>
          <w:lang w:val="bg-BG"/>
        </w:rPr>
      </w:pPr>
    </w:p>
    <w:tbl>
      <w:tblPr>
        <w:tblW w:w="498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189"/>
        <w:gridCol w:w="1501"/>
        <w:gridCol w:w="810"/>
        <w:gridCol w:w="899"/>
        <w:gridCol w:w="1014"/>
        <w:gridCol w:w="2838"/>
      </w:tblGrid>
      <w:tr w:rsidR="00D33D68" w:rsidRPr="00D33D68" w14:paraId="5168EE8A" w14:textId="77777777" w:rsidTr="00E272EC">
        <w:tc>
          <w:tcPr>
            <w:tcW w:w="1183" w:type="pct"/>
            <w:shd w:val="clear" w:color="auto" w:fill="auto"/>
          </w:tcPr>
          <w:p w14:paraId="5E7C79CD" w14:textId="77777777" w:rsidR="007018E6" w:rsidRPr="00D33D68" w:rsidRDefault="007018E6" w:rsidP="006943E2">
            <w:pPr>
              <w:pStyle w:val="Text1"/>
              <w:spacing w:before="0" w:after="0"/>
              <w:ind w:left="0"/>
              <w:rPr>
                <w:b/>
                <w:lang w:val="bg-BG"/>
              </w:rPr>
            </w:pPr>
            <w:r w:rsidRPr="00D33D68">
              <w:rPr>
                <w:b/>
                <w:noProof/>
                <w:lang w:val="bg-BG"/>
              </w:rPr>
              <w:t>Specific objective</w:t>
            </w:r>
          </w:p>
        </w:tc>
        <w:tc>
          <w:tcPr>
            <w:tcW w:w="3817" w:type="pct"/>
            <w:gridSpan w:val="5"/>
            <w:shd w:val="clear" w:color="auto" w:fill="auto"/>
          </w:tcPr>
          <w:p w14:paraId="6859A056" w14:textId="77777777" w:rsidR="007018E6" w:rsidRPr="00D33D68" w:rsidRDefault="007018E6" w:rsidP="006943E2">
            <w:pPr>
              <w:pStyle w:val="Text1"/>
              <w:spacing w:before="0" w:after="0"/>
              <w:ind w:left="0"/>
              <w:rPr>
                <w:b/>
                <w:noProof/>
                <w:lang w:val="bg-BG"/>
              </w:rPr>
            </w:pPr>
            <w:r w:rsidRPr="00D33D68">
              <w:rPr>
                <w:b/>
                <w:noProof/>
                <w:lang w:val="bg-BG"/>
              </w:rPr>
              <w:t>2</w:t>
            </w:r>
            <w:r w:rsidRPr="00D33D68">
              <w:rPr>
                <w:b/>
                <w:lang w:val="bg-BG"/>
              </w:rPr>
              <w:t xml:space="preserve"> - </w:t>
            </w:r>
            <w:r w:rsidRPr="00D33D68">
              <w:rPr>
                <w:b/>
                <w:noProof/>
                <w:lang w:val="bg-BG"/>
              </w:rPr>
              <w:t>Provision of support to monitoring, control and enforcement, enhancing institutional capacity and the efficiency of public administration, without increasing the administrative burden</w:t>
            </w:r>
          </w:p>
        </w:tc>
      </w:tr>
      <w:tr w:rsidR="00D33D68" w:rsidRPr="00D33D68" w14:paraId="1DA81791" w14:textId="77777777" w:rsidTr="00511333">
        <w:tc>
          <w:tcPr>
            <w:tcW w:w="1183" w:type="pct"/>
            <w:shd w:val="clear" w:color="auto" w:fill="auto"/>
          </w:tcPr>
          <w:p w14:paraId="4194022B" w14:textId="77777777" w:rsidR="007018E6" w:rsidRPr="00D33D68" w:rsidRDefault="007018E6" w:rsidP="007018E6">
            <w:pPr>
              <w:spacing w:after="0"/>
              <w:jc w:val="center"/>
              <w:rPr>
                <w:b/>
              </w:rPr>
            </w:pPr>
            <w:r w:rsidRPr="00D33D68">
              <w:rPr>
                <w:b/>
              </w:rPr>
              <w:t>EMFF measure</w:t>
            </w:r>
          </w:p>
        </w:tc>
        <w:tc>
          <w:tcPr>
            <w:tcW w:w="811" w:type="pct"/>
          </w:tcPr>
          <w:p w14:paraId="662403E2" w14:textId="77777777" w:rsidR="007018E6" w:rsidRPr="00D33D68" w:rsidRDefault="007018E6" w:rsidP="007018E6">
            <w:pPr>
              <w:spacing w:after="0"/>
              <w:jc w:val="center"/>
              <w:rPr>
                <w:b/>
              </w:rPr>
            </w:pPr>
            <w:r w:rsidRPr="00D33D68">
              <w:rPr>
                <w:b/>
              </w:rPr>
              <w:t>Output indicator</w:t>
            </w:r>
          </w:p>
        </w:tc>
        <w:tc>
          <w:tcPr>
            <w:tcW w:w="438" w:type="pct"/>
            <w:shd w:val="clear" w:color="auto" w:fill="auto"/>
          </w:tcPr>
          <w:p w14:paraId="0EB5F442" w14:textId="77777777" w:rsidR="007018E6" w:rsidRPr="00D33D68" w:rsidRDefault="007018E6" w:rsidP="00E272EC">
            <w:pPr>
              <w:spacing w:after="0"/>
              <w:ind w:left="-111"/>
              <w:jc w:val="center"/>
              <w:rPr>
                <w:b/>
              </w:rPr>
            </w:pPr>
            <w:r w:rsidRPr="00D33D68">
              <w:rPr>
                <w:b/>
              </w:rPr>
              <w:t>Target value for 2023</w:t>
            </w:r>
          </w:p>
          <w:p w14:paraId="756844D1" w14:textId="77777777" w:rsidR="00805397" w:rsidRPr="00D33D68" w:rsidRDefault="00805397" w:rsidP="00E272EC">
            <w:pPr>
              <w:spacing w:after="0"/>
              <w:ind w:left="-111"/>
              <w:jc w:val="center"/>
              <w:rPr>
                <w:b/>
              </w:rPr>
            </w:pPr>
            <w:r w:rsidRPr="00D33D68">
              <w:rPr>
                <w:b/>
              </w:rPr>
              <w:t>(new)</w:t>
            </w:r>
          </w:p>
        </w:tc>
        <w:tc>
          <w:tcPr>
            <w:tcW w:w="486" w:type="pct"/>
            <w:shd w:val="clear" w:color="auto" w:fill="auto"/>
          </w:tcPr>
          <w:p w14:paraId="3C24F2A6" w14:textId="77777777" w:rsidR="007018E6" w:rsidRPr="00D33D68" w:rsidRDefault="007018E6" w:rsidP="00CA20C2">
            <w:pPr>
              <w:spacing w:after="0"/>
              <w:ind w:left="-104"/>
              <w:jc w:val="center"/>
              <w:rPr>
                <w:b/>
              </w:rPr>
            </w:pPr>
            <w:r w:rsidRPr="00D33D68">
              <w:rPr>
                <w:b/>
              </w:rPr>
              <w:t>Measurement unit</w:t>
            </w:r>
          </w:p>
        </w:tc>
        <w:tc>
          <w:tcPr>
            <w:tcW w:w="548" w:type="pct"/>
          </w:tcPr>
          <w:p w14:paraId="707D935B" w14:textId="77777777" w:rsidR="007018E6" w:rsidRPr="00D33D68" w:rsidRDefault="007018E6" w:rsidP="00AB68B3">
            <w:pPr>
              <w:spacing w:after="0"/>
              <w:ind w:left="-110" w:right="-110"/>
              <w:jc w:val="center"/>
              <w:rPr>
                <w:b/>
              </w:rPr>
            </w:pPr>
            <w:r w:rsidRPr="00D33D68">
              <w:rPr>
                <w:b/>
              </w:rPr>
              <w:t>Include in the Performance Framework</w:t>
            </w:r>
          </w:p>
        </w:tc>
        <w:tc>
          <w:tcPr>
            <w:tcW w:w="1534" w:type="pct"/>
          </w:tcPr>
          <w:p w14:paraId="1C8B0E16" w14:textId="77777777" w:rsidR="007018E6" w:rsidRPr="00D33D68" w:rsidRDefault="007018E6" w:rsidP="007018E6">
            <w:pPr>
              <w:spacing w:after="0"/>
              <w:ind w:left="-108" w:right="-108"/>
              <w:jc w:val="center"/>
              <w:rPr>
                <w:b/>
              </w:rPr>
            </w:pPr>
            <w:r w:rsidRPr="00D33D68">
              <w:rPr>
                <w:b/>
              </w:rPr>
              <w:t>Initial</w:t>
            </w:r>
          </w:p>
        </w:tc>
      </w:tr>
      <w:tr w:rsidR="00AB68B3" w:rsidRPr="00D33D68" w14:paraId="5110E219" w14:textId="77777777" w:rsidTr="00511333">
        <w:tc>
          <w:tcPr>
            <w:tcW w:w="1183" w:type="pct"/>
            <w:shd w:val="clear" w:color="auto" w:fill="auto"/>
          </w:tcPr>
          <w:p w14:paraId="549CEAA5" w14:textId="77777777" w:rsidR="007018E6" w:rsidRPr="00D33D68" w:rsidRDefault="007018E6" w:rsidP="006943E2">
            <w:pPr>
              <w:spacing w:after="0"/>
            </w:pPr>
            <w:r w:rsidRPr="00D33D68">
              <w:t>01 - Article 76 Control and enforcement</w:t>
            </w:r>
          </w:p>
        </w:tc>
        <w:tc>
          <w:tcPr>
            <w:tcW w:w="811" w:type="pct"/>
          </w:tcPr>
          <w:p w14:paraId="22E29509" w14:textId="77777777" w:rsidR="007018E6" w:rsidRPr="00D33D68" w:rsidRDefault="007018E6" w:rsidP="006943E2">
            <w:pPr>
              <w:spacing w:after="0"/>
            </w:pPr>
            <w:r w:rsidRPr="00D33D68">
              <w:t>3.1 - N° of projects on implementing the Union's control, inspections and enforcement system</w:t>
            </w:r>
          </w:p>
        </w:tc>
        <w:tc>
          <w:tcPr>
            <w:tcW w:w="438" w:type="pct"/>
            <w:shd w:val="clear" w:color="auto" w:fill="auto"/>
          </w:tcPr>
          <w:p w14:paraId="697C2C9F" w14:textId="198D7825" w:rsidR="007018E6" w:rsidRPr="00D33D68" w:rsidRDefault="00BD54F9" w:rsidP="006943E2">
            <w:pPr>
              <w:spacing w:after="0"/>
              <w:jc w:val="right"/>
            </w:pPr>
            <w:r w:rsidRPr="00D33D68">
              <w:t>20</w:t>
            </w:r>
          </w:p>
        </w:tc>
        <w:tc>
          <w:tcPr>
            <w:tcW w:w="486" w:type="pct"/>
            <w:shd w:val="clear" w:color="auto" w:fill="auto"/>
          </w:tcPr>
          <w:p w14:paraId="5BC8ABFF" w14:textId="77777777" w:rsidR="007018E6" w:rsidRPr="00D33D68" w:rsidRDefault="007018E6" w:rsidP="00CA20C2">
            <w:pPr>
              <w:spacing w:after="0"/>
              <w:ind w:left="-104"/>
            </w:pPr>
            <w:r w:rsidRPr="00D33D68">
              <w:t>Number</w:t>
            </w:r>
          </w:p>
        </w:tc>
        <w:tc>
          <w:tcPr>
            <w:tcW w:w="548" w:type="pct"/>
          </w:tcPr>
          <w:p w14:paraId="3C7B467B" w14:textId="77777777" w:rsidR="007018E6" w:rsidRPr="00D33D68" w:rsidRDefault="007018E6" w:rsidP="006943E2">
            <w:pPr>
              <w:spacing w:after="0"/>
              <w:jc w:val="center"/>
            </w:pPr>
            <w:r w:rsidRPr="00D33D68">
              <w:rPr>
                <w:lang w:eastAsia="en-GB"/>
              </w:rPr>
              <w:sym w:font="Wingdings" w:char="F0FC"/>
            </w:r>
          </w:p>
        </w:tc>
        <w:tc>
          <w:tcPr>
            <w:tcW w:w="1534" w:type="pct"/>
          </w:tcPr>
          <w:p w14:paraId="7C1753F2" w14:textId="77777777" w:rsidR="00D0020A" w:rsidRPr="00D33D68" w:rsidRDefault="00F4388A" w:rsidP="00823C4F">
            <w:pPr>
              <w:spacing w:after="0"/>
            </w:pPr>
            <w:r w:rsidRPr="00D33D68">
              <w:t>Индикаторът се образува от м</w:t>
            </w:r>
            <w:r w:rsidR="00823C4F" w:rsidRPr="00D33D68">
              <w:t>я</w:t>
            </w:r>
            <w:r w:rsidRPr="00D33D68">
              <w:t>рк</w:t>
            </w:r>
            <w:r w:rsidR="00823C4F" w:rsidRPr="00D33D68">
              <w:t>а</w:t>
            </w:r>
            <w:r w:rsidRPr="00D33D68">
              <w:t xml:space="preserve"> </w:t>
            </w:r>
            <w:r w:rsidR="00006E04" w:rsidRPr="00D33D68">
              <w:t>3.1</w:t>
            </w:r>
            <w:r w:rsidRPr="00D33D68">
              <w:t xml:space="preserve">. Начална стойност </w:t>
            </w:r>
            <w:r w:rsidR="00006E04" w:rsidRPr="00D33D68">
              <w:t>20.</w:t>
            </w:r>
            <w:r w:rsidRPr="00D33D68">
              <w:t xml:space="preserve"> При 1вата стъпка индикатора не се променя. </w:t>
            </w:r>
          </w:p>
          <w:p w14:paraId="604BA54A" w14:textId="3FB6B528" w:rsidR="00F4388A" w:rsidRPr="00D33D68" w:rsidRDefault="00222B96" w:rsidP="00823C4F">
            <w:pPr>
              <w:spacing w:after="0"/>
              <w:rPr>
                <w:lang w:eastAsia="en-GB"/>
              </w:rPr>
            </w:pPr>
            <w:r w:rsidRPr="00D33D68">
              <w:t>При следващите изменения стойности</w:t>
            </w:r>
            <w:r w:rsidR="00D0020A" w:rsidRPr="00D33D68">
              <w:t>те на индикатора не се променят</w:t>
            </w:r>
            <w:r w:rsidRPr="00D33D68">
              <w:t xml:space="preserve"> и се получава 2023 Target value.</w:t>
            </w:r>
          </w:p>
        </w:tc>
      </w:tr>
    </w:tbl>
    <w:p w14:paraId="20226D95" w14:textId="196C99D5" w:rsidR="00771E9D" w:rsidRPr="00D33D68" w:rsidRDefault="00771E9D" w:rsidP="00771E9D">
      <w:pPr>
        <w:pStyle w:val="Text1"/>
        <w:spacing w:before="0" w:after="0"/>
        <w:ind w:left="0"/>
        <w:rPr>
          <w:lang w:val="bg-BG"/>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2"/>
        <w:gridCol w:w="7066"/>
      </w:tblGrid>
      <w:tr w:rsidR="00771E9D" w:rsidRPr="00D33D68" w14:paraId="1E7E17CF" w14:textId="77777777" w:rsidTr="006943E2">
        <w:tc>
          <w:tcPr>
            <w:tcW w:w="0" w:type="auto"/>
            <w:shd w:val="clear" w:color="auto" w:fill="auto"/>
          </w:tcPr>
          <w:p w14:paraId="63D2BD3A" w14:textId="77777777" w:rsidR="00771E9D" w:rsidRPr="00D33D68" w:rsidRDefault="00771E9D" w:rsidP="006943E2">
            <w:pPr>
              <w:pStyle w:val="Text1"/>
              <w:spacing w:before="0" w:after="0"/>
              <w:ind w:left="0"/>
              <w:rPr>
                <w:b/>
                <w:lang w:val="bg-BG"/>
              </w:rPr>
            </w:pPr>
            <w:r w:rsidRPr="00D33D68">
              <w:rPr>
                <w:b/>
                <w:noProof/>
                <w:lang w:val="bg-BG"/>
              </w:rPr>
              <w:t>Union priority</w:t>
            </w:r>
          </w:p>
        </w:tc>
        <w:tc>
          <w:tcPr>
            <w:tcW w:w="0" w:type="auto"/>
            <w:shd w:val="clear" w:color="auto" w:fill="auto"/>
          </w:tcPr>
          <w:p w14:paraId="26B23A94" w14:textId="77777777" w:rsidR="00771E9D" w:rsidRPr="00D33D68" w:rsidRDefault="00771E9D" w:rsidP="006943E2">
            <w:pPr>
              <w:pStyle w:val="Text1"/>
              <w:spacing w:before="0" w:after="0"/>
              <w:ind w:left="0"/>
              <w:rPr>
                <w:b/>
                <w:lang w:val="bg-BG"/>
              </w:rPr>
            </w:pPr>
            <w:r w:rsidRPr="00D33D68">
              <w:rPr>
                <w:b/>
                <w:noProof/>
                <w:lang w:val="bg-BG"/>
              </w:rPr>
              <w:t>4</w:t>
            </w:r>
            <w:r w:rsidRPr="00D33D68">
              <w:rPr>
                <w:b/>
                <w:lang w:val="bg-BG"/>
              </w:rPr>
              <w:t xml:space="preserve"> - </w:t>
            </w:r>
            <w:r w:rsidRPr="00D33D68">
              <w:rPr>
                <w:b/>
                <w:noProof/>
                <w:lang w:val="bg-BG"/>
              </w:rPr>
              <w:t>Increasing employment and territorial cohesion</w:t>
            </w:r>
          </w:p>
        </w:tc>
      </w:tr>
    </w:tbl>
    <w:p w14:paraId="66642415" w14:textId="77777777" w:rsidR="00771E9D" w:rsidRPr="00D33D68" w:rsidRDefault="00771E9D" w:rsidP="00771E9D">
      <w:pPr>
        <w:spacing w:after="0"/>
      </w:pPr>
    </w:p>
    <w:tbl>
      <w:tblPr>
        <w:tblW w:w="498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189"/>
        <w:gridCol w:w="1412"/>
        <w:gridCol w:w="899"/>
        <w:gridCol w:w="899"/>
        <w:gridCol w:w="1016"/>
        <w:gridCol w:w="2836"/>
      </w:tblGrid>
      <w:tr w:rsidR="00D33D68" w:rsidRPr="00D33D68" w14:paraId="2B606263" w14:textId="77777777" w:rsidTr="00E56711">
        <w:tc>
          <w:tcPr>
            <w:tcW w:w="1183" w:type="pct"/>
            <w:shd w:val="clear" w:color="auto" w:fill="auto"/>
          </w:tcPr>
          <w:p w14:paraId="2AC92933" w14:textId="77777777" w:rsidR="00ED1443" w:rsidRPr="00D33D68" w:rsidRDefault="00ED1443" w:rsidP="006943E2">
            <w:pPr>
              <w:pStyle w:val="Text1"/>
              <w:spacing w:before="0" w:after="0"/>
              <w:ind w:left="0"/>
              <w:rPr>
                <w:b/>
                <w:lang w:val="bg-BG"/>
              </w:rPr>
            </w:pPr>
            <w:r w:rsidRPr="00D33D68">
              <w:rPr>
                <w:b/>
                <w:noProof/>
                <w:lang w:val="bg-BG"/>
              </w:rPr>
              <w:t>Specific objective</w:t>
            </w:r>
          </w:p>
        </w:tc>
        <w:tc>
          <w:tcPr>
            <w:tcW w:w="3817" w:type="pct"/>
            <w:gridSpan w:val="5"/>
            <w:shd w:val="clear" w:color="auto" w:fill="auto"/>
          </w:tcPr>
          <w:p w14:paraId="023E4EC4" w14:textId="77777777" w:rsidR="00ED1443" w:rsidRPr="00D33D68" w:rsidRDefault="00ED1443" w:rsidP="006943E2">
            <w:pPr>
              <w:pStyle w:val="Text1"/>
              <w:spacing w:before="0" w:after="0"/>
              <w:ind w:left="0"/>
              <w:rPr>
                <w:b/>
                <w:noProof/>
                <w:lang w:val="bg-BG"/>
              </w:rPr>
            </w:pPr>
            <w:r w:rsidRPr="00D33D68">
              <w:rPr>
                <w:b/>
                <w:noProof/>
                <w:lang w:val="bg-BG"/>
              </w:rPr>
              <w:t>1</w:t>
            </w:r>
            <w:r w:rsidRPr="00D33D68">
              <w:rPr>
                <w:b/>
                <w:lang w:val="bg-BG"/>
              </w:rPr>
              <w:t xml:space="preserve"> - </w:t>
            </w:r>
            <w:r w:rsidRPr="00D33D68">
              <w:rPr>
                <w:b/>
                <w:noProof/>
                <w:lang w:val="bg-BG"/>
              </w:rPr>
              <w:t>Promotion of economic growth, social inclusion and job creation, and providing support to employability and labour mobility in coastal and inland communities which depend on fishing and aquaculture, including the diversification of activities within fisheries and into other sectors of maritime economy</w:t>
            </w:r>
          </w:p>
        </w:tc>
      </w:tr>
      <w:tr w:rsidR="00D33D68" w:rsidRPr="00D33D68" w14:paraId="1FE47242" w14:textId="77777777" w:rsidTr="00511333">
        <w:tc>
          <w:tcPr>
            <w:tcW w:w="1183" w:type="pct"/>
            <w:shd w:val="clear" w:color="auto" w:fill="auto"/>
          </w:tcPr>
          <w:p w14:paraId="2BAB37C0" w14:textId="77777777" w:rsidR="00ED1443" w:rsidRPr="00D33D68" w:rsidRDefault="00ED1443" w:rsidP="001006CE">
            <w:pPr>
              <w:spacing w:after="0"/>
              <w:jc w:val="center"/>
              <w:rPr>
                <w:b/>
              </w:rPr>
            </w:pPr>
            <w:r w:rsidRPr="00D33D68">
              <w:rPr>
                <w:b/>
              </w:rPr>
              <w:t>EMFF measure</w:t>
            </w:r>
          </w:p>
        </w:tc>
        <w:tc>
          <w:tcPr>
            <w:tcW w:w="763" w:type="pct"/>
          </w:tcPr>
          <w:p w14:paraId="62868BAD" w14:textId="77777777" w:rsidR="00ED1443" w:rsidRPr="00D33D68" w:rsidRDefault="00ED1443" w:rsidP="001006CE">
            <w:pPr>
              <w:spacing w:after="0"/>
              <w:jc w:val="center"/>
              <w:rPr>
                <w:b/>
              </w:rPr>
            </w:pPr>
            <w:r w:rsidRPr="00D33D68">
              <w:rPr>
                <w:b/>
              </w:rPr>
              <w:t>Output indicator</w:t>
            </w:r>
          </w:p>
        </w:tc>
        <w:tc>
          <w:tcPr>
            <w:tcW w:w="486" w:type="pct"/>
            <w:shd w:val="clear" w:color="auto" w:fill="auto"/>
          </w:tcPr>
          <w:p w14:paraId="5EA95E43" w14:textId="77777777" w:rsidR="00ED1443" w:rsidRPr="00D33D68" w:rsidRDefault="00ED1443" w:rsidP="00E56711">
            <w:pPr>
              <w:spacing w:after="0"/>
              <w:ind w:left="-108"/>
              <w:jc w:val="center"/>
              <w:rPr>
                <w:b/>
              </w:rPr>
            </w:pPr>
            <w:r w:rsidRPr="00D33D68">
              <w:rPr>
                <w:b/>
              </w:rPr>
              <w:t xml:space="preserve">Target value for </w:t>
            </w:r>
            <w:r w:rsidRPr="00D33D68">
              <w:rPr>
                <w:b/>
              </w:rPr>
              <w:lastRenderedPageBreak/>
              <w:t>2023</w:t>
            </w:r>
          </w:p>
          <w:p w14:paraId="22921831" w14:textId="77777777" w:rsidR="002E4592" w:rsidRPr="00D33D68" w:rsidRDefault="002E4592" w:rsidP="00E56711">
            <w:pPr>
              <w:spacing w:after="0"/>
              <w:ind w:left="-108"/>
              <w:jc w:val="center"/>
              <w:rPr>
                <w:b/>
              </w:rPr>
            </w:pPr>
            <w:r w:rsidRPr="00D33D68">
              <w:rPr>
                <w:b/>
              </w:rPr>
              <w:t>(new)</w:t>
            </w:r>
          </w:p>
        </w:tc>
        <w:tc>
          <w:tcPr>
            <w:tcW w:w="486" w:type="pct"/>
            <w:shd w:val="clear" w:color="auto" w:fill="auto"/>
          </w:tcPr>
          <w:p w14:paraId="59B6E033" w14:textId="77777777" w:rsidR="00ED1443" w:rsidRPr="00D33D68" w:rsidRDefault="00ED1443" w:rsidP="00D349F6">
            <w:pPr>
              <w:spacing w:after="0"/>
              <w:ind w:left="-104"/>
              <w:jc w:val="center"/>
              <w:rPr>
                <w:b/>
              </w:rPr>
            </w:pPr>
            <w:r w:rsidRPr="00D33D68">
              <w:rPr>
                <w:b/>
              </w:rPr>
              <w:lastRenderedPageBreak/>
              <w:t>Measurement unit</w:t>
            </w:r>
          </w:p>
        </w:tc>
        <w:tc>
          <w:tcPr>
            <w:tcW w:w="549" w:type="pct"/>
          </w:tcPr>
          <w:p w14:paraId="57C3DA8B" w14:textId="77777777" w:rsidR="00ED1443" w:rsidRPr="00D33D68" w:rsidRDefault="00ED1443" w:rsidP="00D34697">
            <w:pPr>
              <w:spacing w:after="0"/>
              <w:ind w:left="-110" w:right="-110"/>
              <w:jc w:val="center"/>
              <w:rPr>
                <w:b/>
              </w:rPr>
            </w:pPr>
            <w:r w:rsidRPr="00D33D68">
              <w:rPr>
                <w:b/>
              </w:rPr>
              <w:t>Include in the Performa</w:t>
            </w:r>
            <w:r w:rsidRPr="00D33D68">
              <w:rPr>
                <w:b/>
              </w:rPr>
              <w:lastRenderedPageBreak/>
              <w:t>nce Framework</w:t>
            </w:r>
          </w:p>
        </w:tc>
        <w:tc>
          <w:tcPr>
            <w:tcW w:w="1533" w:type="pct"/>
          </w:tcPr>
          <w:p w14:paraId="0FA3F46B" w14:textId="362EC772" w:rsidR="00ED1443" w:rsidRPr="00D33D68" w:rsidRDefault="00B51014" w:rsidP="001006CE">
            <w:pPr>
              <w:spacing w:after="0"/>
              <w:ind w:left="-147" w:right="-108"/>
              <w:jc w:val="center"/>
              <w:rPr>
                <w:b/>
              </w:rPr>
            </w:pPr>
            <w:r w:rsidRPr="00D33D68">
              <w:rPr>
                <w:b/>
              </w:rPr>
              <w:lastRenderedPageBreak/>
              <w:t>Explanation</w:t>
            </w:r>
          </w:p>
        </w:tc>
      </w:tr>
      <w:tr w:rsidR="00D33D68" w:rsidRPr="00D33D68" w14:paraId="7289FC53" w14:textId="77777777" w:rsidTr="00511333">
        <w:tc>
          <w:tcPr>
            <w:tcW w:w="1183" w:type="pct"/>
            <w:shd w:val="clear" w:color="auto" w:fill="auto"/>
          </w:tcPr>
          <w:p w14:paraId="1A000919" w14:textId="77777777" w:rsidR="00ED1443" w:rsidRPr="00D33D68" w:rsidRDefault="00ED1443" w:rsidP="006943E2">
            <w:pPr>
              <w:spacing w:after="0"/>
            </w:pPr>
            <w:r w:rsidRPr="00D33D68">
              <w:lastRenderedPageBreak/>
              <w:t>01 - Article 62.1.a Preparatory support</w:t>
            </w:r>
          </w:p>
        </w:tc>
        <w:tc>
          <w:tcPr>
            <w:tcW w:w="763" w:type="pct"/>
          </w:tcPr>
          <w:p w14:paraId="0E69C3A0" w14:textId="77777777" w:rsidR="00ED1443" w:rsidRPr="00D33D68" w:rsidRDefault="00ED1443" w:rsidP="006943E2">
            <w:pPr>
              <w:spacing w:after="0"/>
            </w:pPr>
            <w:r w:rsidRPr="00D33D68">
              <w:t>4.2 - N° of projects on preparatory support</w:t>
            </w:r>
          </w:p>
        </w:tc>
        <w:tc>
          <w:tcPr>
            <w:tcW w:w="486" w:type="pct"/>
            <w:shd w:val="clear" w:color="auto" w:fill="auto"/>
          </w:tcPr>
          <w:p w14:paraId="0A8285CE" w14:textId="05CFBFD9" w:rsidR="00ED1443" w:rsidRPr="00D33D68" w:rsidRDefault="0091077D" w:rsidP="006943E2">
            <w:pPr>
              <w:spacing w:after="0"/>
              <w:jc w:val="right"/>
            </w:pPr>
            <w:r w:rsidRPr="00D33D68">
              <w:t>8</w:t>
            </w:r>
          </w:p>
        </w:tc>
        <w:tc>
          <w:tcPr>
            <w:tcW w:w="486" w:type="pct"/>
            <w:shd w:val="clear" w:color="auto" w:fill="auto"/>
          </w:tcPr>
          <w:p w14:paraId="4C53D78C" w14:textId="77777777" w:rsidR="00ED1443" w:rsidRPr="00D33D68" w:rsidRDefault="00ED1443" w:rsidP="00D349F6">
            <w:pPr>
              <w:spacing w:after="0"/>
              <w:ind w:left="-104"/>
            </w:pPr>
            <w:r w:rsidRPr="00D33D68">
              <w:t>Number</w:t>
            </w:r>
          </w:p>
        </w:tc>
        <w:tc>
          <w:tcPr>
            <w:tcW w:w="549" w:type="pct"/>
          </w:tcPr>
          <w:p w14:paraId="4780FA0A" w14:textId="77777777" w:rsidR="00ED1443" w:rsidRPr="00D33D68" w:rsidRDefault="00ED1443" w:rsidP="006943E2">
            <w:pPr>
              <w:spacing w:after="0"/>
              <w:jc w:val="center"/>
            </w:pPr>
            <w:r w:rsidRPr="00D33D68">
              <w:rPr>
                <w:lang w:eastAsia="en-GB"/>
              </w:rPr>
              <w:sym w:font="Wingdings" w:char="F0FC"/>
            </w:r>
          </w:p>
        </w:tc>
        <w:tc>
          <w:tcPr>
            <w:tcW w:w="1533" w:type="pct"/>
          </w:tcPr>
          <w:p w14:paraId="3A0525DA" w14:textId="6E5AAA97" w:rsidR="00561E89" w:rsidRPr="00D33D68" w:rsidRDefault="00667926" w:rsidP="00667926">
            <w:pPr>
              <w:spacing w:after="0"/>
              <w:rPr>
                <w:lang w:eastAsia="en-GB"/>
              </w:rPr>
            </w:pPr>
            <w:r w:rsidRPr="00D33D68">
              <w:t xml:space="preserve">Тъй като индикаторът е преизпълнен </w:t>
            </w:r>
            <w:r w:rsidR="00C26595" w:rsidRPr="00D33D68">
              <w:t>той не се променя.</w:t>
            </w:r>
          </w:p>
        </w:tc>
      </w:tr>
      <w:tr w:rsidR="00D34697" w:rsidRPr="00D33D68" w14:paraId="799F667F" w14:textId="77777777" w:rsidTr="00511333">
        <w:tc>
          <w:tcPr>
            <w:tcW w:w="1183" w:type="pct"/>
            <w:shd w:val="clear" w:color="auto" w:fill="auto"/>
          </w:tcPr>
          <w:p w14:paraId="32A1FE14" w14:textId="77777777" w:rsidR="00ED1443" w:rsidRPr="00D33D68" w:rsidRDefault="00ED1443" w:rsidP="006943E2">
            <w:pPr>
              <w:spacing w:after="0"/>
            </w:pPr>
            <w:r w:rsidRPr="00D33D68">
              <w:t>02 - Article 63 Implementation of local development strategies (incl. running costs and animation)</w:t>
            </w:r>
          </w:p>
        </w:tc>
        <w:tc>
          <w:tcPr>
            <w:tcW w:w="763" w:type="pct"/>
          </w:tcPr>
          <w:p w14:paraId="0B9D1DE9" w14:textId="77777777" w:rsidR="00ED1443" w:rsidRPr="00D33D68" w:rsidRDefault="00ED1443" w:rsidP="006943E2">
            <w:pPr>
              <w:spacing w:after="0"/>
            </w:pPr>
            <w:r w:rsidRPr="00D33D68">
              <w:t>4.1 - N° of local development strategies selected</w:t>
            </w:r>
          </w:p>
        </w:tc>
        <w:tc>
          <w:tcPr>
            <w:tcW w:w="486" w:type="pct"/>
            <w:shd w:val="clear" w:color="auto" w:fill="auto"/>
          </w:tcPr>
          <w:p w14:paraId="2591228D" w14:textId="77777777" w:rsidR="00ED1443" w:rsidRPr="00D33D68" w:rsidRDefault="001F603D" w:rsidP="006943E2">
            <w:pPr>
              <w:spacing w:after="0"/>
              <w:jc w:val="right"/>
            </w:pPr>
            <w:r w:rsidRPr="00D33D68">
              <w:t>9</w:t>
            </w:r>
          </w:p>
        </w:tc>
        <w:tc>
          <w:tcPr>
            <w:tcW w:w="486" w:type="pct"/>
            <w:shd w:val="clear" w:color="auto" w:fill="auto"/>
          </w:tcPr>
          <w:p w14:paraId="4BE749D2" w14:textId="77777777" w:rsidR="00ED1443" w:rsidRPr="00D33D68" w:rsidRDefault="00ED1443" w:rsidP="00E56711">
            <w:pPr>
              <w:spacing w:after="0"/>
              <w:ind w:left="-111"/>
            </w:pPr>
            <w:r w:rsidRPr="00D33D68">
              <w:t>Number</w:t>
            </w:r>
          </w:p>
        </w:tc>
        <w:tc>
          <w:tcPr>
            <w:tcW w:w="549" w:type="pct"/>
          </w:tcPr>
          <w:p w14:paraId="0307EBE3" w14:textId="77777777" w:rsidR="00ED1443" w:rsidRPr="00D33D68" w:rsidRDefault="00ED1443" w:rsidP="006943E2">
            <w:pPr>
              <w:spacing w:after="0"/>
              <w:jc w:val="center"/>
            </w:pPr>
            <w:r w:rsidRPr="00D33D68">
              <w:rPr>
                <w:lang w:eastAsia="en-GB"/>
              </w:rPr>
              <w:sym w:font="Wingdings" w:char="F0FC"/>
            </w:r>
          </w:p>
        </w:tc>
        <w:tc>
          <w:tcPr>
            <w:tcW w:w="1533" w:type="pct"/>
          </w:tcPr>
          <w:p w14:paraId="61F11AD6" w14:textId="166A597A" w:rsidR="005231C6" w:rsidRPr="00D33D68" w:rsidRDefault="00FA491D" w:rsidP="00222B96">
            <w:pPr>
              <w:spacing w:after="0"/>
              <w:rPr>
                <w:lang w:eastAsia="en-GB"/>
              </w:rPr>
            </w:pPr>
            <w:r w:rsidRPr="00D33D68">
              <w:rPr>
                <w:lang w:eastAsia="en-GB"/>
              </w:rPr>
              <w:t>Има 9 регистрирани МИРГ-а и съответно 9 стратегии</w:t>
            </w:r>
            <w:r w:rsidR="00473D55" w:rsidRPr="00D33D68">
              <w:rPr>
                <w:lang w:eastAsia="en-GB"/>
              </w:rPr>
              <w:t>, вместо първоначално заложени 10</w:t>
            </w:r>
            <w:r w:rsidRPr="00D33D68">
              <w:rPr>
                <w:lang w:eastAsia="en-GB"/>
              </w:rPr>
              <w:t xml:space="preserve">. </w:t>
            </w:r>
          </w:p>
        </w:tc>
      </w:tr>
    </w:tbl>
    <w:p w14:paraId="732C1669" w14:textId="77777777" w:rsidR="00771E9D" w:rsidRPr="00D33D68" w:rsidRDefault="00771E9D" w:rsidP="00771E9D">
      <w:pPr>
        <w:spacing w:after="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9"/>
        <w:gridCol w:w="6619"/>
      </w:tblGrid>
      <w:tr w:rsidR="00771E9D" w:rsidRPr="00D33D68" w14:paraId="7799ADDA" w14:textId="77777777" w:rsidTr="006943E2">
        <w:tc>
          <w:tcPr>
            <w:tcW w:w="0" w:type="auto"/>
            <w:shd w:val="clear" w:color="auto" w:fill="auto"/>
          </w:tcPr>
          <w:p w14:paraId="1C1FBC27" w14:textId="77777777" w:rsidR="00771E9D" w:rsidRPr="00D33D68" w:rsidRDefault="00771E9D" w:rsidP="006943E2">
            <w:pPr>
              <w:pStyle w:val="Text1"/>
              <w:spacing w:before="0" w:after="0"/>
              <w:ind w:left="0"/>
              <w:rPr>
                <w:b/>
                <w:lang w:val="bg-BG"/>
              </w:rPr>
            </w:pPr>
            <w:r w:rsidRPr="00D33D68">
              <w:rPr>
                <w:b/>
                <w:noProof/>
                <w:lang w:val="bg-BG"/>
              </w:rPr>
              <w:t>Union priority</w:t>
            </w:r>
          </w:p>
        </w:tc>
        <w:tc>
          <w:tcPr>
            <w:tcW w:w="0" w:type="auto"/>
            <w:shd w:val="clear" w:color="auto" w:fill="auto"/>
          </w:tcPr>
          <w:p w14:paraId="0881D374" w14:textId="77777777" w:rsidR="00771E9D" w:rsidRPr="00D33D68" w:rsidRDefault="00771E9D" w:rsidP="006943E2">
            <w:pPr>
              <w:pStyle w:val="Text1"/>
              <w:spacing w:before="0" w:after="0"/>
              <w:ind w:left="0"/>
              <w:rPr>
                <w:b/>
                <w:lang w:val="bg-BG"/>
              </w:rPr>
            </w:pPr>
            <w:r w:rsidRPr="00D33D68">
              <w:rPr>
                <w:b/>
                <w:noProof/>
                <w:lang w:val="bg-BG"/>
              </w:rPr>
              <w:t>5</w:t>
            </w:r>
            <w:r w:rsidRPr="00D33D68">
              <w:rPr>
                <w:b/>
                <w:lang w:val="bg-BG"/>
              </w:rPr>
              <w:t xml:space="preserve"> - </w:t>
            </w:r>
            <w:r w:rsidRPr="00D33D68">
              <w:rPr>
                <w:b/>
                <w:noProof/>
                <w:lang w:val="bg-BG"/>
              </w:rPr>
              <w:t>Fostering marketing and processing</w:t>
            </w:r>
          </w:p>
        </w:tc>
      </w:tr>
    </w:tbl>
    <w:p w14:paraId="5DAF848C" w14:textId="77777777" w:rsidR="00771E9D" w:rsidRPr="00D33D68" w:rsidRDefault="00771E9D" w:rsidP="00771E9D">
      <w:pPr>
        <w:spacing w:after="0"/>
      </w:pPr>
    </w:p>
    <w:tbl>
      <w:tblPr>
        <w:tblW w:w="498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189"/>
        <w:gridCol w:w="1412"/>
        <w:gridCol w:w="899"/>
        <w:gridCol w:w="899"/>
        <w:gridCol w:w="1014"/>
        <w:gridCol w:w="2838"/>
      </w:tblGrid>
      <w:tr w:rsidR="00D33D68" w:rsidRPr="00D33D68" w14:paraId="26FB8BE4" w14:textId="77777777" w:rsidTr="00E56711">
        <w:tc>
          <w:tcPr>
            <w:tcW w:w="1183" w:type="pct"/>
            <w:shd w:val="clear" w:color="auto" w:fill="auto"/>
          </w:tcPr>
          <w:p w14:paraId="317CCE8B" w14:textId="77777777" w:rsidR="00A87C10" w:rsidRPr="00D33D68" w:rsidRDefault="00A87C10" w:rsidP="006943E2">
            <w:pPr>
              <w:pStyle w:val="Text1"/>
              <w:spacing w:before="0" w:after="0"/>
              <w:ind w:left="0"/>
              <w:rPr>
                <w:b/>
                <w:lang w:val="bg-BG"/>
              </w:rPr>
            </w:pPr>
            <w:r w:rsidRPr="00D33D68">
              <w:rPr>
                <w:b/>
                <w:noProof/>
                <w:lang w:val="bg-BG"/>
              </w:rPr>
              <w:t>Specific objective</w:t>
            </w:r>
          </w:p>
        </w:tc>
        <w:tc>
          <w:tcPr>
            <w:tcW w:w="3817" w:type="pct"/>
            <w:gridSpan w:val="5"/>
            <w:shd w:val="clear" w:color="auto" w:fill="auto"/>
          </w:tcPr>
          <w:p w14:paraId="1C0C829D" w14:textId="77777777" w:rsidR="00A87C10" w:rsidRPr="00D33D68" w:rsidRDefault="00A87C10" w:rsidP="006943E2">
            <w:pPr>
              <w:pStyle w:val="Text1"/>
              <w:spacing w:before="0" w:after="0"/>
              <w:ind w:left="0"/>
              <w:rPr>
                <w:b/>
                <w:noProof/>
                <w:lang w:val="bg-BG"/>
              </w:rPr>
            </w:pPr>
            <w:r w:rsidRPr="00D33D68">
              <w:rPr>
                <w:b/>
                <w:noProof/>
                <w:lang w:val="bg-BG"/>
              </w:rPr>
              <w:t>1</w:t>
            </w:r>
            <w:r w:rsidRPr="00D33D68">
              <w:rPr>
                <w:b/>
                <w:lang w:val="bg-BG"/>
              </w:rPr>
              <w:t xml:space="preserve"> - </w:t>
            </w:r>
            <w:r w:rsidRPr="00D33D68">
              <w:rPr>
                <w:b/>
                <w:noProof/>
                <w:lang w:val="bg-BG"/>
              </w:rPr>
              <w:t>Improvement of market organisation for fishery and aquaculture products</w:t>
            </w:r>
          </w:p>
        </w:tc>
      </w:tr>
      <w:tr w:rsidR="00D33D68" w:rsidRPr="00D33D68" w14:paraId="2C40A3BC" w14:textId="77777777" w:rsidTr="00511333">
        <w:tc>
          <w:tcPr>
            <w:tcW w:w="1183" w:type="pct"/>
            <w:shd w:val="clear" w:color="auto" w:fill="auto"/>
          </w:tcPr>
          <w:p w14:paraId="1B326EEA" w14:textId="77777777" w:rsidR="00A87C10" w:rsidRPr="00D33D68" w:rsidRDefault="00A87C10" w:rsidP="00A87C10">
            <w:pPr>
              <w:spacing w:after="0"/>
              <w:jc w:val="center"/>
              <w:rPr>
                <w:b/>
              </w:rPr>
            </w:pPr>
            <w:r w:rsidRPr="00D33D68">
              <w:rPr>
                <w:b/>
              </w:rPr>
              <w:t>EMFF measure</w:t>
            </w:r>
          </w:p>
        </w:tc>
        <w:tc>
          <w:tcPr>
            <w:tcW w:w="763" w:type="pct"/>
          </w:tcPr>
          <w:p w14:paraId="78D5CC9D" w14:textId="77777777" w:rsidR="00A87C10" w:rsidRPr="00D33D68" w:rsidRDefault="00A87C10" w:rsidP="00A87C10">
            <w:pPr>
              <w:spacing w:after="0"/>
              <w:jc w:val="center"/>
              <w:rPr>
                <w:b/>
              </w:rPr>
            </w:pPr>
            <w:r w:rsidRPr="00D33D68">
              <w:rPr>
                <w:b/>
              </w:rPr>
              <w:t>Output indicator</w:t>
            </w:r>
          </w:p>
        </w:tc>
        <w:tc>
          <w:tcPr>
            <w:tcW w:w="486" w:type="pct"/>
            <w:shd w:val="clear" w:color="auto" w:fill="auto"/>
          </w:tcPr>
          <w:p w14:paraId="3D17996C" w14:textId="77777777" w:rsidR="00A87C10" w:rsidRPr="00D33D68" w:rsidRDefault="00A87C10" w:rsidP="00E56711">
            <w:pPr>
              <w:spacing w:after="0"/>
              <w:ind w:left="-110"/>
              <w:jc w:val="center"/>
              <w:rPr>
                <w:b/>
              </w:rPr>
            </w:pPr>
            <w:r w:rsidRPr="00D33D68">
              <w:rPr>
                <w:b/>
              </w:rPr>
              <w:t>Target value for 2023</w:t>
            </w:r>
          </w:p>
          <w:p w14:paraId="4D659DC6" w14:textId="77777777" w:rsidR="002E4592" w:rsidRPr="00D33D68" w:rsidRDefault="002E4592" w:rsidP="00E56711">
            <w:pPr>
              <w:spacing w:after="0"/>
              <w:ind w:left="-110"/>
              <w:jc w:val="center"/>
              <w:rPr>
                <w:b/>
              </w:rPr>
            </w:pPr>
            <w:r w:rsidRPr="00D33D68">
              <w:rPr>
                <w:b/>
              </w:rPr>
              <w:t>(new)</w:t>
            </w:r>
          </w:p>
        </w:tc>
        <w:tc>
          <w:tcPr>
            <w:tcW w:w="486" w:type="pct"/>
            <w:shd w:val="clear" w:color="auto" w:fill="auto"/>
          </w:tcPr>
          <w:p w14:paraId="4E629117" w14:textId="77777777" w:rsidR="00A87C10" w:rsidRPr="00D33D68" w:rsidRDefault="00A87C10" w:rsidP="00170BCC">
            <w:pPr>
              <w:spacing w:after="0"/>
              <w:ind w:left="-104" w:right="-105"/>
              <w:jc w:val="center"/>
              <w:rPr>
                <w:b/>
              </w:rPr>
            </w:pPr>
            <w:r w:rsidRPr="00D33D68">
              <w:rPr>
                <w:b/>
              </w:rPr>
              <w:t>Measurement unit</w:t>
            </w:r>
          </w:p>
        </w:tc>
        <w:tc>
          <w:tcPr>
            <w:tcW w:w="548" w:type="pct"/>
          </w:tcPr>
          <w:p w14:paraId="3665093B" w14:textId="77777777" w:rsidR="00A87C10" w:rsidRPr="00D33D68" w:rsidRDefault="00A87C10" w:rsidP="00170BCC">
            <w:pPr>
              <w:spacing w:after="0"/>
              <w:ind w:left="-110" w:right="-90"/>
              <w:jc w:val="center"/>
              <w:rPr>
                <w:b/>
              </w:rPr>
            </w:pPr>
            <w:r w:rsidRPr="00D33D68">
              <w:rPr>
                <w:b/>
              </w:rPr>
              <w:t>Include in the Performance Framework</w:t>
            </w:r>
          </w:p>
        </w:tc>
        <w:tc>
          <w:tcPr>
            <w:tcW w:w="1534" w:type="pct"/>
          </w:tcPr>
          <w:p w14:paraId="5D1FE929" w14:textId="6FEB05C1" w:rsidR="00A87C10" w:rsidRPr="00D33D68" w:rsidRDefault="00B51014" w:rsidP="00A87C10">
            <w:pPr>
              <w:spacing w:after="0"/>
              <w:ind w:left="-107" w:right="-108"/>
              <w:jc w:val="center"/>
              <w:rPr>
                <w:b/>
              </w:rPr>
            </w:pPr>
            <w:r w:rsidRPr="00D33D68">
              <w:rPr>
                <w:b/>
              </w:rPr>
              <w:t>Explanation</w:t>
            </w:r>
          </w:p>
        </w:tc>
      </w:tr>
      <w:tr w:rsidR="00D33D68" w:rsidRPr="00D33D68" w14:paraId="560B09B8" w14:textId="77777777" w:rsidTr="00511333">
        <w:tc>
          <w:tcPr>
            <w:tcW w:w="1183" w:type="pct"/>
            <w:shd w:val="clear" w:color="auto" w:fill="auto"/>
          </w:tcPr>
          <w:p w14:paraId="46D634F8" w14:textId="77777777" w:rsidR="00A87C10" w:rsidRPr="00D33D68" w:rsidRDefault="00A87C10" w:rsidP="006943E2">
            <w:pPr>
              <w:spacing w:after="0"/>
            </w:pPr>
            <w:r w:rsidRPr="00D33D68">
              <w:t>01 - Article 66 Production and marketing plans</w:t>
            </w:r>
          </w:p>
        </w:tc>
        <w:tc>
          <w:tcPr>
            <w:tcW w:w="763" w:type="pct"/>
          </w:tcPr>
          <w:p w14:paraId="22BAE77C" w14:textId="77777777" w:rsidR="00A87C10" w:rsidRPr="00D33D68" w:rsidRDefault="00A87C10" w:rsidP="006943E2">
            <w:pPr>
              <w:spacing w:after="0"/>
            </w:pPr>
            <w:r w:rsidRPr="00D33D68">
              <w:t>5.1 - N° of producers organisations or associations of producers organisations supported for production and marketing plans</w:t>
            </w:r>
          </w:p>
        </w:tc>
        <w:tc>
          <w:tcPr>
            <w:tcW w:w="486" w:type="pct"/>
            <w:shd w:val="clear" w:color="auto" w:fill="auto"/>
          </w:tcPr>
          <w:p w14:paraId="774F4E45" w14:textId="77777777" w:rsidR="00A87C10" w:rsidRPr="00D33D68" w:rsidRDefault="001F603D" w:rsidP="006943E2">
            <w:pPr>
              <w:spacing w:after="0"/>
              <w:jc w:val="right"/>
            </w:pPr>
            <w:r w:rsidRPr="00D33D68">
              <w:t>2</w:t>
            </w:r>
          </w:p>
        </w:tc>
        <w:tc>
          <w:tcPr>
            <w:tcW w:w="486" w:type="pct"/>
            <w:shd w:val="clear" w:color="auto" w:fill="auto"/>
          </w:tcPr>
          <w:p w14:paraId="387A9F2F" w14:textId="77777777" w:rsidR="00A87C10" w:rsidRPr="00D33D68" w:rsidRDefault="00A87C10" w:rsidP="00E56711">
            <w:pPr>
              <w:spacing w:after="0"/>
              <w:ind w:left="-110"/>
            </w:pPr>
            <w:r w:rsidRPr="00D33D68">
              <w:t>Number</w:t>
            </w:r>
          </w:p>
        </w:tc>
        <w:tc>
          <w:tcPr>
            <w:tcW w:w="548" w:type="pct"/>
          </w:tcPr>
          <w:p w14:paraId="53399A20" w14:textId="77777777" w:rsidR="00A87C10" w:rsidRPr="00D33D68" w:rsidRDefault="00A87C10" w:rsidP="006943E2">
            <w:pPr>
              <w:spacing w:after="0"/>
              <w:jc w:val="center"/>
            </w:pPr>
            <w:r w:rsidRPr="00D33D68">
              <w:rPr>
                <w:lang w:eastAsia="en-GB"/>
              </w:rPr>
              <w:sym w:font="Wingdings" w:char="F0FC"/>
            </w:r>
          </w:p>
        </w:tc>
        <w:tc>
          <w:tcPr>
            <w:tcW w:w="1534" w:type="pct"/>
          </w:tcPr>
          <w:p w14:paraId="5526BC57" w14:textId="77777777" w:rsidR="008C556C" w:rsidRPr="00D33D68" w:rsidRDefault="00D0020A" w:rsidP="00F35A57">
            <w:pPr>
              <w:spacing w:after="0"/>
            </w:pPr>
            <w:r w:rsidRPr="00D33D68">
              <w:t xml:space="preserve">Индикаторът се образува от мярка </w:t>
            </w:r>
            <w:r w:rsidR="004A70D7" w:rsidRPr="00D33D68">
              <w:t>5.1</w:t>
            </w:r>
            <w:r w:rsidRPr="00D33D68">
              <w:t xml:space="preserve">. Начална стойност </w:t>
            </w:r>
            <w:r w:rsidR="004A70D7" w:rsidRPr="00D33D68">
              <w:t>2</w:t>
            </w:r>
            <w:r w:rsidRPr="00D33D68">
              <w:t xml:space="preserve">. Намаляването на бюджета на мярка </w:t>
            </w:r>
            <w:r w:rsidR="004A70D7" w:rsidRPr="00D33D68">
              <w:t>5</w:t>
            </w:r>
            <w:r w:rsidRPr="00D33D68">
              <w:t>.</w:t>
            </w:r>
            <w:r w:rsidR="004A70D7" w:rsidRPr="00D33D68">
              <w:t>1</w:t>
            </w:r>
            <w:r w:rsidRPr="00D33D68">
              <w:t xml:space="preserve"> с </w:t>
            </w:r>
            <w:r w:rsidR="004A70D7" w:rsidRPr="00D33D68">
              <w:t>6.00</w:t>
            </w:r>
            <w:r w:rsidRPr="00D33D68">
              <w:t xml:space="preserve">% при 1вата стъпка променя индикатора на </w:t>
            </w:r>
            <w:r w:rsidR="004A70D7" w:rsidRPr="00D33D68">
              <w:t>1.88</w:t>
            </w:r>
            <w:r w:rsidRPr="00D33D68">
              <w:t>.</w:t>
            </w:r>
            <w:r w:rsidR="004A70D7" w:rsidRPr="00D33D68">
              <w:t xml:space="preserve"> </w:t>
            </w:r>
          </w:p>
          <w:p w14:paraId="63DAA579" w14:textId="731704F9" w:rsidR="00020435" w:rsidRPr="00D33D68" w:rsidRDefault="00020435" w:rsidP="00F35A57">
            <w:pPr>
              <w:spacing w:after="0"/>
              <w:rPr>
                <w:lang w:eastAsia="en-GB"/>
              </w:rPr>
            </w:pPr>
            <w:r w:rsidRPr="00D33D68">
              <w:t xml:space="preserve">Индикаторът </w:t>
            </w:r>
            <w:r w:rsidR="00C314E7" w:rsidRPr="00D33D68">
              <w:t>не се променя</w:t>
            </w:r>
            <w:r w:rsidR="004A70D7" w:rsidRPr="00D33D68">
              <w:t xml:space="preserve"> при последващите изменения и се получава 2023 Target value след закр</w:t>
            </w:r>
            <w:r w:rsidR="00F35A57" w:rsidRPr="00D33D68">
              <w:t>ъ</w:t>
            </w:r>
            <w:r w:rsidR="004A70D7" w:rsidRPr="00D33D68">
              <w:t>гляне.</w:t>
            </w:r>
          </w:p>
        </w:tc>
      </w:tr>
      <w:tr w:rsidR="00E92A45" w:rsidRPr="00D33D68" w14:paraId="0027397C" w14:textId="77777777" w:rsidTr="00511333">
        <w:tc>
          <w:tcPr>
            <w:tcW w:w="1183" w:type="pct"/>
            <w:shd w:val="clear" w:color="auto" w:fill="auto"/>
          </w:tcPr>
          <w:p w14:paraId="0080ADDE" w14:textId="77777777" w:rsidR="00A87C10" w:rsidRPr="00D33D68" w:rsidRDefault="00A87C10" w:rsidP="006943E2">
            <w:pPr>
              <w:spacing w:after="0"/>
            </w:pPr>
            <w:r w:rsidRPr="00D33D68">
              <w:t>03 - Article 68 Marketing measures</w:t>
            </w:r>
          </w:p>
        </w:tc>
        <w:tc>
          <w:tcPr>
            <w:tcW w:w="763" w:type="pct"/>
          </w:tcPr>
          <w:p w14:paraId="639ABED7" w14:textId="77777777" w:rsidR="00A87C10" w:rsidRPr="00D33D68" w:rsidRDefault="00A87C10" w:rsidP="006943E2">
            <w:pPr>
              <w:spacing w:after="0"/>
            </w:pPr>
            <w:r w:rsidRPr="00D33D68">
              <w:t>5.2 - N° of projects on marketing measures and storage aid</w:t>
            </w:r>
          </w:p>
        </w:tc>
        <w:tc>
          <w:tcPr>
            <w:tcW w:w="486" w:type="pct"/>
            <w:shd w:val="clear" w:color="auto" w:fill="auto"/>
          </w:tcPr>
          <w:p w14:paraId="429829DB" w14:textId="157C475F" w:rsidR="00A87C10" w:rsidRPr="00D33D68" w:rsidRDefault="00FA491D" w:rsidP="006943E2">
            <w:pPr>
              <w:spacing w:after="0"/>
              <w:jc w:val="right"/>
            </w:pPr>
            <w:r w:rsidRPr="00D33D68">
              <w:t>7</w:t>
            </w:r>
          </w:p>
        </w:tc>
        <w:tc>
          <w:tcPr>
            <w:tcW w:w="486" w:type="pct"/>
            <w:shd w:val="clear" w:color="auto" w:fill="auto"/>
          </w:tcPr>
          <w:p w14:paraId="628A7D24" w14:textId="77777777" w:rsidR="00A87C10" w:rsidRPr="00D33D68" w:rsidRDefault="00A87C10" w:rsidP="00E56711">
            <w:pPr>
              <w:spacing w:after="0"/>
              <w:ind w:left="-110"/>
            </w:pPr>
            <w:r w:rsidRPr="00D33D68">
              <w:t>Number</w:t>
            </w:r>
          </w:p>
        </w:tc>
        <w:tc>
          <w:tcPr>
            <w:tcW w:w="548" w:type="pct"/>
          </w:tcPr>
          <w:p w14:paraId="75EFABF6" w14:textId="77777777" w:rsidR="00A87C10" w:rsidRPr="00D33D68" w:rsidRDefault="00A87C10" w:rsidP="006943E2">
            <w:pPr>
              <w:spacing w:after="0"/>
              <w:jc w:val="center"/>
            </w:pPr>
            <w:r w:rsidRPr="00D33D68">
              <w:rPr>
                <w:lang w:eastAsia="en-GB"/>
              </w:rPr>
              <w:sym w:font="Wingdings" w:char="F0FC"/>
            </w:r>
          </w:p>
        </w:tc>
        <w:tc>
          <w:tcPr>
            <w:tcW w:w="1534" w:type="pct"/>
          </w:tcPr>
          <w:p w14:paraId="19EB36BB" w14:textId="1BD932EA" w:rsidR="001B28D5" w:rsidRPr="00D33D68" w:rsidRDefault="00E72990" w:rsidP="006F7367">
            <w:pPr>
              <w:spacing w:after="0"/>
            </w:pPr>
            <w:r w:rsidRPr="00D33D68">
              <w:t>Индикаторът се образува от м</w:t>
            </w:r>
            <w:r w:rsidR="008B4532" w:rsidRPr="00D33D68">
              <w:t>я</w:t>
            </w:r>
            <w:r w:rsidRPr="00D33D68">
              <w:t>рк</w:t>
            </w:r>
            <w:r w:rsidR="008B4532" w:rsidRPr="00D33D68">
              <w:t>а</w:t>
            </w:r>
            <w:r w:rsidRPr="00D33D68">
              <w:t xml:space="preserve"> </w:t>
            </w:r>
            <w:r w:rsidR="008B4532" w:rsidRPr="00D33D68">
              <w:t>5.3. Начална стойност 30</w:t>
            </w:r>
            <w:r w:rsidRPr="00D33D68">
              <w:t xml:space="preserve">. Намаляването на бюджета на </w:t>
            </w:r>
            <w:r w:rsidR="00DF0F1E" w:rsidRPr="00D33D68">
              <w:t>мярка 5.3</w:t>
            </w:r>
            <w:r w:rsidRPr="00D33D68">
              <w:t xml:space="preserve"> с </w:t>
            </w:r>
            <w:r w:rsidR="00DF0F1E" w:rsidRPr="00D33D68">
              <w:t>6</w:t>
            </w:r>
            <w:r w:rsidRPr="00D33D68">
              <w:t>% при 1</w:t>
            </w:r>
            <w:r w:rsidR="00E54FFD" w:rsidRPr="00D33D68">
              <w:t>-</w:t>
            </w:r>
            <w:r w:rsidRPr="00D33D68">
              <w:t xml:space="preserve">вата стъпка </w:t>
            </w:r>
            <w:r w:rsidRPr="00D33D68">
              <w:lastRenderedPageBreak/>
              <w:t xml:space="preserve">променя индикатора на </w:t>
            </w:r>
            <w:r w:rsidR="00DF0F1E" w:rsidRPr="00D33D68">
              <w:t>28 след закръгляне</w:t>
            </w:r>
            <w:r w:rsidRPr="00D33D68">
              <w:t xml:space="preserve">. </w:t>
            </w:r>
          </w:p>
          <w:p w14:paraId="06A4ED10" w14:textId="7682EA49" w:rsidR="00E72990" w:rsidRPr="00D33D68" w:rsidRDefault="00E72990" w:rsidP="006F7367">
            <w:pPr>
              <w:spacing w:after="0"/>
              <w:rPr>
                <w:lang w:eastAsia="en-GB"/>
              </w:rPr>
            </w:pPr>
            <w:r w:rsidRPr="00D33D68">
              <w:t xml:space="preserve">Сега </w:t>
            </w:r>
            <w:r w:rsidR="006F7367" w:rsidRPr="00D33D68">
              <w:t>индикатора се намалява механично, защото е определен конкретен бенефициент по мярката</w:t>
            </w:r>
            <w:r w:rsidR="00E54FFD" w:rsidRPr="00D33D68">
              <w:t xml:space="preserve"> до 7</w:t>
            </w:r>
            <w:r w:rsidR="006F7367" w:rsidRPr="00D33D68">
              <w:t>.</w:t>
            </w:r>
          </w:p>
        </w:tc>
      </w:tr>
    </w:tbl>
    <w:p w14:paraId="3659607B" w14:textId="77777777" w:rsidR="00771E9D" w:rsidRPr="00D33D68" w:rsidRDefault="00771E9D" w:rsidP="00771E9D">
      <w:pPr>
        <w:pStyle w:val="Text1"/>
        <w:spacing w:before="0" w:after="0"/>
        <w:ind w:left="0"/>
        <w:rPr>
          <w:lang w:val="bg-BG"/>
        </w:rPr>
      </w:pPr>
    </w:p>
    <w:tbl>
      <w:tblPr>
        <w:tblW w:w="498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189"/>
        <w:gridCol w:w="1412"/>
        <w:gridCol w:w="899"/>
        <w:gridCol w:w="899"/>
        <w:gridCol w:w="1016"/>
        <w:gridCol w:w="2836"/>
      </w:tblGrid>
      <w:tr w:rsidR="00D33D68" w:rsidRPr="00D33D68" w14:paraId="0C4EC76F" w14:textId="77777777" w:rsidTr="00E56711">
        <w:tc>
          <w:tcPr>
            <w:tcW w:w="1183" w:type="pct"/>
            <w:shd w:val="clear" w:color="auto" w:fill="auto"/>
          </w:tcPr>
          <w:p w14:paraId="1DD728F9" w14:textId="77777777" w:rsidR="00A87C10" w:rsidRPr="00D33D68" w:rsidRDefault="00A87C10" w:rsidP="006943E2">
            <w:pPr>
              <w:pStyle w:val="Text1"/>
              <w:spacing w:before="0" w:after="0"/>
              <w:ind w:left="0"/>
              <w:rPr>
                <w:b/>
                <w:lang w:val="bg-BG"/>
              </w:rPr>
            </w:pPr>
            <w:r w:rsidRPr="00D33D68">
              <w:rPr>
                <w:b/>
                <w:noProof/>
                <w:lang w:val="bg-BG"/>
              </w:rPr>
              <w:t>Specific objective</w:t>
            </w:r>
          </w:p>
        </w:tc>
        <w:tc>
          <w:tcPr>
            <w:tcW w:w="3817" w:type="pct"/>
            <w:gridSpan w:val="5"/>
            <w:shd w:val="clear" w:color="auto" w:fill="auto"/>
          </w:tcPr>
          <w:p w14:paraId="624BAD93" w14:textId="77777777" w:rsidR="00A87C10" w:rsidRPr="00D33D68" w:rsidRDefault="00A87C10" w:rsidP="006943E2">
            <w:pPr>
              <w:pStyle w:val="Text1"/>
              <w:spacing w:before="0" w:after="0"/>
              <w:ind w:left="0"/>
              <w:rPr>
                <w:b/>
                <w:noProof/>
                <w:lang w:val="bg-BG"/>
              </w:rPr>
            </w:pPr>
            <w:r w:rsidRPr="00D33D68">
              <w:rPr>
                <w:b/>
                <w:noProof/>
                <w:lang w:val="bg-BG"/>
              </w:rPr>
              <w:t>2</w:t>
            </w:r>
            <w:r w:rsidRPr="00D33D68">
              <w:rPr>
                <w:b/>
                <w:lang w:val="bg-BG"/>
              </w:rPr>
              <w:t xml:space="preserve"> - </w:t>
            </w:r>
            <w:r w:rsidRPr="00D33D68">
              <w:rPr>
                <w:b/>
                <w:noProof/>
                <w:lang w:val="bg-BG"/>
              </w:rPr>
              <w:t>Encouragement of investment in the processing and marketing sectors</w:t>
            </w:r>
          </w:p>
        </w:tc>
      </w:tr>
      <w:tr w:rsidR="00D33D68" w:rsidRPr="00D33D68" w14:paraId="1A1E31D6" w14:textId="77777777" w:rsidTr="00511333">
        <w:tc>
          <w:tcPr>
            <w:tcW w:w="1183" w:type="pct"/>
            <w:shd w:val="clear" w:color="auto" w:fill="auto"/>
          </w:tcPr>
          <w:p w14:paraId="4545976F" w14:textId="77777777" w:rsidR="00A87C10" w:rsidRPr="00D33D68" w:rsidRDefault="00A87C10" w:rsidP="007235D6">
            <w:pPr>
              <w:spacing w:after="0"/>
              <w:jc w:val="center"/>
              <w:rPr>
                <w:b/>
              </w:rPr>
            </w:pPr>
            <w:r w:rsidRPr="00D33D68">
              <w:rPr>
                <w:b/>
              </w:rPr>
              <w:t>EMFF measure</w:t>
            </w:r>
          </w:p>
        </w:tc>
        <w:tc>
          <w:tcPr>
            <w:tcW w:w="763" w:type="pct"/>
          </w:tcPr>
          <w:p w14:paraId="19CF5A50" w14:textId="77777777" w:rsidR="00A87C10" w:rsidRPr="00D33D68" w:rsidRDefault="00A87C10" w:rsidP="007235D6">
            <w:pPr>
              <w:spacing w:after="0"/>
              <w:jc w:val="center"/>
              <w:rPr>
                <w:b/>
              </w:rPr>
            </w:pPr>
            <w:r w:rsidRPr="00D33D68">
              <w:rPr>
                <w:b/>
              </w:rPr>
              <w:t>Output indicator</w:t>
            </w:r>
          </w:p>
        </w:tc>
        <w:tc>
          <w:tcPr>
            <w:tcW w:w="486" w:type="pct"/>
            <w:shd w:val="clear" w:color="auto" w:fill="auto"/>
          </w:tcPr>
          <w:p w14:paraId="42C87280" w14:textId="77777777" w:rsidR="00A87C10" w:rsidRPr="00D33D68" w:rsidRDefault="00A87C10" w:rsidP="00E56711">
            <w:pPr>
              <w:spacing w:after="0"/>
              <w:ind w:left="-111"/>
              <w:jc w:val="center"/>
              <w:rPr>
                <w:b/>
              </w:rPr>
            </w:pPr>
            <w:r w:rsidRPr="00D33D68">
              <w:rPr>
                <w:b/>
              </w:rPr>
              <w:t>Target value for 2023</w:t>
            </w:r>
          </w:p>
          <w:p w14:paraId="1EDD5E43" w14:textId="77777777" w:rsidR="007235D6" w:rsidRPr="00D33D68" w:rsidRDefault="007235D6" w:rsidP="00E56711">
            <w:pPr>
              <w:spacing w:after="0"/>
              <w:ind w:left="-111"/>
              <w:jc w:val="center"/>
              <w:rPr>
                <w:b/>
              </w:rPr>
            </w:pPr>
            <w:r w:rsidRPr="00D33D68">
              <w:rPr>
                <w:b/>
              </w:rPr>
              <w:t>(new)</w:t>
            </w:r>
          </w:p>
        </w:tc>
        <w:tc>
          <w:tcPr>
            <w:tcW w:w="486" w:type="pct"/>
            <w:shd w:val="clear" w:color="auto" w:fill="auto"/>
          </w:tcPr>
          <w:p w14:paraId="2D75E7F0" w14:textId="77777777" w:rsidR="00A87C10" w:rsidRPr="00D33D68" w:rsidRDefault="00A87C10" w:rsidP="00162572">
            <w:pPr>
              <w:spacing w:after="0"/>
              <w:ind w:left="-110"/>
              <w:jc w:val="center"/>
              <w:rPr>
                <w:b/>
              </w:rPr>
            </w:pPr>
            <w:r w:rsidRPr="00D33D68">
              <w:rPr>
                <w:b/>
              </w:rPr>
              <w:t>Measurement unit</w:t>
            </w:r>
          </w:p>
        </w:tc>
        <w:tc>
          <w:tcPr>
            <w:tcW w:w="549" w:type="pct"/>
          </w:tcPr>
          <w:p w14:paraId="1F4FB37D" w14:textId="77777777" w:rsidR="00A87C10" w:rsidRPr="00D33D68" w:rsidRDefault="00A87C10" w:rsidP="00162572">
            <w:pPr>
              <w:spacing w:after="0"/>
              <w:ind w:left="-110" w:right="-110"/>
              <w:jc w:val="center"/>
              <w:rPr>
                <w:b/>
              </w:rPr>
            </w:pPr>
            <w:r w:rsidRPr="00D33D68">
              <w:rPr>
                <w:b/>
              </w:rPr>
              <w:t>Include in the Performance Framework</w:t>
            </w:r>
          </w:p>
        </w:tc>
        <w:tc>
          <w:tcPr>
            <w:tcW w:w="1533" w:type="pct"/>
          </w:tcPr>
          <w:p w14:paraId="4FA578F5" w14:textId="4B71CDC4" w:rsidR="00A87C10" w:rsidRPr="00D33D68" w:rsidRDefault="00B51014" w:rsidP="002E4592">
            <w:pPr>
              <w:spacing w:after="0"/>
              <w:ind w:left="-108" w:right="-108"/>
              <w:jc w:val="center"/>
              <w:rPr>
                <w:b/>
              </w:rPr>
            </w:pPr>
            <w:r w:rsidRPr="00D33D68">
              <w:rPr>
                <w:b/>
              </w:rPr>
              <w:t>Explanation</w:t>
            </w:r>
          </w:p>
        </w:tc>
      </w:tr>
      <w:tr w:rsidR="00CB563E" w:rsidRPr="00D33D68" w14:paraId="0062FDA4" w14:textId="77777777" w:rsidTr="00511333">
        <w:tc>
          <w:tcPr>
            <w:tcW w:w="1183" w:type="pct"/>
            <w:shd w:val="clear" w:color="auto" w:fill="auto"/>
          </w:tcPr>
          <w:p w14:paraId="136AA8A0" w14:textId="77777777" w:rsidR="00A87C10" w:rsidRPr="00D33D68" w:rsidRDefault="00A87C10" w:rsidP="006943E2">
            <w:pPr>
              <w:spacing w:after="0"/>
            </w:pPr>
            <w:r w:rsidRPr="00D33D68">
              <w:t>01 - Article 69 Processing of fisheries and aquaculture products</w:t>
            </w:r>
          </w:p>
        </w:tc>
        <w:tc>
          <w:tcPr>
            <w:tcW w:w="763" w:type="pct"/>
          </w:tcPr>
          <w:p w14:paraId="7DD3B958" w14:textId="77777777" w:rsidR="00A87C10" w:rsidRPr="00D33D68" w:rsidRDefault="00A87C10" w:rsidP="006943E2">
            <w:pPr>
              <w:spacing w:after="0"/>
            </w:pPr>
            <w:r w:rsidRPr="00D33D68">
              <w:t>5.3 - N° of projects on processing</w:t>
            </w:r>
          </w:p>
        </w:tc>
        <w:tc>
          <w:tcPr>
            <w:tcW w:w="486" w:type="pct"/>
            <w:shd w:val="clear" w:color="auto" w:fill="auto"/>
          </w:tcPr>
          <w:p w14:paraId="3E7A6027" w14:textId="6FC8A745" w:rsidR="00A87C10" w:rsidRPr="00D33D68" w:rsidRDefault="00AB1FB6" w:rsidP="007D3665">
            <w:pPr>
              <w:spacing w:after="0"/>
              <w:jc w:val="right"/>
            </w:pPr>
            <w:r w:rsidRPr="00D33D68">
              <w:t>3</w:t>
            </w:r>
            <w:r w:rsidR="007D3665" w:rsidRPr="00D33D68">
              <w:t>6</w:t>
            </w:r>
          </w:p>
        </w:tc>
        <w:tc>
          <w:tcPr>
            <w:tcW w:w="486" w:type="pct"/>
            <w:shd w:val="clear" w:color="auto" w:fill="auto"/>
          </w:tcPr>
          <w:p w14:paraId="77C78351" w14:textId="77777777" w:rsidR="00A87C10" w:rsidRPr="00D33D68" w:rsidRDefault="00A87C10" w:rsidP="00E56711">
            <w:pPr>
              <w:spacing w:after="0"/>
              <w:ind w:left="-111"/>
            </w:pPr>
            <w:r w:rsidRPr="00D33D68">
              <w:t>Number</w:t>
            </w:r>
          </w:p>
        </w:tc>
        <w:tc>
          <w:tcPr>
            <w:tcW w:w="549" w:type="pct"/>
          </w:tcPr>
          <w:p w14:paraId="3C05C1BF" w14:textId="77777777" w:rsidR="00A87C10" w:rsidRPr="00D33D68" w:rsidRDefault="00A87C10" w:rsidP="006943E2">
            <w:pPr>
              <w:spacing w:after="0"/>
              <w:jc w:val="center"/>
            </w:pPr>
            <w:r w:rsidRPr="00D33D68">
              <w:rPr>
                <w:lang w:eastAsia="en-GB"/>
              </w:rPr>
              <w:sym w:font="Wingdings" w:char="F0FC"/>
            </w:r>
          </w:p>
        </w:tc>
        <w:tc>
          <w:tcPr>
            <w:tcW w:w="1533" w:type="pct"/>
          </w:tcPr>
          <w:p w14:paraId="26AD1AAA" w14:textId="77777777" w:rsidR="008C556C" w:rsidRPr="00D33D68" w:rsidRDefault="00376B01" w:rsidP="004F4236">
            <w:pPr>
              <w:spacing w:after="0"/>
            </w:pPr>
            <w:r w:rsidRPr="00D33D68">
              <w:t>Индикаторът се образува от м</w:t>
            </w:r>
            <w:r w:rsidR="004C712A" w:rsidRPr="00D33D68">
              <w:t>я</w:t>
            </w:r>
            <w:r w:rsidR="006213F4" w:rsidRPr="00D33D68">
              <w:t>р</w:t>
            </w:r>
            <w:r w:rsidR="004C712A" w:rsidRPr="00D33D68">
              <w:t>ка 5.4</w:t>
            </w:r>
            <w:r w:rsidRPr="00D33D68">
              <w:t xml:space="preserve">. Начална стойност </w:t>
            </w:r>
            <w:r w:rsidR="004C712A" w:rsidRPr="00D33D68">
              <w:t>15.</w:t>
            </w:r>
            <w:r w:rsidRPr="00D33D68">
              <w:t xml:space="preserve"> Намаляването на бюджета на </w:t>
            </w:r>
            <w:r w:rsidR="006213F4" w:rsidRPr="00D33D68">
              <w:t>мярка 5.4</w:t>
            </w:r>
            <w:r w:rsidRPr="00D33D68">
              <w:t xml:space="preserve"> с </w:t>
            </w:r>
            <w:r w:rsidR="006213F4" w:rsidRPr="00D33D68">
              <w:t>6</w:t>
            </w:r>
            <w:r w:rsidRPr="00D33D68">
              <w:t xml:space="preserve">% при 1вата стъпка променя индикатора на </w:t>
            </w:r>
            <w:r w:rsidR="006213F4" w:rsidRPr="00D33D68">
              <w:t>14 след закръгляне</w:t>
            </w:r>
            <w:r w:rsidRPr="00D33D68">
              <w:t xml:space="preserve">. </w:t>
            </w:r>
          </w:p>
          <w:p w14:paraId="16D84971" w14:textId="2B9433F4" w:rsidR="007D3665" w:rsidRPr="00D33D68" w:rsidRDefault="008C556C" w:rsidP="007D3665">
            <w:pPr>
              <w:spacing w:after="0"/>
            </w:pPr>
            <w:r w:rsidRPr="00D33D68">
              <w:t xml:space="preserve">С изменението поради COVID-19 </w:t>
            </w:r>
            <w:r w:rsidR="007D3665" w:rsidRPr="00D33D68">
              <w:t>се заложи стойност на</w:t>
            </w:r>
            <w:r w:rsidRPr="00D33D68">
              <w:t xml:space="preserve"> </w:t>
            </w:r>
            <w:r w:rsidR="00AB1FB6" w:rsidRPr="00D33D68">
              <w:t xml:space="preserve">индикатора </w:t>
            </w:r>
            <w:r w:rsidR="007D3665" w:rsidRPr="00D33D68">
              <w:t xml:space="preserve">от 30. </w:t>
            </w:r>
          </w:p>
          <w:p w14:paraId="43E69806" w14:textId="7AF662A6" w:rsidR="00376B01" w:rsidRPr="00D33D68" w:rsidRDefault="007D3665" w:rsidP="007D3665">
            <w:pPr>
              <w:spacing w:after="0"/>
              <w:rPr>
                <w:lang w:eastAsia="en-GB"/>
              </w:rPr>
            </w:pPr>
            <w:r w:rsidRPr="00D33D68">
              <w:t>Сега бюджетът на мярка 5.4 се увеличава с 20.06% и се получава</w:t>
            </w:r>
            <w:r w:rsidR="004F4236" w:rsidRPr="00D33D68">
              <w:t xml:space="preserve"> „</w:t>
            </w:r>
            <w:r w:rsidR="00AB1FB6" w:rsidRPr="00D33D68">
              <w:t>Target value</w:t>
            </w:r>
            <w:r w:rsidR="004F4236" w:rsidRPr="00D33D68">
              <w:t xml:space="preserve"> 2023“</w:t>
            </w:r>
            <w:r w:rsidR="00AB1FB6" w:rsidRPr="00D33D68">
              <w:t>.</w:t>
            </w:r>
          </w:p>
        </w:tc>
      </w:tr>
    </w:tbl>
    <w:p w14:paraId="70A93FC9" w14:textId="77777777" w:rsidR="00771E9D" w:rsidRPr="00D33D68" w:rsidRDefault="00771E9D" w:rsidP="00771E9D">
      <w:pPr>
        <w:pStyle w:val="Text1"/>
        <w:spacing w:before="0" w:after="0"/>
        <w:ind w:left="0"/>
        <w:rPr>
          <w:lang w:val="bg-BG"/>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6"/>
        <w:gridCol w:w="7482"/>
      </w:tblGrid>
      <w:tr w:rsidR="00771E9D" w:rsidRPr="00D33D68" w14:paraId="3151CDA0" w14:textId="77777777" w:rsidTr="004A5947">
        <w:tc>
          <w:tcPr>
            <w:tcW w:w="0" w:type="auto"/>
            <w:shd w:val="clear" w:color="auto" w:fill="auto"/>
          </w:tcPr>
          <w:p w14:paraId="2800FF9A" w14:textId="77777777" w:rsidR="00771E9D" w:rsidRPr="00D33D68" w:rsidRDefault="00771E9D" w:rsidP="006943E2">
            <w:pPr>
              <w:pStyle w:val="Text1"/>
              <w:spacing w:before="0" w:after="0"/>
              <w:ind w:left="0"/>
              <w:rPr>
                <w:b/>
                <w:lang w:val="bg-BG"/>
              </w:rPr>
            </w:pPr>
            <w:r w:rsidRPr="00D33D68">
              <w:rPr>
                <w:b/>
                <w:noProof/>
                <w:lang w:val="bg-BG"/>
              </w:rPr>
              <w:t>Union priority</w:t>
            </w:r>
          </w:p>
        </w:tc>
        <w:tc>
          <w:tcPr>
            <w:tcW w:w="4028" w:type="pct"/>
            <w:shd w:val="clear" w:color="auto" w:fill="auto"/>
          </w:tcPr>
          <w:p w14:paraId="495A894B" w14:textId="77777777" w:rsidR="00771E9D" w:rsidRPr="00D33D68" w:rsidRDefault="00771E9D" w:rsidP="006943E2">
            <w:pPr>
              <w:pStyle w:val="Text1"/>
              <w:spacing w:before="0" w:after="0"/>
              <w:ind w:left="0"/>
              <w:rPr>
                <w:b/>
                <w:lang w:val="bg-BG"/>
              </w:rPr>
            </w:pPr>
            <w:r w:rsidRPr="00D33D68">
              <w:rPr>
                <w:b/>
                <w:noProof/>
                <w:lang w:val="bg-BG"/>
              </w:rPr>
              <w:t>6</w:t>
            </w:r>
            <w:r w:rsidRPr="00D33D68">
              <w:rPr>
                <w:b/>
                <w:lang w:val="bg-BG"/>
              </w:rPr>
              <w:t xml:space="preserve"> - </w:t>
            </w:r>
            <w:r w:rsidRPr="00D33D68">
              <w:rPr>
                <w:b/>
                <w:noProof/>
                <w:lang w:val="bg-BG"/>
              </w:rPr>
              <w:t>Fostering the implementation of the Integrated Maritime Policy</w:t>
            </w:r>
          </w:p>
        </w:tc>
      </w:tr>
    </w:tbl>
    <w:p w14:paraId="2A4A42A0" w14:textId="77777777" w:rsidR="00771E9D" w:rsidRPr="00D33D68" w:rsidRDefault="00771E9D" w:rsidP="00771E9D">
      <w:pPr>
        <w:spacing w:after="0"/>
      </w:pPr>
    </w:p>
    <w:tbl>
      <w:tblPr>
        <w:tblW w:w="498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2189"/>
        <w:gridCol w:w="1412"/>
        <w:gridCol w:w="899"/>
        <w:gridCol w:w="899"/>
        <w:gridCol w:w="1016"/>
        <w:gridCol w:w="2836"/>
      </w:tblGrid>
      <w:tr w:rsidR="00D33D68" w:rsidRPr="00D33D68" w14:paraId="72337884" w14:textId="77777777" w:rsidTr="00E56711">
        <w:tc>
          <w:tcPr>
            <w:tcW w:w="1183" w:type="pct"/>
            <w:shd w:val="clear" w:color="auto" w:fill="auto"/>
          </w:tcPr>
          <w:p w14:paraId="7DEAC33F" w14:textId="77777777" w:rsidR="00A87C10" w:rsidRPr="00D33D68" w:rsidRDefault="00A87C10" w:rsidP="006943E2">
            <w:pPr>
              <w:pStyle w:val="Text1"/>
              <w:spacing w:before="0" w:after="0"/>
              <w:ind w:left="0"/>
              <w:rPr>
                <w:b/>
                <w:lang w:val="bg-BG"/>
              </w:rPr>
            </w:pPr>
            <w:r w:rsidRPr="00D33D68">
              <w:rPr>
                <w:b/>
                <w:noProof/>
                <w:lang w:val="bg-BG"/>
              </w:rPr>
              <w:t>Specific objective</w:t>
            </w:r>
          </w:p>
        </w:tc>
        <w:tc>
          <w:tcPr>
            <w:tcW w:w="3817" w:type="pct"/>
            <w:gridSpan w:val="5"/>
            <w:shd w:val="clear" w:color="auto" w:fill="auto"/>
          </w:tcPr>
          <w:p w14:paraId="325140E6" w14:textId="77777777" w:rsidR="00A87C10" w:rsidRPr="00D33D68" w:rsidRDefault="00A87C10" w:rsidP="006943E2">
            <w:pPr>
              <w:pStyle w:val="Text1"/>
              <w:spacing w:before="0" w:after="0"/>
              <w:ind w:left="0"/>
              <w:rPr>
                <w:b/>
                <w:noProof/>
                <w:lang w:val="bg-BG"/>
              </w:rPr>
            </w:pPr>
            <w:r w:rsidRPr="00D33D68">
              <w:rPr>
                <w:b/>
                <w:noProof/>
                <w:lang w:val="bg-BG"/>
              </w:rPr>
              <w:t>1</w:t>
            </w:r>
            <w:r w:rsidRPr="00D33D68">
              <w:rPr>
                <w:b/>
                <w:lang w:val="bg-BG"/>
              </w:rPr>
              <w:t xml:space="preserve"> - </w:t>
            </w:r>
            <w:r w:rsidRPr="00D33D68">
              <w:rPr>
                <w:b/>
                <w:noProof/>
                <w:lang w:val="bg-BG"/>
              </w:rPr>
              <w:t>Development and implementation of the Integrated Maritime Policy</w:t>
            </w:r>
          </w:p>
        </w:tc>
      </w:tr>
      <w:tr w:rsidR="00D33D68" w:rsidRPr="00D33D68" w14:paraId="5C77169F" w14:textId="77777777" w:rsidTr="00511333">
        <w:tc>
          <w:tcPr>
            <w:tcW w:w="1183" w:type="pct"/>
            <w:shd w:val="clear" w:color="auto" w:fill="auto"/>
          </w:tcPr>
          <w:p w14:paraId="3BA34C4D" w14:textId="77777777" w:rsidR="00A87C10" w:rsidRPr="00D33D68" w:rsidRDefault="00A87C10" w:rsidP="00A87C10">
            <w:pPr>
              <w:spacing w:after="0"/>
              <w:jc w:val="center"/>
              <w:rPr>
                <w:b/>
              </w:rPr>
            </w:pPr>
            <w:r w:rsidRPr="00D33D68">
              <w:rPr>
                <w:b/>
              </w:rPr>
              <w:t>EMFF measure</w:t>
            </w:r>
          </w:p>
        </w:tc>
        <w:tc>
          <w:tcPr>
            <w:tcW w:w="763" w:type="pct"/>
          </w:tcPr>
          <w:p w14:paraId="02B2F2A1" w14:textId="77777777" w:rsidR="00A87C10" w:rsidRPr="00D33D68" w:rsidRDefault="00A87C10" w:rsidP="00A87C10">
            <w:pPr>
              <w:spacing w:after="0"/>
              <w:jc w:val="center"/>
              <w:rPr>
                <w:b/>
              </w:rPr>
            </w:pPr>
            <w:r w:rsidRPr="00D33D68">
              <w:rPr>
                <w:b/>
              </w:rPr>
              <w:t>Output indicator</w:t>
            </w:r>
          </w:p>
        </w:tc>
        <w:tc>
          <w:tcPr>
            <w:tcW w:w="486" w:type="pct"/>
            <w:shd w:val="clear" w:color="auto" w:fill="auto"/>
          </w:tcPr>
          <w:p w14:paraId="2612B6FF" w14:textId="77777777" w:rsidR="00A87C10" w:rsidRPr="00D33D68" w:rsidRDefault="00A87C10" w:rsidP="00E56711">
            <w:pPr>
              <w:spacing w:after="0"/>
              <w:ind w:left="-111"/>
              <w:jc w:val="center"/>
              <w:rPr>
                <w:b/>
              </w:rPr>
            </w:pPr>
            <w:r w:rsidRPr="00D33D68">
              <w:rPr>
                <w:b/>
              </w:rPr>
              <w:t>Target value for 2023</w:t>
            </w:r>
          </w:p>
          <w:p w14:paraId="37032A6F" w14:textId="77777777" w:rsidR="007235D6" w:rsidRPr="00D33D68" w:rsidRDefault="007235D6" w:rsidP="00E56711">
            <w:pPr>
              <w:spacing w:after="0"/>
              <w:ind w:left="-111"/>
              <w:jc w:val="center"/>
              <w:rPr>
                <w:b/>
              </w:rPr>
            </w:pPr>
            <w:r w:rsidRPr="00D33D68">
              <w:rPr>
                <w:b/>
              </w:rPr>
              <w:t>(new)</w:t>
            </w:r>
          </w:p>
        </w:tc>
        <w:tc>
          <w:tcPr>
            <w:tcW w:w="486" w:type="pct"/>
            <w:shd w:val="clear" w:color="auto" w:fill="auto"/>
          </w:tcPr>
          <w:p w14:paraId="0F7FADFB" w14:textId="77777777" w:rsidR="00A87C10" w:rsidRPr="00D33D68" w:rsidRDefault="00A87C10" w:rsidP="00A87C10">
            <w:pPr>
              <w:spacing w:after="0"/>
              <w:jc w:val="center"/>
              <w:rPr>
                <w:b/>
              </w:rPr>
            </w:pPr>
            <w:r w:rsidRPr="00D33D68">
              <w:rPr>
                <w:b/>
              </w:rPr>
              <w:t>Measurement unit</w:t>
            </w:r>
          </w:p>
        </w:tc>
        <w:tc>
          <w:tcPr>
            <w:tcW w:w="549" w:type="pct"/>
          </w:tcPr>
          <w:p w14:paraId="30423EDE" w14:textId="77777777" w:rsidR="00A87C10" w:rsidRPr="00D33D68" w:rsidRDefault="00A87C10" w:rsidP="007525E5">
            <w:pPr>
              <w:spacing w:after="0"/>
              <w:ind w:left="-54" w:right="-73"/>
              <w:jc w:val="center"/>
              <w:rPr>
                <w:b/>
              </w:rPr>
            </w:pPr>
            <w:r w:rsidRPr="00D33D68">
              <w:rPr>
                <w:b/>
              </w:rPr>
              <w:t>Include in the Performance Framework</w:t>
            </w:r>
          </w:p>
        </w:tc>
        <w:tc>
          <w:tcPr>
            <w:tcW w:w="1533" w:type="pct"/>
          </w:tcPr>
          <w:p w14:paraId="78728577" w14:textId="6FD65574" w:rsidR="00A87C10" w:rsidRPr="00D33D68" w:rsidRDefault="00B51014" w:rsidP="002E4592">
            <w:pPr>
              <w:spacing w:after="0"/>
              <w:ind w:left="-99" w:right="-108"/>
              <w:jc w:val="center"/>
              <w:rPr>
                <w:b/>
              </w:rPr>
            </w:pPr>
            <w:r w:rsidRPr="00D33D68">
              <w:rPr>
                <w:b/>
              </w:rPr>
              <w:t>Explanation</w:t>
            </w:r>
          </w:p>
        </w:tc>
      </w:tr>
      <w:tr w:rsidR="00D33D68" w:rsidRPr="00D33D68" w14:paraId="55270EBC" w14:textId="77777777" w:rsidTr="00511333">
        <w:tc>
          <w:tcPr>
            <w:tcW w:w="1183" w:type="pct"/>
            <w:shd w:val="clear" w:color="auto" w:fill="auto"/>
          </w:tcPr>
          <w:p w14:paraId="5FABBD48" w14:textId="77777777" w:rsidR="00A87C10" w:rsidRPr="00D33D68" w:rsidRDefault="00A87C10" w:rsidP="006943E2">
            <w:pPr>
              <w:spacing w:after="0"/>
            </w:pPr>
            <w:r w:rsidRPr="00D33D68">
              <w:t xml:space="preserve">01 - Article 80.1.a </w:t>
            </w:r>
            <w:r w:rsidRPr="00D33D68">
              <w:lastRenderedPageBreak/>
              <w:t>Integrating Maritime Surveillance</w:t>
            </w:r>
          </w:p>
        </w:tc>
        <w:tc>
          <w:tcPr>
            <w:tcW w:w="763" w:type="pct"/>
          </w:tcPr>
          <w:p w14:paraId="5A896618" w14:textId="77777777" w:rsidR="00A87C10" w:rsidRPr="00D33D68" w:rsidRDefault="00A87C10" w:rsidP="006943E2">
            <w:pPr>
              <w:spacing w:after="0"/>
            </w:pPr>
            <w:r w:rsidRPr="00D33D68">
              <w:lastRenderedPageBreak/>
              <w:t xml:space="preserve">6.1 - N° of </w:t>
            </w:r>
            <w:r w:rsidRPr="00D33D68">
              <w:lastRenderedPageBreak/>
              <w:t>projects on integrating maritime surveillance</w:t>
            </w:r>
          </w:p>
        </w:tc>
        <w:tc>
          <w:tcPr>
            <w:tcW w:w="486" w:type="pct"/>
            <w:shd w:val="clear" w:color="auto" w:fill="auto"/>
          </w:tcPr>
          <w:p w14:paraId="641E98FC" w14:textId="77777777" w:rsidR="00A87C10" w:rsidRPr="00D33D68" w:rsidRDefault="00A87C10" w:rsidP="001F603D">
            <w:pPr>
              <w:spacing w:after="0"/>
              <w:jc w:val="right"/>
            </w:pPr>
            <w:r w:rsidRPr="00D33D68">
              <w:lastRenderedPageBreak/>
              <w:t>1</w:t>
            </w:r>
          </w:p>
        </w:tc>
        <w:tc>
          <w:tcPr>
            <w:tcW w:w="486" w:type="pct"/>
            <w:shd w:val="clear" w:color="auto" w:fill="auto"/>
          </w:tcPr>
          <w:p w14:paraId="04DFD577" w14:textId="77777777" w:rsidR="00A87C10" w:rsidRPr="00D33D68" w:rsidRDefault="00A87C10" w:rsidP="00E56711">
            <w:pPr>
              <w:spacing w:after="0"/>
              <w:ind w:left="-111"/>
            </w:pPr>
            <w:r w:rsidRPr="00D33D68">
              <w:t>Number</w:t>
            </w:r>
          </w:p>
        </w:tc>
        <w:tc>
          <w:tcPr>
            <w:tcW w:w="549" w:type="pct"/>
          </w:tcPr>
          <w:p w14:paraId="1A0CE883" w14:textId="77777777" w:rsidR="00A87C10" w:rsidRPr="00D33D68" w:rsidRDefault="00A87C10" w:rsidP="006943E2">
            <w:pPr>
              <w:spacing w:after="0"/>
              <w:jc w:val="center"/>
            </w:pPr>
          </w:p>
        </w:tc>
        <w:tc>
          <w:tcPr>
            <w:tcW w:w="1533" w:type="pct"/>
          </w:tcPr>
          <w:p w14:paraId="7C40987E" w14:textId="668E3A3D" w:rsidR="00246A97" w:rsidRPr="00D33D68" w:rsidRDefault="00246A97" w:rsidP="00D768DC">
            <w:pPr>
              <w:spacing w:after="0"/>
            </w:pPr>
            <w:r w:rsidRPr="00D33D68">
              <w:t xml:space="preserve">Индикаторът </w:t>
            </w:r>
            <w:r w:rsidR="00D768DC" w:rsidRPr="00D33D68">
              <w:t xml:space="preserve">не се </w:t>
            </w:r>
            <w:r w:rsidR="00D768DC" w:rsidRPr="00D33D68">
              <w:lastRenderedPageBreak/>
              <w:t>променя.</w:t>
            </w:r>
          </w:p>
        </w:tc>
      </w:tr>
      <w:tr w:rsidR="00D33D68" w:rsidRPr="00D33D68" w14:paraId="6E0EE29A" w14:textId="77777777" w:rsidTr="00511333">
        <w:tc>
          <w:tcPr>
            <w:tcW w:w="1183" w:type="pct"/>
            <w:shd w:val="clear" w:color="auto" w:fill="auto"/>
          </w:tcPr>
          <w:p w14:paraId="566D30F7" w14:textId="77777777" w:rsidR="00A87C10" w:rsidRPr="00D33D68" w:rsidRDefault="00A87C10" w:rsidP="006943E2">
            <w:pPr>
              <w:spacing w:after="0"/>
              <w:rPr>
                <w:strike/>
              </w:rPr>
            </w:pPr>
            <w:r w:rsidRPr="00D33D68">
              <w:rPr>
                <w:strike/>
              </w:rPr>
              <w:lastRenderedPageBreak/>
              <w:t>02 - Article 80.1.b Promotion of the protection of marine environment, and the sustainable use of marine and coastal resources</w:t>
            </w:r>
          </w:p>
        </w:tc>
        <w:tc>
          <w:tcPr>
            <w:tcW w:w="763" w:type="pct"/>
          </w:tcPr>
          <w:p w14:paraId="35FC586F" w14:textId="77777777" w:rsidR="00A87C10" w:rsidRPr="00D33D68" w:rsidRDefault="00A87C10" w:rsidP="006943E2">
            <w:pPr>
              <w:spacing w:after="0"/>
              <w:rPr>
                <w:strike/>
              </w:rPr>
            </w:pPr>
            <w:r w:rsidRPr="00D33D68">
              <w:rPr>
                <w:strike/>
              </w:rPr>
              <w:t>6.2 - N° projects on the protection and improvement of knowledge on marine environment</w:t>
            </w:r>
          </w:p>
        </w:tc>
        <w:tc>
          <w:tcPr>
            <w:tcW w:w="486" w:type="pct"/>
            <w:shd w:val="clear" w:color="auto" w:fill="auto"/>
          </w:tcPr>
          <w:p w14:paraId="2CD978F6" w14:textId="77777777" w:rsidR="00A87C10" w:rsidRPr="00D33D68" w:rsidRDefault="00A87C10" w:rsidP="006943E2">
            <w:pPr>
              <w:spacing w:after="0"/>
              <w:jc w:val="right"/>
              <w:rPr>
                <w:strike/>
              </w:rPr>
            </w:pPr>
            <w:r w:rsidRPr="00D33D68">
              <w:rPr>
                <w:strike/>
              </w:rPr>
              <w:t>0</w:t>
            </w:r>
          </w:p>
        </w:tc>
        <w:tc>
          <w:tcPr>
            <w:tcW w:w="486" w:type="pct"/>
            <w:shd w:val="clear" w:color="auto" w:fill="auto"/>
          </w:tcPr>
          <w:p w14:paraId="2E0238A7" w14:textId="77777777" w:rsidR="00A87C10" w:rsidRPr="00D33D68" w:rsidRDefault="00A87C10" w:rsidP="00E56711">
            <w:pPr>
              <w:spacing w:after="0"/>
              <w:ind w:left="-111"/>
              <w:rPr>
                <w:strike/>
              </w:rPr>
            </w:pPr>
            <w:r w:rsidRPr="00D33D68">
              <w:rPr>
                <w:strike/>
              </w:rPr>
              <w:t>Number</w:t>
            </w:r>
          </w:p>
        </w:tc>
        <w:tc>
          <w:tcPr>
            <w:tcW w:w="549" w:type="pct"/>
          </w:tcPr>
          <w:p w14:paraId="26443CDB" w14:textId="77777777" w:rsidR="00A87C10" w:rsidRPr="00D33D68" w:rsidRDefault="00A87C10" w:rsidP="006943E2">
            <w:pPr>
              <w:spacing w:after="0"/>
              <w:jc w:val="center"/>
            </w:pPr>
            <w:r w:rsidRPr="00D33D68">
              <w:rPr>
                <w:lang w:eastAsia="en-GB"/>
              </w:rPr>
              <w:sym w:font="Wingdings" w:char="F0FC"/>
            </w:r>
          </w:p>
        </w:tc>
        <w:tc>
          <w:tcPr>
            <w:tcW w:w="1533" w:type="pct"/>
          </w:tcPr>
          <w:p w14:paraId="22DF5D66" w14:textId="3D32FD97" w:rsidR="00246A97" w:rsidRPr="00D33D68" w:rsidRDefault="00246A97" w:rsidP="00F94E91">
            <w:pPr>
              <w:spacing w:after="0"/>
              <w:rPr>
                <w:lang w:eastAsia="en-GB"/>
              </w:rPr>
            </w:pPr>
            <w:r w:rsidRPr="00D33D68">
              <w:t>Индикаторът се образува от м</w:t>
            </w:r>
            <w:r w:rsidR="005F43E4" w:rsidRPr="00D33D68">
              <w:t>я</w:t>
            </w:r>
            <w:r w:rsidRPr="00D33D68">
              <w:t>рк</w:t>
            </w:r>
            <w:r w:rsidR="0003104E" w:rsidRPr="00D33D68">
              <w:t>а</w:t>
            </w:r>
            <w:r w:rsidRPr="00D33D68">
              <w:t xml:space="preserve"> </w:t>
            </w:r>
            <w:r w:rsidR="005F43E4" w:rsidRPr="00D33D68">
              <w:t>6.2</w:t>
            </w:r>
            <w:r w:rsidR="00F94E91" w:rsidRPr="00D33D68">
              <w:t>, която се</w:t>
            </w:r>
            <w:r w:rsidR="005F43E4" w:rsidRPr="00D33D68">
              <w:t xml:space="preserve"> закрива</w:t>
            </w:r>
            <w:r w:rsidR="008C66F8" w:rsidRPr="00D33D68">
              <w:t>, а индикаторът се изтрива</w:t>
            </w:r>
            <w:r w:rsidRPr="00D33D68">
              <w:t>.</w:t>
            </w:r>
          </w:p>
        </w:tc>
      </w:tr>
      <w:tr w:rsidR="003D09B5" w:rsidRPr="00D33D68" w14:paraId="50A9F58A" w14:textId="77777777" w:rsidTr="00511333">
        <w:tc>
          <w:tcPr>
            <w:tcW w:w="1183" w:type="pct"/>
            <w:shd w:val="clear" w:color="auto" w:fill="auto"/>
          </w:tcPr>
          <w:p w14:paraId="4C1811E6" w14:textId="77777777" w:rsidR="00A87C10" w:rsidRPr="00D33D68" w:rsidRDefault="00A87C10" w:rsidP="006943E2">
            <w:pPr>
              <w:spacing w:after="0"/>
            </w:pPr>
            <w:r w:rsidRPr="00D33D68">
              <w:t>03 - Article 80.1.c Improving the knowledge on the state of the marine environment</w:t>
            </w:r>
          </w:p>
        </w:tc>
        <w:tc>
          <w:tcPr>
            <w:tcW w:w="763" w:type="pct"/>
          </w:tcPr>
          <w:p w14:paraId="52738A62" w14:textId="77777777" w:rsidR="00A87C10" w:rsidRPr="00D33D68" w:rsidRDefault="00A87C10" w:rsidP="006943E2">
            <w:pPr>
              <w:spacing w:after="0"/>
            </w:pPr>
            <w:r w:rsidRPr="00D33D68">
              <w:t>6.2 - N° projects on the protection and improvement of knowledge on marine environment</w:t>
            </w:r>
          </w:p>
        </w:tc>
        <w:tc>
          <w:tcPr>
            <w:tcW w:w="486" w:type="pct"/>
            <w:shd w:val="clear" w:color="auto" w:fill="auto"/>
          </w:tcPr>
          <w:p w14:paraId="3590A5AC" w14:textId="77777777" w:rsidR="00A87C10" w:rsidRPr="00D33D68" w:rsidRDefault="001F603D" w:rsidP="006943E2">
            <w:pPr>
              <w:spacing w:after="0"/>
              <w:jc w:val="right"/>
            </w:pPr>
            <w:r w:rsidRPr="00D33D68">
              <w:t>2</w:t>
            </w:r>
          </w:p>
        </w:tc>
        <w:tc>
          <w:tcPr>
            <w:tcW w:w="486" w:type="pct"/>
            <w:shd w:val="clear" w:color="auto" w:fill="auto"/>
          </w:tcPr>
          <w:p w14:paraId="093089AF" w14:textId="77777777" w:rsidR="00A87C10" w:rsidRPr="00D33D68" w:rsidRDefault="00A87C10" w:rsidP="00E56711">
            <w:pPr>
              <w:spacing w:after="0"/>
              <w:ind w:left="-111"/>
            </w:pPr>
            <w:r w:rsidRPr="00D33D68">
              <w:t>Number</w:t>
            </w:r>
          </w:p>
        </w:tc>
        <w:tc>
          <w:tcPr>
            <w:tcW w:w="549" w:type="pct"/>
          </w:tcPr>
          <w:p w14:paraId="261EBC04" w14:textId="77777777" w:rsidR="00A87C10" w:rsidRPr="00D33D68" w:rsidRDefault="00A87C10" w:rsidP="006943E2">
            <w:pPr>
              <w:spacing w:after="0"/>
              <w:jc w:val="center"/>
            </w:pPr>
            <w:r w:rsidRPr="00D33D68">
              <w:rPr>
                <w:lang w:eastAsia="en-GB"/>
              </w:rPr>
              <w:sym w:font="Wingdings" w:char="F0FC"/>
            </w:r>
          </w:p>
        </w:tc>
        <w:tc>
          <w:tcPr>
            <w:tcW w:w="1533" w:type="pct"/>
          </w:tcPr>
          <w:p w14:paraId="041FBD33" w14:textId="33656586" w:rsidR="00246A97" w:rsidRPr="00D33D68" w:rsidRDefault="00246A97" w:rsidP="009F1734">
            <w:pPr>
              <w:spacing w:after="0"/>
              <w:rPr>
                <w:lang w:eastAsia="en-GB"/>
              </w:rPr>
            </w:pPr>
            <w:r w:rsidRPr="00D33D68">
              <w:t>Индикаторът се образува от м</w:t>
            </w:r>
            <w:r w:rsidR="009F1734" w:rsidRPr="00D33D68">
              <w:t>я</w:t>
            </w:r>
            <w:r w:rsidRPr="00D33D68">
              <w:t>рк</w:t>
            </w:r>
            <w:r w:rsidR="009F1734" w:rsidRPr="00D33D68">
              <w:t>а</w:t>
            </w:r>
            <w:r w:rsidRPr="00D33D68">
              <w:t xml:space="preserve"> </w:t>
            </w:r>
            <w:r w:rsidR="00933725" w:rsidRPr="00D33D68">
              <w:t>6.3</w:t>
            </w:r>
            <w:r w:rsidRPr="00D33D68">
              <w:t xml:space="preserve">. Начална стойност </w:t>
            </w:r>
            <w:r w:rsidR="00933725" w:rsidRPr="00D33D68">
              <w:t>1</w:t>
            </w:r>
            <w:r w:rsidRPr="00D33D68">
              <w:t xml:space="preserve">. </w:t>
            </w:r>
            <w:r w:rsidR="00933725" w:rsidRPr="00D33D68">
              <w:t>П</w:t>
            </w:r>
            <w:r w:rsidRPr="00D33D68">
              <w:t>ри 1вата</w:t>
            </w:r>
            <w:r w:rsidR="00AB1FB6" w:rsidRPr="00D33D68">
              <w:t xml:space="preserve"> и втората</w:t>
            </w:r>
            <w:r w:rsidR="00CC5CF5" w:rsidRPr="00D33D68">
              <w:t xml:space="preserve"> (COVID-19)</w:t>
            </w:r>
            <w:r w:rsidRPr="00D33D68">
              <w:t xml:space="preserve"> стъпка </w:t>
            </w:r>
            <w:r w:rsidR="00933725" w:rsidRPr="00D33D68">
              <w:t>индикаторът не се променя.</w:t>
            </w:r>
            <w:r w:rsidRPr="00D33D68">
              <w:t xml:space="preserve"> Сега </w:t>
            </w:r>
            <w:r w:rsidR="00933725" w:rsidRPr="00D33D68">
              <w:t>индикаторът се удвоява поради прехвърлянето на бюджета от м</w:t>
            </w:r>
            <w:r w:rsidR="00D34B37" w:rsidRPr="00D33D68">
              <w:t>я</w:t>
            </w:r>
            <w:r w:rsidR="00933725" w:rsidRPr="00D33D68">
              <w:t>рка 6.2</w:t>
            </w:r>
            <w:r w:rsidRPr="00D33D68">
              <w:t>.</w:t>
            </w:r>
          </w:p>
        </w:tc>
      </w:tr>
    </w:tbl>
    <w:p w14:paraId="233D88D3" w14:textId="77777777" w:rsidR="00771E9D" w:rsidRPr="00D33D68" w:rsidRDefault="00771E9D" w:rsidP="00771E9D">
      <w:pPr>
        <w:spacing w:after="0"/>
      </w:pPr>
    </w:p>
    <w:p w14:paraId="0AB6CA64" w14:textId="77777777" w:rsidR="00010551" w:rsidRPr="00D33D68" w:rsidRDefault="00010551" w:rsidP="00010551">
      <w:pPr>
        <w:pStyle w:val="Heading2"/>
        <w:rPr>
          <w:rFonts w:ascii="Times New Roman" w:hAnsi="Times New Roman" w:cs="Times New Roman"/>
        </w:rPr>
      </w:pPr>
      <w:r w:rsidRPr="00D33D68">
        <w:rPr>
          <w:rFonts w:ascii="Times New Roman" w:hAnsi="Times New Roman" w:cs="Times New Roman"/>
        </w:rPr>
        <w:t>Промяна в рамката за изпълнение</w:t>
      </w:r>
    </w:p>
    <w:p w14:paraId="5620BF56" w14:textId="3D9B1BE0" w:rsidR="007D3718" w:rsidRPr="00D33D68" w:rsidRDefault="007D3718" w:rsidP="008821E8">
      <w:pPr>
        <w:ind w:firstLine="360"/>
      </w:pPr>
      <w:r w:rsidRPr="00D33D68">
        <w:t>Предложеното изменение на пр</w:t>
      </w:r>
      <w:r w:rsidR="00860069" w:rsidRPr="00D33D68">
        <w:t>о</w:t>
      </w:r>
      <w:r w:rsidRPr="00D33D68">
        <w:t xml:space="preserve">грамата води до промени в целите на рамката за изпълнение на ПМДР поради </w:t>
      </w:r>
      <w:r w:rsidR="00063F2C" w:rsidRPr="00D33D68">
        <w:t xml:space="preserve">пренасочване на бюджетите по </w:t>
      </w:r>
      <w:r w:rsidR="00EE4B8A" w:rsidRPr="00D33D68">
        <w:t>някои</w:t>
      </w:r>
      <w:r w:rsidR="00C24CF0" w:rsidRPr="00D33D68">
        <w:t xml:space="preserve"> ПС</w:t>
      </w:r>
      <w:r w:rsidR="0070488F" w:rsidRPr="00D33D68">
        <w:t xml:space="preserve">. </w:t>
      </w:r>
      <w:r w:rsidR="005651DB" w:rsidRPr="00D33D68">
        <w:t>Стойностите на междинните цели не се изменят с настоящото изменение на ПМДР</w:t>
      </w:r>
      <w:r w:rsidR="00CC2B49" w:rsidRPr="00D33D68">
        <w:t>, тъй като са за приключил период</w:t>
      </w:r>
      <w:r w:rsidR="005651DB" w:rsidRPr="00D33D68">
        <w:t>.</w:t>
      </w:r>
      <w:r w:rsidR="00FA75A9" w:rsidRPr="00D33D68">
        <w:t xml:space="preserve"> </w:t>
      </w:r>
      <w:r w:rsidR="00CC2B49" w:rsidRPr="00D33D68">
        <w:t>Крайните цели за 2023, касаещи ф</w:t>
      </w:r>
      <w:r w:rsidR="003A155F" w:rsidRPr="00D33D68">
        <w:t>инансовите индикатори</w:t>
      </w:r>
      <w:r w:rsidR="00CC2B49" w:rsidRPr="00D33D68">
        <w:t xml:space="preserve"> се изменят на база единствено промените свързани с релокацията на средства по различните мер</w:t>
      </w:r>
      <w:r w:rsidR="00860069" w:rsidRPr="00D33D68">
        <w:t>к</w:t>
      </w:r>
      <w:r w:rsidR="00CC2B49" w:rsidRPr="00D33D68">
        <w:t>и предложени и одобрени на Ком</w:t>
      </w:r>
      <w:r w:rsidR="00715E29" w:rsidRPr="00D33D68">
        <w:t>и</w:t>
      </w:r>
      <w:r w:rsidR="00CC2B49" w:rsidRPr="00D33D68">
        <w:t>те</w:t>
      </w:r>
      <w:r w:rsidR="00D20558" w:rsidRPr="00D33D68">
        <w:t>т за наблюдение</w:t>
      </w:r>
      <w:r w:rsidR="00EE4B8A" w:rsidRPr="00D33D68">
        <w:t>.</w:t>
      </w:r>
      <w:r w:rsidR="00D20558" w:rsidRPr="00D33D68">
        <w:t xml:space="preserve"> </w:t>
      </w:r>
      <w:r w:rsidR="003E7FA6" w:rsidRPr="00D33D68">
        <w:t>И</w:t>
      </w:r>
      <w:r w:rsidR="00CC2B49" w:rsidRPr="00D33D68">
        <w:t>ндикатори</w:t>
      </w:r>
      <w:r w:rsidR="003E7FA6" w:rsidRPr="00D33D68">
        <w:t>те</w:t>
      </w:r>
      <w:r w:rsidR="00CC2B49" w:rsidRPr="00D33D68">
        <w:t xml:space="preserve"> за из</w:t>
      </w:r>
      <w:r w:rsidR="00715E29" w:rsidRPr="00D33D68">
        <w:t>п</w:t>
      </w:r>
      <w:r w:rsidR="00CC2B49" w:rsidRPr="00D33D68">
        <w:t xml:space="preserve">ълнение – брой проектни предложения се изменят в </w:t>
      </w:r>
      <w:r w:rsidR="00EE4B8A" w:rsidRPr="00D33D68">
        <w:t>три</w:t>
      </w:r>
      <w:r w:rsidR="00CC2B49" w:rsidRPr="00D33D68">
        <w:t xml:space="preserve"> стъпки, </w:t>
      </w:r>
      <w:r w:rsidR="00D85A2D" w:rsidRPr="00D33D68">
        <w:t>по методологията за промяна в индикаторите</w:t>
      </w:r>
      <w:r w:rsidR="00676E19" w:rsidRPr="00D33D68">
        <w:t xml:space="preserve"> по-горе</w:t>
      </w:r>
      <w:r w:rsidR="00EE4B8A" w:rsidRPr="00D33D68">
        <w:t xml:space="preserve"> (III. </w:t>
      </w:r>
      <w:r w:rsidR="003E5790" w:rsidRPr="00D33D68">
        <w:t>Промяна в индикаторите)</w:t>
      </w:r>
      <w:r w:rsidR="00CC2B49" w:rsidRPr="00D33D68">
        <w:t>.</w:t>
      </w:r>
      <w:r w:rsidR="00FA75A9" w:rsidRPr="00D33D68">
        <w:t xml:space="preserve"> </w:t>
      </w:r>
    </w:p>
    <w:p w14:paraId="2405D00F" w14:textId="135CD3E1" w:rsidR="00686E83" w:rsidRPr="00D33D68" w:rsidRDefault="005C1597" w:rsidP="00EC5D28">
      <w:pPr>
        <w:ind w:firstLine="360"/>
      </w:pPr>
      <w:r w:rsidRPr="00D33D68">
        <w:t xml:space="preserve">Промяната в целите на рамката за изпълнение на ПМДР </w:t>
      </w:r>
      <w:r w:rsidR="009A158C" w:rsidRPr="00D33D68">
        <w:t>е следната:</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5"/>
        <w:gridCol w:w="7843"/>
      </w:tblGrid>
      <w:tr w:rsidR="00686E83" w:rsidRPr="00D33D68" w14:paraId="3B533841" w14:textId="77777777" w:rsidTr="00D6532E">
        <w:tc>
          <w:tcPr>
            <w:tcW w:w="0" w:type="auto"/>
            <w:shd w:val="clear" w:color="auto" w:fill="auto"/>
          </w:tcPr>
          <w:p w14:paraId="0E0BA240" w14:textId="77777777" w:rsidR="00686E83" w:rsidRPr="00D33D68" w:rsidRDefault="00686E83" w:rsidP="00D6532E">
            <w:pPr>
              <w:spacing w:after="0"/>
              <w:rPr>
                <w:b/>
              </w:rPr>
            </w:pPr>
            <w:r w:rsidRPr="00D33D68">
              <w:rPr>
                <w:b/>
              </w:rPr>
              <w:t>Union priority</w:t>
            </w:r>
          </w:p>
        </w:tc>
        <w:tc>
          <w:tcPr>
            <w:tcW w:w="0" w:type="auto"/>
            <w:shd w:val="clear" w:color="auto" w:fill="auto"/>
          </w:tcPr>
          <w:p w14:paraId="6F5C19B5" w14:textId="77777777" w:rsidR="00686E83" w:rsidRPr="00D33D68" w:rsidRDefault="00686E83" w:rsidP="00D6532E">
            <w:pPr>
              <w:spacing w:after="0"/>
            </w:pPr>
            <w:r w:rsidRPr="00D33D68">
              <w:t>1 - Promoting environmentally sustainable, resource efficient, innovative, competitive and knowledge based fisheries</w:t>
            </w:r>
          </w:p>
        </w:tc>
      </w:tr>
    </w:tbl>
    <w:p w14:paraId="02A1E710" w14:textId="77777777" w:rsidR="00686E83" w:rsidRPr="00D33D68" w:rsidRDefault="00686E83" w:rsidP="00686E83">
      <w:pPr>
        <w:spacing w:after="0"/>
      </w:pPr>
    </w:p>
    <w:tbl>
      <w:tblPr>
        <w:tblW w:w="498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41"/>
        <w:gridCol w:w="1573"/>
        <w:gridCol w:w="1758"/>
        <w:gridCol w:w="1479"/>
      </w:tblGrid>
      <w:tr w:rsidR="00D33D68" w:rsidRPr="00D33D68" w14:paraId="1374B760" w14:textId="3509816F" w:rsidTr="00E92941">
        <w:tc>
          <w:tcPr>
            <w:tcW w:w="4320" w:type="dxa"/>
            <w:shd w:val="clear" w:color="auto" w:fill="auto"/>
          </w:tcPr>
          <w:p w14:paraId="182A154D" w14:textId="77777777" w:rsidR="00D51C6F" w:rsidRPr="00D33D68" w:rsidRDefault="00D51C6F" w:rsidP="00D6532E">
            <w:pPr>
              <w:spacing w:after="0"/>
              <w:rPr>
                <w:b/>
              </w:rPr>
            </w:pPr>
            <w:r w:rsidRPr="00D33D68">
              <w:rPr>
                <w:b/>
              </w:rPr>
              <w:t>Indicator and measurement unit, where appropriate</w:t>
            </w:r>
          </w:p>
        </w:tc>
        <w:tc>
          <w:tcPr>
            <w:tcW w:w="1530" w:type="dxa"/>
            <w:shd w:val="clear" w:color="auto" w:fill="auto"/>
          </w:tcPr>
          <w:p w14:paraId="217FDF34" w14:textId="77777777" w:rsidR="00D51C6F" w:rsidRPr="00D33D68" w:rsidRDefault="00D51C6F" w:rsidP="00D6532E">
            <w:pPr>
              <w:spacing w:after="0"/>
              <w:rPr>
                <w:b/>
              </w:rPr>
            </w:pPr>
            <w:r w:rsidRPr="00D33D68">
              <w:rPr>
                <w:b/>
              </w:rPr>
              <w:t>Milestone for 2018</w:t>
            </w:r>
          </w:p>
        </w:tc>
        <w:tc>
          <w:tcPr>
            <w:tcW w:w="1710" w:type="dxa"/>
            <w:shd w:val="clear" w:color="auto" w:fill="auto"/>
          </w:tcPr>
          <w:p w14:paraId="302D154D" w14:textId="77777777" w:rsidR="002B6B02" w:rsidRPr="00D33D68" w:rsidRDefault="002B6B02" w:rsidP="002B6B02">
            <w:pPr>
              <w:spacing w:after="0"/>
              <w:jc w:val="center"/>
              <w:rPr>
                <w:b/>
              </w:rPr>
            </w:pPr>
            <w:r w:rsidRPr="00D33D68">
              <w:rPr>
                <w:b/>
              </w:rPr>
              <w:t>Targets for 2023</w:t>
            </w:r>
          </w:p>
          <w:p w14:paraId="41A28929" w14:textId="4C9707A9" w:rsidR="00D51C6F" w:rsidRPr="00D33D68" w:rsidRDefault="002B6B02" w:rsidP="002B6B02">
            <w:pPr>
              <w:spacing w:after="0"/>
              <w:jc w:val="center"/>
              <w:rPr>
                <w:b/>
              </w:rPr>
            </w:pPr>
            <w:r w:rsidRPr="00D33D68">
              <w:rPr>
                <w:b/>
              </w:rPr>
              <w:lastRenderedPageBreak/>
              <w:t>(new)</w:t>
            </w:r>
          </w:p>
        </w:tc>
        <w:tc>
          <w:tcPr>
            <w:tcW w:w="1439" w:type="dxa"/>
          </w:tcPr>
          <w:p w14:paraId="48B73E90" w14:textId="1DC1A827" w:rsidR="00D51C6F" w:rsidRPr="00D33D68" w:rsidRDefault="00D51C6F" w:rsidP="00D6532E">
            <w:pPr>
              <w:spacing w:after="0"/>
              <w:jc w:val="center"/>
              <w:rPr>
                <w:b/>
              </w:rPr>
            </w:pPr>
            <w:r w:rsidRPr="00D33D68">
              <w:rPr>
                <w:b/>
              </w:rPr>
              <w:lastRenderedPageBreak/>
              <w:t>Initial</w:t>
            </w:r>
          </w:p>
        </w:tc>
      </w:tr>
      <w:tr w:rsidR="00D33D68" w:rsidRPr="00D33D68" w14:paraId="2D3DEF60" w14:textId="38E7FFD7" w:rsidTr="00E92941">
        <w:tc>
          <w:tcPr>
            <w:tcW w:w="4320" w:type="dxa"/>
            <w:shd w:val="clear" w:color="auto" w:fill="auto"/>
          </w:tcPr>
          <w:p w14:paraId="7FAB8A4E" w14:textId="77777777" w:rsidR="00D51C6F" w:rsidRPr="00D33D68" w:rsidRDefault="00D51C6F" w:rsidP="00D6532E">
            <w:pPr>
              <w:spacing w:after="0"/>
            </w:pPr>
            <w:r w:rsidRPr="00D33D68">
              <w:lastRenderedPageBreak/>
              <w:t>Financial indicator</w:t>
            </w:r>
          </w:p>
        </w:tc>
        <w:tc>
          <w:tcPr>
            <w:tcW w:w="1530" w:type="dxa"/>
            <w:shd w:val="clear" w:color="auto" w:fill="auto"/>
          </w:tcPr>
          <w:p w14:paraId="72E5C785" w14:textId="1869CEF3" w:rsidR="00D51C6F" w:rsidRPr="00D33D68" w:rsidRDefault="00D51C6F" w:rsidP="0095672B">
            <w:pPr>
              <w:spacing w:after="0"/>
              <w:jc w:val="right"/>
            </w:pPr>
            <w:r w:rsidRPr="00D33D68">
              <w:t>4,348,000</w:t>
            </w:r>
          </w:p>
        </w:tc>
        <w:tc>
          <w:tcPr>
            <w:tcW w:w="1710" w:type="dxa"/>
            <w:shd w:val="clear" w:color="auto" w:fill="auto"/>
          </w:tcPr>
          <w:p w14:paraId="74243CD0" w14:textId="7B3DB60C" w:rsidR="00D51C6F" w:rsidRPr="00D33D68" w:rsidRDefault="004E43A6" w:rsidP="006C5C57">
            <w:pPr>
              <w:spacing w:after="0"/>
              <w:jc w:val="right"/>
            </w:pPr>
            <w:r w:rsidRPr="00D33D68">
              <w:t>18 365 225</w:t>
            </w:r>
            <w:r w:rsidR="006C5C57" w:rsidRPr="00D33D68">
              <w:t>.00</w:t>
            </w:r>
          </w:p>
        </w:tc>
        <w:tc>
          <w:tcPr>
            <w:tcW w:w="1439" w:type="dxa"/>
          </w:tcPr>
          <w:p w14:paraId="374EB9AA" w14:textId="605F25CF" w:rsidR="00D51C6F" w:rsidRPr="00D33D68" w:rsidRDefault="00B635F8" w:rsidP="00B635F8">
            <w:pPr>
              <w:spacing w:after="0"/>
              <w:ind w:left="-109" w:right="-107"/>
              <w:jc w:val="right"/>
            </w:pPr>
            <w:r w:rsidRPr="00D33D68">
              <w:t>18 537 116</w:t>
            </w:r>
            <w:r w:rsidR="00AE4DF5" w:rsidRPr="00D33D68">
              <w:t>.00</w:t>
            </w:r>
          </w:p>
        </w:tc>
      </w:tr>
      <w:tr w:rsidR="00D33D68" w:rsidRPr="00D33D68" w14:paraId="56098896" w14:textId="62359170" w:rsidTr="00E92941">
        <w:tc>
          <w:tcPr>
            <w:tcW w:w="4320" w:type="dxa"/>
            <w:shd w:val="clear" w:color="auto" w:fill="auto"/>
          </w:tcPr>
          <w:p w14:paraId="3C14FA6F" w14:textId="77777777" w:rsidR="00D51C6F" w:rsidRPr="00D33D68" w:rsidRDefault="00D51C6F" w:rsidP="00D6532E">
            <w:pPr>
              <w:spacing w:after="0"/>
            </w:pPr>
            <w:r w:rsidRPr="00D33D68">
              <w:t>1.3 - N° of projects on added value, quality, use of unwanted catches and fishing ports, landing sites, actions halls and shelters</w:t>
            </w:r>
          </w:p>
        </w:tc>
        <w:tc>
          <w:tcPr>
            <w:tcW w:w="1530" w:type="dxa"/>
            <w:shd w:val="clear" w:color="auto" w:fill="auto"/>
          </w:tcPr>
          <w:p w14:paraId="0BD855E2" w14:textId="77777777" w:rsidR="00D51C6F" w:rsidRPr="00D33D68" w:rsidRDefault="00D51C6F" w:rsidP="00D6532E">
            <w:pPr>
              <w:spacing w:after="0"/>
              <w:jc w:val="right"/>
            </w:pPr>
            <w:r w:rsidRPr="00D33D68">
              <w:t>10</w:t>
            </w:r>
          </w:p>
        </w:tc>
        <w:tc>
          <w:tcPr>
            <w:tcW w:w="1710" w:type="dxa"/>
            <w:shd w:val="clear" w:color="auto" w:fill="auto"/>
          </w:tcPr>
          <w:p w14:paraId="0563859D" w14:textId="558DF179" w:rsidR="00D51C6F" w:rsidRPr="00D33D68" w:rsidRDefault="004046ED" w:rsidP="00A15AE3">
            <w:pPr>
              <w:spacing w:after="0"/>
              <w:jc w:val="right"/>
            </w:pPr>
            <w:r w:rsidRPr="00D33D68">
              <w:t>13</w:t>
            </w:r>
          </w:p>
        </w:tc>
        <w:tc>
          <w:tcPr>
            <w:tcW w:w="1439" w:type="dxa"/>
          </w:tcPr>
          <w:p w14:paraId="3C1957FE" w14:textId="2D7B4185" w:rsidR="00D51C6F" w:rsidRPr="00D33D68" w:rsidRDefault="00441231" w:rsidP="00063F2C">
            <w:pPr>
              <w:spacing w:after="0"/>
              <w:jc w:val="right"/>
            </w:pPr>
            <w:r w:rsidRPr="00D33D68">
              <w:t>45</w:t>
            </w:r>
          </w:p>
        </w:tc>
      </w:tr>
      <w:tr w:rsidR="00D51C6F" w:rsidRPr="00D33D68" w14:paraId="2CA01A42" w14:textId="3351911A" w:rsidTr="00E92941">
        <w:tc>
          <w:tcPr>
            <w:tcW w:w="4320" w:type="dxa"/>
            <w:shd w:val="clear" w:color="auto" w:fill="auto"/>
          </w:tcPr>
          <w:p w14:paraId="46C9D74E" w14:textId="77777777" w:rsidR="00D51C6F" w:rsidRPr="00D33D68" w:rsidRDefault="00D51C6F" w:rsidP="00D6532E">
            <w:pPr>
              <w:spacing w:after="0"/>
            </w:pPr>
            <w:r w:rsidRPr="00D33D68">
              <w:t>1.5 - N° of projects on permanent cessation</w:t>
            </w:r>
          </w:p>
        </w:tc>
        <w:tc>
          <w:tcPr>
            <w:tcW w:w="1530" w:type="dxa"/>
            <w:shd w:val="clear" w:color="auto" w:fill="auto"/>
          </w:tcPr>
          <w:p w14:paraId="4855ABFE" w14:textId="77777777" w:rsidR="00D51C6F" w:rsidRPr="00D33D68" w:rsidRDefault="00D51C6F" w:rsidP="00D6532E">
            <w:pPr>
              <w:spacing w:after="0"/>
              <w:jc w:val="right"/>
            </w:pPr>
            <w:r w:rsidRPr="00D33D68">
              <w:t>8</w:t>
            </w:r>
          </w:p>
        </w:tc>
        <w:tc>
          <w:tcPr>
            <w:tcW w:w="1710" w:type="dxa"/>
            <w:shd w:val="clear" w:color="auto" w:fill="auto"/>
          </w:tcPr>
          <w:p w14:paraId="19B41541" w14:textId="77777777" w:rsidR="00D51C6F" w:rsidRPr="00D33D68" w:rsidRDefault="00D51C6F" w:rsidP="00D6532E">
            <w:pPr>
              <w:spacing w:after="0"/>
              <w:jc w:val="right"/>
            </w:pPr>
            <w:r w:rsidRPr="00D33D68">
              <w:t>8</w:t>
            </w:r>
          </w:p>
        </w:tc>
        <w:tc>
          <w:tcPr>
            <w:tcW w:w="1439" w:type="dxa"/>
          </w:tcPr>
          <w:p w14:paraId="5B386683" w14:textId="6D91C414" w:rsidR="00D51C6F" w:rsidRPr="00D33D68" w:rsidRDefault="00441231" w:rsidP="00D6532E">
            <w:pPr>
              <w:spacing w:after="0"/>
              <w:jc w:val="right"/>
            </w:pPr>
            <w:r w:rsidRPr="00D33D68">
              <w:t>8</w:t>
            </w:r>
          </w:p>
        </w:tc>
      </w:tr>
    </w:tbl>
    <w:p w14:paraId="151C1FEF" w14:textId="77777777" w:rsidR="00686E83" w:rsidRPr="00D33D68" w:rsidRDefault="00686E83" w:rsidP="00686E83">
      <w:pPr>
        <w:spacing w:after="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7"/>
        <w:gridCol w:w="7851"/>
      </w:tblGrid>
      <w:tr w:rsidR="00686E83" w:rsidRPr="00D33D68" w14:paraId="3F2607C5" w14:textId="77777777" w:rsidTr="00D6532E">
        <w:tc>
          <w:tcPr>
            <w:tcW w:w="0" w:type="auto"/>
            <w:shd w:val="clear" w:color="auto" w:fill="auto"/>
          </w:tcPr>
          <w:p w14:paraId="7301D203" w14:textId="77777777" w:rsidR="00686E83" w:rsidRPr="00D33D68" w:rsidRDefault="00686E83" w:rsidP="00D6532E">
            <w:pPr>
              <w:spacing w:after="0"/>
              <w:rPr>
                <w:b/>
              </w:rPr>
            </w:pPr>
            <w:r w:rsidRPr="00D33D68">
              <w:rPr>
                <w:b/>
              </w:rPr>
              <w:t>Union priority</w:t>
            </w:r>
          </w:p>
        </w:tc>
        <w:tc>
          <w:tcPr>
            <w:tcW w:w="0" w:type="auto"/>
            <w:shd w:val="clear" w:color="auto" w:fill="auto"/>
          </w:tcPr>
          <w:p w14:paraId="27E2B427" w14:textId="77777777" w:rsidR="00686E83" w:rsidRPr="00D33D68" w:rsidRDefault="00686E83" w:rsidP="00D6532E">
            <w:pPr>
              <w:spacing w:after="0"/>
            </w:pPr>
            <w:r w:rsidRPr="00D33D68">
              <w:t>2 - Fostering environmentally sustainable, resource efficient, innovative, competitive and knowledge based aquaculture</w:t>
            </w:r>
          </w:p>
        </w:tc>
      </w:tr>
    </w:tbl>
    <w:p w14:paraId="3104F4F9" w14:textId="77777777" w:rsidR="00686E83" w:rsidRPr="00D33D68" w:rsidRDefault="00686E83" w:rsidP="00686E83">
      <w:pPr>
        <w:spacing w:after="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15"/>
        <w:gridCol w:w="1564"/>
        <w:gridCol w:w="1747"/>
        <w:gridCol w:w="1562"/>
      </w:tblGrid>
      <w:tr w:rsidR="00D33D68" w:rsidRPr="00D33D68" w14:paraId="073E24A3" w14:textId="55001F7B" w:rsidTr="00E92941">
        <w:tc>
          <w:tcPr>
            <w:tcW w:w="4320" w:type="dxa"/>
            <w:shd w:val="clear" w:color="auto" w:fill="auto"/>
          </w:tcPr>
          <w:p w14:paraId="2636B738" w14:textId="77777777" w:rsidR="00D51C6F" w:rsidRPr="00D33D68" w:rsidRDefault="00D51C6F" w:rsidP="00D6532E">
            <w:pPr>
              <w:spacing w:after="0"/>
              <w:rPr>
                <w:b/>
              </w:rPr>
            </w:pPr>
            <w:r w:rsidRPr="00D33D68">
              <w:rPr>
                <w:b/>
              </w:rPr>
              <w:t>Indicator and measurement unit, where appropriate</w:t>
            </w:r>
          </w:p>
        </w:tc>
        <w:tc>
          <w:tcPr>
            <w:tcW w:w="1531" w:type="dxa"/>
            <w:shd w:val="clear" w:color="auto" w:fill="auto"/>
          </w:tcPr>
          <w:p w14:paraId="1C1FB31E" w14:textId="77777777" w:rsidR="00D51C6F" w:rsidRPr="00D33D68" w:rsidRDefault="00D51C6F" w:rsidP="00D6532E">
            <w:pPr>
              <w:spacing w:after="0"/>
              <w:rPr>
                <w:b/>
              </w:rPr>
            </w:pPr>
            <w:r w:rsidRPr="00D33D68">
              <w:rPr>
                <w:b/>
              </w:rPr>
              <w:t>Milestone for 2018</w:t>
            </w:r>
          </w:p>
        </w:tc>
        <w:tc>
          <w:tcPr>
            <w:tcW w:w="1710" w:type="dxa"/>
            <w:shd w:val="clear" w:color="auto" w:fill="auto"/>
          </w:tcPr>
          <w:p w14:paraId="3B3A6835" w14:textId="77777777" w:rsidR="002B6B02" w:rsidRPr="00D33D68" w:rsidRDefault="002B6B02" w:rsidP="002B6B02">
            <w:pPr>
              <w:spacing w:after="0"/>
              <w:jc w:val="center"/>
              <w:rPr>
                <w:b/>
              </w:rPr>
            </w:pPr>
            <w:r w:rsidRPr="00D33D68">
              <w:rPr>
                <w:b/>
              </w:rPr>
              <w:t>Targets for 2023</w:t>
            </w:r>
          </w:p>
          <w:p w14:paraId="07273C3A" w14:textId="4ABC9DA8" w:rsidR="00D51C6F" w:rsidRPr="00D33D68" w:rsidRDefault="002B6B02" w:rsidP="002B6B02">
            <w:pPr>
              <w:spacing w:after="0"/>
              <w:jc w:val="center"/>
              <w:rPr>
                <w:b/>
              </w:rPr>
            </w:pPr>
            <w:r w:rsidRPr="00D33D68">
              <w:rPr>
                <w:b/>
              </w:rPr>
              <w:t>(new)</w:t>
            </w:r>
          </w:p>
        </w:tc>
        <w:tc>
          <w:tcPr>
            <w:tcW w:w="1529" w:type="dxa"/>
          </w:tcPr>
          <w:p w14:paraId="00C49352" w14:textId="56C90607" w:rsidR="00D51C6F" w:rsidRPr="00D33D68" w:rsidRDefault="00D51C6F" w:rsidP="00D6532E">
            <w:pPr>
              <w:spacing w:after="0"/>
              <w:jc w:val="center"/>
              <w:rPr>
                <w:b/>
              </w:rPr>
            </w:pPr>
            <w:r w:rsidRPr="00D33D68">
              <w:rPr>
                <w:b/>
              </w:rPr>
              <w:t>Initial</w:t>
            </w:r>
          </w:p>
        </w:tc>
      </w:tr>
      <w:tr w:rsidR="00D33D68" w:rsidRPr="00D33D68" w14:paraId="69424110" w14:textId="105457E8" w:rsidTr="00E92941">
        <w:tc>
          <w:tcPr>
            <w:tcW w:w="4320" w:type="dxa"/>
            <w:shd w:val="clear" w:color="auto" w:fill="auto"/>
          </w:tcPr>
          <w:p w14:paraId="76103117" w14:textId="77777777" w:rsidR="00D51C6F" w:rsidRPr="00D33D68" w:rsidRDefault="00D51C6F" w:rsidP="00D6532E">
            <w:pPr>
              <w:spacing w:after="0"/>
            </w:pPr>
            <w:r w:rsidRPr="00D33D68">
              <w:t>Financial indicator</w:t>
            </w:r>
          </w:p>
        </w:tc>
        <w:tc>
          <w:tcPr>
            <w:tcW w:w="1531" w:type="dxa"/>
            <w:shd w:val="clear" w:color="auto" w:fill="auto"/>
          </w:tcPr>
          <w:p w14:paraId="6638422E" w14:textId="7420D343" w:rsidR="00D51C6F" w:rsidRPr="00D33D68" w:rsidRDefault="0095672B" w:rsidP="0095672B">
            <w:pPr>
              <w:tabs>
                <w:tab w:val="left" w:pos="1487"/>
              </w:tabs>
              <w:spacing w:after="0"/>
              <w:ind w:left="-107"/>
              <w:jc w:val="right"/>
            </w:pPr>
            <w:r w:rsidRPr="00D33D68">
              <w:t>10,000,000</w:t>
            </w:r>
          </w:p>
        </w:tc>
        <w:tc>
          <w:tcPr>
            <w:tcW w:w="1710" w:type="dxa"/>
            <w:shd w:val="clear" w:color="auto" w:fill="auto"/>
          </w:tcPr>
          <w:p w14:paraId="174FBE3F" w14:textId="74ED68C7" w:rsidR="00D51C6F" w:rsidRPr="00D33D68" w:rsidRDefault="00CE1E6F" w:rsidP="006C5C57">
            <w:pPr>
              <w:spacing w:after="0"/>
              <w:jc w:val="right"/>
            </w:pPr>
            <w:r w:rsidRPr="00D33D68">
              <w:t>31,870,136.</w:t>
            </w:r>
            <w:r w:rsidR="006C5C57" w:rsidRPr="00D33D68">
              <w:t>00</w:t>
            </w:r>
          </w:p>
        </w:tc>
        <w:tc>
          <w:tcPr>
            <w:tcW w:w="1529" w:type="dxa"/>
          </w:tcPr>
          <w:p w14:paraId="0EBD0BB8" w14:textId="64D5DBF6" w:rsidR="00D51C6F" w:rsidRPr="00D33D68" w:rsidRDefault="00AE4DF5" w:rsidP="00CB4D01">
            <w:pPr>
              <w:spacing w:after="0"/>
              <w:ind w:left="-109" w:right="-107"/>
              <w:jc w:val="right"/>
            </w:pPr>
            <w:r w:rsidRPr="00D33D68">
              <w:t>30,851,737.00</w:t>
            </w:r>
          </w:p>
        </w:tc>
      </w:tr>
      <w:tr w:rsidR="00D33D68" w:rsidRPr="00D33D68" w14:paraId="38E3386E" w14:textId="057745CF" w:rsidTr="00E92941">
        <w:tc>
          <w:tcPr>
            <w:tcW w:w="4320" w:type="dxa"/>
            <w:shd w:val="clear" w:color="auto" w:fill="auto"/>
          </w:tcPr>
          <w:p w14:paraId="2DC6FC46" w14:textId="77777777" w:rsidR="00D51C6F" w:rsidRPr="00D33D68" w:rsidRDefault="00D51C6F" w:rsidP="00D6532E">
            <w:pPr>
              <w:spacing w:after="0"/>
            </w:pPr>
            <w:r w:rsidRPr="00D33D68">
              <w:t>2.2 - N° of projects on productive investments in aquaculture</w:t>
            </w:r>
          </w:p>
        </w:tc>
        <w:tc>
          <w:tcPr>
            <w:tcW w:w="1531" w:type="dxa"/>
            <w:shd w:val="clear" w:color="auto" w:fill="auto"/>
          </w:tcPr>
          <w:p w14:paraId="45C8CDC4" w14:textId="77777777" w:rsidR="00D51C6F" w:rsidRPr="00D33D68" w:rsidRDefault="00D51C6F" w:rsidP="00D6532E">
            <w:pPr>
              <w:spacing w:after="0"/>
              <w:jc w:val="right"/>
            </w:pPr>
            <w:r w:rsidRPr="00D33D68">
              <w:t>30</w:t>
            </w:r>
          </w:p>
        </w:tc>
        <w:tc>
          <w:tcPr>
            <w:tcW w:w="1710" w:type="dxa"/>
            <w:shd w:val="clear" w:color="auto" w:fill="auto"/>
          </w:tcPr>
          <w:p w14:paraId="438AA4DB" w14:textId="10DE1D60" w:rsidR="00D51C6F" w:rsidRPr="00D33D68" w:rsidRDefault="00A15AE3" w:rsidP="004046ED">
            <w:pPr>
              <w:spacing w:after="0"/>
              <w:jc w:val="right"/>
            </w:pPr>
            <w:r w:rsidRPr="00D33D68">
              <w:t>5</w:t>
            </w:r>
            <w:r w:rsidR="004046ED" w:rsidRPr="00D33D68">
              <w:t>6</w:t>
            </w:r>
          </w:p>
        </w:tc>
        <w:tc>
          <w:tcPr>
            <w:tcW w:w="1529" w:type="dxa"/>
          </w:tcPr>
          <w:p w14:paraId="4BBDDB9F" w14:textId="4DD47F53" w:rsidR="00D51C6F" w:rsidRPr="00D33D68" w:rsidRDefault="00441231" w:rsidP="00047379">
            <w:pPr>
              <w:spacing w:after="0"/>
              <w:jc w:val="right"/>
            </w:pPr>
            <w:r w:rsidRPr="00D33D68">
              <w:t>70</w:t>
            </w:r>
          </w:p>
        </w:tc>
      </w:tr>
      <w:tr w:rsidR="00D51C6F" w:rsidRPr="00D33D68" w14:paraId="47AEDDA8" w14:textId="4D9F348C" w:rsidTr="00E92941">
        <w:tc>
          <w:tcPr>
            <w:tcW w:w="4320" w:type="dxa"/>
            <w:shd w:val="clear" w:color="auto" w:fill="auto"/>
          </w:tcPr>
          <w:p w14:paraId="7FF8A9C0" w14:textId="77777777" w:rsidR="00D51C6F" w:rsidRPr="00D33D68" w:rsidRDefault="00D51C6F" w:rsidP="00D6532E">
            <w:pPr>
              <w:spacing w:after="0"/>
            </w:pPr>
            <w:r w:rsidRPr="00D33D68">
              <w:t>2.5 - N° of projects on promoting human capital of aquaculture in general and of new aquaculture farmers</w:t>
            </w:r>
          </w:p>
        </w:tc>
        <w:tc>
          <w:tcPr>
            <w:tcW w:w="1531" w:type="dxa"/>
            <w:shd w:val="clear" w:color="auto" w:fill="auto"/>
          </w:tcPr>
          <w:p w14:paraId="01952A22" w14:textId="77777777" w:rsidR="00D51C6F" w:rsidRPr="00D33D68" w:rsidRDefault="00D51C6F" w:rsidP="00D6532E">
            <w:pPr>
              <w:spacing w:after="0"/>
              <w:jc w:val="right"/>
            </w:pPr>
            <w:r w:rsidRPr="00D33D68">
              <w:t>7</w:t>
            </w:r>
          </w:p>
        </w:tc>
        <w:tc>
          <w:tcPr>
            <w:tcW w:w="1710" w:type="dxa"/>
            <w:shd w:val="clear" w:color="auto" w:fill="auto"/>
          </w:tcPr>
          <w:p w14:paraId="527E05BC" w14:textId="6773BF98" w:rsidR="00D51C6F" w:rsidRPr="00D33D68" w:rsidRDefault="00A15AE3" w:rsidP="004046ED">
            <w:pPr>
              <w:spacing w:after="0"/>
              <w:jc w:val="right"/>
            </w:pPr>
            <w:r w:rsidRPr="00D33D68">
              <w:t>2</w:t>
            </w:r>
            <w:r w:rsidR="004046ED" w:rsidRPr="00D33D68">
              <w:t>3</w:t>
            </w:r>
          </w:p>
        </w:tc>
        <w:tc>
          <w:tcPr>
            <w:tcW w:w="1529" w:type="dxa"/>
          </w:tcPr>
          <w:p w14:paraId="6FAFAF7B" w14:textId="6C257528" w:rsidR="00D51C6F" w:rsidRPr="00D33D68" w:rsidRDefault="00441231" w:rsidP="00D6532E">
            <w:pPr>
              <w:spacing w:after="0"/>
              <w:jc w:val="right"/>
            </w:pPr>
            <w:r w:rsidRPr="00D33D68">
              <w:t>20</w:t>
            </w:r>
          </w:p>
        </w:tc>
      </w:tr>
    </w:tbl>
    <w:p w14:paraId="1A7A4B9A" w14:textId="77777777" w:rsidR="00686E83" w:rsidRPr="00D33D68" w:rsidRDefault="00686E83" w:rsidP="00686E83">
      <w:pPr>
        <w:spacing w:after="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5"/>
        <w:gridCol w:w="6723"/>
      </w:tblGrid>
      <w:tr w:rsidR="00686E83" w:rsidRPr="00D33D68" w14:paraId="75C62765" w14:textId="77777777" w:rsidTr="00D6532E">
        <w:tc>
          <w:tcPr>
            <w:tcW w:w="0" w:type="auto"/>
            <w:shd w:val="clear" w:color="auto" w:fill="auto"/>
          </w:tcPr>
          <w:p w14:paraId="60B3170E" w14:textId="77777777" w:rsidR="00686E83" w:rsidRPr="00D33D68" w:rsidRDefault="00686E83" w:rsidP="00D6532E">
            <w:pPr>
              <w:spacing w:after="0"/>
              <w:rPr>
                <w:b/>
              </w:rPr>
            </w:pPr>
            <w:r w:rsidRPr="00D33D68">
              <w:rPr>
                <w:b/>
              </w:rPr>
              <w:t>Union priority</w:t>
            </w:r>
          </w:p>
        </w:tc>
        <w:tc>
          <w:tcPr>
            <w:tcW w:w="0" w:type="auto"/>
            <w:shd w:val="clear" w:color="auto" w:fill="auto"/>
          </w:tcPr>
          <w:p w14:paraId="51885232" w14:textId="77777777" w:rsidR="00686E83" w:rsidRPr="00D33D68" w:rsidRDefault="00686E83" w:rsidP="00D6532E">
            <w:pPr>
              <w:spacing w:after="0"/>
            </w:pPr>
            <w:r w:rsidRPr="00D33D68">
              <w:t>3 - Fostering the implementation of the CFP</w:t>
            </w:r>
          </w:p>
        </w:tc>
      </w:tr>
    </w:tbl>
    <w:p w14:paraId="4DE248B9" w14:textId="77777777" w:rsidR="00686E83" w:rsidRPr="00D33D68" w:rsidRDefault="00686E83" w:rsidP="00686E83">
      <w:pPr>
        <w:spacing w:after="0"/>
      </w:pPr>
    </w:p>
    <w:tbl>
      <w:tblPr>
        <w:tblW w:w="501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6"/>
        <w:gridCol w:w="1655"/>
        <w:gridCol w:w="1640"/>
        <w:gridCol w:w="1640"/>
      </w:tblGrid>
      <w:tr w:rsidR="00D33D68" w:rsidRPr="00D33D68" w14:paraId="27D15D6B" w14:textId="19124C06" w:rsidTr="00E92941">
        <w:tc>
          <w:tcPr>
            <w:tcW w:w="2352" w:type="pct"/>
            <w:shd w:val="clear" w:color="auto" w:fill="auto"/>
          </w:tcPr>
          <w:p w14:paraId="7D0CC4EF" w14:textId="77777777" w:rsidR="00D51C6F" w:rsidRPr="00D33D68" w:rsidRDefault="00D51C6F" w:rsidP="00D6532E">
            <w:pPr>
              <w:spacing w:after="0"/>
              <w:rPr>
                <w:b/>
              </w:rPr>
            </w:pPr>
            <w:r w:rsidRPr="00D33D68">
              <w:rPr>
                <w:b/>
              </w:rPr>
              <w:t>Indicator and measurement unit, where appropriate</w:t>
            </w:r>
          </w:p>
        </w:tc>
        <w:tc>
          <w:tcPr>
            <w:tcW w:w="888" w:type="pct"/>
            <w:shd w:val="clear" w:color="auto" w:fill="auto"/>
          </w:tcPr>
          <w:p w14:paraId="6DEBFBF5" w14:textId="77777777" w:rsidR="00D51C6F" w:rsidRPr="00D33D68" w:rsidRDefault="00D51C6F" w:rsidP="00D6532E">
            <w:pPr>
              <w:spacing w:after="0"/>
              <w:rPr>
                <w:b/>
              </w:rPr>
            </w:pPr>
            <w:r w:rsidRPr="00D33D68">
              <w:rPr>
                <w:b/>
              </w:rPr>
              <w:t>Milestone for 2018</w:t>
            </w:r>
          </w:p>
        </w:tc>
        <w:tc>
          <w:tcPr>
            <w:tcW w:w="880" w:type="pct"/>
            <w:shd w:val="clear" w:color="auto" w:fill="auto"/>
          </w:tcPr>
          <w:p w14:paraId="6016A714" w14:textId="77777777" w:rsidR="002B6B02" w:rsidRPr="00D33D68" w:rsidRDefault="002B6B02" w:rsidP="002B6B02">
            <w:pPr>
              <w:spacing w:after="0"/>
              <w:jc w:val="center"/>
              <w:rPr>
                <w:b/>
              </w:rPr>
            </w:pPr>
            <w:r w:rsidRPr="00D33D68">
              <w:rPr>
                <w:b/>
              </w:rPr>
              <w:t>Targets for 2023</w:t>
            </w:r>
          </w:p>
          <w:p w14:paraId="112DDF04" w14:textId="601497E2" w:rsidR="00D51C6F" w:rsidRPr="00D33D68" w:rsidRDefault="002B6B02" w:rsidP="002B6B02">
            <w:pPr>
              <w:spacing w:after="0"/>
              <w:jc w:val="center"/>
              <w:rPr>
                <w:b/>
              </w:rPr>
            </w:pPr>
            <w:r w:rsidRPr="00D33D68">
              <w:rPr>
                <w:b/>
              </w:rPr>
              <w:t>(new)</w:t>
            </w:r>
          </w:p>
        </w:tc>
        <w:tc>
          <w:tcPr>
            <w:tcW w:w="880" w:type="pct"/>
          </w:tcPr>
          <w:p w14:paraId="6DFB3A99" w14:textId="7B25012F" w:rsidR="00D51C6F" w:rsidRPr="00D33D68" w:rsidRDefault="00D51C6F" w:rsidP="00D6532E">
            <w:pPr>
              <w:spacing w:after="0"/>
              <w:jc w:val="center"/>
              <w:rPr>
                <w:b/>
              </w:rPr>
            </w:pPr>
            <w:r w:rsidRPr="00D33D68">
              <w:rPr>
                <w:b/>
              </w:rPr>
              <w:t>Initial</w:t>
            </w:r>
          </w:p>
        </w:tc>
      </w:tr>
      <w:tr w:rsidR="00D33D68" w:rsidRPr="00D33D68" w14:paraId="4736C06C" w14:textId="5A03F72B" w:rsidTr="00E92941">
        <w:tc>
          <w:tcPr>
            <w:tcW w:w="2352" w:type="pct"/>
            <w:shd w:val="clear" w:color="auto" w:fill="auto"/>
          </w:tcPr>
          <w:p w14:paraId="25F997DB" w14:textId="77777777" w:rsidR="00D51C6F" w:rsidRPr="00D33D68" w:rsidRDefault="00D51C6F" w:rsidP="00D6532E">
            <w:pPr>
              <w:spacing w:after="0"/>
            </w:pPr>
            <w:r w:rsidRPr="00D33D68">
              <w:t>Financial indicator</w:t>
            </w:r>
          </w:p>
        </w:tc>
        <w:tc>
          <w:tcPr>
            <w:tcW w:w="888" w:type="pct"/>
            <w:shd w:val="clear" w:color="auto" w:fill="auto"/>
          </w:tcPr>
          <w:p w14:paraId="7343790F" w14:textId="423D99D5" w:rsidR="00D51C6F" w:rsidRPr="00D33D68" w:rsidRDefault="00D51C6F" w:rsidP="0095672B">
            <w:pPr>
              <w:spacing w:after="0"/>
              <w:jc w:val="right"/>
            </w:pPr>
            <w:r w:rsidRPr="00D33D68">
              <w:t>3,000,000</w:t>
            </w:r>
          </w:p>
        </w:tc>
        <w:tc>
          <w:tcPr>
            <w:tcW w:w="880" w:type="pct"/>
            <w:shd w:val="clear" w:color="auto" w:fill="auto"/>
          </w:tcPr>
          <w:p w14:paraId="7E881FBE" w14:textId="68FBC317" w:rsidR="00D51C6F" w:rsidRPr="00D33D68" w:rsidRDefault="00C379E2" w:rsidP="00AF1A84">
            <w:pPr>
              <w:spacing w:after="0"/>
              <w:jc w:val="right"/>
            </w:pPr>
            <w:r w:rsidRPr="00D33D68">
              <w:t>11,602,340.00</w:t>
            </w:r>
          </w:p>
        </w:tc>
        <w:tc>
          <w:tcPr>
            <w:tcW w:w="880" w:type="pct"/>
          </w:tcPr>
          <w:p w14:paraId="652E0290" w14:textId="48267EF5" w:rsidR="00D51C6F" w:rsidRPr="00D33D68" w:rsidRDefault="00E92941" w:rsidP="0095672B">
            <w:pPr>
              <w:spacing w:after="0"/>
              <w:jc w:val="right"/>
            </w:pPr>
            <w:r w:rsidRPr="00D33D68">
              <w:t>11,602,340</w:t>
            </w:r>
            <w:r w:rsidR="00C379E2" w:rsidRPr="00D33D68">
              <w:t>.00</w:t>
            </w:r>
          </w:p>
        </w:tc>
      </w:tr>
      <w:tr w:rsidR="00D33D68" w:rsidRPr="00D33D68" w14:paraId="547ABCEA" w14:textId="31253544" w:rsidTr="00E92941">
        <w:tc>
          <w:tcPr>
            <w:tcW w:w="2352" w:type="pct"/>
            <w:shd w:val="clear" w:color="auto" w:fill="auto"/>
          </w:tcPr>
          <w:p w14:paraId="1A80C794" w14:textId="77777777" w:rsidR="00D51C6F" w:rsidRPr="00D33D68" w:rsidRDefault="00D51C6F" w:rsidP="00D6532E">
            <w:pPr>
              <w:spacing w:after="0"/>
            </w:pPr>
            <w:r w:rsidRPr="00D33D68">
              <w:t>3.1 - N° of projects on implementing the Union's control, inspections and enforcement system</w:t>
            </w:r>
          </w:p>
        </w:tc>
        <w:tc>
          <w:tcPr>
            <w:tcW w:w="888" w:type="pct"/>
            <w:shd w:val="clear" w:color="auto" w:fill="auto"/>
          </w:tcPr>
          <w:p w14:paraId="59753229" w14:textId="77777777" w:rsidR="00D51C6F" w:rsidRPr="00D33D68" w:rsidRDefault="00D51C6F" w:rsidP="00D6532E">
            <w:pPr>
              <w:spacing w:after="0"/>
              <w:jc w:val="right"/>
            </w:pPr>
            <w:r w:rsidRPr="00D33D68">
              <w:t>12</w:t>
            </w:r>
          </w:p>
        </w:tc>
        <w:tc>
          <w:tcPr>
            <w:tcW w:w="880" w:type="pct"/>
            <w:shd w:val="clear" w:color="auto" w:fill="auto"/>
          </w:tcPr>
          <w:p w14:paraId="00122DFC" w14:textId="320D5061" w:rsidR="00D51C6F" w:rsidRPr="00D33D68" w:rsidRDefault="00D51C6F" w:rsidP="00D6532E">
            <w:pPr>
              <w:spacing w:after="0"/>
              <w:jc w:val="right"/>
            </w:pPr>
            <w:r w:rsidRPr="00D33D68">
              <w:t>2</w:t>
            </w:r>
            <w:r w:rsidR="00A15AE3" w:rsidRPr="00D33D68">
              <w:t>0</w:t>
            </w:r>
          </w:p>
        </w:tc>
        <w:tc>
          <w:tcPr>
            <w:tcW w:w="880" w:type="pct"/>
          </w:tcPr>
          <w:p w14:paraId="7B793B34" w14:textId="4EE17B31" w:rsidR="00D51C6F" w:rsidRPr="00D33D68" w:rsidRDefault="00E92941" w:rsidP="00D6532E">
            <w:pPr>
              <w:spacing w:after="0"/>
              <w:jc w:val="right"/>
            </w:pPr>
            <w:r w:rsidRPr="00D33D68">
              <w:t>20</w:t>
            </w:r>
          </w:p>
        </w:tc>
      </w:tr>
      <w:tr w:rsidR="00D51C6F" w:rsidRPr="00D33D68" w14:paraId="61E34E9A" w14:textId="74E1415C" w:rsidTr="00E92941">
        <w:tc>
          <w:tcPr>
            <w:tcW w:w="2352" w:type="pct"/>
            <w:shd w:val="clear" w:color="auto" w:fill="auto"/>
          </w:tcPr>
          <w:p w14:paraId="03AE48D6" w14:textId="77777777" w:rsidR="00D51C6F" w:rsidRPr="00D33D68" w:rsidRDefault="00D51C6F" w:rsidP="00D6532E">
            <w:pPr>
              <w:spacing w:after="0"/>
            </w:pPr>
            <w:r w:rsidRPr="00D33D68">
              <w:t>3.2 - N° of projects on supporting the collection, management and use of data</w:t>
            </w:r>
          </w:p>
        </w:tc>
        <w:tc>
          <w:tcPr>
            <w:tcW w:w="888" w:type="pct"/>
            <w:shd w:val="clear" w:color="auto" w:fill="auto"/>
          </w:tcPr>
          <w:p w14:paraId="502CE31A" w14:textId="77777777" w:rsidR="00D51C6F" w:rsidRPr="00D33D68" w:rsidRDefault="00D51C6F" w:rsidP="00D6532E">
            <w:pPr>
              <w:spacing w:after="0"/>
              <w:jc w:val="right"/>
            </w:pPr>
            <w:r w:rsidRPr="00D33D68">
              <w:t>1</w:t>
            </w:r>
          </w:p>
        </w:tc>
        <w:tc>
          <w:tcPr>
            <w:tcW w:w="880" w:type="pct"/>
            <w:shd w:val="clear" w:color="auto" w:fill="auto"/>
          </w:tcPr>
          <w:p w14:paraId="65114079" w14:textId="77777777" w:rsidR="00D51C6F" w:rsidRPr="00D33D68" w:rsidRDefault="00D51C6F" w:rsidP="00D6532E">
            <w:pPr>
              <w:spacing w:after="0"/>
              <w:jc w:val="right"/>
            </w:pPr>
            <w:r w:rsidRPr="00D33D68">
              <w:t>2</w:t>
            </w:r>
          </w:p>
        </w:tc>
        <w:tc>
          <w:tcPr>
            <w:tcW w:w="880" w:type="pct"/>
          </w:tcPr>
          <w:p w14:paraId="00954FDA" w14:textId="3B3FD999" w:rsidR="00D51C6F" w:rsidRPr="00D33D68" w:rsidRDefault="00E92941" w:rsidP="00D6532E">
            <w:pPr>
              <w:spacing w:after="0"/>
              <w:jc w:val="right"/>
            </w:pPr>
            <w:r w:rsidRPr="00D33D68">
              <w:t>2</w:t>
            </w:r>
          </w:p>
        </w:tc>
      </w:tr>
    </w:tbl>
    <w:p w14:paraId="684B5251" w14:textId="77777777" w:rsidR="00686E83" w:rsidRPr="00D33D68" w:rsidRDefault="00686E83" w:rsidP="00686E83">
      <w:pPr>
        <w:spacing w:after="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1"/>
        <w:gridCol w:w="6957"/>
      </w:tblGrid>
      <w:tr w:rsidR="00686E83" w:rsidRPr="00D33D68" w14:paraId="771A5DDC" w14:textId="77777777" w:rsidTr="00D6532E">
        <w:tc>
          <w:tcPr>
            <w:tcW w:w="0" w:type="auto"/>
            <w:shd w:val="clear" w:color="auto" w:fill="auto"/>
          </w:tcPr>
          <w:p w14:paraId="2CA1EE9B" w14:textId="77777777" w:rsidR="00686E83" w:rsidRPr="00D33D68" w:rsidRDefault="00686E83" w:rsidP="00D6532E">
            <w:pPr>
              <w:spacing w:after="0"/>
              <w:rPr>
                <w:b/>
              </w:rPr>
            </w:pPr>
            <w:r w:rsidRPr="00D33D68">
              <w:rPr>
                <w:b/>
              </w:rPr>
              <w:t>Union priority</w:t>
            </w:r>
          </w:p>
        </w:tc>
        <w:tc>
          <w:tcPr>
            <w:tcW w:w="0" w:type="auto"/>
            <w:shd w:val="clear" w:color="auto" w:fill="auto"/>
          </w:tcPr>
          <w:p w14:paraId="5B4B697A" w14:textId="77777777" w:rsidR="00686E83" w:rsidRPr="00D33D68" w:rsidRDefault="00686E83" w:rsidP="00D6532E">
            <w:pPr>
              <w:spacing w:after="0"/>
            </w:pPr>
            <w:r w:rsidRPr="00D33D68">
              <w:t>4 - Increasing employment and territorial cohesion</w:t>
            </w:r>
          </w:p>
        </w:tc>
      </w:tr>
    </w:tbl>
    <w:p w14:paraId="498FBA61" w14:textId="77777777" w:rsidR="00686E83" w:rsidRPr="00D33D68" w:rsidRDefault="00686E83" w:rsidP="00686E83">
      <w:pPr>
        <w:spacing w:after="0"/>
      </w:pPr>
    </w:p>
    <w:tbl>
      <w:tblPr>
        <w:tblW w:w="501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04"/>
        <w:gridCol w:w="1793"/>
        <w:gridCol w:w="1581"/>
        <w:gridCol w:w="1642"/>
      </w:tblGrid>
      <w:tr w:rsidR="00D33D68" w:rsidRPr="00D33D68" w14:paraId="682572D0" w14:textId="0A96610E" w:rsidTr="00E92941">
        <w:tc>
          <w:tcPr>
            <w:tcW w:w="4188" w:type="dxa"/>
            <w:shd w:val="clear" w:color="auto" w:fill="auto"/>
          </w:tcPr>
          <w:p w14:paraId="29EE0603" w14:textId="77777777" w:rsidR="00D51C6F" w:rsidRPr="00D33D68" w:rsidRDefault="00D51C6F" w:rsidP="00D6532E">
            <w:pPr>
              <w:spacing w:after="0"/>
              <w:rPr>
                <w:b/>
              </w:rPr>
            </w:pPr>
            <w:r w:rsidRPr="00D33D68">
              <w:rPr>
                <w:b/>
              </w:rPr>
              <w:t>Indicator and measurement unit, where appropriate</w:t>
            </w:r>
          </w:p>
        </w:tc>
        <w:tc>
          <w:tcPr>
            <w:tcW w:w="1744" w:type="dxa"/>
            <w:shd w:val="clear" w:color="auto" w:fill="auto"/>
          </w:tcPr>
          <w:p w14:paraId="2B6974B6" w14:textId="77777777" w:rsidR="00D51C6F" w:rsidRPr="00D33D68" w:rsidRDefault="00D51C6F" w:rsidP="00D6532E">
            <w:pPr>
              <w:spacing w:after="0"/>
              <w:rPr>
                <w:b/>
              </w:rPr>
            </w:pPr>
            <w:r w:rsidRPr="00D33D68">
              <w:rPr>
                <w:b/>
              </w:rPr>
              <w:t>Milestone for 2018</w:t>
            </w:r>
          </w:p>
        </w:tc>
        <w:tc>
          <w:tcPr>
            <w:tcW w:w="1538" w:type="dxa"/>
            <w:shd w:val="clear" w:color="auto" w:fill="auto"/>
          </w:tcPr>
          <w:p w14:paraId="7D76977F" w14:textId="77777777" w:rsidR="002B6B02" w:rsidRPr="00D33D68" w:rsidRDefault="002B6B02" w:rsidP="002B6B02">
            <w:pPr>
              <w:spacing w:after="0"/>
              <w:jc w:val="center"/>
              <w:rPr>
                <w:b/>
              </w:rPr>
            </w:pPr>
            <w:r w:rsidRPr="00D33D68">
              <w:rPr>
                <w:b/>
              </w:rPr>
              <w:t>Targets for 2023</w:t>
            </w:r>
          </w:p>
          <w:p w14:paraId="07AF38DF" w14:textId="499EDB19" w:rsidR="00D51C6F" w:rsidRPr="00D33D68" w:rsidRDefault="002B6B02" w:rsidP="002B6B02">
            <w:pPr>
              <w:spacing w:after="0"/>
              <w:jc w:val="center"/>
              <w:rPr>
                <w:b/>
              </w:rPr>
            </w:pPr>
            <w:r w:rsidRPr="00D33D68">
              <w:rPr>
                <w:b/>
              </w:rPr>
              <w:t>(new)</w:t>
            </w:r>
          </w:p>
        </w:tc>
        <w:tc>
          <w:tcPr>
            <w:tcW w:w="1597" w:type="dxa"/>
          </w:tcPr>
          <w:p w14:paraId="4615FA5A" w14:textId="394726B3" w:rsidR="00D51C6F" w:rsidRPr="00D33D68" w:rsidRDefault="00D51C6F" w:rsidP="00D6532E">
            <w:pPr>
              <w:spacing w:after="0"/>
              <w:jc w:val="center"/>
              <w:rPr>
                <w:b/>
              </w:rPr>
            </w:pPr>
            <w:r w:rsidRPr="00D33D68">
              <w:rPr>
                <w:b/>
              </w:rPr>
              <w:t>Initial</w:t>
            </w:r>
          </w:p>
        </w:tc>
      </w:tr>
      <w:tr w:rsidR="00D33D68" w:rsidRPr="00D33D68" w14:paraId="3AED1CAB" w14:textId="5432253D" w:rsidTr="00E92941">
        <w:tc>
          <w:tcPr>
            <w:tcW w:w="4188" w:type="dxa"/>
            <w:shd w:val="clear" w:color="auto" w:fill="auto"/>
          </w:tcPr>
          <w:p w14:paraId="7FB2916A" w14:textId="77777777" w:rsidR="00D51C6F" w:rsidRPr="00D33D68" w:rsidRDefault="00D51C6F" w:rsidP="00D6532E">
            <w:pPr>
              <w:spacing w:after="0"/>
            </w:pPr>
            <w:r w:rsidRPr="00D33D68">
              <w:t>Financial indicator</w:t>
            </w:r>
          </w:p>
        </w:tc>
        <w:tc>
          <w:tcPr>
            <w:tcW w:w="1744" w:type="dxa"/>
            <w:shd w:val="clear" w:color="auto" w:fill="auto"/>
          </w:tcPr>
          <w:p w14:paraId="00819961" w14:textId="1EAD2572" w:rsidR="00D51C6F" w:rsidRPr="00D33D68" w:rsidRDefault="0095672B" w:rsidP="00D6532E">
            <w:pPr>
              <w:spacing w:after="0"/>
              <w:jc w:val="right"/>
            </w:pPr>
            <w:r w:rsidRPr="00D33D68">
              <w:t>2,270,000</w:t>
            </w:r>
          </w:p>
        </w:tc>
        <w:tc>
          <w:tcPr>
            <w:tcW w:w="1538" w:type="dxa"/>
            <w:shd w:val="clear" w:color="auto" w:fill="auto"/>
          </w:tcPr>
          <w:p w14:paraId="06E5DA1C" w14:textId="4F0BD1ED" w:rsidR="00D51C6F" w:rsidRPr="00D33D68" w:rsidRDefault="001E4448" w:rsidP="007432D9">
            <w:pPr>
              <w:spacing w:after="0"/>
              <w:ind w:left="-100"/>
              <w:jc w:val="right"/>
            </w:pPr>
            <w:r w:rsidRPr="00D33D68">
              <w:t>18,579,</w:t>
            </w:r>
            <w:r w:rsidR="007432D9" w:rsidRPr="00D33D68">
              <w:t>737.00</w:t>
            </w:r>
          </w:p>
        </w:tc>
        <w:tc>
          <w:tcPr>
            <w:tcW w:w="1597" w:type="dxa"/>
          </w:tcPr>
          <w:p w14:paraId="22CB6722" w14:textId="04F754F3" w:rsidR="00D51C6F" w:rsidRPr="00D33D68" w:rsidRDefault="00CB4D01" w:rsidP="00B635F8">
            <w:pPr>
              <w:spacing w:after="0"/>
              <w:ind w:left="-78" w:right="-107"/>
              <w:jc w:val="right"/>
            </w:pPr>
            <w:r w:rsidRPr="00D33D68">
              <w:t>18,579,73</w:t>
            </w:r>
            <w:r w:rsidR="00B635F8" w:rsidRPr="00D33D68">
              <w:t>7</w:t>
            </w:r>
            <w:r w:rsidRPr="00D33D68">
              <w:t>.00</w:t>
            </w:r>
          </w:p>
        </w:tc>
      </w:tr>
      <w:tr w:rsidR="00D33D68" w:rsidRPr="00D33D68" w14:paraId="25A61104" w14:textId="70405240" w:rsidTr="00E92941">
        <w:tc>
          <w:tcPr>
            <w:tcW w:w="4188" w:type="dxa"/>
            <w:shd w:val="clear" w:color="auto" w:fill="auto"/>
          </w:tcPr>
          <w:p w14:paraId="3571AFD0" w14:textId="77777777" w:rsidR="00D51C6F" w:rsidRPr="00D33D68" w:rsidRDefault="00D51C6F" w:rsidP="00D6532E">
            <w:pPr>
              <w:spacing w:after="0"/>
            </w:pPr>
            <w:r w:rsidRPr="00D33D68">
              <w:t>4.1 - N° of local development strategies selected</w:t>
            </w:r>
          </w:p>
        </w:tc>
        <w:tc>
          <w:tcPr>
            <w:tcW w:w="1744" w:type="dxa"/>
            <w:shd w:val="clear" w:color="auto" w:fill="auto"/>
          </w:tcPr>
          <w:p w14:paraId="65729F11" w14:textId="77777777" w:rsidR="00D51C6F" w:rsidRPr="00D33D68" w:rsidRDefault="00D51C6F" w:rsidP="00D6532E">
            <w:pPr>
              <w:spacing w:after="0"/>
              <w:jc w:val="right"/>
            </w:pPr>
            <w:r w:rsidRPr="00D33D68">
              <w:t>10</w:t>
            </w:r>
          </w:p>
        </w:tc>
        <w:tc>
          <w:tcPr>
            <w:tcW w:w="1538" w:type="dxa"/>
            <w:shd w:val="clear" w:color="auto" w:fill="auto"/>
          </w:tcPr>
          <w:p w14:paraId="794D4D94" w14:textId="77777777" w:rsidR="00D51C6F" w:rsidRPr="00D33D68" w:rsidRDefault="00D51C6F" w:rsidP="00D6532E">
            <w:pPr>
              <w:spacing w:after="0"/>
              <w:jc w:val="right"/>
            </w:pPr>
            <w:r w:rsidRPr="00D33D68">
              <w:t>9</w:t>
            </w:r>
          </w:p>
        </w:tc>
        <w:tc>
          <w:tcPr>
            <w:tcW w:w="1597" w:type="dxa"/>
          </w:tcPr>
          <w:p w14:paraId="6EA0455A" w14:textId="1B67BF37" w:rsidR="00D51C6F" w:rsidRPr="00D33D68" w:rsidRDefault="00E92941" w:rsidP="00D6532E">
            <w:pPr>
              <w:spacing w:after="0"/>
              <w:jc w:val="right"/>
            </w:pPr>
            <w:r w:rsidRPr="00D33D68">
              <w:t>10</w:t>
            </w:r>
          </w:p>
        </w:tc>
      </w:tr>
      <w:tr w:rsidR="00D51C6F" w:rsidRPr="00D33D68" w14:paraId="422FC833" w14:textId="15918150" w:rsidTr="00E92941">
        <w:tc>
          <w:tcPr>
            <w:tcW w:w="4188" w:type="dxa"/>
            <w:shd w:val="clear" w:color="auto" w:fill="auto"/>
          </w:tcPr>
          <w:p w14:paraId="6EE78FCE" w14:textId="77777777" w:rsidR="00D51C6F" w:rsidRPr="00D33D68" w:rsidRDefault="00D51C6F" w:rsidP="00D6532E">
            <w:pPr>
              <w:spacing w:after="0"/>
            </w:pPr>
            <w:r w:rsidRPr="00D33D68">
              <w:t>4.2 - N° of projects on preparatory support</w:t>
            </w:r>
          </w:p>
        </w:tc>
        <w:tc>
          <w:tcPr>
            <w:tcW w:w="1744" w:type="dxa"/>
            <w:shd w:val="clear" w:color="auto" w:fill="auto"/>
          </w:tcPr>
          <w:p w14:paraId="4484CB5F" w14:textId="77777777" w:rsidR="00D51C6F" w:rsidRPr="00D33D68" w:rsidRDefault="00D51C6F" w:rsidP="00D6532E">
            <w:pPr>
              <w:spacing w:after="0"/>
              <w:jc w:val="right"/>
            </w:pPr>
            <w:r w:rsidRPr="00D33D68">
              <w:t>8</w:t>
            </w:r>
          </w:p>
        </w:tc>
        <w:tc>
          <w:tcPr>
            <w:tcW w:w="1538" w:type="dxa"/>
            <w:shd w:val="clear" w:color="auto" w:fill="auto"/>
          </w:tcPr>
          <w:p w14:paraId="357AC6F7" w14:textId="57F13571" w:rsidR="00D51C6F" w:rsidRPr="00D33D68" w:rsidRDefault="00D51C6F" w:rsidP="00D6532E">
            <w:pPr>
              <w:spacing w:after="0"/>
              <w:jc w:val="right"/>
            </w:pPr>
            <w:r w:rsidRPr="00D33D68">
              <w:t>8</w:t>
            </w:r>
          </w:p>
        </w:tc>
        <w:tc>
          <w:tcPr>
            <w:tcW w:w="1597" w:type="dxa"/>
          </w:tcPr>
          <w:p w14:paraId="0A1A9808" w14:textId="761F4FF5" w:rsidR="00D51C6F" w:rsidRPr="00D33D68" w:rsidRDefault="00E92941" w:rsidP="00D6532E">
            <w:pPr>
              <w:spacing w:after="0"/>
              <w:jc w:val="right"/>
            </w:pPr>
            <w:r w:rsidRPr="00D33D68">
              <w:t>8</w:t>
            </w:r>
          </w:p>
        </w:tc>
      </w:tr>
    </w:tbl>
    <w:p w14:paraId="3E201788" w14:textId="77777777" w:rsidR="00686E83" w:rsidRPr="00D33D68" w:rsidRDefault="00686E83" w:rsidP="00686E83">
      <w:pPr>
        <w:spacing w:after="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9"/>
        <w:gridCol w:w="6499"/>
      </w:tblGrid>
      <w:tr w:rsidR="00686E83" w:rsidRPr="00D33D68" w14:paraId="253B635D" w14:textId="77777777" w:rsidTr="00D6532E">
        <w:tc>
          <w:tcPr>
            <w:tcW w:w="0" w:type="auto"/>
            <w:shd w:val="clear" w:color="auto" w:fill="auto"/>
          </w:tcPr>
          <w:p w14:paraId="70338F6D" w14:textId="77777777" w:rsidR="00686E83" w:rsidRPr="00D33D68" w:rsidRDefault="00686E83" w:rsidP="00D6532E">
            <w:pPr>
              <w:spacing w:after="0"/>
              <w:rPr>
                <w:b/>
              </w:rPr>
            </w:pPr>
            <w:r w:rsidRPr="00D33D68">
              <w:rPr>
                <w:b/>
              </w:rPr>
              <w:lastRenderedPageBreak/>
              <w:t>Union priority</w:t>
            </w:r>
          </w:p>
        </w:tc>
        <w:tc>
          <w:tcPr>
            <w:tcW w:w="0" w:type="auto"/>
            <w:shd w:val="clear" w:color="auto" w:fill="auto"/>
          </w:tcPr>
          <w:p w14:paraId="05122C55" w14:textId="77777777" w:rsidR="00686E83" w:rsidRPr="00D33D68" w:rsidRDefault="00686E83" w:rsidP="00D6532E">
            <w:pPr>
              <w:spacing w:after="0"/>
            </w:pPr>
            <w:r w:rsidRPr="00D33D68">
              <w:t>5 - Fostering marketing and processing</w:t>
            </w:r>
          </w:p>
        </w:tc>
      </w:tr>
    </w:tbl>
    <w:p w14:paraId="725FC03F" w14:textId="77777777" w:rsidR="00686E83" w:rsidRPr="00D33D68" w:rsidRDefault="00686E83" w:rsidP="00686E83">
      <w:pPr>
        <w:spacing w:after="0"/>
      </w:pPr>
    </w:p>
    <w:tbl>
      <w:tblPr>
        <w:tblW w:w="503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8"/>
        <w:gridCol w:w="1758"/>
        <w:gridCol w:w="1573"/>
        <w:gridCol w:w="1665"/>
      </w:tblGrid>
      <w:tr w:rsidR="00D33D68" w:rsidRPr="00D33D68" w14:paraId="3823265F" w14:textId="6DF1E3E8" w:rsidTr="00E92941">
        <w:tc>
          <w:tcPr>
            <w:tcW w:w="4230" w:type="dxa"/>
            <w:shd w:val="clear" w:color="auto" w:fill="auto"/>
          </w:tcPr>
          <w:p w14:paraId="5E5F2C71" w14:textId="77777777" w:rsidR="00D51C6F" w:rsidRPr="00D33D68" w:rsidRDefault="00D51C6F" w:rsidP="00D6532E">
            <w:pPr>
              <w:spacing w:after="0"/>
              <w:rPr>
                <w:b/>
              </w:rPr>
            </w:pPr>
            <w:r w:rsidRPr="00D33D68">
              <w:rPr>
                <w:b/>
              </w:rPr>
              <w:t>Indicator and measurement unit, where appropriate</w:t>
            </w:r>
          </w:p>
        </w:tc>
        <w:tc>
          <w:tcPr>
            <w:tcW w:w="1710" w:type="dxa"/>
            <w:shd w:val="clear" w:color="auto" w:fill="auto"/>
          </w:tcPr>
          <w:p w14:paraId="0438D920" w14:textId="77777777" w:rsidR="00D51C6F" w:rsidRPr="00D33D68" w:rsidRDefault="00D51C6F" w:rsidP="00D6532E">
            <w:pPr>
              <w:spacing w:after="0"/>
              <w:rPr>
                <w:b/>
              </w:rPr>
            </w:pPr>
            <w:r w:rsidRPr="00D33D68">
              <w:rPr>
                <w:b/>
              </w:rPr>
              <w:t>Milestone for 2018</w:t>
            </w:r>
          </w:p>
        </w:tc>
        <w:tc>
          <w:tcPr>
            <w:tcW w:w="1530" w:type="dxa"/>
            <w:shd w:val="clear" w:color="auto" w:fill="auto"/>
          </w:tcPr>
          <w:p w14:paraId="7C0EB428" w14:textId="77777777" w:rsidR="002B6B02" w:rsidRPr="00D33D68" w:rsidRDefault="002B6B02" w:rsidP="002B6B02">
            <w:pPr>
              <w:spacing w:after="0"/>
              <w:jc w:val="center"/>
              <w:rPr>
                <w:b/>
              </w:rPr>
            </w:pPr>
            <w:r w:rsidRPr="00D33D68">
              <w:rPr>
                <w:b/>
              </w:rPr>
              <w:t>Targets for 2023</w:t>
            </w:r>
          </w:p>
          <w:p w14:paraId="13EE4D96" w14:textId="5B226368" w:rsidR="00D51C6F" w:rsidRPr="00D33D68" w:rsidRDefault="002B6B02" w:rsidP="002B6B02">
            <w:pPr>
              <w:spacing w:after="0"/>
              <w:jc w:val="center"/>
              <w:rPr>
                <w:b/>
              </w:rPr>
            </w:pPr>
            <w:r w:rsidRPr="00D33D68">
              <w:rPr>
                <w:b/>
              </w:rPr>
              <w:t>(new)</w:t>
            </w:r>
          </w:p>
        </w:tc>
        <w:tc>
          <w:tcPr>
            <w:tcW w:w="1620" w:type="dxa"/>
          </w:tcPr>
          <w:p w14:paraId="73C1339D" w14:textId="0D8D20A4" w:rsidR="00D51C6F" w:rsidRPr="00D33D68" w:rsidRDefault="00D51C6F" w:rsidP="00D6532E">
            <w:pPr>
              <w:spacing w:after="0"/>
              <w:jc w:val="center"/>
              <w:rPr>
                <w:b/>
              </w:rPr>
            </w:pPr>
            <w:r w:rsidRPr="00D33D68">
              <w:rPr>
                <w:b/>
              </w:rPr>
              <w:t>Initial</w:t>
            </w:r>
          </w:p>
        </w:tc>
      </w:tr>
      <w:tr w:rsidR="00D33D68" w:rsidRPr="00D33D68" w14:paraId="7FAE2C36" w14:textId="55E60372" w:rsidTr="00E92941">
        <w:tc>
          <w:tcPr>
            <w:tcW w:w="4230" w:type="dxa"/>
            <w:shd w:val="clear" w:color="auto" w:fill="auto"/>
          </w:tcPr>
          <w:p w14:paraId="3783CACD" w14:textId="77777777" w:rsidR="00D51C6F" w:rsidRPr="00D33D68" w:rsidRDefault="00D51C6F" w:rsidP="00D6532E">
            <w:pPr>
              <w:spacing w:after="0"/>
            </w:pPr>
            <w:r w:rsidRPr="00D33D68">
              <w:t>Financial indicator</w:t>
            </w:r>
          </w:p>
        </w:tc>
        <w:tc>
          <w:tcPr>
            <w:tcW w:w="1710" w:type="dxa"/>
            <w:shd w:val="clear" w:color="auto" w:fill="auto"/>
          </w:tcPr>
          <w:p w14:paraId="5607EE77" w14:textId="4E754573" w:rsidR="00D51C6F" w:rsidRPr="00D33D68" w:rsidRDefault="0095672B" w:rsidP="00D6532E">
            <w:pPr>
              <w:spacing w:after="0"/>
              <w:jc w:val="right"/>
            </w:pPr>
            <w:r w:rsidRPr="00D33D68">
              <w:t>3,500,000</w:t>
            </w:r>
          </w:p>
        </w:tc>
        <w:tc>
          <w:tcPr>
            <w:tcW w:w="1530" w:type="dxa"/>
            <w:shd w:val="clear" w:color="auto" w:fill="auto"/>
          </w:tcPr>
          <w:p w14:paraId="09543CD3" w14:textId="498645DA" w:rsidR="00D51C6F" w:rsidRPr="00D33D68" w:rsidRDefault="007432D9" w:rsidP="004E43A6">
            <w:pPr>
              <w:spacing w:after="0"/>
              <w:ind w:left="-108"/>
              <w:jc w:val="right"/>
            </w:pPr>
            <w:r w:rsidRPr="00D33D68">
              <w:t>16,29</w:t>
            </w:r>
            <w:r w:rsidR="004E43A6" w:rsidRPr="00D33D68">
              <w:t>0</w:t>
            </w:r>
            <w:r w:rsidRPr="00D33D68">
              <w:t>,</w:t>
            </w:r>
            <w:r w:rsidR="004E43A6" w:rsidRPr="00D33D68">
              <w:t>4</w:t>
            </w:r>
            <w:r w:rsidRPr="00D33D68">
              <w:t>11.0</w:t>
            </w:r>
            <w:r w:rsidR="00681F14" w:rsidRPr="00D33D68">
              <w:t>0</w:t>
            </w:r>
          </w:p>
        </w:tc>
        <w:tc>
          <w:tcPr>
            <w:tcW w:w="1620" w:type="dxa"/>
          </w:tcPr>
          <w:p w14:paraId="741F1E87" w14:textId="5CEF2090" w:rsidR="00D51C6F" w:rsidRPr="00D33D68" w:rsidRDefault="00AE4DF5" w:rsidP="0095672B">
            <w:pPr>
              <w:spacing w:after="0"/>
              <w:jc w:val="right"/>
            </w:pPr>
            <w:r w:rsidRPr="00D33D68">
              <w:rPr>
                <w:lang w:val="it-IT"/>
              </w:rPr>
              <w:t>16,298,311.00</w:t>
            </w:r>
          </w:p>
        </w:tc>
      </w:tr>
      <w:tr w:rsidR="00D33D68" w:rsidRPr="00D33D68" w14:paraId="12E52BCB" w14:textId="68E31362" w:rsidTr="00E92941">
        <w:tc>
          <w:tcPr>
            <w:tcW w:w="4230" w:type="dxa"/>
            <w:shd w:val="clear" w:color="auto" w:fill="auto"/>
          </w:tcPr>
          <w:p w14:paraId="57E31159" w14:textId="77777777" w:rsidR="00D51C6F" w:rsidRPr="00D33D68" w:rsidRDefault="00D51C6F" w:rsidP="00D6532E">
            <w:pPr>
              <w:spacing w:after="0"/>
            </w:pPr>
            <w:r w:rsidRPr="00D33D68">
              <w:t>5.1 - N° of producers organisations or associations of producers organisations supported for production and marketing plans</w:t>
            </w:r>
          </w:p>
        </w:tc>
        <w:tc>
          <w:tcPr>
            <w:tcW w:w="1710" w:type="dxa"/>
            <w:shd w:val="clear" w:color="auto" w:fill="auto"/>
          </w:tcPr>
          <w:p w14:paraId="3D1D5561" w14:textId="77777777" w:rsidR="00D51C6F" w:rsidRPr="00D33D68" w:rsidRDefault="00D51C6F" w:rsidP="00D6532E">
            <w:pPr>
              <w:spacing w:after="0"/>
              <w:jc w:val="right"/>
            </w:pPr>
            <w:r w:rsidRPr="00D33D68">
              <w:t>1</w:t>
            </w:r>
          </w:p>
        </w:tc>
        <w:tc>
          <w:tcPr>
            <w:tcW w:w="1530" w:type="dxa"/>
            <w:shd w:val="clear" w:color="auto" w:fill="auto"/>
          </w:tcPr>
          <w:p w14:paraId="2961401C" w14:textId="77777777" w:rsidR="00D51C6F" w:rsidRPr="00D33D68" w:rsidRDefault="00D51C6F" w:rsidP="00D6532E">
            <w:pPr>
              <w:spacing w:after="0"/>
              <w:jc w:val="right"/>
            </w:pPr>
            <w:r w:rsidRPr="00D33D68">
              <w:t>2</w:t>
            </w:r>
          </w:p>
        </w:tc>
        <w:tc>
          <w:tcPr>
            <w:tcW w:w="1620" w:type="dxa"/>
          </w:tcPr>
          <w:p w14:paraId="6A6B77A2" w14:textId="725E8EB8" w:rsidR="00D51C6F" w:rsidRPr="00D33D68" w:rsidRDefault="00E92941" w:rsidP="00D6532E">
            <w:pPr>
              <w:spacing w:after="0"/>
              <w:jc w:val="right"/>
            </w:pPr>
            <w:r w:rsidRPr="00D33D68">
              <w:t>2</w:t>
            </w:r>
          </w:p>
        </w:tc>
      </w:tr>
      <w:tr w:rsidR="00D33D68" w:rsidRPr="00D33D68" w14:paraId="76D5B16C" w14:textId="37D9644F" w:rsidTr="00E92941">
        <w:tc>
          <w:tcPr>
            <w:tcW w:w="4230" w:type="dxa"/>
            <w:shd w:val="clear" w:color="auto" w:fill="auto"/>
          </w:tcPr>
          <w:p w14:paraId="7CCDD85E" w14:textId="77777777" w:rsidR="00D51C6F" w:rsidRPr="00D33D68" w:rsidRDefault="00D51C6F" w:rsidP="00D6532E">
            <w:pPr>
              <w:spacing w:after="0"/>
            </w:pPr>
            <w:r w:rsidRPr="00D33D68">
              <w:t>5.2 - N° of projects on marketing measures and storage aid</w:t>
            </w:r>
          </w:p>
        </w:tc>
        <w:tc>
          <w:tcPr>
            <w:tcW w:w="1710" w:type="dxa"/>
            <w:shd w:val="clear" w:color="auto" w:fill="auto"/>
          </w:tcPr>
          <w:p w14:paraId="7FF2953E" w14:textId="77777777" w:rsidR="00D51C6F" w:rsidRPr="00D33D68" w:rsidRDefault="00D51C6F" w:rsidP="00D6532E">
            <w:pPr>
              <w:spacing w:after="0"/>
              <w:jc w:val="right"/>
            </w:pPr>
            <w:r w:rsidRPr="00D33D68">
              <w:t>10</w:t>
            </w:r>
          </w:p>
        </w:tc>
        <w:tc>
          <w:tcPr>
            <w:tcW w:w="1530" w:type="dxa"/>
            <w:shd w:val="clear" w:color="auto" w:fill="auto"/>
          </w:tcPr>
          <w:p w14:paraId="1854588C" w14:textId="619CCEE5" w:rsidR="00D51C6F" w:rsidRPr="00D33D68" w:rsidRDefault="004046ED" w:rsidP="00D6532E">
            <w:pPr>
              <w:spacing w:after="0"/>
              <w:jc w:val="right"/>
            </w:pPr>
            <w:r w:rsidRPr="00D33D68">
              <w:t>7</w:t>
            </w:r>
          </w:p>
        </w:tc>
        <w:tc>
          <w:tcPr>
            <w:tcW w:w="1620" w:type="dxa"/>
          </w:tcPr>
          <w:p w14:paraId="29E9F81A" w14:textId="30962E5E" w:rsidR="00D51C6F" w:rsidRPr="00D33D68" w:rsidRDefault="00E92941" w:rsidP="00D6532E">
            <w:pPr>
              <w:spacing w:after="0"/>
              <w:jc w:val="right"/>
            </w:pPr>
            <w:r w:rsidRPr="00D33D68">
              <w:t>30</w:t>
            </w:r>
          </w:p>
        </w:tc>
      </w:tr>
      <w:tr w:rsidR="00D51C6F" w:rsidRPr="00D33D68" w14:paraId="51F9EB2C" w14:textId="0FDFC947" w:rsidTr="00E92941">
        <w:tc>
          <w:tcPr>
            <w:tcW w:w="4230" w:type="dxa"/>
            <w:shd w:val="clear" w:color="auto" w:fill="auto"/>
          </w:tcPr>
          <w:p w14:paraId="7F046FC5" w14:textId="77777777" w:rsidR="00D51C6F" w:rsidRPr="00D33D68" w:rsidRDefault="00D51C6F" w:rsidP="00D6532E">
            <w:pPr>
              <w:spacing w:after="0"/>
            </w:pPr>
            <w:r w:rsidRPr="00D33D68">
              <w:t>5.3 - N° of projects on processing</w:t>
            </w:r>
          </w:p>
        </w:tc>
        <w:tc>
          <w:tcPr>
            <w:tcW w:w="1710" w:type="dxa"/>
            <w:shd w:val="clear" w:color="auto" w:fill="auto"/>
          </w:tcPr>
          <w:p w14:paraId="6840DC5D" w14:textId="77777777" w:rsidR="00D51C6F" w:rsidRPr="00D33D68" w:rsidRDefault="00D51C6F" w:rsidP="00D6532E">
            <w:pPr>
              <w:spacing w:after="0"/>
              <w:jc w:val="right"/>
            </w:pPr>
            <w:r w:rsidRPr="00D33D68">
              <w:t>5</w:t>
            </w:r>
          </w:p>
        </w:tc>
        <w:tc>
          <w:tcPr>
            <w:tcW w:w="1530" w:type="dxa"/>
            <w:shd w:val="clear" w:color="auto" w:fill="auto"/>
          </w:tcPr>
          <w:p w14:paraId="1B52C91C" w14:textId="79F34837" w:rsidR="00D51C6F" w:rsidRPr="00D33D68" w:rsidRDefault="00A15AE3" w:rsidP="004046ED">
            <w:pPr>
              <w:spacing w:after="0"/>
              <w:jc w:val="right"/>
            </w:pPr>
            <w:r w:rsidRPr="00D33D68">
              <w:t>3</w:t>
            </w:r>
            <w:r w:rsidR="004046ED" w:rsidRPr="00D33D68">
              <w:t>6</w:t>
            </w:r>
          </w:p>
        </w:tc>
        <w:tc>
          <w:tcPr>
            <w:tcW w:w="1620" w:type="dxa"/>
          </w:tcPr>
          <w:p w14:paraId="17395561" w14:textId="0C7D9A01" w:rsidR="00D51C6F" w:rsidRPr="00D33D68" w:rsidRDefault="00E92941" w:rsidP="00D6532E">
            <w:pPr>
              <w:spacing w:after="0"/>
              <w:jc w:val="right"/>
            </w:pPr>
            <w:r w:rsidRPr="00D33D68">
              <w:t>15</w:t>
            </w:r>
          </w:p>
        </w:tc>
      </w:tr>
    </w:tbl>
    <w:p w14:paraId="7BBFD311" w14:textId="77777777" w:rsidR="00686E83" w:rsidRPr="00D33D68" w:rsidRDefault="00686E83" w:rsidP="00686E83">
      <w:pPr>
        <w:spacing w:after="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7391"/>
      </w:tblGrid>
      <w:tr w:rsidR="00686E83" w:rsidRPr="00D33D68" w14:paraId="00EB8DCF" w14:textId="77777777" w:rsidTr="00D6532E">
        <w:tc>
          <w:tcPr>
            <w:tcW w:w="0" w:type="auto"/>
            <w:shd w:val="clear" w:color="auto" w:fill="auto"/>
          </w:tcPr>
          <w:p w14:paraId="09113C73" w14:textId="77777777" w:rsidR="00686E83" w:rsidRPr="00D33D68" w:rsidRDefault="00686E83" w:rsidP="00D6532E">
            <w:pPr>
              <w:spacing w:after="0"/>
              <w:rPr>
                <w:b/>
              </w:rPr>
            </w:pPr>
            <w:r w:rsidRPr="00D33D68">
              <w:rPr>
                <w:b/>
              </w:rPr>
              <w:t>Union priority</w:t>
            </w:r>
          </w:p>
        </w:tc>
        <w:tc>
          <w:tcPr>
            <w:tcW w:w="0" w:type="auto"/>
            <w:shd w:val="clear" w:color="auto" w:fill="auto"/>
          </w:tcPr>
          <w:p w14:paraId="7548B242" w14:textId="77777777" w:rsidR="00686E83" w:rsidRPr="00D33D68" w:rsidRDefault="00686E83" w:rsidP="00D6532E">
            <w:pPr>
              <w:spacing w:after="0"/>
            </w:pPr>
            <w:r w:rsidRPr="00D33D68">
              <w:t>6 - Fostering the implementation of the Integrated Maritime Policy</w:t>
            </w:r>
          </w:p>
        </w:tc>
      </w:tr>
    </w:tbl>
    <w:p w14:paraId="67ABED2D" w14:textId="77777777" w:rsidR="00686E83" w:rsidRPr="00D33D68" w:rsidRDefault="00686E83" w:rsidP="00686E83">
      <w:pPr>
        <w:spacing w:after="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1800"/>
        <w:gridCol w:w="1531"/>
        <w:gridCol w:w="1637"/>
      </w:tblGrid>
      <w:tr w:rsidR="00D33D68" w:rsidRPr="00D33D68" w14:paraId="10740712" w14:textId="3BC90CED" w:rsidTr="00C80916">
        <w:tc>
          <w:tcPr>
            <w:tcW w:w="2326" w:type="pct"/>
            <w:shd w:val="clear" w:color="auto" w:fill="auto"/>
          </w:tcPr>
          <w:p w14:paraId="49B6D348" w14:textId="77777777" w:rsidR="00D51C6F" w:rsidRPr="00D33D68" w:rsidRDefault="00D51C6F" w:rsidP="00D6532E">
            <w:pPr>
              <w:spacing w:after="0"/>
              <w:rPr>
                <w:b/>
              </w:rPr>
            </w:pPr>
            <w:r w:rsidRPr="00D33D68">
              <w:rPr>
                <w:b/>
              </w:rPr>
              <w:t>Indicator and measurement unit, where appropriate</w:t>
            </w:r>
          </w:p>
        </w:tc>
        <w:tc>
          <w:tcPr>
            <w:tcW w:w="969" w:type="pct"/>
            <w:shd w:val="clear" w:color="auto" w:fill="auto"/>
          </w:tcPr>
          <w:p w14:paraId="05D440BC" w14:textId="77777777" w:rsidR="00D51C6F" w:rsidRPr="00D33D68" w:rsidRDefault="00D51C6F" w:rsidP="00D6532E">
            <w:pPr>
              <w:spacing w:after="0"/>
              <w:rPr>
                <w:b/>
              </w:rPr>
            </w:pPr>
            <w:r w:rsidRPr="00D33D68">
              <w:rPr>
                <w:b/>
              </w:rPr>
              <w:t>Milestone for 2018</w:t>
            </w:r>
          </w:p>
        </w:tc>
        <w:tc>
          <w:tcPr>
            <w:tcW w:w="824" w:type="pct"/>
            <w:shd w:val="clear" w:color="auto" w:fill="auto"/>
          </w:tcPr>
          <w:p w14:paraId="70B84571" w14:textId="77777777" w:rsidR="00D51C6F" w:rsidRPr="00D33D68" w:rsidRDefault="00D51C6F" w:rsidP="00D6532E">
            <w:pPr>
              <w:spacing w:after="0"/>
              <w:jc w:val="center"/>
              <w:rPr>
                <w:b/>
              </w:rPr>
            </w:pPr>
            <w:r w:rsidRPr="00D33D68">
              <w:rPr>
                <w:b/>
              </w:rPr>
              <w:t>Targets for 2023</w:t>
            </w:r>
          </w:p>
          <w:p w14:paraId="3AC41C07" w14:textId="684CE221" w:rsidR="002B6B02" w:rsidRPr="00D33D68" w:rsidRDefault="002B6B02" w:rsidP="00D6532E">
            <w:pPr>
              <w:spacing w:after="0"/>
              <w:jc w:val="center"/>
              <w:rPr>
                <w:b/>
              </w:rPr>
            </w:pPr>
            <w:r w:rsidRPr="00D33D68">
              <w:rPr>
                <w:b/>
              </w:rPr>
              <w:t>(new)</w:t>
            </w:r>
          </w:p>
        </w:tc>
        <w:tc>
          <w:tcPr>
            <w:tcW w:w="881" w:type="pct"/>
          </w:tcPr>
          <w:p w14:paraId="2B01A4E2" w14:textId="4B61E77B" w:rsidR="00D51C6F" w:rsidRPr="00D33D68" w:rsidRDefault="00D51C6F" w:rsidP="00D6532E">
            <w:pPr>
              <w:spacing w:after="0"/>
              <w:jc w:val="center"/>
              <w:rPr>
                <w:b/>
              </w:rPr>
            </w:pPr>
            <w:r w:rsidRPr="00D33D68">
              <w:rPr>
                <w:b/>
              </w:rPr>
              <w:t>Initial</w:t>
            </w:r>
          </w:p>
        </w:tc>
      </w:tr>
      <w:tr w:rsidR="00D33D68" w:rsidRPr="00D33D68" w14:paraId="06DDB5FE" w14:textId="791F4232" w:rsidTr="00C80916">
        <w:tc>
          <w:tcPr>
            <w:tcW w:w="2326" w:type="pct"/>
            <w:shd w:val="clear" w:color="auto" w:fill="auto"/>
          </w:tcPr>
          <w:p w14:paraId="4E3FFECD" w14:textId="77777777" w:rsidR="00D51C6F" w:rsidRPr="00D33D68" w:rsidRDefault="00D51C6F" w:rsidP="00D6532E">
            <w:pPr>
              <w:spacing w:after="0"/>
            </w:pPr>
            <w:r w:rsidRPr="00D33D68">
              <w:t>Financial indicator</w:t>
            </w:r>
          </w:p>
        </w:tc>
        <w:tc>
          <w:tcPr>
            <w:tcW w:w="969" w:type="pct"/>
            <w:shd w:val="clear" w:color="auto" w:fill="auto"/>
          </w:tcPr>
          <w:p w14:paraId="081EE055" w14:textId="77777777" w:rsidR="00D51C6F" w:rsidRPr="00D33D68" w:rsidRDefault="00D51C6F" w:rsidP="00D6532E">
            <w:pPr>
              <w:spacing w:after="0"/>
              <w:jc w:val="right"/>
            </w:pPr>
            <w:r w:rsidRPr="00D33D68">
              <w:t>500,000.00</w:t>
            </w:r>
          </w:p>
        </w:tc>
        <w:tc>
          <w:tcPr>
            <w:tcW w:w="824" w:type="pct"/>
            <w:shd w:val="clear" w:color="auto" w:fill="auto"/>
          </w:tcPr>
          <w:p w14:paraId="2390D8E6" w14:textId="0B2E5A66" w:rsidR="00D51C6F" w:rsidRPr="00D33D68" w:rsidRDefault="00D51C6F" w:rsidP="004D117D">
            <w:pPr>
              <w:spacing w:after="0"/>
              <w:jc w:val="right"/>
            </w:pPr>
            <w:r w:rsidRPr="00D33D68">
              <w:t>3,100,000</w:t>
            </w:r>
          </w:p>
        </w:tc>
        <w:tc>
          <w:tcPr>
            <w:tcW w:w="881" w:type="pct"/>
          </w:tcPr>
          <w:p w14:paraId="3F3B7F09" w14:textId="24C51A2B" w:rsidR="00D51C6F" w:rsidRPr="00D33D68" w:rsidRDefault="00C24CF0" w:rsidP="00C24CF0">
            <w:pPr>
              <w:spacing w:after="0"/>
              <w:jc w:val="right"/>
            </w:pPr>
            <w:r w:rsidRPr="00D33D68">
              <w:t>3,100,000</w:t>
            </w:r>
          </w:p>
        </w:tc>
      </w:tr>
      <w:tr w:rsidR="00D51C6F" w:rsidRPr="00D33D68" w14:paraId="19D38F97" w14:textId="6885544F" w:rsidTr="00C80916">
        <w:tc>
          <w:tcPr>
            <w:tcW w:w="2326" w:type="pct"/>
            <w:shd w:val="clear" w:color="auto" w:fill="auto"/>
          </w:tcPr>
          <w:p w14:paraId="029B7ADD" w14:textId="77777777" w:rsidR="00D51C6F" w:rsidRPr="00D33D68" w:rsidRDefault="00D51C6F" w:rsidP="00D6532E">
            <w:pPr>
              <w:spacing w:after="0"/>
            </w:pPr>
            <w:r w:rsidRPr="00D33D68">
              <w:t>6.2 - N° projects on the protection and improvement of knowledge on marine environment</w:t>
            </w:r>
          </w:p>
        </w:tc>
        <w:tc>
          <w:tcPr>
            <w:tcW w:w="969" w:type="pct"/>
            <w:shd w:val="clear" w:color="auto" w:fill="auto"/>
          </w:tcPr>
          <w:p w14:paraId="21C51C7F" w14:textId="77777777" w:rsidR="00D51C6F" w:rsidRPr="00D33D68" w:rsidRDefault="00D51C6F" w:rsidP="00D6532E">
            <w:pPr>
              <w:spacing w:after="0"/>
              <w:jc w:val="right"/>
            </w:pPr>
            <w:r w:rsidRPr="00D33D68">
              <w:t>1</w:t>
            </w:r>
          </w:p>
        </w:tc>
        <w:tc>
          <w:tcPr>
            <w:tcW w:w="824" w:type="pct"/>
            <w:shd w:val="clear" w:color="auto" w:fill="auto"/>
          </w:tcPr>
          <w:p w14:paraId="21E2EE10" w14:textId="77777777" w:rsidR="00D51C6F" w:rsidRPr="00D33D68" w:rsidRDefault="00D51C6F" w:rsidP="00D6532E">
            <w:pPr>
              <w:spacing w:after="0"/>
              <w:jc w:val="right"/>
            </w:pPr>
            <w:r w:rsidRPr="00D33D68">
              <w:t>2</w:t>
            </w:r>
          </w:p>
        </w:tc>
        <w:tc>
          <w:tcPr>
            <w:tcW w:w="881" w:type="pct"/>
          </w:tcPr>
          <w:p w14:paraId="5E0044F2" w14:textId="324B0236" w:rsidR="00D51C6F" w:rsidRPr="00D33D68" w:rsidRDefault="00E92941" w:rsidP="00D6532E">
            <w:pPr>
              <w:spacing w:after="0"/>
              <w:jc w:val="right"/>
            </w:pPr>
            <w:r w:rsidRPr="00D33D68">
              <w:t>3</w:t>
            </w:r>
          </w:p>
        </w:tc>
      </w:tr>
    </w:tbl>
    <w:p w14:paraId="1A552395" w14:textId="2F013001" w:rsidR="008B05F5" w:rsidRPr="00D33D68" w:rsidRDefault="008B05F5" w:rsidP="00884142"/>
    <w:p w14:paraId="757A227B" w14:textId="77777777" w:rsidR="00511333" w:rsidRPr="00D33D68" w:rsidRDefault="00511333" w:rsidP="00884142">
      <w:pPr>
        <w:pStyle w:val="Heading2"/>
        <w:rPr>
          <w:rFonts w:ascii="Times New Roman" w:hAnsi="Times New Roman" w:cs="Times New Roman"/>
        </w:rPr>
        <w:sectPr w:rsidR="00511333" w:rsidRPr="00D33D68" w:rsidSect="00C80916">
          <w:footerReference w:type="default" r:id="rId11"/>
          <w:type w:val="continuous"/>
          <w:pgSz w:w="11906" w:h="16838" w:code="9"/>
          <w:pgMar w:top="1417" w:right="1417" w:bottom="1417" w:left="1417" w:header="708" w:footer="708" w:gutter="0"/>
          <w:cols w:space="708"/>
          <w:docGrid w:linePitch="360"/>
        </w:sectPr>
      </w:pPr>
    </w:p>
    <w:p w14:paraId="6850C6F2" w14:textId="77777777" w:rsidR="000659FC" w:rsidRPr="00D33D68" w:rsidRDefault="000659FC" w:rsidP="000659FC">
      <w:pPr>
        <w:pStyle w:val="Heading2"/>
        <w:numPr>
          <w:ilvl w:val="0"/>
          <w:numId w:val="13"/>
        </w:numPr>
        <w:rPr>
          <w:rFonts w:ascii="Times New Roman" w:hAnsi="Times New Roman" w:cs="Times New Roman"/>
        </w:rPr>
      </w:pPr>
      <w:r w:rsidRPr="00D33D68">
        <w:rPr>
          <w:rFonts w:ascii="Times New Roman" w:hAnsi="Times New Roman" w:cs="Times New Roman"/>
        </w:rPr>
        <w:lastRenderedPageBreak/>
        <w:t>Промяна в секция 8.1 „Участие на ЕФМДР планирано по години“</w:t>
      </w:r>
    </w:p>
    <w:p w14:paraId="7DED2C32" w14:textId="77777777" w:rsidR="000659FC" w:rsidRPr="00D33D68" w:rsidRDefault="000659FC" w:rsidP="000659FC"/>
    <w:p w14:paraId="0EC564CA" w14:textId="77777777" w:rsidR="000659FC" w:rsidRPr="00D33D68" w:rsidRDefault="000659FC" w:rsidP="000659FC">
      <w:r w:rsidRPr="00D33D68">
        <w:t xml:space="preserve">УО на ПМДР ежеседмично следи изпълнението на сключените договори по одобрените промени и води ежедневни разговори с бенефициентите, които планирано трябва да подадат искания за плащане през 2020. </w:t>
      </w:r>
      <w:r w:rsidRPr="00D33D68">
        <w:rPr>
          <w:rFonts w:eastAsia="Calibri"/>
          <w:bCs/>
          <w:lang w:eastAsia="da-DK"/>
        </w:rPr>
        <w:t>Създалата се ситуация след избухването на COVID-19 в света и най-вече в Европа постави рибарския сектор в безпрецедентна ситуация, която не е била прогнозирана от нито едно правителство в Европа.</w:t>
      </w:r>
      <w:r w:rsidRPr="00D33D68">
        <w:t xml:space="preserve"> През последните месеци се увеличава броя на исканията до УО от различни бенефициенти с молба за удължаване на сроковете по изпълнение на проектите по инвестицинните мерки поради причини свързани с  </w:t>
      </w:r>
      <w:r w:rsidRPr="00D33D68">
        <w:rPr>
          <w:lang w:val="en-US"/>
        </w:rPr>
        <w:t xml:space="preserve">COVID–19 </w:t>
      </w:r>
      <w:r w:rsidRPr="00D33D68">
        <w:t>(проблеми с доставчици-чуждестранни изпълнители, проблеми с логистиката/доставката от някои държави и др. подобни).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5"/>
        <w:gridCol w:w="6786"/>
        <w:gridCol w:w="5959"/>
      </w:tblGrid>
      <w:tr w:rsidR="00D33D68" w:rsidRPr="00D33D68" w14:paraId="7CE30D5E" w14:textId="77777777" w:rsidTr="003529A5">
        <w:tc>
          <w:tcPr>
            <w:tcW w:w="0" w:type="auto"/>
            <w:shd w:val="clear" w:color="auto" w:fill="auto"/>
          </w:tcPr>
          <w:p w14:paraId="45B85F24" w14:textId="77777777" w:rsidR="000659FC" w:rsidRPr="00D33D68" w:rsidRDefault="000659FC" w:rsidP="003529A5">
            <w:pPr>
              <w:spacing w:after="0" w:line="240" w:lineRule="auto"/>
              <w:jc w:val="center"/>
              <w:rPr>
                <w:rFonts w:eastAsia="Times New Roman"/>
                <w:b/>
                <w:noProof w:val="0"/>
                <w:lang w:val="en-GB"/>
              </w:rPr>
            </w:pPr>
            <w:r w:rsidRPr="00D33D68">
              <w:rPr>
                <w:rFonts w:eastAsia="Times New Roman"/>
                <w:b/>
                <w:lang w:val="en-GB"/>
              </w:rPr>
              <w:t>Year</w:t>
            </w:r>
          </w:p>
        </w:tc>
        <w:tc>
          <w:tcPr>
            <w:tcW w:w="0" w:type="auto"/>
            <w:shd w:val="clear" w:color="auto" w:fill="auto"/>
          </w:tcPr>
          <w:p w14:paraId="4D26C60A" w14:textId="77777777" w:rsidR="000659FC" w:rsidRPr="00D33D68" w:rsidRDefault="000659FC" w:rsidP="003529A5">
            <w:pPr>
              <w:spacing w:after="0" w:line="240" w:lineRule="auto"/>
              <w:jc w:val="center"/>
              <w:rPr>
                <w:rFonts w:eastAsia="Times New Roman"/>
                <w:b/>
                <w:noProof w:val="0"/>
              </w:rPr>
            </w:pPr>
            <w:r w:rsidRPr="00D33D68">
              <w:rPr>
                <w:rFonts w:eastAsia="Times New Roman"/>
                <w:b/>
                <w:lang w:val="en-GB"/>
              </w:rPr>
              <w:t>EMFF main allocation</w:t>
            </w:r>
            <w:r w:rsidRPr="00D33D68">
              <w:rPr>
                <w:rFonts w:eastAsia="Times New Roman"/>
                <w:b/>
              </w:rPr>
              <w:t>-</w:t>
            </w:r>
            <w:r w:rsidRPr="00D33D68">
              <w:rPr>
                <w:rFonts w:ascii="Arial" w:hAnsi="Arial" w:cs="Arial"/>
                <w:b/>
                <w:bCs/>
                <w:lang w:eastAsia="bg-BG"/>
              </w:rPr>
              <w:t xml:space="preserve"> current</w:t>
            </w:r>
          </w:p>
        </w:tc>
        <w:tc>
          <w:tcPr>
            <w:tcW w:w="0" w:type="auto"/>
            <w:shd w:val="clear" w:color="auto" w:fill="auto"/>
          </w:tcPr>
          <w:p w14:paraId="63883EEE" w14:textId="77777777" w:rsidR="000659FC" w:rsidRPr="00D33D68" w:rsidRDefault="000659FC" w:rsidP="003529A5">
            <w:pPr>
              <w:spacing w:after="0" w:line="240" w:lineRule="auto"/>
              <w:jc w:val="center"/>
              <w:rPr>
                <w:rFonts w:eastAsia="Times New Roman"/>
                <w:b/>
                <w:noProof w:val="0"/>
                <w:lang w:val="en-GB"/>
              </w:rPr>
            </w:pPr>
            <w:r w:rsidRPr="00D33D68">
              <w:rPr>
                <w:rFonts w:eastAsia="Times New Roman"/>
                <w:b/>
                <w:lang w:val="en-GB"/>
              </w:rPr>
              <w:t>EMFF performance reserve</w:t>
            </w:r>
          </w:p>
        </w:tc>
      </w:tr>
      <w:tr w:rsidR="00D33D68" w:rsidRPr="00D33D68" w14:paraId="14FD9A95" w14:textId="77777777" w:rsidTr="003529A5">
        <w:tc>
          <w:tcPr>
            <w:tcW w:w="0" w:type="auto"/>
            <w:shd w:val="clear" w:color="auto" w:fill="auto"/>
          </w:tcPr>
          <w:p w14:paraId="2D84D858" w14:textId="77777777" w:rsidR="000659FC" w:rsidRPr="00D33D68" w:rsidRDefault="000659FC" w:rsidP="003529A5">
            <w:pPr>
              <w:spacing w:after="0" w:line="240" w:lineRule="auto"/>
              <w:jc w:val="center"/>
              <w:rPr>
                <w:rFonts w:eastAsia="Times New Roman"/>
                <w:noProof w:val="0"/>
                <w:lang w:val="it-IT"/>
              </w:rPr>
            </w:pPr>
            <w:r w:rsidRPr="00D33D68">
              <w:rPr>
                <w:rFonts w:eastAsia="Times New Roman"/>
                <w:noProof w:val="0"/>
                <w:lang w:val="it-IT"/>
              </w:rPr>
              <w:t>2014</w:t>
            </w:r>
          </w:p>
        </w:tc>
        <w:tc>
          <w:tcPr>
            <w:tcW w:w="0" w:type="auto"/>
            <w:shd w:val="clear" w:color="auto" w:fill="auto"/>
          </w:tcPr>
          <w:p w14:paraId="5C6C71EC" w14:textId="77777777" w:rsidR="000659FC" w:rsidRPr="00D33D68" w:rsidRDefault="000659FC" w:rsidP="003529A5">
            <w:pPr>
              <w:spacing w:after="0" w:line="240" w:lineRule="auto"/>
              <w:jc w:val="right"/>
              <w:rPr>
                <w:rFonts w:eastAsia="Times New Roman"/>
                <w:noProof w:val="0"/>
                <w:lang w:val="it-IT"/>
              </w:rPr>
            </w:pPr>
            <w:r w:rsidRPr="00D33D68">
              <w:rPr>
                <w:rFonts w:eastAsia="Times New Roman"/>
                <w:lang w:val="it-IT"/>
              </w:rPr>
              <w:t>0.00</w:t>
            </w:r>
          </w:p>
        </w:tc>
        <w:tc>
          <w:tcPr>
            <w:tcW w:w="0" w:type="auto"/>
            <w:shd w:val="clear" w:color="auto" w:fill="auto"/>
          </w:tcPr>
          <w:p w14:paraId="475B4F4A" w14:textId="77777777" w:rsidR="000659FC" w:rsidRPr="00D33D68" w:rsidRDefault="000659FC" w:rsidP="003529A5">
            <w:pPr>
              <w:spacing w:after="0" w:line="240" w:lineRule="auto"/>
              <w:jc w:val="right"/>
              <w:rPr>
                <w:rFonts w:eastAsia="Times New Roman"/>
                <w:noProof w:val="0"/>
                <w:lang w:val="it-IT"/>
              </w:rPr>
            </w:pPr>
            <w:r w:rsidRPr="00D33D68">
              <w:rPr>
                <w:rFonts w:eastAsia="Times New Roman"/>
                <w:lang w:val="it-IT"/>
              </w:rPr>
              <w:t>0.00</w:t>
            </w:r>
          </w:p>
        </w:tc>
      </w:tr>
      <w:tr w:rsidR="00D33D68" w:rsidRPr="00D33D68" w14:paraId="533FC4B7" w14:textId="77777777" w:rsidTr="003529A5">
        <w:tc>
          <w:tcPr>
            <w:tcW w:w="0" w:type="auto"/>
            <w:shd w:val="clear" w:color="auto" w:fill="auto"/>
          </w:tcPr>
          <w:p w14:paraId="602011A8" w14:textId="77777777" w:rsidR="000659FC" w:rsidRPr="00D33D68" w:rsidRDefault="000659FC" w:rsidP="003529A5">
            <w:pPr>
              <w:spacing w:after="0" w:line="240" w:lineRule="auto"/>
              <w:jc w:val="center"/>
              <w:rPr>
                <w:rFonts w:eastAsia="Times New Roman"/>
                <w:noProof w:val="0"/>
                <w:lang w:val="it-IT"/>
              </w:rPr>
            </w:pPr>
            <w:r w:rsidRPr="00D33D68">
              <w:rPr>
                <w:rFonts w:eastAsia="Times New Roman"/>
                <w:noProof w:val="0"/>
                <w:lang w:val="it-IT"/>
              </w:rPr>
              <w:t>2015</w:t>
            </w:r>
          </w:p>
        </w:tc>
        <w:tc>
          <w:tcPr>
            <w:tcW w:w="0" w:type="auto"/>
            <w:shd w:val="clear" w:color="auto" w:fill="auto"/>
          </w:tcPr>
          <w:p w14:paraId="49523777" w14:textId="77777777" w:rsidR="000659FC" w:rsidRPr="00D33D68" w:rsidRDefault="000659FC" w:rsidP="003529A5">
            <w:pPr>
              <w:spacing w:after="0" w:line="240" w:lineRule="auto"/>
              <w:jc w:val="right"/>
              <w:rPr>
                <w:rFonts w:eastAsia="Times New Roman"/>
                <w:noProof w:val="0"/>
                <w:lang w:val="it-IT"/>
              </w:rPr>
            </w:pPr>
            <w:r w:rsidRPr="00D33D68">
              <w:rPr>
                <w:rFonts w:eastAsia="Times New Roman"/>
                <w:lang w:val="it-IT"/>
              </w:rPr>
              <w:t>15,596,085.00</w:t>
            </w:r>
          </w:p>
        </w:tc>
        <w:tc>
          <w:tcPr>
            <w:tcW w:w="0" w:type="auto"/>
            <w:shd w:val="clear" w:color="auto" w:fill="auto"/>
          </w:tcPr>
          <w:p w14:paraId="7226BD79" w14:textId="77777777" w:rsidR="000659FC" w:rsidRPr="00D33D68" w:rsidRDefault="000659FC" w:rsidP="003529A5">
            <w:pPr>
              <w:spacing w:after="0" w:line="240" w:lineRule="auto"/>
              <w:jc w:val="right"/>
              <w:rPr>
                <w:rFonts w:eastAsia="Times New Roman"/>
                <w:noProof w:val="0"/>
                <w:lang w:val="it-IT"/>
              </w:rPr>
            </w:pPr>
            <w:r w:rsidRPr="00D33D68">
              <w:rPr>
                <w:rFonts w:eastAsia="Times New Roman"/>
                <w:lang w:val="it-IT"/>
              </w:rPr>
              <w:t>1,457,807.00</w:t>
            </w:r>
          </w:p>
        </w:tc>
      </w:tr>
      <w:tr w:rsidR="00D33D68" w:rsidRPr="00D33D68" w14:paraId="5D0AA0A3" w14:textId="77777777" w:rsidTr="003529A5">
        <w:tc>
          <w:tcPr>
            <w:tcW w:w="0" w:type="auto"/>
            <w:shd w:val="clear" w:color="auto" w:fill="auto"/>
          </w:tcPr>
          <w:p w14:paraId="506A80C3" w14:textId="77777777" w:rsidR="000659FC" w:rsidRPr="00D33D68" w:rsidRDefault="000659FC" w:rsidP="003529A5">
            <w:pPr>
              <w:spacing w:after="0" w:line="240" w:lineRule="auto"/>
              <w:jc w:val="center"/>
              <w:rPr>
                <w:rFonts w:eastAsia="Times New Roman"/>
                <w:noProof w:val="0"/>
                <w:lang w:val="it-IT"/>
              </w:rPr>
            </w:pPr>
            <w:r w:rsidRPr="00D33D68">
              <w:rPr>
                <w:rFonts w:eastAsia="Times New Roman"/>
                <w:noProof w:val="0"/>
                <w:lang w:val="it-IT"/>
              </w:rPr>
              <w:t>2016</w:t>
            </w:r>
          </w:p>
        </w:tc>
        <w:tc>
          <w:tcPr>
            <w:tcW w:w="0" w:type="auto"/>
            <w:shd w:val="clear" w:color="auto" w:fill="auto"/>
          </w:tcPr>
          <w:p w14:paraId="20DAA257" w14:textId="77777777" w:rsidR="000659FC" w:rsidRPr="00D33D68" w:rsidRDefault="000659FC" w:rsidP="003529A5">
            <w:pPr>
              <w:spacing w:after="0" w:line="240" w:lineRule="auto"/>
              <w:jc w:val="right"/>
              <w:rPr>
                <w:rFonts w:eastAsia="Times New Roman"/>
                <w:noProof w:val="0"/>
                <w:lang w:val="it-IT"/>
              </w:rPr>
            </w:pPr>
            <w:r w:rsidRPr="00D33D68">
              <w:rPr>
                <w:rFonts w:eastAsia="Times New Roman"/>
                <w:lang w:val="it-IT"/>
              </w:rPr>
              <w:t>11,597,018.00</w:t>
            </w:r>
          </w:p>
        </w:tc>
        <w:tc>
          <w:tcPr>
            <w:tcW w:w="0" w:type="auto"/>
            <w:shd w:val="clear" w:color="auto" w:fill="auto"/>
          </w:tcPr>
          <w:p w14:paraId="7E92B3DA" w14:textId="77777777" w:rsidR="000659FC" w:rsidRPr="00D33D68" w:rsidRDefault="000659FC" w:rsidP="003529A5">
            <w:pPr>
              <w:spacing w:after="0" w:line="240" w:lineRule="auto"/>
              <w:jc w:val="right"/>
              <w:rPr>
                <w:rFonts w:eastAsia="Times New Roman"/>
                <w:noProof w:val="0"/>
                <w:lang w:val="it-IT"/>
              </w:rPr>
            </w:pPr>
            <w:r w:rsidRPr="00D33D68">
              <w:rPr>
                <w:rFonts w:eastAsia="Times New Roman"/>
                <w:lang w:val="it-IT"/>
              </w:rPr>
              <w:t>740,235.00</w:t>
            </w:r>
          </w:p>
        </w:tc>
      </w:tr>
      <w:tr w:rsidR="00D33D68" w:rsidRPr="00D33D68" w14:paraId="574DFBAA" w14:textId="77777777" w:rsidTr="003529A5">
        <w:tc>
          <w:tcPr>
            <w:tcW w:w="0" w:type="auto"/>
            <w:shd w:val="clear" w:color="auto" w:fill="auto"/>
          </w:tcPr>
          <w:p w14:paraId="7BC18386" w14:textId="77777777" w:rsidR="000659FC" w:rsidRPr="00D33D68" w:rsidRDefault="000659FC" w:rsidP="003529A5">
            <w:pPr>
              <w:spacing w:after="0" w:line="240" w:lineRule="auto"/>
              <w:jc w:val="center"/>
              <w:rPr>
                <w:rFonts w:eastAsia="Times New Roman"/>
                <w:noProof w:val="0"/>
                <w:lang w:val="it-IT"/>
              </w:rPr>
            </w:pPr>
            <w:r w:rsidRPr="00D33D68">
              <w:rPr>
                <w:rFonts w:eastAsia="Times New Roman"/>
                <w:noProof w:val="0"/>
                <w:lang w:val="it-IT"/>
              </w:rPr>
              <w:t>2017</w:t>
            </w:r>
          </w:p>
        </w:tc>
        <w:tc>
          <w:tcPr>
            <w:tcW w:w="0" w:type="auto"/>
            <w:shd w:val="clear" w:color="auto" w:fill="auto"/>
          </w:tcPr>
          <w:p w14:paraId="49DFA49D" w14:textId="77777777" w:rsidR="000659FC" w:rsidRPr="00D33D68" w:rsidRDefault="000659FC" w:rsidP="003529A5">
            <w:pPr>
              <w:spacing w:after="0" w:line="240" w:lineRule="auto"/>
              <w:jc w:val="right"/>
              <w:rPr>
                <w:rFonts w:eastAsia="Times New Roman"/>
                <w:noProof w:val="0"/>
                <w:lang w:val="it-IT"/>
              </w:rPr>
            </w:pPr>
            <w:r w:rsidRPr="00D33D68">
              <w:rPr>
                <w:rFonts w:eastAsia="Times New Roman"/>
                <w:lang w:val="it-IT"/>
              </w:rPr>
              <w:t>11,784,981.00</w:t>
            </w:r>
          </w:p>
        </w:tc>
        <w:tc>
          <w:tcPr>
            <w:tcW w:w="0" w:type="auto"/>
            <w:shd w:val="clear" w:color="auto" w:fill="auto"/>
          </w:tcPr>
          <w:p w14:paraId="23BAFB78" w14:textId="77777777" w:rsidR="000659FC" w:rsidRPr="00D33D68" w:rsidRDefault="000659FC" w:rsidP="003529A5">
            <w:pPr>
              <w:spacing w:after="0" w:line="240" w:lineRule="auto"/>
              <w:jc w:val="right"/>
              <w:rPr>
                <w:rFonts w:eastAsia="Times New Roman"/>
                <w:noProof w:val="0"/>
                <w:lang w:val="it-IT"/>
              </w:rPr>
            </w:pPr>
            <w:r w:rsidRPr="00D33D68">
              <w:rPr>
                <w:rFonts w:eastAsia="Times New Roman"/>
                <w:lang w:val="it-IT"/>
              </w:rPr>
              <w:t>752,233.00</w:t>
            </w:r>
          </w:p>
        </w:tc>
      </w:tr>
      <w:tr w:rsidR="00D33D68" w:rsidRPr="00D33D68" w14:paraId="70AC2825" w14:textId="77777777" w:rsidTr="003529A5">
        <w:tc>
          <w:tcPr>
            <w:tcW w:w="0" w:type="auto"/>
            <w:shd w:val="clear" w:color="auto" w:fill="auto"/>
          </w:tcPr>
          <w:p w14:paraId="65BC9720" w14:textId="77777777" w:rsidR="000659FC" w:rsidRPr="00D33D68" w:rsidRDefault="000659FC" w:rsidP="003529A5">
            <w:pPr>
              <w:spacing w:after="0" w:line="240" w:lineRule="auto"/>
              <w:jc w:val="center"/>
              <w:rPr>
                <w:rFonts w:eastAsia="Times New Roman"/>
                <w:noProof w:val="0"/>
                <w:lang w:val="it-IT"/>
              </w:rPr>
            </w:pPr>
            <w:r w:rsidRPr="00D33D68">
              <w:rPr>
                <w:rFonts w:eastAsia="Times New Roman"/>
                <w:noProof w:val="0"/>
                <w:lang w:val="it-IT"/>
              </w:rPr>
              <w:t>2018</w:t>
            </w:r>
          </w:p>
        </w:tc>
        <w:tc>
          <w:tcPr>
            <w:tcW w:w="0" w:type="auto"/>
            <w:shd w:val="clear" w:color="auto" w:fill="auto"/>
          </w:tcPr>
          <w:p w14:paraId="0EFE95D2" w14:textId="77777777" w:rsidR="000659FC" w:rsidRPr="00D33D68" w:rsidRDefault="000659FC" w:rsidP="003529A5">
            <w:pPr>
              <w:spacing w:after="0" w:line="240" w:lineRule="auto"/>
              <w:jc w:val="right"/>
              <w:rPr>
                <w:rFonts w:eastAsia="Times New Roman"/>
                <w:noProof w:val="0"/>
                <w:lang w:val="it-IT"/>
              </w:rPr>
            </w:pPr>
            <w:r w:rsidRPr="00D33D68">
              <w:rPr>
                <w:rFonts w:eastAsia="Times New Roman"/>
                <w:lang w:val="it-IT"/>
              </w:rPr>
              <w:t>12,059,205.00</w:t>
            </w:r>
          </w:p>
        </w:tc>
        <w:tc>
          <w:tcPr>
            <w:tcW w:w="0" w:type="auto"/>
            <w:shd w:val="clear" w:color="auto" w:fill="auto"/>
          </w:tcPr>
          <w:p w14:paraId="57C6620B" w14:textId="77777777" w:rsidR="000659FC" w:rsidRPr="00D33D68" w:rsidRDefault="000659FC" w:rsidP="003529A5">
            <w:pPr>
              <w:spacing w:after="0" w:line="240" w:lineRule="auto"/>
              <w:jc w:val="right"/>
              <w:rPr>
                <w:rFonts w:eastAsia="Times New Roman"/>
                <w:noProof w:val="0"/>
                <w:lang w:val="it-IT"/>
              </w:rPr>
            </w:pPr>
            <w:r w:rsidRPr="00D33D68">
              <w:rPr>
                <w:rFonts w:eastAsia="Times New Roman"/>
                <w:lang w:val="it-IT"/>
              </w:rPr>
              <w:t>769,737.00</w:t>
            </w:r>
          </w:p>
        </w:tc>
      </w:tr>
      <w:tr w:rsidR="00D33D68" w:rsidRPr="00D33D68" w14:paraId="714199C6" w14:textId="77777777" w:rsidTr="003529A5">
        <w:tc>
          <w:tcPr>
            <w:tcW w:w="0" w:type="auto"/>
            <w:shd w:val="clear" w:color="auto" w:fill="auto"/>
          </w:tcPr>
          <w:p w14:paraId="178CFFB7" w14:textId="77777777" w:rsidR="000659FC" w:rsidRPr="00D33D68" w:rsidRDefault="000659FC" w:rsidP="003529A5">
            <w:pPr>
              <w:spacing w:after="0" w:line="240" w:lineRule="auto"/>
              <w:jc w:val="center"/>
              <w:rPr>
                <w:rFonts w:eastAsia="Times New Roman"/>
                <w:noProof w:val="0"/>
                <w:lang w:val="it-IT"/>
              </w:rPr>
            </w:pPr>
            <w:r w:rsidRPr="00D33D68">
              <w:rPr>
                <w:rFonts w:eastAsia="Times New Roman"/>
                <w:noProof w:val="0"/>
                <w:lang w:val="it-IT"/>
              </w:rPr>
              <w:t>2019</w:t>
            </w:r>
          </w:p>
        </w:tc>
        <w:tc>
          <w:tcPr>
            <w:tcW w:w="0" w:type="auto"/>
            <w:shd w:val="clear" w:color="auto" w:fill="auto"/>
          </w:tcPr>
          <w:p w14:paraId="173AD517" w14:textId="77777777" w:rsidR="000659FC" w:rsidRPr="00D33D68" w:rsidRDefault="000659FC" w:rsidP="003529A5">
            <w:pPr>
              <w:spacing w:after="0" w:line="240" w:lineRule="auto"/>
              <w:jc w:val="right"/>
              <w:rPr>
                <w:rFonts w:eastAsia="Times New Roman"/>
                <w:noProof w:val="0"/>
                <w:lang w:val="it-IT"/>
              </w:rPr>
            </w:pPr>
            <w:r w:rsidRPr="00D33D68">
              <w:rPr>
                <w:rFonts w:eastAsia="Times New Roman"/>
                <w:lang w:val="it-IT"/>
              </w:rPr>
              <w:t>12,141,663.00</w:t>
            </w:r>
          </w:p>
        </w:tc>
        <w:tc>
          <w:tcPr>
            <w:tcW w:w="0" w:type="auto"/>
            <w:shd w:val="clear" w:color="auto" w:fill="auto"/>
          </w:tcPr>
          <w:p w14:paraId="470DA361" w14:textId="77777777" w:rsidR="000659FC" w:rsidRPr="00D33D68" w:rsidRDefault="000659FC" w:rsidP="003529A5">
            <w:pPr>
              <w:spacing w:after="0" w:line="240" w:lineRule="auto"/>
              <w:jc w:val="right"/>
              <w:rPr>
                <w:rFonts w:eastAsia="Times New Roman"/>
                <w:noProof w:val="0"/>
                <w:lang w:val="it-IT"/>
              </w:rPr>
            </w:pPr>
            <w:r w:rsidRPr="00D33D68">
              <w:rPr>
                <w:rFonts w:eastAsia="Times New Roman"/>
                <w:lang w:val="it-IT"/>
              </w:rPr>
              <w:t>775,000.00</w:t>
            </w:r>
          </w:p>
        </w:tc>
      </w:tr>
      <w:tr w:rsidR="00D33D68" w:rsidRPr="00D33D68" w14:paraId="6A6D7B33" w14:textId="77777777" w:rsidTr="003529A5">
        <w:tc>
          <w:tcPr>
            <w:tcW w:w="0" w:type="auto"/>
            <w:shd w:val="clear" w:color="auto" w:fill="auto"/>
          </w:tcPr>
          <w:p w14:paraId="7CB54374" w14:textId="77777777" w:rsidR="000659FC" w:rsidRPr="00D33D68" w:rsidRDefault="000659FC" w:rsidP="003529A5">
            <w:pPr>
              <w:spacing w:after="0" w:line="240" w:lineRule="auto"/>
              <w:jc w:val="center"/>
              <w:rPr>
                <w:rFonts w:eastAsia="Times New Roman"/>
                <w:noProof w:val="0"/>
                <w:lang w:val="it-IT"/>
              </w:rPr>
            </w:pPr>
            <w:r w:rsidRPr="00D33D68">
              <w:rPr>
                <w:rFonts w:eastAsia="Times New Roman"/>
                <w:noProof w:val="0"/>
                <w:lang w:val="it-IT"/>
              </w:rPr>
              <w:t>2020</w:t>
            </w:r>
          </w:p>
        </w:tc>
        <w:tc>
          <w:tcPr>
            <w:tcW w:w="0" w:type="auto"/>
            <w:shd w:val="clear" w:color="auto" w:fill="auto"/>
          </w:tcPr>
          <w:p w14:paraId="50E9A32A" w14:textId="77777777" w:rsidR="000659FC" w:rsidRPr="00D33D68" w:rsidRDefault="000659FC" w:rsidP="003529A5">
            <w:pPr>
              <w:spacing w:after="0" w:line="240" w:lineRule="auto"/>
              <w:jc w:val="right"/>
              <w:rPr>
                <w:rFonts w:eastAsia="Times New Roman"/>
                <w:noProof w:val="0"/>
                <w:lang w:val="it-IT"/>
              </w:rPr>
            </w:pPr>
            <w:r w:rsidRPr="00D33D68">
              <w:rPr>
                <w:rFonts w:eastAsia="Times New Roman"/>
                <w:lang w:val="it-IT"/>
              </w:rPr>
              <w:t>12,360,777.00</w:t>
            </w:r>
          </w:p>
        </w:tc>
        <w:tc>
          <w:tcPr>
            <w:tcW w:w="0" w:type="auto"/>
            <w:shd w:val="clear" w:color="auto" w:fill="auto"/>
          </w:tcPr>
          <w:p w14:paraId="2E255CFF" w14:textId="77777777" w:rsidR="000659FC" w:rsidRPr="00D33D68" w:rsidRDefault="000659FC" w:rsidP="003529A5">
            <w:pPr>
              <w:spacing w:after="0" w:line="240" w:lineRule="auto"/>
              <w:jc w:val="right"/>
              <w:rPr>
                <w:rFonts w:eastAsia="Times New Roman"/>
                <w:noProof w:val="0"/>
                <w:lang w:val="it-IT"/>
              </w:rPr>
            </w:pPr>
            <w:r w:rsidRPr="00D33D68">
              <w:rPr>
                <w:rFonts w:eastAsia="Times New Roman"/>
                <w:lang w:val="it-IT"/>
              </w:rPr>
              <w:t>788,986.00</w:t>
            </w:r>
          </w:p>
        </w:tc>
      </w:tr>
      <w:tr w:rsidR="000659FC" w:rsidRPr="00D33D68" w14:paraId="5C5DB706" w14:textId="77777777" w:rsidTr="003529A5">
        <w:tc>
          <w:tcPr>
            <w:tcW w:w="0" w:type="auto"/>
            <w:shd w:val="clear" w:color="auto" w:fill="auto"/>
          </w:tcPr>
          <w:p w14:paraId="051C4832" w14:textId="77777777" w:rsidR="000659FC" w:rsidRPr="00D33D68" w:rsidRDefault="000659FC" w:rsidP="003529A5">
            <w:pPr>
              <w:spacing w:after="0" w:line="240" w:lineRule="auto"/>
              <w:jc w:val="center"/>
              <w:rPr>
                <w:rFonts w:eastAsia="Times New Roman"/>
                <w:b/>
                <w:noProof w:val="0"/>
                <w:lang w:val="it-IT"/>
              </w:rPr>
            </w:pPr>
            <w:r w:rsidRPr="00D33D68">
              <w:rPr>
                <w:rFonts w:eastAsia="Times New Roman"/>
                <w:b/>
                <w:lang w:val="it-IT"/>
              </w:rPr>
              <w:t>Total</w:t>
            </w:r>
          </w:p>
        </w:tc>
        <w:tc>
          <w:tcPr>
            <w:tcW w:w="0" w:type="auto"/>
            <w:shd w:val="clear" w:color="auto" w:fill="auto"/>
          </w:tcPr>
          <w:p w14:paraId="290A5286" w14:textId="77777777" w:rsidR="000659FC" w:rsidRPr="00D33D68" w:rsidRDefault="000659FC" w:rsidP="003529A5">
            <w:pPr>
              <w:spacing w:after="0" w:line="240" w:lineRule="auto"/>
              <w:jc w:val="right"/>
              <w:rPr>
                <w:rFonts w:eastAsia="Times New Roman"/>
                <w:b/>
                <w:noProof w:val="0"/>
                <w:lang w:val="it-IT"/>
              </w:rPr>
            </w:pPr>
            <w:r w:rsidRPr="00D33D68">
              <w:rPr>
                <w:rFonts w:eastAsia="Times New Roman"/>
                <w:b/>
                <w:lang w:val="it-IT"/>
              </w:rPr>
              <w:t>75,539,729.00</w:t>
            </w:r>
          </w:p>
        </w:tc>
        <w:tc>
          <w:tcPr>
            <w:tcW w:w="0" w:type="auto"/>
            <w:shd w:val="clear" w:color="auto" w:fill="auto"/>
          </w:tcPr>
          <w:p w14:paraId="0C0CA68A" w14:textId="77777777" w:rsidR="000659FC" w:rsidRPr="00D33D68" w:rsidRDefault="000659FC" w:rsidP="003529A5">
            <w:pPr>
              <w:spacing w:after="0" w:line="240" w:lineRule="auto"/>
              <w:jc w:val="right"/>
              <w:rPr>
                <w:rFonts w:eastAsia="Times New Roman"/>
                <w:b/>
                <w:noProof w:val="0"/>
                <w:lang w:val="it-IT"/>
              </w:rPr>
            </w:pPr>
            <w:r w:rsidRPr="00D33D68">
              <w:rPr>
                <w:rFonts w:eastAsia="Times New Roman"/>
                <w:b/>
                <w:lang w:val="it-IT"/>
              </w:rPr>
              <w:t>5,283,998.00</w:t>
            </w:r>
          </w:p>
        </w:tc>
      </w:tr>
    </w:tbl>
    <w:p w14:paraId="1243588B" w14:textId="77777777" w:rsidR="000659FC" w:rsidRPr="00D33D68" w:rsidRDefault="000659FC" w:rsidP="000659FC"/>
    <w:p w14:paraId="3CA88D89" w14:textId="77777777" w:rsidR="000659FC" w:rsidRPr="00D33D68" w:rsidRDefault="000659FC" w:rsidP="000659FC">
      <w:r w:rsidRPr="00D33D68">
        <w:t>Предложение за промяна: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8"/>
        <w:gridCol w:w="6267"/>
        <w:gridCol w:w="6375"/>
      </w:tblGrid>
      <w:tr w:rsidR="00D33D68" w:rsidRPr="00D33D68" w14:paraId="74BA3DC5" w14:textId="77777777" w:rsidTr="003529A5">
        <w:tc>
          <w:tcPr>
            <w:tcW w:w="0" w:type="auto"/>
            <w:shd w:val="clear" w:color="auto" w:fill="auto"/>
          </w:tcPr>
          <w:p w14:paraId="294A8DB9" w14:textId="77777777" w:rsidR="000659FC" w:rsidRPr="00D33D68" w:rsidRDefault="000659FC" w:rsidP="003529A5">
            <w:pPr>
              <w:spacing w:after="0" w:line="240" w:lineRule="auto"/>
              <w:jc w:val="center"/>
              <w:rPr>
                <w:rFonts w:eastAsia="Times New Roman"/>
                <w:b/>
                <w:noProof w:val="0"/>
                <w:lang w:val="en-GB"/>
              </w:rPr>
            </w:pPr>
            <w:r w:rsidRPr="00D33D68">
              <w:rPr>
                <w:rFonts w:eastAsia="Times New Roman"/>
                <w:b/>
                <w:lang w:val="en-GB"/>
              </w:rPr>
              <w:t>Year</w:t>
            </w:r>
          </w:p>
        </w:tc>
        <w:tc>
          <w:tcPr>
            <w:tcW w:w="0" w:type="auto"/>
            <w:shd w:val="clear" w:color="auto" w:fill="auto"/>
          </w:tcPr>
          <w:p w14:paraId="2C2BBA97" w14:textId="77777777" w:rsidR="000659FC" w:rsidRPr="00D33D68" w:rsidRDefault="000659FC" w:rsidP="003529A5">
            <w:pPr>
              <w:spacing w:after="0" w:line="240" w:lineRule="auto"/>
              <w:jc w:val="center"/>
              <w:rPr>
                <w:rFonts w:eastAsia="Times New Roman"/>
                <w:b/>
                <w:noProof w:val="0"/>
                <w:lang w:val="en-US"/>
              </w:rPr>
            </w:pPr>
            <w:r w:rsidRPr="00D33D68">
              <w:rPr>
                <w:rFonts w:eastAsia="Times New Roman"/>
                <w:b/>
                <w:lang w:val="en-GB"/>
              </w:rPr>
              <w:t>EMFF main allocation</w:t>
            </w:r>
            <w:r w:rsidRPr="00D33D68">
              <w:rPr>
                <w:rFonts w:eastAsia="Times New Roman"/>
                <w:b/>
              </w:rPr>
              <w:t>-</w:t>
            </w:r>
            <w:r w:rsidRPr="00D33D68">
              <w:rPr>
                <w:rFonts w:eastAsia="Times New Roman"/>
                <w:b/>
                <w:lang w:val="en-US"/>
              </w:rPr>
              <w:t>new</w:t>
            </w:r>
          </w:p>
        </w:tc>
        <w:tc>
          <w:tcPr>
            <w:tcW w:w="0" w:type="auto"/>
            <w:shd w:val="clear" w:color="auto" w:fill="auto"/>
          </w:tcPr>
          <w:p w14:paraId="24A1F82B" w14:textId="77777777" w:rsidR="000659FC" w:rsidRPr="00D33D68" w:rsidRDefault="000659FC" w:rsidP="003529A5">
            <w:pPr>
              <w:spacing w:after="0" w:line="240" w:lineRule="auto"/>
              <w:jc w:val="center"/>
              <w:rPr>
                <w:rFonts w:eastAsia="Times New Roman"/>
                <w:b/>
                <w:noProof w:val="0"/>
                <w:lang w:val="en-GB"/>
              </w:rPr>
            </w:pPr>
            <w:r w:rsidRPr="00D33D68">
              <w:rPr>
                <w:rFonts w:eastAsia="Times New Roman"/>
                <w:b/>
                <w:lang w:val="en-GB"/>
              </w:rPr>
              <w:t>EMFF performance reserve</w:t>
            </w:r>
          </w:p>
        </w:tc>
      </w:tr>
      <w:tr w:rsidR="00D33D68" w:rsidRPr="00D33D68" w14:paraId="0C833B79" w14:textId="77777777" w:rsidTr="003529A5">
        <w:tc>
          <w:tcPr>
            <w:tcW w:w="0" w:type="auto"/>
            <w:shd w:val="clear" w:color="auto" w:fill="auto"/>
          </w:tcPr>
          <w:p w14:paraId="27E09897" w14:textId="77777777" w:rsidR="000659FC" w:rsidRPr="00D33D68" w:rsidRDefault="000659FC" w:rsidP="003529A5">
            <w:pPr>
              <w:spacing w:after="0" w:line="240" w:lineRule="auto"/>
              <w:jc w:val="center"/>
              <w:rPr>
                <w:rFonts w:eastAsia="Times New Roman"/>
                <w:noProof w:val="0"/>
                <w:lang w:val="it-IT"/>
              </w:rPr>
            </w:pPr>
            <w:r w:rsidRPr="00D33D68">
              <w:rPr>
                <w:rFonts w:eastAsia="Times New Roman"/>
                <w:noProof w:val="0"/>
                <w:lang w:val="it-IT"/>
              </w:rPr>
              <w:t>2014</w:t>
            </w:r>
          </w:p>
        </w:tc>
        <w:tc>
          <w:tcPr>
            <w:tcW w:w="0" w:type="auto"/>
            <w:shd w:val="clear" w:color="auto" w:fill="auto"/>
          </w:tcPr>
          <w:p w14:paraId="6E4AB397" w14:textId="77777777" w:rsidR="000659FC" w:rsidRPr="00D33D68" w:rsidRDefault="000659FC" w:rsidP="003529A5">
            <w:pPr>
              <w:spacing w:after="0" w:line="240" w:lineRule="auto"/>
              <w:jc w:val="right"/>
              <w:rPr>
                <w:rFonts w:eastAsia="Times New Roman"/>
                <w:noProof w:val="0"/>
                <w:lang w:val="it-IT"/>
              </w:rPr>
            </w:pPr>
            <w:r w:rsidRPr="00D33D68">
              <w:rPr>
                <w:rFonts w:eastAsia="Times New Roman"/>
                <w:lang w:val="it-IT"/>
              </w:rPr>
              <w:t>0.00</w:t>
            </w:r>
          </w:p>
        </w:tc>
        <w:tc>
          <w:tcPr>
            <w:tcW w:w="0" w:type="auto"/>
            <w:shd w:val="clear" w:color="auto" w:fill="auto"/>
          </w:tcPr>
          <w:p w14:paraId="42D8A6C9" w14:textId="77777777" w:rsidR="000659FC" w:rsidRPr="00D33D68" w:rsidRDefault="000659FC" w:rsidP="003529A5">
            <w:pPr>
              <w:spacing w:after="0" w:line="240" w:lineRule="auto"/>
              <w:jc w:val="right"/>
              <w:rPr>
                <w:rFonts w:eastAsia="Times New Roman"/>
                <w:noProof w:val="0"/>
                <w:lang w:val="it-IT"/>
              </w:rPr>
            </w:pPr>
            <w:r w:rsidRPr="00D33D68">
              <w:rPr>
                <w:rFonts w:eastAsia="Times New Roman"/>
                <w:lang w:val="it-IT"/>
              </w:rPr>
              <w:t>0.00</w:t>
            </w:r>
          </w:p>
        </w:tc>
      </w:tr>
      <w:tr w:rsidR="00D33D68" w:rsidRPr="00D33D68" w14:paraId="2303CC39" w14:textId="77777777" w:rsidTr="003529A5">
        <w:tc>
          <w:tcPr>
            <w:tcW w:w="0" w:type="auto"/>
            <w:shd w:val="clear" w:color="auto" w:fill="auto"/>
          </w:tcPr>
          <w:p w14:paraId="218D4B41" w14:textId="77777777" w:rsidR="000659FC" w:rsidRPr="00D33D68" w:rsidRDefault="000659FC" w:rsidP="003529A5">
            <w:pPr>
              <w:spacing w:after="0" w:line="240" w:lineRule="auto"/>
              <w:jc w:val="center"/>
              <w:rPr>
                <w:rFonts w:eastAsia="Times New Roman"/>
                <w:noProof w:val="0"/>
                <w:lang w:val="it-IT"/>
              </w:rPr>
            </w:pPr>
            <w:r w:rsidRPr="00D33D68">
              <w:rPr>
                <w:rFonts w:eastAsia="Times New Roman"/>
                <w:noProof w:val="0"/>
                <w:lang w:val="it-IT"/>
              </w:rPr>
              <w:t>2015</w:t>
            </w:r>
          </w:p>
        </w:tc>
        <w:tc>
          <w:tcPr>
            <w:tcW w:w="0" w:type="auto"/>
            <w:shd w:val="clear" w:color="auto" w:fill="auto"/>
          </w:tcPr>
          <w:p w14:paraId="448CBC3A" w14:textId="77777777" w:rsidR="000659FC" w:rsidRPr="00D33D68" w:rsidRDefault="000659FC" w:rsidP="003529A5">
            <w:pPr>
              <w:spacing w:after="0" w:line="240" w:lineRule="auto"/>
              <w:jc w:val="right"/>
              <w:rPr>
                <w:rFonts w:eastAsia="Times New Roman"/>
                <w:noProof w:val="0"/>
                <w:lang w:val="it-IT"/>
              </w:rPr>
            </w:pPr>
            <w:r w:rsidRPr="00D33D68">
              <w:rPr>
                <w:rFonts w:eastAsia="Times New Roman"/>
                <w:lang w:val="it-IT"/>
              </w:rPr>
              <w:t>15,596,085.00</w:t>
            </w:r>
          </w:p>
        </w:tc>
        <w:tc>
          <w:tcPr>
            <w:tcW w:w="0" w:type="auto"/>
            <w:shd w:val="clear" w:color="auto" w:fill="auto"/>
          </w:tcPr>
          <w:p w14:paraId="661DDF13" w14:textId="77777777" w:rsidR="000659FC" w:rsidRPr="00D33D68" w:rsidRDefault="000659FC" w:rsidP="003529A5">
            <w:pPr>
              <w:spacing w:after="0" w:line="240" w:lineRule="auto"/>
              <w:jc w:val="right"/>
              <w:rPr>
                <w:rFonts w:eastAsia="Times New Roman"/>
                <w:noProof w:val="0"/>
                <w:lang w:val="it-IT"/>
              </w:rPr>
            </w:pPr>
            <w:r w:rsidRPr="00D33D68">
              <w:rPr>
                <w:rFonts w:eastAsia="Times New Roman"/>
                <w:lang w:val="it-IT"/>
              </w:rPr>
              <w:t>1,457,807.00</w:t>
            </w:r>
          </w:p>
        </w:tc>
      </w:tr>
      <w:tr w:rsidR="00D33D68" w:rsidRPr="00D33D68" w14:paraId="5FB78383" w14:textId="77777777" w:rsidTr="003529A5">
        <w:tc>
          <w:tcPr>
            <w:tcW w:w="0" w:type="auto"/>
            <w:shd w:val="clear" w:color="auto" w:fill="auto"/>
          </w:tcPr>
          <w:p w14:paraId="63BE64E5" w14:textId="77777777" w:rsidR="000659FC" w:rsidRPr="00D33D68" w:rsidRDefault="000659FC" w:rsidP="003529A5">
            <w:pPr>
              <w:spacing w:after="0" w:line="240" w:lineRule="auto"/>
              <w:jc w:val="center"/>
              <w:rPr>
                <w:rFonts w:eastAsia="Times New Roman"/>
                <w:noProof w:val="0"/>
                <w:lang w:val="it-IT"/>
              </w:rPr>
            </w:pPr>
            <w:r w:rsidRPr="00D33D68">
              <w:rPr>
                <w:rFonts w:eastAsia="Times New Roman"/>
                <w:noProof w:val="0"/>
                <w:lang w:val="it-IT"/>
              </w:rPr>
              <w:t>2016</w:t>
            </w:r>
          </w:p>
        </w:tc>
        <w:tc>
          <w:tcPr>
            <w:tcW w:w="0" w:type="auto"/>
            <w:shd w:val="clear" w:color="auto" w:fill="auto"/>
          </w:tcPr>
          <w:p w14:paraId="1A319C41" w14:textId="77777777" w:rsidR="000659FC" w:rsidRPr="00D33D68" w:rsidRDefault="000659FC" w:rsidP="003529A5">
            <w:pPr>
              <w:spacing w:after="0" w:line="240" w:lineRule="auto"/>
              <w:jc w:val="right"/>
              <w:rPr>
                <w:rFonts w:eastAsia="Times New Roman"/>
                <w:noProof w:val="0"/>
                <w:lang w:val="it-IT"/>
              </w:rPr>
            </w:pPr>
            <w:r w:rsidRPr="00D33D68">
              <w:rPr>
                <w:rFonts w:eastAsia="Times New Roman"/>
                <w:lang w:val="it-IT"/>
              </w:rPr>
              <w:t>11,597,018.00</w:t>
            </w:r>
          </w:p>
        </w:tc>
        <w:tc>
          <w:tcPr>
            <w:tcW w:w="0" w:type="auto"/>
            <w:shd w:val="clear" w:color="auto" w:fill="auto"/>
          </w:tcPr>
          <w:p w14:paraId="7C443523" w14:textId="77777777" w:rsidR="000659FC" w:rsidRPr="00D33D68" w:rsidRDefault="000659FC" w:rsidP="003529A5">
            <w:pPr>
              <w:spacing w:after="0" w:line="240" w:lineRule="auto"/>
              <w:jc w:val="right"/>
              <w:rPr>
                <w:rFonts w:eastAsia="Times New Roman"/>
                <w:noProof w:val="0"/>
                <w:lang w:val="it-IT"/>
              </w:rPr>
            </w:pPr>
            <w:r w:rsidRPr="00D33D68">
              <w:rPr>
                <w:rFonts w:eastAsia="Times New Roman"/>
                <w:lang w:val="it-IT"/>
              </w:rPr>
              <w:t>740,235.00</w:t>
            </w:r>
          </w:p>
        </w:tc>
      </w:tr>
      <w:tr w:rsidR="00D33D68" w:rsidRPr="00D33D68" w14:paraId="55EFFC78" w14:textId="77777777" w:rsidTr="003529A5">
        <w:tc>
          <w:tcPr>
            <w:tcW w:w="0" w:type="auto"/>
            <w:shd w:val="clear" w:color="auto" w:fill="auto"/>
          </w:tcPr>
          <w:p w14:paraId="1E3D25EA" w14:textId="77777777" w:rsidR="000659FC" w:rsidRPr="00D33D68" w:rsidRDefault="000659FC" w:rsidP="003529A5">
            <w:pPr>
              <w:spacing w:after="0" w:line="240" w:lineRule="auto"/>
              <w:jc w:val="center"/>
              <w:rPr>
                <w:rFonts w:eastAsia="Times New Roman"/>
                <w:noProof w:val="0"/>
                <w:lang w:val="it-IT"/>
              </w:rPr>
            </w:pPr>
            <w:r w:rsidRPr="00D33D68">
              <w:rPr>
                <w:rFonts w:eastAsia="Times New Roman"/>
                <w:noProof w:val="0"/>
                <w:lang w:val="it-IT"/>
              </w:rPr>
              <w:t>2017</w:t>
            </w:r>
          </w:p>
        </w:tc>
        <w:tc>
          <w:tcPr>
            <w:tcW w:w="0" w:type="auto"/>
            <w:shd w:val="clear" w:color="auto" w:fill="auto"/>
          </w:tcPr>
          <w:p w14:paraId="2AE43602" w14:textId="77777777" w:rsidR="000659FC" w:rsidRPr="00D33D68" w:rsidRDefault="000659FC" w:rsidP="003529A5">
            <w:pPr>
              <w:spacing w:after="0" w:line="240" w:lineRule="auto"/>
              <w:jc w:val="right"/>
              <w:rPr>
                <w:rFonts w:eastAsia="Times New Roman"/>
                <w:noProof w:val="0"/>
                <w:lang w:val="it-IT"/>
              </w:rPr>
            </w:pPr>
            <w:r w:rsidRPr="00D33D68">
              <w:rPr>
                <w:rFonts w:eastAsia="Times New Roman"/>
                <w:lang w:val="it-IT"/>
              </w:rPr>
              <w:t>8,784,981.00</w:t>
            </w:r>
          </w:p>
        </w:tc>
        <w:tc>
          <w:tcPr>
            <w:tcW w:w="0" w:type="auto"/>
            <w:shd w:val="clear" w:color="auto" w:fill="auto"/>
          </w:tcPr>
          <w:p w14:paraId="0FF8C6D1" w14:textId="77777777" w:rsidR="000659FC" w:rsidRPr="00D33D68" w:rsidRDefault="000659FC" w:rsidP="003529A5">
            <w:pPr>
              <w:spacing w:after="0" w:line="240" w:lineRule="auto"/>
              <w:jc w:val="right"/>
              <w:rPr>
                <w:rFonts w:eastAsia="Times New Roman"/>
                <w:noProof w:val="0"/>
                <w:lang w:val="it-IT"/>
              </w:rPr>
            </w:pPr>
            <w:r w:rsidRPr="00D33D68">
              <w:rPr>
                <w:rFonts w:eastAsia="Times New Roman"/>
                <w:lang w:val="it-IT"/>
              </w:rPr>
              <w:t>752,233.00</w:t>
            </w:r>
          </w:p>
        </w:tc>
      </w:tr>
      <w:tr w:rsidR="00D33D68" w:rsidRPr="00D33D68" w14:paraId="3E94022E" w14:textId="77777777" w:rsidTr="003529A5">
        <w:tc>
          <w:tcPr>
            <w:tcW w:w="0" w:type="auto"/>
            <w:shd w:val="clear" w:color="auto" w:fill="auto"/>
          </w:tcPr>
          <w:p w14:paraId="72B55870" w14:textId="77777777" w:rsidR="000659FC" w:rsidRPr="00D33D68" w:rsidRDefault="000659FC" w:rsidP="003529A5">
            <w:pPr>
              <w:spacing w:after="0" w:line="240" w:lineRule="auto"/>
              <w:jc w:val="center"/>
              <w:rPr>
                <w:rFonts w:eastAsia="Times New Roman"/>
                <w:noProof w:val="0"/>
                <w:lang w:val="it-IT"/>
              </w:rPr>
            </w:pPr>
            <w:r w:rsidRPr="00D33D68">
              <w:rPr>
                <w:rFonts w:eastAsia="Times New Roman"/>
                <w:noProof w:val="0"/>
                <w:lang w:val="it-IT"/>
              </w:rPr>
              <w:t>2018</w:t>
            </w:r>
          </w:p>
        </w:tc>
        <w:tc>
          <w:tcPr>
            <w:tcW w:w="0" w:type="auto"/>
            <w:shd w:val="clear" w:color="auto" w:fill="auto"/>
          </w:tcPr>
          <w:p w14:paraId="320EC084" w14:textId="77777777" w:rsidR="000659FC" w:rsidRPr="00D33D68" w:rsidRDefault="000659FC" w:rsidP="003529A5">
            <w:pPr>
              <w:spacing w:after="0" w:line="240" w:lineRule="auto"/>
              <w:jc w:val="right"/>
              <w:rPr>
                <w:rFonts w:eastAsia="Times New Roman"/>
                <w:noProof w:val="0"/>
                <w:lang w:val="it-IT"/>
              </w:rPr>
            </w:pPr>
            <w:r w:rsidRPr="00D33D68">
              <w:rPr>
                <w:rFonts w:eastAsia="Times New Roman"/>
                <w:lang w:val="it-IT"/>
              </w:rPr>
              <w:t>13,059,205.00</w:t>
            </w:r>
          </w:p>
        </w:tc>
        <w:tc>
          <w:tcPr>
            <w:tcW w:w="0" w:type="auto"/>
            <w:shd w:val="clear" w:color="auto" w:fill="auto"/>
          </w:tcPr>
          <w:p w14:paraId="7AFC5D4B" w14:textId="77777777" w:rsidR="000659FC" w:rsidRPr="00D33D68" w:rsidRDefault="000659FC" w:rsidP="003529A5">
            <w:pPr>
              <w:spacing w:after="0" w:line="240" w:lineRule="auto"/>
              <w:jc w:val="right"/>
              <w:rPr>
                <w:rFonts w:eastAsia="Times New Roman"/>
                <w:noProof w:val="0"/>
                <w:lang w:val="it-IT"/>
              </w:rPr>
            </w:pPr>
            <w:r w:rsidRPr="00D33D68">
              <w:rPr>
                <w:rFonts w:eastAsia="Times New Roman"/>
                <w:lang w:val="it-IT"/>
              </w:rPr>
              <w:t>769,737.00</w:t>
            </w:r>
          </w:p>
        </w:tc>
      </w:tr>
      <w:tr w:rsidR="00D33D68" w:rsidRPr="00D33D68" w14:paraId="226E83F6" w14:textId="77777777" w:rsidTr="003529A5">
        <w:tc>
          <w:tcPr>
            <w:tcW w:w="0" w:type="auto"/>
            <w:shd w:val="clear" w:color="auto" w:fill="auto"/>
          </w:tcPr>
          <w:p w14:paraId="4F2462F8" w14:textId="77777777" w:rsidR="000659FC" w:rsidRPr="00D33D68" w:rsidRDefault="000659FC" w:rsidP="003529A5">
            <w:pPr>
              <w:spacing w:after="0" w:line="240" w:lineRule="auto"/>
              <w:jc w:val="center"/>
              <w:rPr>
                <w:rFonts w:eastAsia="Times New Roman"/>
                <w:noProof w:val="0"/>
                <w:lang w:val="it-IT"/>
              </w:rPr>
            </w:pPr>
            <w:r w:rsidRPr="00D33D68">
              <w:rPr>
                <w:rFonts w:eastAsia="Times New Roman"/>
                <w:noProof w:val="0"/>
                <w:lang w:val="it-IT"/>
              </w:rPr>
              <w:t>2019</w:t>
            </w:r>
          </w:p>
        </w:tc>
        <w:tc>
          <w:tcPr>
            <w:tcW w:w="0" w:type="auto"/>
            <w:shd w:val="clear" w:color="auto" w:fill="auto"/>
          </w:tcPr>
          <w:p w14:paraId="41F5B024" w14:textId="77777777" w:rsidR="000659FC" w:rsidRPr="00D33D68" w:rsidRDefault="000659FC" w:rsidP="003529A5">
            <w:pPr>
              <w:spacing w:after="0" w:line="240" w:lineRule="auto"/>
              <w:jc w:val="right"/>
              <w:rPr>
                <w:rFonts w:eastAsia="Times New Roman"/>
                <w:noProof w:val="0"/>
                <w:lang w:val="it-IT"/>
              </w:rPr>
            </w:pPr>
            <w:r w:rsidRPr="00D33D68">
              <w:rPr>
                <w:rFonts w:eastAsia="Times New Roman"/>
                <w:lang w:val="it-IT"/>
              </w:rPr>
              <w:t>13,141,663.00</w:t>
            </w:r>
          </w:p>
        </w:tc>
        <w:tc>
          <w:tcPr>
            <w:tcW w:w="0" w:type="auto"/>
            <w:shd w:val="clear" w:color="auto" w:fill="auto"/>
          </w:tcPr>
          <w:p w14:paraId="09732C13" w14:textId="77777777" w:rsidR="000659FC" w:rsidRPr="00D33D68" w:rsidRDefault="000659FC" w:rsidP="003529A5">
            <w:pPr>
              <w:spacing w:after="0" w:line="240" w:lineRule="auto"/>
              <w:jc w:val="right"/>
              <w:rPr>
                <w:rFonts w:eastAsia="Times New Roman"/>
                <w:noProof w:val="0"/>
                <w:lang w:val="it-IT"/>
              </w:rPr>
            </w:pPr>
            <w:r w:rsidRPr="00D33D68">
              <w:rPr>
                <w:rFonts w:eastAsia="Times New Roman"/>
                <w:lang w:val="it-IT"/>
              </w:rPr>
              <w:t>775,000.00</w:t>
            </w:r>
          </w:p>
        </w:tc>
      </w:tr>
      <w:tr w:rsidR="00D33D68" w:rsidRPr="00D33D68" w14:paraId="02FF0A1F" w14:textId="77777777" w:rsidTr="003529A5">
        <w:tc>
          <w:tcPr>
            <w:tcW w:w="0" w:type="auto"/>
            <w:shd w:val="clear" w:color="auto" w:fill="auto"/>
          </w:tcPr>
          <w:p w14:paraId="04C92A8B" w14:textId="77777777" w:rsidR="000659FC" w:rsidRPr="00D33D68" w:rsidRDefault="000659FC" w:rsidP="003529A5">
            <w:pPr>
              <w:spacing w:after="0" w:line="240" w:lineRule="auto"/>
              <w:jc w:val="center"/>
              <w:rPr>
                <w:rFonts w:eastAsia="Times New Roman"/>
                <w:noProof w:val="0"/>
                <w:lang w:val="it-IT"/>
              </w:rPr>
            </w:pPr>
            <w:r w:rsidRPr="00D33D68">
              <w:rPr>
                <w:rFonts w:eastAsia="Times New Roman"/>
                <w:noProof w:val="0"/>
                <w:lang w:val="it-IT"/>
              </w:rPr>
              <w:t>2020</w:t>
            </w:r>
          </w:p>
        </w:tc>
        <w:tc>
          <w:tcPr>
            <w:tcW w:w="0" w:type="auto"/>
            <w:shd w:val="clear" w:color="auto" w:fill="auto"/>
          </w:tcPr>
          <w:p w14:paraId="3471D67C" w14:textId="77777777" w:rsidR="000659FC" w:rsidRPr="00D33D68" w:rsidRDefault="000659FC" w:rsidP="003529A5">
            <w:pPr>
              <w:spacing w:after="0" w:line="240" w:lineRule="auto"/>
              <w:jc w:val="right"/>
              <w:rPr>
                <w:rFonts w:eastAsia="Times New Roman"/>
                <w:noProof w:val="0"/>
                <w:lang w:val="it-IT"/>
              </w:rPr>
            </w:pPr>
            <w:r w:rsidRPr="00D33D68">
              <w:rPr>
                <w:rFonts w:eastAsia="Times New Roman"/>
                <w:lang w:val="it-IT"/>
              </w:rPr>
              <w:t>13,360,777.00</w:t>
            </w:r>
          </w:p>
        </w:tc>
        <w:tc>
          <w:tcPr>
            <w:tcW w:w="0" w:type="auto"/>
            <w:shd w:val="clear" w:color="auto" w:fill="auto"/>
          </w:tcPr>
          <w:p w14:paraId="0E3E3189" w14:textId="77777777" w:rsidR="000659FC" w:rsidRPr="00D33D68" w:rsidRDefault="000659FC" w:rsidP="003529A5">
            <w:pPr>
              <w:spacing w:after="0" w:line="240" w:lineRule="auto"/>
              <w:jc w:val="right"/>
              <w:rPr>
                <w:rFonts w:eastAsia="Times New Roman"/>
                <w:noProof w:val="0"/>
                <w:lang w:val="it-IT"/>
              </w:rPr>
            </w:pPr>
            <w:r w:rsidRPr="00D33D68">
              <w:rPr>
                <w:rFonts w:eastAsia="Times New Roman"/>
                <w:lang w:val="it-IT"/>
              </w:rPr>
              <w:t>788,986.00</w:t>
            </w:r>
          </w:p>
        </w:tc>
      </w:tr>
      <w:tr w:rsidR="000659FC" w:rsidRPr="00D33D68" w14:paraId="676287AD" w14:textId="77777777" w:rsidTr="003529A5">
        <w:tc>
          <w:tcPr>
            <w:tcW w:w="0" w:type="auto"/>
            <w:shd w:val="clear" w:color="auto" w:fill="auto"/>
          </w:tcPr>
          <w:p w14:paraId="0D340754" w14:textId="77777777" w:rsidR="000659FC" w:rsidRPr="00D33D68" w:rsidRDefault="000659FC" w:rsidP="003529A5">
            <w:pPr>
              <w:spacing w:after="0" w:line="240" w:lineRule="auto"/>
              <w:jc w:val="center"/>
              <w:rPr>
                <w:rFonts w:eastAsia="Times New Roman"/>
                <w:b/>
                <w:noProof w:val="0"/>
                <w:lang w:val="it-IT"/>
              </w:rPr>
            </w:pPr>
            <w:r w:rsidRPr="00D33D68">
              <w:rPr>
                <w:rFonts w:eastAsia="Times New Roman"/>
                <w:b/>
                <w:lang w:val="it-IT"/>
              </w:rPr>
              <w:lastRenderedPageBreak/>
              <w:t>Total</w:t>
            </w:r>
          </w:p>
        </w:tc>
        <w:tc>
          <w:tcPr>
            <w:tcW w:w="0" w:type="auto"/>
            <w:shd w:val="clear" w:color="auto" w:fill="auto"/>
          </w:tcPr>
          <w:p w14:paraId="2009E09C" w14:textId="77777777" w:rsidR="000659FC" w:rsidRPr="00D33D68" w:rsidRDefault="000659FC" w:rsidP="003529A5">
            <w:pPr>
              <w:spacing w:after="0" w:line="240" w:lineRule="auto"/>
              <w:jc w:val="right"/>
              <w:rPr>
                <w:rFonts w:eastAsia="Times New Roman"/>
                <w:b/>
                <w:noProof w:val="0"/>
                <w:lang w:val="it-IT"/>
              </w:rPr>
            </w:pPr>
            <w:r w:rsidRPr="00D33D68">
              <w:rPr>
                <w:rFonts w:eastAsia="Times New Roman"/>
                <w:b/>
                <w:lang w:val="it-IT"/>
              </w:rPr>
              <w:t>75,539,729.00</w:t>
            </w:r>
          </w:p>
        </w:tc>
        <w:tc>
          <w:tcPr>
            <w:tcW w:w="0" w:type="auto"/>
            <w:shd w:val="clear" w:color="auto" w:fill="auto"/>
          </w:tcPr>
          <w:p w14:paraId="35FA88E5" w14:textId="77777777" w:rsidR="000659FC" w:rsidRPr="00D33D68" w:rsidRDefault="000659FC" w:rsidP="003529A5">
            <w:pPr>
              <w:spacing w:after="0" w:line="240" w:lineRule="auto"/>
              <w:jc w:val="right"/>
              <w:rPr>
                <w:rFonts w:eastAsia="Times New Roman"/>
                <w:b/>
                <w:noProof w:val="0"/>
                <w:lang w:val="it-IT"/>
              </w:rPr>
            </w:pPr>
            <w:r w:rsidRPr="00D33D68">
              <w:rPr>
                <w:rFonts w:eastAsia="Times New Roman"/>
                <w:b/>
                <w:lang w:val="it-IT"/>
              </w:rPr>
              <w:t>5,283,998.00</w:t>
            </w:r>
          </w:p>
        </w:tc>
      </w:tr>
    </w:tbl>
    <w:p w14:paraId="49FBEF22" w14:textId="77777777" w:rsidR="000659FC" w:rsidRPr="00D33D68" w:rsidRDefault="000659FC" w:rsidP="000659FC"/>
    <w:p w14:paraId="4B26DA54" w14:textId="7EBD5DDE" w:rsidR="00023F53" w:rsidRPr="00D33D68" w:rsidRDefault="00023F53" w:rsidP="00884142">
      <w:pPr>
        <w:pStyle w:val="Heading2"/>
        <w:rPr>
          <w:rFonts w:ascii="Times New Roman" w:hAnsi="Times New Roman" w:cs="Times New Roman"/>
        </w:rPr>
      </w:pPr>
      <w:r w:rsidRPr="00D33D68">
        <w:rPr>
          <w:rFonts w:ascii="Times New Roman" w:hAnsi="Times New Roman" w:cs="Times New Roman"/>
        </w:rPr>
        <w:t xml:space="preserve">Промяна в секция 8.2 „Участие на ЕФМДР и процент на съфинансиране за приоритетите на Съюза, техническата помощ и друга подкрепа (в евро)“ </w:t>
      </w:r>
    </w:p>
    <w:p w14:paraId="2C929D43" w14:textId="77777777" w:rsidR="00023F53" w:rsidRPr="00D33D68" w:rsidRDefault="00023F53" w:rsidP="00023F53"/>
    <w:tbl>
      <w:tblPr>
        <w:tblW w:w="51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9"/>
        <w:gridCol w:w="2431"/>
        <w:gridCol w:w="1351"/>
        <w:gridCol w:w="1348"/>
        <w:gridCol w:w="1172"/>
        <w:gridCol w:w="1528"/>
        <w:gridCol w:w="1531"/>
        <w:gridCol w:w="1169"/>
        <w:gridCol w:w="1174"/>
        <w:gridCol w:w="1195"/>
      </w:tblGrid>
      <w:tr w:rsidR="00D33D68" w:rsidRPr="00D33D68" w14:paraId="3B4F8370" w14:textId="77777777" w:rsidTr="00834D0E">
        <w:tc>
          <w:tcPr>
            <w:tcW w:w="618" w:type="pct"/>
            <w:tcBorders>
              <w:top w:val="nil"/>
              <w:left w:val="nil"/>
              <w:right w:val="nil"/>
            </w:tcBorders>
            <w:shd w:val="clear" w:color="auto" w:fill="auto"/>
          </w:tcPr>
          <w:p w14:paraId="35AF93E6" w14:textId="77777777" w:rsidR="00E56BA0" w:rsidRPr="00D33D68" w:rsidRDefault="00E56BA0" w:rsidP="00023F53">
            <w:pPr>
              <w:spacing w:after="0" w:line="240" w:lineRule="auto"/>
              <w:rPr>
                <w:rFonts w:eastAsia="Times New Roman"/>
                <w:b/>
                <w:noProof w:val="0"/>
                <w:sz w:val="22"/>
              </w:rPr>
            </w:pPr>
          </w:p>
        </w:tc>
        <w:tc>
          <w:tcPr>
            <w:tcW w:w="826" w:type="pct"/>
            <w:tcBorders>
              <w:top w:val="nil"/>
              <w:left w:val="nil"/>
            </w:tcBorders>
            <w:shd w:val="clear" w:color="auto" w:fill="auto"/>
          </w:tcPr>
          <w:p w14:paraId="2BC9B10D" w14:textId="77777777" w:rsidR="00E56BA0" w:rsidRPr="00D33D68" w:rsidRDefault="00E56BA0" w:rsidP="00023F53">
            <w:pPr>
              <w:spacing w:after="0" w:line="240" w:lineRule="auto"/>
              <w:rPr>
                <w:rFonts w:eastAsia="Times New Roman"/>
                <w:b/>
                <w:noProof w:val="0"/>
                <w:sz w:val="22"/>
              </w:rPr>
            </w:pPr>
          </w:p>
        </w:tc>
        <w:tc>
          <w:tcPr>
            <w:tcW w:w="1315" w:type="pct"/>
            <w:gridSpan w:val="3"/>
            <w:shd w:val="clear" w:color="auto" w:fill="auto"/>
          </w:tcPr>
          <w:p w14:paraId="739A1909" w14:textId="2C753D5C" w:rsidR="00E56BA0" w:rsidRPr="00D33D68" w:rsidRDefault="00E56BA0" w:rsidP="00023F53">
            <w:pPr>
              <w:spacing w:after="0" w:line="240" w:lineRule="auto"/>
              <w:jc w:val="center"/>
              <w:rPr>
                <w:rFonts w:eastAsia="Times New Roman"/>
                <w:b/>
                <w:noProof w:val="0"/>
                <w:sz w:val="22"/>
              </w:rPr>
            </w:pPr>
            <w:r w:rsidRPr="00D33D68">
              <w:t>Total support</w:t>
            </w:r>
          </w:p>
        </w:tc>
        <w:tc>
          <w:tcPr>
            <w:tcW w:w="1039" w:type="pct"/>
            <w:gridSpan w:val="2"/>
            <w:shd w:val="clear" w:color="auto" w:fill="auto"/>
          </w:tcPr>
          <w:p w14:paraId="79BF5BE3" w14:textId="5C96CB5A" w:rsidR="00E56BA0" w:rsidRPr="00D33D68" w:rsidRDefault="00E56BA0" w:rsidP="00023F53">
            <w:pPr>
              <w:spacing w:after="0" w:line="240" w:lineRule="auto"/>
              <w:jc w:val="center"/>
              <w:rPr>
                <w:rFonts w:eastAsia="Times New Roman"/>
                <w:b/>
                <w:noProof w:val="0"/>
                <w:sz w:val="22"/>
              </w:rPr>
            </w:pPr>
            <w:r w:rsidRPr="00D33D68">
              <w:t>Main allocation (total funding less performance reserve)</w:t>
            </w:r>
          </w:p>
        </w:tc>
        <w:tc>
          <w:tcPr>
            <w:tcW w:w="796" w:type="pct"/>
            <w:gridSpan w:val="2"/>
            <w:shd w:val="clear" w:color="auto" w:fill="auto"/>
          </w:tcPr>
          <w:p w14:paraId="3D3509C7" w14:textId="5B613069" w:rsidR="00E56BA0" w:rsidRPr="00D33D68" w:rsidRDefault="00E56BA0" w:rsidP="00023F53">
            <w:pPr>
              <w:spacing w:after="0" w:line="240" w:lineRule="auto"/>
              <w:jc w:val="center"/>
              <w:rPr>
                <w:rFonts w:eastAsia="Times New Roman"/>
                <w:b/>
                <w:noProof w:val="0"/>
                <w:sz w:val="22"/>
              </w:rPr>
            </w:pPr>
            <w:r w:rsidRPr="00D33D68">
              <w:t>Performance reserve</w:t>
            </w:r>
          </w:p>
        </w:tc>
        <w:tc>
          <w:tcPr>
            <w:tcW w:w="406" w:type="pct"/>
            <w:vMerge w:val="restart"/>
            <w:shd w:val="clear" w:color="auto" w:fill="auto"/>
          </w:tcPr>
          <w:p w14:paraId="36C4E9F1" w14:textId="02E1812E" w:rsidR="00E56BA0" w:rsidRPr="00D33D68" w:rsidRDefault="00E56BA0" w:rsidP="00023F53">
            <w:pPr>
              <w:spacing w:after="0" w:line="240" w:lineRule="auto"/>
              <w:jc w:val="center"/>
              <w:rPr>
                <w:rFonts w:eastAsia="Times New Roman"/>
                <w:b/>
                <w:noProof w:val="0"/>
                <w:sz w:val="22"/>
              </w:rPr>
            </w:pPr>
            <w:r w:rsidRPr="00D33D68">
              <w:t>Performance reserve amount as proportion of total Union support</w:t>
            </w:r>
          </w:p>
        </w:tc>
      </w:tr>
      <w:tr w:rsidR="00D33D68" w:rsidRPr="00D33D68" w14:paraId="439963AA" w14:textId="77777777" w:rsidTr="00834D0E">
        <w:tc>
          <w:tcPr>
            <w:tcW w:w="618" w:type="pct"/>
            <w:vMerge w:val="restart"/>
            <w:shd w:val="clear" w:color="auto" w:fill="auto"/>
          </w:tcPr>
          <w:p w14:paraId="425B7B74" w14:textId="77777777" w:rsidR="00E56BA0" w:rsidRPr="00D33D68" w:rsidRDefault="00E56BA0" w:rsidP="00F13E9B">
            <w:pPr>
              <w:spacing w:after="0" w:line="240" w:lineRule="auto"/>
              <w:ind w:left="-90" w:right="-15"/>
              <w:rPr>
                <w:rFonts w:eastAsia="Times New Roman"/>
                <w:b/>
                <w:noProof w:val="0"/>
                <w:sz w:val="22"/>
              </w:rPr>
            </w:pPr>
            <w:r w:rsidRPr="00D33D68">
              <w:t>Union priority</w:t>
            </w:r>
          </w:p>
          <w:p w14:paraId="74724510" w14:textId="707E8FB1" w:rsidR="00E56BA0" w:rsidRPr="00D33D68" w:rsidRDefault="00E56BA0" w:rsidP="00F13E9B">
            <w:pPr>
              <w:spacing w:after="0" w:line="240" w:lineRule="auto"/>
              <w:ind w:left="-90" w:right="-15"/>
              <w:rPr>
                <w:rFonts w:eastAsia="Times New Roman"/>
                <w:b/>
                <w:noProof w:val="0"/>
                <w:sz w:val="22"/>
              </w:rPr>
            </w:pPr>
          </w:p>
        </w:tc>
        <w:tc>
          <w:tcPr>
            <w:tcW w:w="826" w:type="pct"/>
            <w:vMerge w:val="restart"/>
            <w:shd w:val="clear" w:color="auto" w:fill="auto"/>
          </w:tcPr>
          <w:p w14:paraId="57C3D130" w14:textId="77777777" w:rsidR="00E56BA0" w:rsidRPr="00D33D68" w:rsidRDefault="00E56BA0" w:rsidP="00023F53">
            <w:pPr>
              <w:spacing w:after="0" w:line="240" w:lineRule="auto"/>
              <w:rPr>
                <w:rFonts w:eastAsia="Times New Roman"/>
                <w:b/>
                <w:noProof w:val="0"/>
                <w:sz w:val="22"/>
              </w:rPr>
            </w:pPr>
            <w:r w:rsidRPr="00D33D68">
              <w:t>Measure under the Union Priority</w:t>
            </w:r>
          </w:p>
          <w:p w14:paraId="5ED06DCC" w14:textId="4A9BD83F" w:rsidR="00E56BA0" w:rsidRPr="00D33D68" w:rsidRDefault="00E56BA0" w:rsidP="00023F53">
            <w:pPr>
              <w:spacing w:after="0" w:line="240" w:lineRule="auto"/>
              <w:rPr>
                <w:rFonts w:eastAsia="Times New Roman"/>
                <w:b/>
                <w:noProof w:val="0"/>
                <w:sz w:val="22"/>
              </w:rPr>
            </w:pPr>
          </w:p>
        </w:tc>
        <w:tc>
          <w:tcPr>
            <w:tcW w:w="459" w:type="pct"/>
            <w:shd w:val="clear" w:color="auto" w:fill="auto"/>
          </w:tcPr>
          <w:p w14:paraId="7D111607" w14:textId="40C438F3" w:rsidR="00E56BA0" w:rsidRPr="00D33D68" w:rsidRDefault="00E56BA0" w:rsidP="00834D0E">
            <w:pPr>
              <w:spacing w:after="0" w:line="240" w:lineRule="auto"/>
              <w:ind w:left="-104" w:right="-195"/>
              <w:jc w:val="center"/>
              <w:rPr>
                <w:rFonts w:eastAsia="Times New Roman"/>
                <w:b/>
                <w:noProof w:val="0"/>
                <w:sz w:val="22"/>
              </w:rPr>
            </w:pPr>
            <w:r w:rsidRPr="00D33D68">
              <w:t>EMFF contribution (performance reserve included)</w:t>
            </w:r>
          </w:p>
        </w:tc>
        <w:tc>
          <w:tcPr>
            <w:tcW w:w="458" w:type="pct"/>
            <w:shd w:val="clear" w:color="auto" w:fill="auto"/>
          </w:tcPr>
          <w:p w14:paraId="13871277" w14:textId="4C17F554" w:rsidR="00E56BA0" w:rsidRPr="00D33D68" w:rsidRDefault="00E56BA0" w:rsidP="00834D0E">
            <w:pPr>
              <w:spacing w:after="0" w:line="240" w:lineRule="auto"/>
              <w:ind w:left="-104" w:right="-105"/>
              <w:jc w:val="center"/>
              <w:rPr>
                <w:rFonts w:eastAsia="Times New Roman"/>
                <w:b/>
                <w:noProof w:val="0"/>
                <w:sz w:val="22"/>
              </w:rPr>
            </w:pPr>
            <w:r w:rsidRPr="00D33D68">
              <w:t>National counterpart (performance reserve included)</w:t>
            </w:r>
          </w:p>
        </w:tc>
        <w:tc>
          <w:tcPr>
            <w:tcW w:w="398" w:type="pct"/>
            <w:shd w:val="clear" w:color="auto" w:fill="auto"/>
          </w:tcPr>
          <w:p w14:paraId="3FDC25E3" w14:textId="7380438A" w:rsidR="00E56BA0" w:rsidRPr="00D33D68" w:rsidRDefault="00E56BA0" w:rsidP="002D4065">
            <w:pPr>
              <w:spacing w:after="0" w:line="240" w:lineRule="auto"/>
              <w:jc w:val="center"/>
              <w:rPr>
                <w:rFonts w:eastAsia="Times New Roman"/>
                <w:b/>
                <w:noProof w:val="0"/>
                <w:sz w:val="22"/>
              </w:rPr>
            </w:pPr>
            <w:r w:rsidRPr="00D33D68">
              <w:t>EMFF co-financing rate</w:t>
            </w:r>
          </w:p>
        </w:tc>
        <w:tc>
          <w:tcPr>
            <w:tcW w:w="519" w:type="pct"/>
            <w:shd w:val="clear" w:color="auto" w:fill="auto"/>
          </w:tcPr>
          <w:p w14:paraId="7BA65A51" w14:textId="516A279D" w:rsidR="00E56BA0" w:rsidRPr="00D33D68" w:rsidRDefault="00E56BA0" w:rsidP="002D4065">
            <w:pPr>
              <w:spacing w:after="0" w:line="240" w:lineRule="auto"/>
              <w:ind w:left="-104" w:right="-105"/>
              <w:jc w:val="center"/>
              <w:rPr>
                <w:rFonts w:eastAsia="Times New Roman"/>
                <w:b/>
                <w:noProof w:val="0"/>
                <w:sz w:val="22"/>
              </w:rPr>
            </w:pPr>
            <w:r w:rsidRPr="00D33D68">
              <w:t>EMFF support</w:t>
            </w:r>
          </w:p>
        </w:tc>
        <w:tc>
          <w:tcPr>
            <w:tcW w:w="520" w:type="pct"/>
            <w:shd w:val="clear" w:color="auto" w:fill="auto"/>
          </w:tcPr>
          <w:p w14:paraId="37E3C1FF" w14:textId="77777777" w:rsidR="00E56BA0" w:rsidRPr="00D33D68" w:rsidRDefault="00E56BA0" w:rsidP="00511333">
            <w:pPr>
              <w:spacing w:after="0" w:line="240" w:lineRule="auto"/>
              <w:ind w:left="-104" w:right="-105"/>
              <w:jc w:val="center"/>
              <w:rPr>
                <w:rFonts w:eastAsia="Times New Roman"/>
                <w:b/>
                <w:noProof w:val="0"/>
                <w:sz w:val="22"/>
              </w:rPr>
            </w:pPr>
            <w:r w:rsidRPr="00D33D68">
              <w:rPr>
                <w:rFonts w:eastAsia="Times New Roman"/>
                <w:b/>
                <w:sz w:val="22"/>
              </w:rPr>
              <w:t>National counterpart</w:t>
            </w:r>
          </w:p>
        </w:tc>
        <w:tc>
          <w:tcPr>
            <w:tcW w:w="397" w:type="pct"/>
            <w:shd w:val="clear" w:color="auto" w:fill="auto"/>
          </w:tcPr>
          <w:p w14:paraId="3796351F" w14:textId="77777777" w:rsidR="00E56BA0" w:rsidRPr="00D33D68" w:rsidRDefault="00E56BA0" w:rsidP="002D4065">
            <w:pPr>
              <w:spacing w:after="0" w:line="240" w:lineRule="auto"/>
              <w:ind w:left="-104" w:right="-105"/>
              <w:jc w:val="center"/>
              <w:rPr>
                <w:rFonts w:eastAsia="Times New Roman"/>
                <w:b/>
                <w:noProof w:val="0"/>
                <w:sz w:val="22"/>
              </w:rPr>
            </w:pPr>
            <w:r w:rsidRPr="00D33D68">
              <w:rPr>
                <w:rFonts w:eastAsia="Times New Roman"/>
                <w:b/>
                <w:sz w:val="22"/>
              </w:rPr>
              <w:t>EMFF Performance reserve</w:t>
            </w:r>
          </w:p>
        </w:tc>
        <w:tc>
          <w:tcPr>
            <w:tcW w:w="399" w:type="pct"/>
            <w:shd w:val="clear" w:color="auto" w:fill="auto"/>
          </w:tcPr>
          <w:p w14:paraId="1880A5CE" w14:textId="77777777" w:rsidR="00E56BA0" w:rsidRPr="00D33D68" w:rsidRDefault="00E56BA0" w:rsidP="002D4065">
            <w:pPr>
              <w:spacing w:after="0" w:line="240" w:lineRule="auto"/>
              <w:ind w:left="-194" w:right="-195"/>
              <w:jc w:val="center"/>
              <w:rPr>
                <w:rFonts w:eastAsia="Times New Roman"/>
                <w:b/>
                <w:noProof w:val="0"/>
                <w:sz w:val="22"/>
              </w:rPr>
            </w:pPr>
            <w:r w:rsidRPr="00D33D68">
              <w:rPr>
                <w:rFonts w:eastAsia="Times New Roman"/>
                <w:b/>
                <w:sz w:val="22"/>
              </w:rPr>
              <w:t>National counterpart</w:t>
            </w:r>
          </w:p>
        </w:tc>
        <w:tc>
          <w:tcPr>
            <w:tcW w:w="406" w:type="pct"/>
            <w:vMerge/>
            <w:shd w:val="clear" w:color="auto" w:fill="auto"/>
          </w:tcPr>
          <w:p w14:paraId="1A658483" w14:textId="77777777" w:rsidR="00E56BA0" w:rsidRPr="00D33D68" w:rsidRDefault="00E56BA0" w:rsidP="00023F53">
            <w:pPr>
              <w:spacing w:after="0" w:line="240" w:lineRule="auto"/>
              <w:rPr>
                <w:rFonts w:eastAsia="Times New Roman"/>
                <w:b/>
                <w:noProof w:val="0"/>
                <w:sz w:val="22"/>
              </w:rPr>
            </w:pPr>
          </w:p>
        </w:tc>
      </w:tr>
      <w:tr w:rsidR="00D33D68" w:rsidRPr="00D33D68" w14:paraId="60B1AA37" w14:textId="77777777" w:rsidTr="00834D0E">
        <w:tc>
          <w:tcPr>
            <w:tcW w:w="618" w:type="pct"/>
            <w:vMerge/>
            <w:shd w:val="clear" w:color="auto" w:fill="auto"/>
          </w:tcPr>
          <w:p w14:paraId="6E9154EF" w14:textId="77777777" w:rsidR="00E56BA0" w:rsidRPr="00D33D68" w:rsidRDefault="00E56BA0" w:rsidP="00F13E9B">
            <w:pPr>
              <w:spacing w:after="0" w:line="240" w:lineRule="auto"/>
              <w:ind w:left="-90" w:right="-15"/>
              <w:rPr>
                <w:rFonts w:eastAsia="Times New Roman"/>
                <w:b/>
                <w:noProof w:val="0"/>
                <w:sz w:val="22"/>
              </w:rPr>
            </w:pPr>
          </w:p>
        </w:tc>
        <w:tc>
          <w:tcPr>
            <w:tcW w:w="826" w:type="pct"/>
            <w:vMerge/>
            <w:shd w:val="clear" w:color="auto" w:fill="auto"/>
          </w:tcPr>
          <w:p w14:paraId="58744F68" w14:textId="77777777" w:rsidR="00E56BA0" w:rsidRPr="00D33D68" w:rsidRDefault="00E56BA0" w:rsidP="00023F53">
            <w:pPr>
              <w:spacing w:after="0" w:line="240" w:lineRule="auto"/>
              <w:rPr>
                <w:rFonts w:eastAsia="Times New Roman"/>
                <w:b/>
                <w:noProof w:val="0"/>
                <w:sz w:val="22"/>
              </w:rPr>
            </w:pPr>
          </w:p>
        </w:tc>
        <w:tc>
          <w:tcPr>
            <w:tcW w:w="459" w:type="pct"/>
            <w:shd w:val="clear" w:color="auto" w:fill="auto"/>
          </w:tcPr>
          <w:p w14:paraId="011728EB" w14:textId="532797CF" w:rsidR="00E56BA0" w:rsidRPr="00D33D68" w:rsidRDefault="00E56BA0" w:rsidP="00834D0E">
            <w:pPr>
              <w:spacing w:after="0" w:line="240" w:lineRule="auto"/>
              <w:ind w:left="-104" w:right="-195"/>
              <w:jc w:val="center"/>
              <w:rPr>
                <w:rFonts w:eastAsia="Times New Roman"/>
                <w:b/>
                <w:noProof w:val="0"/>
                <w:sz w:val="22"/>
              </w:rPr>
            </w:pPr>
            <w:r w:rsidRPr="00D33D68">
              <w:t>a</w:t>
            </w:r>
          </w:p>
        </w:tc>
        <w:tc>
          <w:tcPr>
            <w:tcW w:w="458" w:type="pct"/>
            <w:shd w:val="clear" w:color="auto" w:fill="auto"/>
          </w:tcPr>
          <w:p w14:paraId="70897491" w14:textId="2E017CC4" w:rsidR="00E56BA0" w:rsidRPr="00D33D68" w:rsidRDefault="00E56BA0" w:rsidP="00834D0E">
            <w:pPr>
              <w:spacing w:after="0" w:line="240" w:lineRule="auto"/>
              <w:ind w:left="-104" w:right="-105"/>
              <w:jc w:val="center"/>
              <w:rPr>
                <w:rFonts w:eastAsia="Times New Roman"/>
                <w:b/>
                <w:noProof w:val="0"/>
                <w:sz w:val="22"/>
              </w:rPr>
            </w:pPr>
            <w:r w:rsidRPr="00D33D68">
              <w:t>b</w:t>
            </w:r>
          </w:p>
        </w:tc>
        <w:tc>
          <w:tcPr>
            <w:tcW w:w="398" w:type="pct"/>
            <w:shd w:val="clear" w:color="auto" w:fill="auto"/>
          </w:tcPr>
          <w:p w14:paraId="6449DD87" w14:textId="796F0A37" w:rsidR="00E56BA0" w:rsidRPr="00D33D68" w:rsidRDefault="00E56BA0" w:rsidP="002D4065">
            <w:pPr>
              <w:spacing w:after="0" w:line="240" w:lineRule="auto"/>
              <w:jc w:val="center"/>
              <w:rPr>
                <w:rFonts w:eastAsia="Times New Roman"/>
                <w:b/>
                <w:noProof w:val="0"/>
                <w:sz w:val="22"/>
              </w:rPr>
            </w:pPr>
            <w:r w:rsidRPr="00D33D68">
              <w:t>c = a / (a + b) * 100</w:t>
            </w:r>
          </w:p>
        </w:tc>
        <w:tc>
          <w:tcPr>
            <w:tcW w:w="519" w:type="pct"/>
            <w:shd w:val="clear" w:color="auto" w:fill="auto"/>
          </w:tcPr>
          <w:p w14:paraId="00C47D5B" w14:textId="63286A74" w:rsidR="00E56BA0" w:rsidRPr="00D33D68" w:rsidRDefault="00E56BA0" w:rsidP="002D4065">
            <w:pPr>
              <w:spacing w:after="0" w:line="240" w:lineRule="auto"/>
              <w:ind w:left="-104" w:right="-105"/>
              <w:jc w:val="center"/>
              <w:rPr>
                <w:rFonts w:eastAsia="Times New Roman"/>
                <w:b/>
                <w:noProof w:val="0"/>
                <w:sz w:val="22"/>
              </w:rPr>
            </w:pPr>
            <w:r w:rsidRPr="00D33D68">
              <w:t>d = a – f</w:t>
            </w:r>
          </w:p>
        </w:tc>
        <w:tc>
          <w:tcPr>
            <w:tcW w:w="520" w:type="pct"/>
            <w:shd w:val="clear" w:color="auto" w:fill="auto"/>
          </w:tcPr>
          <w:p w14:paraId="0D09C276" w14:textId="77777777" w:rsidR="00E56BA0" w:rsidRPr="00D33D68" w:rsidRDefault="00E56BA0" w:rsidP="00511333">
            <w:pPr>
              <w:spacing w:after="0" w:line="240" w:lineRule="auto"/>
              <w:ind w:left="-104" w:right="-105"/>
              <w:jc w:val="center"/>
              <w:rPr>
                <w:rFonts w:eastAsia="Times New Roman"/>
                <w:b/>
                <w:noProof w:val="0"/>
                <w:sz w:val="22"/>
              </w:rPr>
            </w:pPr>
            <w:r w:rsidRPr="00D33D68">
              <w:rPr>
                <w:rFonts w:eastAsia="Times New Roman"/>
                <w:b/>
                <w:noProof w:val="0"/>
                <w:sz w:val="22"/>
              </w:rPr>
              <w:t>e = b – g</w:t>
            </w:r>
          </w:p>
        </w:tc>
        <w:tc>
          <w:tcPr>
            <w:tcW w:w="397" w:type="pct"/>
            <w:shd w:val="clear" w:color="auto" w:fill="auto"/>
          </w:tcPr>
          <w:p w14:paraId="4A75D766" w14:textId="77777777" w:rsidR="00E56BA0" w:rsidRPr="00D33D68" w:rsidRDefault="00E56BA0" w:rsidP="002D4065">
            <w:pPr>
              <w:spacing w:after="0" w:line="240" w:lineRule="auto"/>
              <w:ind w:left="-104" w:right="-105"/>
              <w:jc w:val="center"/>
              <w:rPr>
                <w:rFonts w:eastAsia="Times New Roman"/>
                <w:b/>
                <w:noProof w:val="0"/>
                <w:sz w:val="22"/>
              </w:rPr>
            </w:pPr>
            <w:r w:rsidRPr="00D33D68">
              <w:rPr>
                <w:rFonts w:eastAsia="Times New Roman"/>
                <w:b/>
                <w:noProof w:val="0"/>
                <w:sz w:val="22"/>
              </w:rPr>
              <w:t>f</w:t>
            </w:r>
          </w:p>
        </w:tc>
        <w:tc>
          <w:tcPr>
            <w:tcW w:w="399" w:type="pct"/>
            <w:shd w:val="clear" w:color="auto" w:fill="auto"/>
          </w:tcPr>
          <w:p w14:paraId="25D541AE" w14:textId="77777777" w:rsidR="00E56BA0" w:rsidRPr="00D33D68" w:rsidRDefault="00E56BA0" w:rsidP="002D4065">
            <w:pPr>
              <w:spacing w:after="0" w:line="240" w:lineRule="auto"/>
              <w:ind w:left="-194" w:right="-195"/>
              <w:jc w:val="center"/>
              <w:rPr>
                <w:rFonts w:eastAsia="Times New Roman"/>
                <w:b/>
                <w:noProof w:val="0"/>
                <w:sz w:val="22"/>
              </w:rPr>
            </w:pPr>
            <w:r w:rsidRPr="00D33D68">
              <w:rPr>
                <w:rFonts w:eastAsia="Times New Roman"/>
                <w:b/>
                <w:noProof w:val="0"/>
                <w:sz w:val="22"/>
              </w:rPr>
              <w:t>g = b * (f / a)</w:t>
            </w:r>
          </w:p>
        </w:tc>
        <w:tc>
          <w:tcPr>
            <w:tcW w:w="406" w:type="pct"/>
            <w:shd w:val="clear" w:color="auto" w:fill="auto"/>
          </w:tcPr>
          <w:p w14:paraId="0145754D" w14:textId="77777777" w:rsidR="00E56BA0" w:rsidRPr="00D33D68" w:rsidRDefault="00E56BA0" w:rsidP="00023F53">
            <w:pPr>
              <w:spacing w:after="0" w:line="240" w:lineRule="auto"/>
              <w:jc w:val="center"/>
              <w:rPr>
                <w:rFonts w:eastAsia="Times New Roman"/>
                <w:b/>
                <w:noProof w:val="0"/>
                <w:sz w:val="22"/>
              </w:rPr>
            </w:pPr>
            <w:r w:rsidRPr="00D33D68">
              <w:rPr>
                <w:rFonts w:eastAsia="Times New Roman"/>
                <w:b/>
                <w:noProof w:val="0"/>
                <w:sz w:val="22"/>
              </w:rPr>
              <w:t>h = f / a * 100</w:t>
            </w:r>
          </w:p>
        </w:tc>
      </w:tr>
      <w:tr w:rsidR="00D33D68" w:rsidRPr="00D33D68" w14:paraId="3F34245B" w14:textId="77777777" w:rsidTr="00834D0E">
        <w:tc>
          <w:tcPr>
            <w:tcW w:w="618" w:type="pct"/>
            <w:shd w:val="clear" w:color="auto" w:fill="auto"/>
          </w:tcPr>
          <w:p w14:paraId="1ADBF65F" w14:textId="3E313B34" w:rsidR="00E56BA0" w:rsidRPr="00D33D68" w:rsidRDefault="00E56BA0" w:rsidP="00F13E9B">
            <w:pPr>
              <w:spacing w:after="0" w:line="240" w:lineRule="auto"/>
              <w:ind w:left="-90" w:right="-15"/>
              <w:rPr>
                <w:rFonts w:eastAsia="Times New Roman"/>
                <w:noProof w:val="0"/>
                <w:sz w:val="22"/>
              </w:rPr>
            </w:pPr>
            <w:r w:rsidRPr="00D33D68">
              <w:t>1 - Promoting environmentally sustainable, resource efficient, innovative, competitive and knowledge based fisheries</w:t>
            </w:r>
            <w:bookmarkStart w:id="1" w:name="bkmrkVerMer1"/>
            <w:bookmarkEnd w:id="1"/>
          </w:p>
        </w:tc>
        <w:tc>
          <w:tcPr>
            <w:tcW w:w="826" w:type="pct"/>
            <w:shd w:val="clear" w:color="auto" w:fill="auto"/>
          </w:tcPr>
          <w:p w14:paraId="03875928" w14:textId="31F4F89A" w:rsidR="00E56BA0" w:rsidRPr="00D33D68" w:rsidRDefault="00E56BA0" w:rsidP="00834D0E">
            <w:pPr>
              <w:spacing w:after="0" w:line="240" w:lineRule="auto"/>
              <w:ind w:left="-104" w:right="-15"/>
              <w:rPr>
                <w:rFonts w:eastAsia="Times New Roman"/>
                <w:noProof w:val="0"/>
                <w:sz w:val="22"/>
              </w:rPr>
            </w:pPr>
            <w:r w:rsidRPr="00D33D68">
              <w:t>1 - Article 33(1)(a),(b),(c), Article 34 and Article 41(2) (Article 13(2) of the EMFF)</w:t>
            </w:r>
          </w:p>
        </w:tc>
        <w:tc>
          <w:tcPr>
            <w:tcW w:w="459" w:type="pct"/>
            <w:shd w:val="clear" w:color="auto" w:fill="auto"/>
          </w:tcPr>
          <w:p w14:paraId="7A74014F" w14:textId="666AD47F" w:rsidR="00E56BA0" w:rsidRPr="00D33D68" w:rsidRDefault="00E56BA0" w:rsidP="00834D0E">
            <w:pPr>
              <w:spacing w:after="0" w:line="240" w:lineRule="auto"/>
              <w:ind w:left="-104" w:right="-195"/>
              <w:jc w:val="center"/>
              <w:rPr>
                <w:rFonts w:eastAsia="Times New Roman"/>
                <w:noProof w:val="0"/>
                <w:sz w:val="22"/>
              </w:rPr>
            </w:pPr>
            <w:r w:rsidRPr="00D33D68">
              <w:t>123,522.00</w:t>
            </w:r>
          </w:p>
        </w:tc>
        <w:tc>
          <w:tcPr>
            <w:tcW w:w="458" w:type="pct"/>
            <w:shd w:val="clear" w:color="auto" w:fill="auto"/>
          </w:tcPr>
          <w:p w14:paraId="4F63333A" w14:textId="2A71015E" w:rsidR="00E56BA0" w:rsidRPr="00D33D68" w:rsidRDefault="00E56BA0" w:rsidP="00834D0E">
            <w:pPr>
              <w:spacing w:after="0" w:line="240" w:lineRule="auto"/>
              <w:ind w:left="-104" w:right="-105"/>
              <w:jc w:val="center"/>
              <w:rPr>
                <w:rFonts w:eastAsia="Times New Roman"/>
                <w:noProof w:val="0"/>
                <w:sz w:val="22"/>
              </w:rPr>
            </w:pPr>
            <w:r w:rsidRPr="00D33D68">
              <w:t>123,522.00</w:t>
            </w:r>
          </w:p>
        </w:tc>
        <w:tc>
          <w:tcPr>
            <w:tcW w:w="398" w:type="pct"/>
            <w:shd w:val="clear" w:color="auto" w:fill="auto"/>
          </w:tcPr>
          <w:p w14:paraId="2BB117E8" w14:textId="6F49017B" w:rsidR="00E56BA0" w:rsidRPr="00D33D68" w:rsidRDefault="00E56BA0" w:rsidP="002D4065">
            <w:pPr>
              <w:spacing w:after="0" w:line="240" w:lineRule="auto"/>
              <w:jc w:val="center"/>
              <w:rPr>
                <w:rFonts w:eastAsia="Times New Roman"/>
                <w:noProof w:val="0"/>
                <w:sz w:val="22"/>
              </w:rPr>
            </w:pPr>
            <w:r w:rsidRPr="00D33D68">
              <w:t>50.00%</w:t>
            </w:r>
          </w:p>
        </w:tc>
        <w:tc>
          <w:tcPr>
            <w:tcW w:w="519" w:type="pct"/>
            <w:shd w:val="clear" w:color="auto" w:fill="auto"/>
          </w:tcPr>
          <w:p w14:paraId="43EEDEF8" w14:textId="23CBE2EC" w:rsidR="00E56BA0" w:rsidRPr="00D33D68" w:rsidRDefault="00E56BA0" w:rsidP="002D4065">
            <w:pPr>
              <w:spacing w:after="0" w:line="240" w:lineRule="auto"/>
              <w:ind w:left="-104" w:right="-105"/>
              <w:jc w:val="center"/>
              <w:rPr>
                <w:rFonts w:eastAsia="Times New Roman"/>
                <w:noProof w:val="0"/>
                <w:sz w:val="22"/>
              </w:rPr>
            </w:pPr>
            <w:r w:rsidRPr="00D33D68">
              <w:t>123,522.00</w:t>
            </w:r>
          </w:p>
        </w:tc>
        <w:tc>
          <w:tcPr>
            <w:tcW w:w="520" w:type="pct"/>
            <w:shd w:val="clear" w:color="auto" w:fill="auto"/>
          </w:tcPr>
          <w:p w14:paraId="3DECB912" w14:textId="77777777" w:rsidR="00E56BA0" w:rsidRPr="00D33D68" w:rsidRDefault="00E56BA0" w:rsidP="00511333">
            <w:pPr>
              <w:spacing w:after="0" w:line="240" w:lineRule="auto"/>
              <w:ind w:left="-104" w:right="-105"/>
              <w:jc w:val="center"/>
              <w:rPr>
                <w:rFonts w:eastAsia="Times New Roman"/>
                <w:noProof w:val="0"/>
                <w:sz w:val="22"/>
              </w:rPr>
            </w:pPr>
            <w:r w:rsidRPr="00D33D68">
              <w:rPr>
                <w:rFonts w:eastAsia="Times New Roman"/>
                <w:sz w:val="22"/>
              </w:rPr>
              <w:t>123,522.00</w:t>
            </w:r>
          </w:p>
        </w:tc>
        <w:tc>
          <w:tcPr>
            <w:tcW w:w="397" w:type="pct"/>
            <w:shd w:val="clear" w:color="auto" w:fill="auto"/>
          </w:tcPr>
          <w:p w14:paraId="3D84AD5F" w14:textId="77777777" w:rsidR="00E56BA0" w:rsidRPr="00D33D68" w:rsidRDefault="00E56BA0" w:rsidP="002D4065">
            <w:pPr>
              <w:spacing w:after="0" w:line="240" w:lineRule="auto"/>
              <w:ind w:left="-104" w:right="-105"/>
              <w:jc w:val="center"/>
              <w:rPr>
                <w:rFonts w:eastAsia="Times New Roman"/>
                <w:noProof w:val="0"/>
                <w:sz w:val="22"/>
              </w:rPr>
            </w:pPr>
            <w:r w:rsidRPr="00D33D68">
              <w:rPr>
                <w:rFonts w:eastAsia="Times New Roman"/>
                <w:sz w:val="22"/>
              </w:rPr>
              <w:t>0.00</w:t>
            </w:r>
          </w:p>
        </w:tc>
        <w:tc>
          <w:tcPr>
            <w:tcW w:w="399" w:type="pct"/>
            <w:shd w:val="clear" w:color="auto" w:fill="auto"/>
          </w:tcPr>
          <w:p w14:paraId="25FBFA71" w14:textId="77777777" w:rsidR="00E56BA0" w:rsidRPr="00D33D68" w:rsidRDefault="00E56BA0" w:rsidP="002D4065">
            <w:pPr>
              <w:spacing w:after="0" w:line="240" w:lineRule="auto"/>
              <w:ind w:left="-194" w:right="-195"/>
              <w:jc w:val="center"/>
              <w:rPr>
                <w:rFonts w:eastAsia="Times New Roman"/>
                <w:noProof w:val="0"/>
                <w:sz w:val="22"/>
              </w:rPr>
            </w:pPr>
            <w:r w:rsidRPr="00D33D68">
              <w:rPr>
                <w:rFonts w:eastAsia="Times New Roman"/>
                <w:sz w:val="22"/>
              </w:rPr>
              <w:t>0.00</w:t>
            </w:r>
          </w:p>
        </w:tc>
        <w:tc>
          <w:tcPr>
            <w:tcW w:w="406" w:type="pct"/>
            <w:shd w:val="clear" w:color="auto" w:fill="auto"/>
          </w:tcPr>
          <w:p w14:paraId="4EC38E3A" w14:textId="77777777" w:rsidR="00E56BA0" w:rsidRPr="00D33D68" w:rsidRDefault="00E56BA0" w:rsidP="00023F53">
            <w:pPr>
              <w:spacing w:after="0" w:line="240" w:lineRule="auto"/>
              <w:jc w:val="right"/>
              <w:rPr>
                <w:rFonts w:eastAsia="Times New Roman"/>
                <w:noProof w:val="0"/>
                <w:sz w:val="22"/>
              </w:rPr>
            </w:pPr>
            <w:r w:rsidRPr="00D33D68">
              <w:rPr>
                <w:rFonts w:eastAsia="Times New Roman"/>
                <w:sz w:val="22"/>
              </w:rPr>
              <w:t>0.00%</w:t>
            </w:r>
          </w:p>
        </w:tc>
      </w:tr>
      <w:tr w:rsidR="00D33D68" w:rsidRPr="00D33D68" w14:paraId="214D2CC7" w14:textId="77777777" w:rsidTr="00834D0E">
        <w:tc>
          <w:tcPr>
            <w:tcW w:w="618" w:type="pct"/>
            <w:shd w:val="clear" w:color="auto" w:fill="auto"/>
          </w:tcPr>
          <w:p w14:paraId="4E63965E" w14:textId="6032C36E" w:rsidR="00E56BA0" w:rsidRPr="00D33D68" w:rsidRDefault="00E56BA0" w:rsidP="00F13E9B">
            <w:pPr>
              <w:spacing w:after="0" w:line="240" w:lineRule="auto"/>
              <w:ind w:left="-90" w:right="-15"/>
              <w:rPr>
                <w:rFonts w:eastAsia="Times New Roman"/>
                <w:noProof w:val="0"/>
                <w:sz w:val="22"/>
              </w:rPr>
            </w:pPr>
            <w:r w:rsidRPr="00D33D68">
              <w:t xml:space="preserve">1 - Promoting environmentally sustainable, resource </w:t>
            </w:r>
            <w:r w:rsidRPr="00D33D68">
              <w:lastRenderedPageBreak/>
              <w:t>efficient, innovative, competitive and knowledge based fisheries</w:t>
            </w:r>
          </w:p>
        </w:tc>
        <w:tc>
          <w:tcPr>
            <w:tcW w:w="826" w:type="pct"/>
            <w:shd w:val="clear" w:color="auto" w:fill="auto"/>
          </w:tcPr>
          <w:p w14:paraId="5D8C6FC9" w14:textId="50688D71" w:rsidR="00E56BA0" w:rsidRPr="00D33D68" w:rsidRDefault="00E56BA0" w:rsidP="00834D0E">
            <w:pPr>
              <w:spacing w:after="0" w:line="240" w:lineRule="auto"/>
              <w:ind w:left="-104" w:right="-15"/>
              <w:rPr>
                <w:rFonts w:eastAsia="Times New Roman"/>
                <w:noProof w:val="0"/>
                <w:sz w:val="22"/>
              </w:rPr>
            </w:pPr>
            <w:r w:rsidRPr="00D33D68">
              <w:lastRenderedPageBreak/>
              <w:t>1b - Article 33(1)(d) and Article 44(4a)</w:t>
            </w:r>
          </w:p>
        </w:tc>
        <w:tc>
          <w:tcPr>
            <w:tcW w:w="459" w:type="pct"/>
            <w:shd w:val="clear" w:color="auto" w:fill="auto"/>
          </w:tcPr>
          <w:p w14:paraId="6FA9517A" w14:textId="68951A55" w:rsidR="00E56BA0" w:rsidRPr="00D33D68" w:rsidRDefault="00E56BA0" w:rsidP="00834D0E">
            <w:pPr>
              <w:spacing w:after="0" w:line="240" w:lineRule="auto"/>
              <w:ind w:left="-104" w:right="-195"/>
              <w:jc w:val="center"/>
              <w:rPr>
                <w:rFonts w:eastAsia="Times New Roman"/>
                <w:noProof w:val="0"/>
                <w:sz w:val="22"/>
              </w:rPr>
            </w:pPr>
            <w:r w:rsidRPr="00D33D68">
              <w:t>1,527,635.00</w:t>
            </w:r>
          </w:p>
        </w:tc>
        <w:tc>
          <w:tcPr>
            <w:tcW w:w="458" w:type="pct"/>
            <w:shd w:val="clear" w:color="auto" w:fill="auto"/>
          </w:tcPr>
          <w:p w14:paraId="4DA79EE5" w14:textId="578DE5EB" w:rsidR="00E56BA0" w:rsidRPr="00D33D68" w:rsidRDefault="00E56BA0" w:rsidP="00834D0E">
            <w:pPr>
              <w:spacing w:after="0" w:line="240" w:lineRule="auto"/>
              <w:ind w:left="-104" w:right="-105"/>
              <w:jc w:val="center"/>
              <w:rPr>
                <w:rFonts w:eastAsia="Times New Roman"/>
                <w:noProof w:val="0"/>
                <w:sz w:val="22"/>
              </w:rPr>
            </w:pPr>
            <w:r w:rsidRPr="00D33D68">
              <w:t>557,495.00</w:t>
            </w:r>
          </w:p>
        </w:tc>
        <w:tc>
          <w:tcPr>
            <w:tcW w:w="398" w:type="pct"/>
            <w:shd w:val="clear" w:color="auto" w:fill="auto"/>
          </w:tcPr>
          <w:p w14:paraId="32878E7C" w14:textId="7C792188" w:rsidR="00E56BA0" w:rsidRPr="00D33D68" w:rsidRDefault="00E56BA0" w:rsidP="002D4065">
            <w:pPr>
              <w:spacing w:after="0" w:line="240" w:lineRule="auto"/>
              <w:jc w:val="center"/>
              <w:rPr>
                <w:rFonts w:eastAsia="Times New Roman"/>
                <w:noProof w:val="0"/>
                <w:sz w:val="22"/>
              </w:rPr>
            </w:pPr>
            <w:r w:rsidRPr="00D33D68">
              <w:t>73.26%</w:t>
            </w:r>
          </w:p>
        </w:tc>
        <w:tc>
          <w:tcPr>
            <w:tcW w:w="519" w:type="pct"/>
            <w:shd w:val="clear" w:color="auto" w:fill="auto"/>
          </w:tcPr>
          <w:p w14:paraId="1571F5FA" w14:textId="31DD5B86" w:rsidR="00E56BA0" w:rsidRPr="00D33D68" w:rsidRDefault="00E56BA0" w:rsidP="002D4065">
            <w:pPr>
              <w:spacing w:after="0" w:line="240" w:lineRule="auto"/>
              <w:ind w:left="-104" w:right="-105"/>
              <w:jc w:val="center"/>
              <w:rPr>
                <w:rFonts w:eastAsia="Times New Roman"/>
                <w:noProof w:val="0"/>
                <w:sz w:val="22"/>
              </w:rPr>
            </w:pPr>
            <w:r w:rsidRPr="00D33D68">
              <w:t>1,527,635.00</w:t>
            </w:r>
          </w:p>
        </w:tc>
        <w:tc>
          <w:tcPr>
            <w:tcW w:w="520" w:type="pct"/>
            <w:shd w:val="clear" w:color="auto" w:fill="auto"/>
          </w:tcPr>
          <w:p w14:paraId="4FF643DF" w14:textId="77777777" w:rsidR="00E56BA0" w:rsidRPr="00D33D68" w:rsidRDefault="00E56BA0" w:rsidP="00511333">
            <w:pPr>
              <w:spacing w:after="0" w:line="240" w:lineRule="auto"/>
              <w:ind w:left="-104" w:right="-105"/>
              <w:jc w:val="center"/>
              <w:rPr>
                <w:rFonts w:eastAsia="Times New Roman"/>
                <w:noProof w:val="0"/>
                <w:sz w:val="22"/>
              </w:rPr>
            </w:pPr>
            <w:r w:rsidRPr="00D33D68">
              <w:rPr>
                <w:rFonts w:eastAsia="Times New Roman"/>
                <w:sz w:val="22"/>
              </w:rPr>
              <w:t>278,755.00</w:t>
            </w:r>
          </w:p>
        </w:tc>
        <w:tc>
          <w:tcPr>
            <w:tcW w:w="397" w:type="pct"/>
            <w:shd w:val="clear" w:color="auto" w:fill="auto"/>
          </w:tcPr>
          <w:p w14:paraId="3596A9DD" w14:textId="77777777" w:rsidR="00E56BA0" w:rsidRPr="00D33D68" w:rsidRDefault="00E56BA0" w:rsidP="002D4065">
            <w:pPr>
              <w:spacing w:after="0" w:line="240" w:lineRule="auto"/>
              <w:ind w:left="-104" w:right="-105"/>
              <w:jc w:val="center"/>
              <w:rPr>
                <w:rFonts w:eastAsia="Times New Roman"/>
                <w:noProof w:val="0"/>
                <w:sz w:val="22"/>
              </w:rPr>
            </w:pPr>
            <w:r w:rsidRPr="00D33D68">
              <w:rPr>
                <w:rFonts w:eastAsia="Times New Roman"/>
                <w:sz w:val="22"/>
              </w:rPr>
              <w:t>0.00</w:t>
            </w:r>
          </w:p>
        </w:tc>
        <w:tc>
          <w:tcPr>
            <w:tcW w:w="399" w:type="pct"/>
            <w:shd w:val="clear" w:color="auto" w:fill="auto"/>
          </w:tcPr>
          <w:p w14:paraId="6FFF53AE" w14:textId="77777777" w:rsidR="00E56BA0" w:rsidRPr="00D33D68" w:rsidRDefault="00E56BA0" w:rsidP="002D4065">
            <w:pPr>
              <w:spacing w:after="0" w:line="240" w:lineRule="auto"/>
              <w:ind w:left="-194" w:right="-195"/>
              <w:jc w:val="center"/>
              <w:rPr>
                <w:rFonts w:eastAsia="Times New Roman"/>
                <w:noProof w:val="0"/>
                <w:sz w:val="22"/>
              </w:rPr>
            </w:pPr>
            <w:r w:rsidRPr="00D33D68">
              <w:rPr>
                <w:rFonts w:eastAsia="Times New Roman"/>
                <w:sz w:val="22"/>
              </w:rPr>
              <w:t>0.00</w:t>
            </w:r>
          </w:p>
        </w:tc>
        <w:tc>
          <w:tcPr>
            <w:tcW w:w="406" w:type="pct"/>
            <w:shd w:val="clear" w:color="auto" w:fill="auto"/>
          </w:tcPr>
          <w:p w14:paraId="313A3698" w14:textId="77777777" w:rsidR="00E56BA0" w:rsidRPr="00D33D68" w:rsidRDefault="00E56BA0" w:rsidP="00023F53">
            <w:pPr>
              <w:spacing w:after="0" w:line="240" w:lineRule="auto"/>
              <w:jc w:val="right"/>
              <w:rPr>
                <w:rFonts w:eastAsia="Times New Roman"/>
                <w:noProof w:val="0"/>
                <w:sz w:val="22"/>
              </w:rPr>
            </w:pPr>
          </w:p>
        </w:tc>
      </w:tr>
      <w:tr w:rsidR="00D33D68" w:rsidRPr="00D33D68" w14:paraId="06A19C2F" w14:textId="77777777" w:rsidTr="00834D0E">
        <w:tc>
          <w:tcPr>
            <w:tcW w:w="618" w:type="pct"/>
            <w:shd w:val="clear" w:color="auto" w:fill="auto"/>
          </w:tcPr>
          <w:p w14:paraId="28BB93AE" w14:textId="4FF3D9AC" w:rsidR="00E56BA0" w:rsidRPr="00D33D68" w:rsidRDefault="00E56BA0" w:rsidP="00F13E9B">
            <w:pPr>
              <w:spacing w:after="0" w:line="240" w:lineRule="auto"/>
              <w:ind w:left="-90" w:right="-15"/>
              <w:rPr>
                <w:rFonts w:eastAsia="Times New Roman"/>
                <w:noProof w:val="0"/>
                <w:sz w:val="22"/>
              </w:rPr>
            </w:pPr>
            <w:r w:rsidRPr="00D33D68">
              <w:lastRenderedPageBreak/>
              <w:t>1 - Promoting environmentally sustainable, resource efficient, innovative, competitive and knowledge based fisheries</w:t>
            </w:r>
          </w:p>
        </w:tc>
        <w:tc>
          <w:tcPr>
            <w:tcW w:w="826" w:type="pct"/>
            <w:shd w:val="clear" w:color="auto" w:fill="auto"/>
          </w:tcPr>
          <w:p w14:paraId="3F1D3554" w14:textId="67A8AD0A" w:rsidR="00E56BA0" w:rsidRPr="00D33D68" w:rsidRDefault="00E56BA0" w:rsidP="00834D0E">
            <w:pPr>
              <w:spacing w:after="0" w:line="240" w:lineRule="auto"/>
              <w:ind w:left="-104" w:right="-15"/>
              <w:rPr>
                <w:rFonts w:eastAsia="Times New Roman"/>
                <w:noProof w:val="0"/>
                <w:sz w:val="22"/>
              </w:rPr>
            </w:pPr>
            <w:r w:rsidRPr="00D33D68">
              <w:t>2 - Financial allocation for the rest of the Union priority 1 (Article 13(2) of the EMFF)</w:t>
            </w:r>
          </w:p>
        </w:tc>
        <w:tc>
          <w:tcPr>
            <w:tcW w:w="459" w:type="pct"/>
            <w:shd w:val="clear" w:color="auto" w:fill="auto"/>
          </w:tcPr>
          <w:p w14:paraId="5E93BD6B" w14:textId="116E9E35" w:rsidR="00E56BA0" w:rsidRPr="00D33D68" w:rsidRDefault="00E56BA0" w:rsidP="00834D0E">
            <w:pPr>
              <w:spacing w:after="0" w:line="240" w:lineRule="auto"/>
              <w:ind w:left="-104" w:right="-195"/>
              <w:jc w:val="center"/>
              <w:rPr>
                <w:rFonts w:eastAsia="Times New Roman"/>
                <w:noProof w:val="0"/>
                <w:sz w:val="22"/>
              </w:rPr>
            </w:pPr>
            <w:r w:rsidRPr="00D33D68">
              <w:t>11,746,344.00</w:t>
            </w:r>
          </w:p>
        </w:tc>
        <w:tc>
          <w:tcPr>
            <w:tcW w:w="458" w:type="pct"/>
            <w:shd w:val="clear" w:color="auto" w:fill="auto"/>
          </w:tcPr>
          <w:p w14:paraId="64D68CE8" w14:textId="3DD6E13C" w:rsidR="00E56BA0" w:rsidRPr="00D33D68" w:rsidRDefault="00E56BA0" w:rsidP="00834D0E">
            <w:pPr>
              <w:spacing w:after="0" w:line="240" w:lineRule="auto"/>
              <w:ind w:left="-104" w:right="-105"/>
              <w:jc w:val="center"/>
              <w:rPr>
                <w:rFonts w:eastAsia="Times New Roman"/>
                <w:noProof w:val="0"/>
                <w:sz w:val="22"/>
              </w:rPr>
            </w:pPr>
            <w:r w:rsidRPr="00D33D68">
              <w:t>4,286,707.00</w:t>
            </w:r>
          </w:p>
        </w:tc>
        <w:tc>
          <w:tcPr>
            <w:tcW w:w="398" w:type="pct"/>
            <w:shd w:val="clear" w:color="auto" w:fill="auto"/>
          </w:tcPr>
          <w:p w14:paraId="15E894B9" w14:textId="42B20D4A" w:rsidR="00E56BA0" w:rsidRPr="00D33D68" w:rsidRDefault="00E56BA0" w:rsidP="002D4065">
            <w:pPr>
              <w:spacing w:after="0" w:line="240" w:lineRule="auto"/>
              <w:jc w:val="center"/>
              <w:rPr>
                <w:rFonts w:eastAsia="Times New Roman"/>
                <w:noProof w:val="0"/>
                <w:sz w:val="22"/>
              </w:rPr>
            </w:pPr>
            <w:r w:rsidRPr="00D33D68">
              <w:t>73.26%</w:t>
            </w:r>
          </w:p>
        </w:tc>
        <w:tc>
          <w:tcPr>
            <w:tcW w:w="519" w:type="pct"/>
            <w:shd w:val="clear" w:color="auto" w:fill="auto"/>
          </w:tcPr>
          <w:p w14:paraId="169E3B07" w14:textId="052AAC85" w:rsidR="00E56BA0" w:rsidRPr="00D33D68" w:rsidRDefault="00E56BA0" w:rsidP="002D4065">
            <w:pPr>
              <w:spacing w:after="0" w:line="240" w:lineRule="auto"/>
              <w:ind w:left="-104" w:right="-105"/>
              <w:jc w:val="center"/>
              <w:rPr>
                <w:rFonts w:eastAsia="Times New Roman"/>
                <w:noProof w:val="0"/>
                <w:sz w:val="22"/>
              </w:rPr>
            </w:pPr>
            <w:r w:rsidRPr="00D33D68">
              <w:t>11,746,344.00</w:t>
            </w:r>
          </w:p>
        </w:tc>
        <w:tc>
          <w:tcPr>
            <w:tcW w:w="520" w:type="pct"/>
            <w:shd w:val="clear" w:color="auto" w:fill="auto"/>
          </w:tcPr>
          <w:p w14:paraId="4F4B2966" w14:textId="77777777" w:rsidR="00E56BA0" w:rsidRPr="00D33D68" w:rsidRDefault="00E56BA0" w:rsidP="00511333">
            <w:pPr>
              <w:spacing w:after="0" w:line="240" w:lineRule="auto"/>
              <w:ind w:left="-104" w:right="-105"/>
              <w:jc w:val="center"/>
              <w:rPr>
                <w:rFonts w:eastAsia="Times New Roman"/>
                <w:noProof w:val="0"/>
                <w:sz w:val="22"/>
              </w:rPr>
            </w:pPr>
            <w:r w:rsidRPr="00D33D68">
              <w:rPr>
                <w:rFonts w:eastAsia="Times New Roman"/>
                <w:sz w:val="22"/>
              </w:rPr>
              <w:t>4,284,545.00</w:t>
            </w:r>
          </w:p>
        </w:tc>
        <w:tc>
          <w:tcPr>
            <w:tcW w:w="397" w:type="pct"/>
            <w:shd w:val="clear" w:color="auto" w:fill="auto"/>
          </w:tcPr>
          <w:p w14:paraId="11800E31" w14:textId="77777777" w:rsidR="00E56BA0" w:rsidRPr="00D33D68" w:rsidRDefault="00E56BA0" w:rsidP="002D4065">
            <w:pPr>
              <w:spacing w:after="0" w:line="240" w:lineRule="auto"/>
              <w:ind w:left="-104" w:right="-105"/>
              <w:jc w:val="center"/>
              <w:rPr>
                <w:rFonts w:eastAsia="Times New Roman"/>
                <w:noProof w:val="0"/>
                <w:sz w:val="22"/>
              </w:rPr>
            </w:pPr>
            <w:r w:rsidRPr="00D33D68">
              <w:rPr>
                <w:rFonts w:eastAsia="Times New Roman"/>
                <w:sz w:val="22"/>
              </w:rPr>
              <w:t>0.00</w:t>
            </w:r>
          </w:p>
        </w:tc>
        <w:tc>
          <w:tcPr>
            <w:tcW w:w="399" w:type="pct"/>
            <w:shd w:val="clear" w:color="auto" w:fill="auto"/>
          </w:tcPr>
          <w:p w14:paraId="78AD22FF" w14:textId="77777777" w:rsidR="00E56BA0" w:rsidRPr="00D33D68" w:rsidRDefault="00E56BA0" w:rsidP="002D4065">
            <w:pPr>
              <w:spacing w:after="0" w:line="240" w:lineRule="auto"/>
              <w:ind w:left="-194" w:right="-195"/>
              <w:jc w:val="center"/>
              <w:rPr>
                <w:rFonts w:eastAsia="Times New Roman"/>
                <w:noProof w:val="0"/>
                <w:sz w:val="22"/>
              </w:rPr>
            </w:pPr>
            <w:r w:rsidRPr="00D33D68">
              <w:rPr>
                <w:rFonts w:eastAsia="Times New Roman"/>
                <w:sz w:val="22"/>
              </w:rPr>
              <w:t>0.00</w:t>
            </w:r>
          </w:p>
        </w:tc>
        <w:tc>
          <w:tcPr>
            <w:tcW w:w="406" w:type="pct"/>
            <w:shd w:val="clear" w:color="auto" w:fill="auto"/>
          </w:tcPr>
          <w:p w14:paraId="25248F7E" w14:textId="77777777" w:rsidR="00E56BA0" w:rsidRPr="00D33D68" w:rsidRDefault="00E56BA0" w:rsidP="00023F53">
            <w:pPr>
              <w:spacing w:after="0" w:line="240" w:lineRule="auto"/>
              <w:jc w:val="right"/>
              <w:rPr>
                <w:rFonts w:eastAsia="Times New Roman"/>
                <w:noProof w:val="0"/>
                <w:sz w:val="22"/>
              </w:rPr>
            </w:pPr>
          </w:p>
        </w:tc>
      </w:tr>
      <w:tr w:rsidR="00D33D68" w:rsidRPr="00D33D68" w14:paraId="70839C3A" w14:textId="77777777" w:rsidTr="00834D0E">
        <w:tc>
          <w:tcPr>
            <w:tcW w:w="618" w:type="pct"/>
            <w:shd w:val="clear" w:color="auto" w:fill="auto"/>
          </w:tcPr>
          <w:p w14:paraId="00F16E86" w14:textId="3288397D" w:rsidR="00E56BA0" w:rsidRPr="00D33D68" w:rsidRDefault="00E56BA0" w:rsidP="00F13E9B">
            <w:pPr>
              <w:spacing w:after="0" w:line="240" w:lineRule="auto"/>
              <w:ind w:left="-90" w:right="-15"/>
              <w:rPr>
                <w:rFonts w:eastAsia="Times New Roman"/>
                <w:noProof w:val="0"/>
                <w:sz w:val="22"/>
              </w:rPr>
            </w:pPr>
            <w:r w:rsidRPr="00D33D68">
              <w:t>2 - Fostering environmentally sustainable, resource efficient, innovative, competitive and knowledge based aquaculture</w:t>
            </w:r>
          </w:p>
        </w:tc>
        <w:tc>
          <w:tcPr>
            <w:tcW w:w="826" w:type="pct"/>
            <w:shd w:val="clear" w:color="auto" w:fill="auto"/>
          </w:tcPr>
          <w:p w14:paraId="4929CE0A" w14:textId="6761BCD7" w:rsidR="00E56BA0" w:rsidRPr="00D33D68" w:rsidRDefault="00E56BA0" w:rsidP="00834D0E">
            <w:pPr>
              <w:spacing w:after="0" w:line="240" w:lineRule="auto"/>
              <w:ind w:left="-104" w:right="-15"/>
              <w:rPr>
                <w:rFonts w:eastAsia="Times New Roman"/>
                <w:noProof w:val="0"/>
                <w:sz w:val="22"/>
              </w:rPr>
            </w:pPr>
            <w:r w:rsidRPr="00D33D68">
              <w:t xml:space="preserve"> - </w:t>
            </w:r>
          </w:p>
        </w:tc>
        <w:tc>
          <w:tcPr>
            <w:tcW w:w="459" w:type="pct"/>
            <w:shd w:val="clear" w:color="auto" w:fill="auto"/>
          </w:tcPr>
          <w:p w14:paraId="63D23AC9" w14:textId="4539C095" w:rsidR="00E56BA0" w:rsidRPr="00D33D68" w:rsidRDefault="00E56BA0" w:rsidP="00834D0E">
            <w:pPr>
              <w:spacing w:after="0" w:line="240" w:lineRule="auto"/>
              <w:ind w:left="-104" w:right="-195"/>
              <w:jc w:val="center"/>
              <w:rPr>
                <w:rFonts w:eastAsia="Times New Roman"/>
                <w:noProof w:val="0"/>
                <w:sz w:val="22"/>
              </w:rPr>
            </w:pPr>
            <w:r w:rsidRPr="00D33D68">
              <w:t>23,138,803.00</w:t>
            </w:r>
          </w:p>
        </w:tc>
        <w:tc>
          <w:tcPr>
            <w:tcW w:w="458" w:type="pct"/>
            <w:shd w:val="clear" w:color="auto" w:fill="auto"/>
          </w:tcPr>
          <w:p w14:paraId="13261E91" w14:textId="6D20D05E" w:rsidR="00E56BA0" w:rsidRPr="00D33D68" w:rsidRDefault="00E56BA0" w:rsidP="00834D0E">
            <w:pPr>
              <w:spacing w:after="0" w:line="240" w:lineRule="auto"/>
              <w:ind w:left="-104" w:right="-105"/>
              <w:jc w:val="center"/>
              <w:rPr>
                <w:rFonts w:eastAsia="Times New Roman"/>
                <w:noProof w:val="0"/>
                <w:sz w:val="22"/>
              </w:rPr>
            </w:pPr>
            <w:r w:rsidRPr="00D33D68">
              <w:t>7,712,935.00</w:t>
            </w:r>
          </w:p>
        </w:tc>
        <w:tc>
          <w:tcPr>
            <w:tcW w:w="398" w:type="pct"/>
            <w:shd w:val="clear" w:color="auto" w:fill="auto"/>
          </w:tcPr>
          <w:p w14:paraId="386F6995" w14:textId="0DB7486B" w:rsidR="00E56BA0" w:rsidRPr="00D33D68" w:rsidRDefault="00E56BA0" w:rsidP="002D4065">
            <w:pPr>
              <w:spacing w:after="0" w:line="240" w:lineRule="auto"/>
              <w:jc w:val="center"/>
              <w:rPr>
                <w:rFonts w:eastAsia="Times New Roman"/>
                <w:noProof w:val="0"/>
                <w:sz w:val="22"/>
              </w:rPr>
            </w:pPr>
            <w:r w:rsidRPr="00D33D68">
              <w:t>75.00%</w:t>
            </w:r>
          </w:p>
        </w:tc>
        <w:tc>
          <w:tcPr>
            <w:tcW w:w="519" w:type="pct"/>
            <w:shd w:val="clear" w:color="auto" w:fill="auto"/>
          </w:tcPr>
          <w:p w14:paraId="253248DB" w14:textId="03BEB050" w:rsidR="00E56BA0" w:rsidRPr="00D33D68" w:rsidRDefault="00E56BA0" w:rsidP="002D4065">
            <w:pPr>
              <w:spacing w:after="0" w:line="240" w:lineRule="auto"/>
              <w:ind w:left="-104" w:right="-105"/>
              <w:jc w:val="center"/>
              <w:rPr>
                <w:rFonts w:eastAsia="Times New Roman"/>
                <w:noProof w:val="0"/>
                <w:sz w:val="22"/>
              </w:rPr>
            </w:pPr>
            <w:r w:rsidRPr="00D33D68">
              <w:t>23,138,803.00</w:t>
            </w:r>
          </w:p>
        </w:tc>
        <w:tc>
          <w:tcPr>
            <w:tcW w:w="520" w:type="pct"/>
            <w:shd w:val="clear" w:color="auto" w:fill="auto"/>
          </w:tcPr>
          <w:p w14:paraId="1521B73A" w14:textId="77777777" w:rsidR="00E56BA0" w:rsidRPr="00D33D68" w:rsidRDefault="00E56BA0" w:rsidP="00511333">
            <w:pPr>
              <w:spacing w:after="0" w:line="240" w:lineRule="auto"/>
              <w:ind w:left="-104" w:right="-105"/>
              <w:jc w:val="center"/>
              <w:rPr>
                <w:rFonts w:eastAsia="Times New Roman"/>
                <w:noProof w:val="0"/>
                <w:sz w:val="22"/>
              </w:rPr>
            </w:pPr>
            <w:r w:rsidRPr="00D33D68">
              <w:rPr>
                <w:rFonts w:eastAsia="Times New Roman"/>
                <w:sz w:val="22"/>
              </w:rPr>
              <w:t>7,967,535.00</w:t>
            </w:r>
          </w:p>
        </w:tc>
        <w:tc>
          <w:tcPr>
            <w:tcW w:w="397" w:type="pct"/>
            <w:shd w:val="clear" w:color="auto" w:fill="auto"/>
          </w:tcPr>
          <w:p w14:paraId="497EF25A" w14:textId="77777777" w:rsidR="00E56BA0" w:rsidRPr="00D33D68" w:rsidRDefault="00E56BA0" w:rsidP="002D4065">
            <w:pPr>
              <w:spacing w:after="0" w:line="240" w:lineRule="auto"/>
              <w:ind w:left="-104" w:right="-105"/>
              <w:jc w:val="center"/>
              <w:rPr>
                <w:rFonts w:eastAsia="Times New Roman"/>
                <w:noProof w:val="0"/>
                <w:sz w:val="22"/>
              </w:rPr>
            </w:pPr>
            <w:r w:rsidRPr="00D33D68">
              <w:rPr>
                <w:rFonts w:eastAsia="Times New Roman"/>
                <w:sz w:val="22"/>
              </w:rPr>
              <w:t>0.00</w:t>
            </w:r>
          </w:p>
        </w:tc>
        <w:tc>
          <w:tcPr>
            <w:tcW w:w="399" w:type="pct"/>
            <w:shd w:val="clear" w:color="auto" w:fill="auto"/>
          </w:tcPr>
          <w:p w14:paraId="26244F13" w14:textId="77777777" w:rsidR="00E56BA0" w:rsidRPr="00D33D68" w:rsidRDefault="00E56BA0" w:rsidP="002D4065">
            <w:pPr>
              <w:spacing w:after="0" w:line="240" w:lineRule="auto"/>
              <w:ind w:left="-194" w:right="-195"/>
              <w:jc w:val="center"/>
              <w:rPr>
                <w:rFonts w:eastAsia="Times New Roman"/>
                <w:noProof w:val="0"/>
                <w:sz w:val="22"/>
              </w:rPr>
            </w:pPr>
            <w:r w:rsidRPr="00D33D68">
              <w:rPr>
                <w:rFonts w:eastAsia="Times New Roman"/>
                <w:sz w:val="22"/>
              </w:rPr>
              <w:t>0.00</w:t>
            </w:r>
          </w:p>
        </w:tc>
        <w:tc>
          <w:tcPr>
            <w:tcW w:w="406" w:type="pct"/>
            <w:shd w:val="clear" w:color="auto" w:fill="auto"/>
          </w:tcPr>
          <w:p w14:paraId="59FA405A" w14:textId="77777777" w:rsidR="00E56BA0" w:rsidRPr="00D33D68" w:rsidRDefault="00E56BA0" w:rsidP="00023F53">
            <w:pPr>
              <w:spacing w:after="0" w:line="240" w:lineRule="auto"/>
              <w:jc w:val="right"/>
              <w:rPr>
                <w:rFonts w:eastAsia="Times New Roman"/>
                <w:noProof w:val="0"/>
                <w:sz w:val="22"/>
              </w:rPr>
            </w:pPr>
            <w:r w:rsidRPr="00D33D68">
              <w:rPr>
                <w:rFonts w:eastAsia="Times New Roman"/>
                <w:sz w:val="22"/>
              </w:rPr>
              <w:t>0.00%</w:t>
            </w:r>
          </w:p>
        </w:tc>
      </w:tr>
      <w:tr w:rsidR="00D33D68" w:rsidRPr="00D33D68" w14:paraId="6803ED36" w14:textId="77777777" w:rsidTr="00834D0E">
        <w:tc>
          <w:tcPr>
            <w:tcW w:w="618" w:type="pct"/>
            <w:shd w:val="clear" w:color="auto" w:fill="auto"/>
          </w:tcPr>
          <w:p w14:paraId="040D4D9E" w14:textId="250A0982" w:rsidR="00E56BA0" w:rsidRPr="00D33D68" w:rsidRDefault="00E56BA0" w:rsidP="00F13E9B">
            <w:pPr>
              <w:spacing w:after="0" w:line="240" w:lineRule="auto"/>
              <w:ind w:left="-90" w:right="-15"/>
              <w:rPr>
                <w:rFonts w:eastAsia="Times New Roman"/>
                <w:noProof w:val="0"/>
                <w:sz w:val="22"/>
              </w:rPr>
            </w:pPr>
            <w:r w:rsidRPr="00D33D68">
              <w:t>3 - Fostering the implementation of the CFP</w:t>
            </w:r>
          </w:p>
        </w:tc>
        <w:tc>
          <w:tcPr>
            <w:tcW w:w="826" w:type="pct"/>
            <w:shd w:val="clear" w:color="auto" w:fill="auto"/>
          </w:tcPr>
          <w:p w14:paraId="0D675349" w14:textId="7174AF16" w:rsidR="00E56BA0" w:rsidRPr="00D33D68" w:rsidRDefault="00E56BA0" w:rsidP="00834D0E">
            <w:pPr>
              <w:spacing w:after="0" w:line="240" w:lineRule="auto"/>
              <w:ind w:left="-104" w:right="-15"/>
              <w:rPr>
                <w:rFonts w:eastAsia="Times New Roman"/>
                <w:noProof w:val="0"/>
                <w:sz w:val="22"/>
              </w:rPr>
            </w:pPr>
            <w:r w:rsidRPr="00D33D68">
              <w:t>1 - the improvement and supply of scientific knowledge and collection and management of data (Article 13(4) of the EMFF)</w:t>
            </w:r>
          </w:p>
        </w:tc>
        <w:tc>
          <w:tcPr>
            <w:tcW w:w="459" w:type="pct"/>
            <w:shd w:val="clear" w:color="auto" w:fill="auto"/>
          </w:tcPr>
          <w:p w14:paraId="4FF2C36D" w14:textId="235252C8" w:rsidR="00E56BA0" w:rsidRPr="00D33D68" w:rsidRDefault="00E56BA0" w:rsidP="00834D0E">
            <w:pPr>
              <w:spacing w:after="0" w:line="240" w:lineRule="auto"/>
              <w:ind w:left="-104" w:right="-195"/>
              <w:jc w:val="center"/>
              <w:rPr>
                <w:rFonts w:eastAsia="Times New Roman"/>
                <w:noProof w:val="0"/>
                <w:sz w:val="22"/>
              </w:rPr>
            </w:pPr>
            <w:r w:rsidRPr="00D33D68">
              <w:t>3,333,328.00</w:t>
            </w:r>
          </w:p>
        </w:tc>
        <w:tc>
          <w:tcPr>
            <w:tcW w:w="458" w:type="pct"/>
            <w:shd w:val="clear" w:color="auto" w:fill="auto"/>
          </w:tcPr>
          <w:p w14:paraId="2F40175F" w14:textId="0246457F" w:rsidR="00E56BA0" w:rsidRPr="00D33D68" w:rsidRDefault="00E56BA0" w:rsidP="00834D0E">
            <w:pPr>
              <w:spacing w:after="0" w:line="240" w:lineRule="auto"/>
              <w:ind w:left="-104" w:right="-105"/>
              <w:jc w:val="center"/>
              <w:rPr>
                <w:rFonts w:eastAsia="Times New Roman"/>
                <w:noProof w:val="0"/>
                <w:sz w:val="22"/>
              </w:rPr>
            </w:pPr>
            <w:r w:rsidRPr="00D33D68">
              <w:t>833,333.00</w:t>
            </w:r>
          </w:p>
        </w:tc>
        <w:tc>
          <w:tcPr>
            <w:tcW w:w="398" w:type="pct"/>
            <w:shd w:val="clear" w:color="auto" w:fill="auto"/>
          </w:tcPr>
          <w:p w14:paraId="48CD6B22" w14:textId="524DC068" w:rsidR="00E56BA0" w:rsidRPr="00D33D68" w:rsidRDefault="00E56BA0" w:rsidP="002D4065">
            <w:pPr>
              <w:spacing w:after="0" w:line="240" w:lineRule="auto"/>
              <w:jc w:val="center"/>
              <w:rPr>
                <w:rFonts w:eastAsia="Times New Roman"/>
                <w:noProof w:val="0"/>
                <w:sz w:val="22"/>
              </w:rPr>
            </w:pPr>
            <w:r w:rsidRPr="00D33D68">
              <w:t>80.00%</w:t>
            </w:r>
          </w:p>
        </w:tc>
        <w:tc>
          <w:tcPr>
            <w:tcW w:w="519" w:type="pct"/>
            <w:shd w:val="clear" w:color="auto" w:fill="auto"/>
          </w:tcPr>
          <w:p w14:paraId="0B93C61B" w14:textId="71268ACC" w:rsidR="00E56BA0" w:rsidRPr="00D33D68" w:rsidRDefault="00E56BA0" w:rsidP="002D4065">
            <w:pPr>
              <w:spacing w:after="0" w:line="240" w:lineRule="auto"/>
              <w:ind w:left="-104" w:right="-105"/>
              <w:jc w:val="center"/>
              <w:rPr>
                <w:rFonts w:eastAsia="Times New Roman"/>
                <w:noProof w:val="0"/>
                <w:sz w:val="22"/>
              </w:rPr>
            </w:pPr>
            <w:r w:rsidRPr="00D33D68">
              <w:t>1,063,905.00</w:t>
            </w:r>
          </w:p>
        </w:tc>
        <w:tc>
          <w:tcPr>
            <w:tcW w:w="520" w:type="pct"/>
            <w:shd w:val="clear" w:color="auto" w:fill="auto"/>
          </w:tcPr>
          <w:p w14:paraId="3F23A99D" w14:textId="77777777" w:rsidR="00E56BA0" w:rsidRPr="00D33D68" w:rsidRDefault="00E56BA0" w:rsidP="00511333">
            <w:pPr>
              <w:spacing w:after="0" w:line="240" w:lineRule="auto"/>
              <w:ind w:left="-104" w:right="-105"/>
              <w:jc w:val="center"/>
              <w:rPr>
                <w:rFonts w:eastAsia="Times New Roman"/>
                <w:noProof w:val="0"/>
                <w:sz w:val="22"/>
              </w:rPr>
            </w:pPr>
            <w:r w:rsidRPr="00D33D68">
              <w:rPr>
                <w:rFonts w:eastAsia="Times New Roman"/>
                <w:sz w:val="22"/>
              </w:rPr>
              <w:t>265,977.00</w:t>
            </w:r>
          </w:p>
        </w:tc>
        <w:tc>
          <w:tcPr>
            <w:tcW w:w="397" w:type="pct"/>
            <w:shd w:val="clear" w:color="auto" w:fill="auto"/>
          </w:tcPr>
          <w:p w14:paraId="562EC187" w14:textId="77777777" w:rsidR="00E56BA0" w:rsidRPr="00D33D68" w:rsidRDefault="00E56BA0" w:rsidP="002D4065">
            <w:pPr>
              <w:spacing w:after="0" w:line="240" w:lineRule="auto"/>
              <w:ind w:left="-104" w:right="-105"/>
              <w:jc w:val="center"/>
              <w:rPr>
                <w:rFonts w:eastAsia="Times New Roman"/>
                <w:noProof w:val="0"/>
                <w:sz w:val="22"/>
              </w:rPr>
            </w:pPr>
            <w:r w:rsidRPr="00D33D68">
              <w:rPr>
                <w:rFonts w:eastAsia="Times New Roman"/>
                <w:sz w:val="22"/>
              </w:rPr>
              <w:t>2,269,423.00</w:t>
            </w:r>
          </w:p>
        </w:tc>
        <w:tc>
          <w:tcPr>
            <w:tcW w:w="399" w:type="pct"/>
            <w:shd w:val="clear" w:color="auto" w:fill="auto"/>
          </w:tcPr>
          <w:p w14:paraId="5AC33B8C" w14:textId="77777777" w:rsidR="00E56BA0" w:rsidRPr="00D33D68" w:rsidRDefault="00E56BA0" w:rsidP="002D4065">
            <w:pPr>
              <w:spacing w:after="0" w:line="240" w:lineRule="auto"/>
              <w:ind w:left="-194" w:right="-195"/>
              <w:jc w:val="center"/>
              <w:rPr>
                <w:rFonts w:eastAsia="Times New Roman"/>
                <w:noProof w:val="0"/>
                <w:sz w:val="22"/>
              </w:rPr>
            </w:pPr>
            <w:r w:rsidRPr="00D33D68">
              <w:rPr>
                <w:rFonts w:eastAsia="Times New Roman"/>
                <w:sz w:val="22"/>
              </w:rPr>
              <w:t>567,356.00</w:t>
            </w:r>
          </w:p>
        </w:tc>
        <w:tc>
          <w:tcPr>
            <w:tcW w:w="406" w:type="pct"/>
            <w:shd w:val="clear" w:color="auto" w:fill="auto"/>
          </w:tcPr>
          <w:p w14:paraId="0ED04C18" w14:textId="77777777" w:rsidR="00E56BA0" w:rsidRPr="00D33D68" w:rsidRDefault="00E56BA0" w:rsidP="00023F53">
            <w:pPr>
              <w:spacing w:after="0" w:line="240" w:lineRule="auto"/>
              <w:jc w:val="right"/>
              <w:rPr>
                <w:rFonts w:eastAsia="Times New Roman"/>
                <w:noProof w:val="0"/>
                <w:sz w:val="22"/>
              </w:rPr>
            </w:pPr>
            <w:r w:rsidRPr="00D33D68">
              <w:rPr>
                <w:rFonts w:eastAsia="Times New Roman"/>
                <w:sz w:val="22"/>
              </w:rPr>
              <w:t>53.77%</w:t>
            </w:r>
          </w:p>
        </w:tc>
      </w:tr>
      <w:tr w:rsidR="00D33D68" w:rsidRPr="00D33D68" w14:paraId="5E36EA08" w14:textId="77777777" w:rsidTr="00834D0E">
        <w:tc>
          <w:tcPr>
            <w:tcW w:w="618" w:type="pct"/>
            <w:shd w:val="clear" w:color="auto" w:fill="auto"/>
          </w:tcPr>
          <w:p w14:paraId="79B02F2B" w14:textId="2E61E4FD" w:rsidR="00E56BA0" w:rsidRPr="00D33D68" w:rsidRDefault="00E56BA0" w:rsidP="00F13E9B">
            <w:pPr>
              <w:spacing w:after="0" w:line="240" w:lineRule="auto"/>
              <w:ind w:left="-90" w:right="-15"/>
              <w:rPr>
                <w:rFonts w:eastAsia="Times New Roman"/>
                <w:noProof w:val="0"/>
                <w:sz w:val="22"/>
              </w:rPr>
            </w:pPr>
            <w:r w:rsidRPr="00D33D68">
              <w:t xml:space="preserve">3 - Fostering the implementation </w:t>
            </w:r>
            <w:r w:rsidRPr="00D33D68">
              <w:lastRenderedPageBreak/>
              <w:t>of the CFP</w:t>
            </w:r>
          </w:p>
        </w:tc>
        <w:tc>
          <w:tcPr>
            <w:tcW w:w="826" w:type="pct"/>
            <w:shd w:val="clear" w:color="auto" w:fill="auto"/>
          </w:tcPr>
          <w:p w14:paraId="770E7CCE" w14:textId="50E1FC40" w:rsidR="00E56BA0" w:rsidRPr="00D33D68" w:rsidRDefault="00E56BA0" w:rsidP="00834D0E">
            <w:pPr>
              <w:spacing w:after="0" w:line="240" w:lineRule="auto"/>
              <w:ind w:left="-104" w:right="-15"/>
              <w:rPr>
                <w:rFonts w:eastAsia="Times New Roman"/>
                <w:noProof w:val="0"/>
                <w:sz w:val="22"/>
              </w:rPr>
            </w:pPr>
            <w:r w:rsidRPr="00D33D68">
              <w:lastRenderedPageBreak/>
              <w:t xml:space="preserve">2 - the support to monitoring, control and </w:t>
            </w:r>
            <w:r w:rsidRPr="00D33D68">
              <w:lastRenderedPageBreak/>
              <w:t>enforcement, enhancing institutional capacity and an efficient public administration without increasing the administrative burden (Article 76(2)(a) to (d) and (f) to (l)) (Article 13(3) of the EMFF)</w:t>
            </w:r>
          </w:p>
        </w:tc>
        <w:tc>
          <w:tcPr>
            <w:tcW w:w="459" w:type="pct"/>
            <w:shd w:val="clear" w:color="auto" w:fill="auto"/>
          </w:tcPr>
          <w:p w14:paraId="01D6D22B" w14:textId="245E22AF" w:rsidR="00E56BA0" w:rsidRPr="00D33D68" w:rsidRDefault="00E56BA0" w:rsidP="00834D0E">
            <w:pPr>
              <w:spacing w:after="0" w:line="240" w:lineRule="auto"/>
              <w:ind w:left="-104" w:right="-195"/>
              <w:jc w:val="center"/>
              <w:rPr>
                <w:rFonts w:eastAsia="Times New Roman"/>
                <w:noProof w:val="0"/>
                <w:sz w:val="22"/>
              </w:rPr>
            </w:pPr>
            <w:r w:rsidRPr="00D33D68">
              <w:lastRenderedPageBreak/>
              <w:t>5,798,411.00</w:t>
            </w:r>
          </w:p>
        </w:tc>
        <w:tc>
          <w:tcPr>
            <w:tcW w:w="458" w:type="pct"/>
            <w:shd w:val="clear" w:color="auto" w:fill="auto"/>
          </w:tcPr>
          <w:p w14:paraId="29495B51" w14:textId="2CA83546" w:rsidR="00E56BA0" w:rsidRPr="00D33D68" w:rsidRDefault="00E56BA0" w:rsidP="00834D0E">
            <w:pPr>
              <w:spacing w:after="0" w:line="240" w:lineRule="auto"/>
              <w:ind w:left="-104" w:right="-105"/>
              <w:jc w:val="center"/>
              <w:rPr>
                <w:rFonts w:eastAsia="Times New Roman"/>
                <w:noProof w:val="0"/>
                <w:sz w:val="22"/>
              </w:rPr>
            </w:pPr>
            <w:r w:rsidRPr="00D33D68">
              <w:t>644,268.00</w:t>
            </w:r>
          </w:p>
        </w:tc>
        <w:tc>
          <w:tcPr>
            <w:tcW w:w="398" w:type="pct"/>
            <w:shd w:val="clear" w:color="auto" w:fill="auto"/>
          </w:tcPr>
          <w:p w14:paraId="7E4105E5" w14:textId="2F980FD0" w:rsidR="00E56BA0" w:rsidRPr="00D33D68" w:rsidRDefault="00E56BA0" w:rsidP="002D4065">
            <w:pPr>
              <w:spacing w:after="0" w:line="240" w:lineRule="auto"/>
              <w:jc w:val="center"/>
              <w:rPr>
                <w:rFonts w:eastAsia="Times New Roman"/>
                <w:noProof w:val="0"/>
                <w:sz w:val="22"/>
              </w:rPr>
            </w:pPr>
            <w:r w:rsidRPr="00D33D68">
              <w:t>90.00%</w:t>
            </w:r>
          </w:p>
        </w:tc>
        <w:tc>
          <w:tcPr>
            <w:tcW w:w="519" w:type="pct"/>
            <w:shd w:val="clear" w:color="auto" w:fill="auto"/>
          </w:tcPr>
          <w:p w14:paraId="1F8C205F" w14:textId="55D31324" w:rsidR="00E56BA0" w:rsidRPr="00D33D68" w:rsidRDefault="00E56BA0" w:rsidP="002D4065">
            <w:pPr>
              <w:spacing w:after="0" w:line="240" w:lineRule="auto"/>
              <w:ind w:left="-104" w:right="-105"/>
              <w:jc w:val="center"/>
              <w:rPr>
                <w:rFonts w:eastAsia="Times New Roman"/>
                <w:noProof w:val="0"/>
                <w:sz w:val="22"/>
              </w:rPr>
            </w:pPr>
            <w:r w:rsidRPr="00D33D68">
              <w:t>2,825,542.00</w:t>
            </w:r>
          </w:p>
        </w:tc>
        <w:tc>
          <w:tcPr>
            <w:tcW w:w="520" w:type="pct"/>
            <w:shd w:val="clear" w:color="auto" w:fill="auto"/>
          </w:tcPr>
          <w:p w14:paraId="5DC2B1DB" w14:textId="77777777" w:rsidR="00E56BA0" w:rsidRPr="00D33D68" w:rsidRDefault="00E56BA0" w:rsidP="00511333">
            <w:pPr>
              <w:spacing w:after="0" w:line="240" w:lineRule="auto"/>
              <w:ind w:left="-104" w:right="-105"/>
              <w:jc w:val="center"/>
              <w:rPr>
                <w:rFonts w:eastAsia="Times New Roman"/>
                <w:noProof w:val="0"/>
                <w:sz w:val="22"/>
              </w:rPr>
            </w:pPr>
            <w:r w:rsidRPr="00D33D68">
              <w:rPr>
                <w:rFonts w:eastAsia="Times New Roman"/>
                <w:sz w:val="22"/>
              </w:rPr>
              <w:t>313,949.00</w:t>
            </w:r>
          </w:p>
        </w:tc>
        <w:tc>
          <w:tcPr>
            <w:tcW w:w="397" w:type="pct"/>
            <w:shd w:val="clear" w:color="auto" w:fill="auto"/>
          </w:tcPr>
          <w:p w14:paraId="112DF421" w14:textId="77777777" w:rsidR="00E56BA0" w:rsidRPr="00D33D68" w:rsidRDefault="00E56BA0" w:rsidP="002D4065">
            <w:pPr>
              <w:spacing w:after="0" w:line="240" w:lineRule="auto"/>
              <w:ind w:left="-104" w:right="-105"/>
              <w:jc w:val="center"/>
              <w:rPr>
                <w:rFonts w:eastAsia="Times New Roman"/>
                <w:noProof w:val="0"/>
                <w:sz w:val="22"/>
              </w:rPr>
            </w:pPr>
            <w:r w:rsidRPr="00D33D68">
              <w:rPr>
                <w:rFonts w:eastAsia="Times New Roman"/>
                <w:sz w:val="22"/>
              </w:rPr>
              <w:t>2,972,869.00</w:t>
            </w:r>
          </w:p>
        </w:tc>
        <w:tc>
          <w:tcPr>
            <w:tcW w:w="399" w:type="pct"/>
            <w:shd w:val="clear" w:color="auto" w:fill="auto"/>
          </w:tcPr>
          <w:p w14:paraId="2AFB5A1A" w14:textId="77777777" w:rsidR="00E56BA0" w:rsidRPr="00D33D68" w:rsidRDefault="00E56BA0" w:rsidP="002D4065">
            <w:pPr>
              <w:spacing w:after="0" w:line="240" w:lineRule="auto"/>
              <w:ind w:left="-194" w:right="-195"/>
              <w:jc w:val="center"/>
              <w:rPr>
                <w:rFonts w:eastAsia="Times New Roman"/>
                <w:noProof w:val="0"/>
                <w:sz w:val="22"/>
              </w:rPr>
            </w:pPr>
            <w:r w:rsidRPr="00D33D68">
              <w:rPr>
                <w:rFonts w:eastAsia="Times New Roman"/>
                <w:sz w:val="22"/>
              </w:rPr>
              <w:t>330,319.00</w:t>
            </w:r>
          </w:p>
        </w:tc>
        <w:tc>
          <w:tcPr>
            <w:tcW w:w="406" w:type="pct"/>
            <w:shd w:val="clear" w:color="auto" w:fill="auto"/>
          </w:tcPr>
          <w:p w14:paraId="07BC4F32" w14:textId="77777777" w:rsidR="00E56BA0" w:rsidRPr="00D33D68" w:rsidRDefault="00E56BA0" w:rsidP="00023F53">
            <w:pPr>
              <w:spacing w:after="0" w:line="240" w:lineRule="auto"/>
              <w:jc w:val="right"/>
              <w:rPr>
                <w:rFonts w:eastAsia="Times New Roman"/>
                <w:noProof w:val="0"/>
                <w:sz w:val="22"/>
              </w:rPr>
            </w:pPr>
          </w:p>
        </w:tc>
      </w:tr>
      <w:tr w:rsidR="00D33D68" w:rsidRPr="00D33D68" w14:paraId="4AD06F91" w14:textId="77777777" w:rsidTr="00834D0E">
        <w:tc>
          <w:tcPr>
            <w:tcW w:w="618" w:type="pct"/>
            <w:shd w:val="clear" w:color="auto" w:fill="auto"/>
          </w:tcPr>
          <w:p w14:paraId="7BBD2FEF" w14:textId="0B0A76F1" w:rsidR="00E56BA0" w:rsidRPr="00D33D68" w:rsidRDefault="00E56BA0" w:rsidP="00F13E9B">
            <w:pPr>
              <w:spacing w:after="0" w:line="240" w:lineRule="auto"/>
              <w:ind w:left="-90" w:right="-15"/>
              <w:rPr>
                <w:rFonts w:eastAsia="Times New Roman"/>
                <w:noProof w:val="0"/>
                <w:sz w:val="22"/>
              </w:rPr>
            </w:pPr>
            <w:r w:rsidRPr="00D33D68">
              <w:lastRenderedPageBreak/>
              <w:t>3 - Fostering the implementation of the CFP</w:t>
            </w:r>
          </w:p>
        </w:tc>
        <w:tc>
          <w:tcPr>
            <w:tcW w:w="826" w:type="pct"/>
            <w:shd w:val="clear" w:color="auto" w:fill="auto"/>
          </w:tcPr>
          <w:p w14:paraId="23E4EDC5" w14:textId="2B80160F" w:rsidR="00E56BA0" w:rsidRPr="00D33D68" w:rsidRDefault="00E56BA0" w:rsidP="00834D0E">
            <w:pPr>
              <w:spacing w:after="0" w:line="240" w:lineRule="auto"/>
              <w:ind w:left="-104" w:right="-15"/>
              <w:rPr>
                <w:rFonts w:eastAsia="Times New Roman"/>
                <w:noProof w:val="0"/>
                <w:sz w:val="22"/>
              </w:rPr>
            </w:pPr>
            <w:r w:rsidRPr="00D33D68">
              <w:t>3 - the support to monitoring, control and enforcement, enhancing institutional capacity and an efficient public administration without increasing the administrative burden (Article 76(2)(e)) (Article 13(3) of the EMFF)</w:t>
            </w:r>
          </w:p>
        </w:tc>
        <w:tc>
          <w:tcPr>
            <w:tcW w:w="459" w:type="pct"/>
            <w:shd w:val="clear" w:color="auto" w:fill="auto"/>
          </w:tcPr>
          <w:p w14:paraId="2082617B" w14:textId="4BD1E951" w:rsidR="00E56BA0" w:rsidRPr="00D33D68" w:rsidRDefault="00E56BA0" w:rsidP="00834D0E">
            <w:pPr>
              <w:spacing w:after="0" w:line="240" w:lineRule="auto"/>
              <w:ind w:left="-104" w:right="-195"/>
              <w:jc w:val="center"/>
              <w:rPr>
                <w:rFonts w:eastAsia="Times New Roman"/>
                <w:noProof w:val="0"/>
                <w:sz w:val="22"/>
              </w:rPr>
            </w:pPr>
            <w:r w:rsidRPr="00D33D68">
              <w:t>695,100.00</w:t>
            </w:r>
          </w:p>
        </w:tc>
        <w:tc>
          <w:tcPr>
            <w:tcW w:w="458" w:type="pct"/>
            <w:shd w:val="clear" w:color="auto" w:fill="auto"/>
          </w:tcPr>
          <w:p w14:paraId="44E26707" w14:textId="029EC495" w:rsidR="00E56BA0" w:rsidRPr="00D33D68" w:rsidRDefault="00E56BA0" w:rsidP="00834D0E">
            <w:pPr>
              <w:spacing w:after="0" w:line="240" w:lineRule="auto"/>
              <w:ind w:left="-104" w:right="-105"/>
              <w:jc w:val="center"/>
              <w:rPr>
                <w:rFonts w:eastAsia="Times New Roman"/>
                <w:noProof w:val="0"/>
                <w:sz w:val="22"/>
              </w:rPr>
            </w:pPr>
            <w:r w:rsidRPr="00D33D68">
              <w:t>297,900.00</w:t>
            </w:r>
          </w:p>
        </w:tc>
        <w:tc>
          <w:tcPr>
            <w:tcW w:w="398" w:type="pct"/>
            <w:shd w:val="clear" w:color="auto" w:fill="auto"/>
          </w:tcPr>
          <w:p w14:paraId="3C974BFD" w14:textId="2C8B2C3E" w:rsidR="00E56BA0" w:rsidRPr="00D33D68" w:rsidRDefault="00E56BA0" w:rsidP="002D4065">
            <w:pPr>
              <w:spacing w:after="0" w:line="240" w:lineRule="auto"/>
              <w:jc w:val="center"/>
              <w:rPr>
                <w:rFonts w:eastAsia="Times New Roman"/>
                <w:noProof w:val="0"/>
                <w:sz w:val="22"/>
              </w:rPr>
            </w:pPr>
            <w:r w:rsidRPr="00D33D68">
              <w:t>70.00%</w:t>
            </w:r>
          </w:p>
        </w:tc>
        <w:tc>
          <w:tcPr>
            <w:tcW w:w="519" w:type="pct"/>
            <w:shd w:val="clear" w:color="auto" w:fill="auto"/>
          </w:tcPr>
          <w:p w14:paraId="134AF797" w14:textId="4476AD0A" w:rsidR="00E56BA0" w:rsidRPr="00D33D68" w:rsidRDefault="00E56BA0" w:rsidP="002D4065">
            <w:pPr>
              <w:spacing w:after="0" w:line="240" w:lineRule="auto"/>
              <w:ind w:left="-104" w:right="-105"/>
              <w:jc w:val="center"/>
              <w:rPr>
                <w:rFonts w:eastAsia="Times New Roman"/>
                <w:noProof w:val="0"/>
                <w:sz w:val="22"/>
              </w:rPr>
            </w:pPr>
            <w:r w:rsidRPr="00D33D68">
              <w:t>653,394.00</w:t>
            </w:r>
          </w:p>
        </w:tc>
        <w:tc>
          <w:tcPr>
            <w:tcW w:w="520" w:type="pct"/>
            <w:shd w:val="clear" w:color="auto" w:fill="auto"/>
          </w:tcPr>
          <w:p w14:paraId="3E0904B1" w14:textId="77777777" w:rsidR="00E56BA0" w:rsidRPr="00D33D68" w:rsidRDefault="00E56BA0" w:rsidP="00511333">
            <w:pPr>
              <w:spacing w:after="0" w:line="240" w:lineRule="auto"/>
              <w:ind w:left="-104" w:right="-105"/>
              <w:jc w:val="center"/>
              <w:rPr>
                <w:rFonts w:eastAsia="Times New Roman"/>
                <w:noProof w:val="0"/>
                <w:sz w:val="22"/>
              </w:rPr>
            </w:pPr>
            <w:r w:rsidRPr="00D33D68">
              <w:rPr>
                <w:rFonts w:eastAsia="Times New Roman"/>
                <w:sz w:val="22"/>
              </w:rPr>
              <w:t>280,026.00</w:t>
            </w:r>
          </w:p>
        </w:tc>
        <w:tc>
          <w:tcPr>
            <w:tcW w:w="397" w:type="pct"/>
            <w:shd w:val="clear" w:color="auto" w:fill="auto"/>
          </w:tcPr>
          <w:p w14:paraId="7B05D3E9" w14:textId="77777777" w:rsidR="00E56BA0" w:rsidRPr="00D33D68" w:rsidRDefault="00E56BA0" w:rsidP="002D4065">
            <w:pPr>
              <w:spacing w:after="0" w:line="240" w:lineRule="auto"/>
              <w:ind w:left="-104" w:right="-105"/>
              <w:jc w:val="center"/>
              <w:rPr>
                <w:rFonts w:eastAsia="Times New Roman"/>
                <w:noProof w:val="0"/>
                <w:sz w:val="22"/>
              </w:rPr>
            </w:pPr>
            <w:r w:rsidRPr="00D33D68">
              <w:rPr>
                <w:rFonts w:eastAsia="Times New Roman"/>
                <w:sz w:val="22"/>
              </w:rPr>
              <w:t>41,706.00</w:t>
            </w:r>
          </w:p>
        </w:tc>
        <w:tc>
          <w:tcPr>
            <w:tcW w:w="399" w:type="pct"/>
            <w:shd w:val="clear" w:color="auto" w:fill="auto"/>
          </w:tcPr>
          <w:p w14:paraId="299F9B24" w14:textId="77777777" w:rsidR="00E56BA0" w:rsidRPr="00D33D68" w:rsidRDefault="00E56BA0" w:rsidP="002D4065">
            <w:pPr>
              <w:spacing w:after="0" w:line="240" w:lineRule="auto"/>
              <w:ind w:left="-194" w:right="-195"/>
              <w:jc w:val="center"/>
              <w:rPr>
                <w:rFonts w:eastAsia="Times New Roman"/>
                <w:noProof w:val="0"/>
                <w:sz w:val="22"/>
              </w:rPr>
            </w:pPr>
            <w:r w:rsidRPr="00D33D68">
              <w:rPr>
                <w:rFonts w:eastAsia="Times New Roman"/>
                <w:sz w:val="22"/>
              </w:rPr>
              <w:t>17,874.00</w:t>
            </w:r>
          </w:p>
        </w:tc>
        <w:tc>
          <w:tcPr>
            <w:tcW w:w="406" w:type="pct"/>
            <w:shd w:val="clear" w:color="auto" w:fill="auto"/>
          </w:tcPr>
          <w:p w14:paraId="6B0F738A" w14:textId="77777777" w:rsidR="00E56BA0" w:rsidRPr="00D33D68" w:rsidRDefault="00E56BA0" w:rsidP="00023F53">
            <w:pPr>
              <w:spacing w:after="0" w:line="240" w:lineRule="auto"/>
              <w:jc w:val="right"/>
              <w:rPr>
                <w:rFonts w:eastAsia="Times New Roman"/>
                <w:noProof w:val="0"/>
                <w:sz w:val="22"/>
              </w:rPr>
            </w:pPr>
          </w:p>
        </w:tc>
      </w:tr>
      <w:tr w:rsidR="00D33D68" w:rsidRPr="00D33D68" w14:paraId="6D6C0DA4" w14:textId="77777777" w:rsidTr="00834D0E">
        <w:tc>
          <w:tcPr>
            <w:tcW w:w="618" w:type="pct"/>
            <w:shd w:val="clear" w:color="auto" w:fill="auto"/>
          </w:tcPr>
          <w:p w14:paraId="3954E006" w14:textId="038BD0F5" w:rsidR="00E56BA0" w:rsidRPr="00D33D68" w:rsidRDefault="00E56BA0" w:rsidP="00F13E9B">
            <w:pPr>
              <w:spacing w:after="0" w:line="240" w:lineRule="auto"/>
              <w:ind w:left="-90" w:right="-15"/>
              <w:rPr>
                <w:rFonts w:eastAsia="Times New Roman"/>
                <w:noProof w:val="0"/>
                <w:sz w:val="22"/>
              </w:rPr>
            </w:pPr>
            <w:r w:rsidRPr="00D33D68">
              <w:t>4 - Increasing employment and territorial cohesion</w:t>
            </w:r>
          </w:p>
        </w:tc>
        <w:tc>
          <w:tcPr>
            <w:tcW w:w="826" w:type="pct"/>
            <w:shd w:val="clear" w:color="auto" w:fill="auto"/>
          </w:tcPr>
          <w:p w14:paraId="08231190" w14:textId="05CB73D7" w:rsidR="00E56BA0" w:rsidRPr="00D33D68" w:rsidRDefault="00E56BA0" w:rsidP="00834D0E">
            <w:pPr>
              <w:spacing w:after="0" w:line="240" w:lineRule="auto"/>
              <w:ind w:left="-104" w:right="-15"/>
              <w:rPr>
                <w:rFonts w:eastAsia="Times New Roman"/>
                <w:noProof w:val="0"/>
                <w:sz w:val="22"/>
              </w:rPr>
            </w:pPr>
            <w:r w:rsidRPr="00D33D68">
              <w:t xml:space="preserve"> - </w:t>
            </w:r>
          </w:p>
        </w:tc>
        <w:tc>
          <w:tcPr>
            <w:tcW w:w="459" w:type="pct"/>
            <w:shd w:val="clear" w:color="auto" w:fill="auto"/>
          </w:tcPr>
          <w:p w14:paraId="44656A73" w14:textId="30E427DB" w:rsidR="00E56BA0" w:rsidRPr="00D33D68" w:rsidRDefault="00E56BA0" w:rsidP="00834D0E">
            <w:pPr>
              <w:spacing w:after="0" w:line="240" w:lineRule="auto"/>
              <w:ind w:left="-104" w:right="-195"/>
              <w:jc w:val="center"/>
              <w:rPr>
                <w:rFonts w:eastAsia="Times New Roman"/>
                <w:noProof w:val="0"/>
                <w:sz w:val="22"/>
              </w:rPr>
            </w:pPr>
            <w:r w:rsidRPr="00D33D68">
              <w:t>15,792,775.00</w:t>
            </w:r>
          </w:p>
        </w:tc>
        <w:tc>
          <w:tcPr>
            <w:tcW w:w="458" w:type="pct"/>
            <w:shd w:val="clear" w:color="auto" w:fill="auto"/>
          </w:tcPr>
          <w:p w14:paraId="01B18CE8" w14:textId="2ED4DACC" w:rsidR="00E56BA0" w:rsidRPr="00D33D68" w:rsidRDefault="00E56BA0" w:rsidP="00834D0E">
            <w:pPr>
              <w:spacing w:after="0" w:line="240" w:lineRule="auto"/>
              <w:ind w:left="-104" w:right="-105"/>
              <w:jc w:val="center"/>
              <w:rPr>
                <w:rFonts w:eastAsia="Times New Roman"/>
                <w:noProof w:val="0"/>
                <w:sz w:val="22"/>
              </w:rPr>
            </w:pPr>
            <w:r w:rsidRPr="00D33D68">
              <w:t>2,786,962.00</w:t>
            </w:r>
          </w:p>
        </w:tc>
        <w:tc>
          <w:tcPr>
            <w:tcW w:w="398" w:type="pct"/>
            <w:shd w:val="clear" w:color="auto" w:fill="auto"/>
          </w:tcPr>
          <w:p w14:paraId="13774C91" w14:textId="7A3B1858" w:rsidR="00E56BA0" w:rsidRPr="00D33D68" w:rsidRDefault="00E56BA0" w:rsidP="002D4065">
            <w:pPr>
              <w:spacing w:after="0" w:line="240" w:lineRule="auto"/>
              <w:jc w:val="center"/>
              <w:rPr>
                <w:rFonts w:eastAsia="Times New Roman"/>
                <w:noProof w:val="0"/>
                <w:sz w:val="22"/>
              </w:rPr>
            </w:pPr>
            <w:r w:rsidRPr="00D33D68">
              <w:t>85.00%</w:t>
            </w:r>
          </w:p>
        </w:tc>
        <w:tc>
          <w:tcPr>
            <w:tcW w:w="519" w:type="pct"/>
            <w:shd w:val="clear" w:color="auto" w:fill="auto"/>
          </w:tcPr>
          <w:p w14:paraId="62C11790" w14:textId="586A2B01" w:rsidR="00E56BA0" w:rsidRPr="00D33D68" w:rsidRDefault="00E56BA0" w:rsidP="002D4065">
            <w:pPr>
              <w:spacing w:after="0" w:line="240" w:lineRule="auto"/>
              <w:ind w:left="-104" w:right="-105"/>
              <w:jc w:val="center"/>
              <w:rPr>
                <w:rFonts w:eastAsia="Times New Roman"/>
                <w:noProof w:val="0"/>
                <w:sz w:val="22"/>
              </w:rPr>
            </w:pPr>
            <w:r w:rsidRPr="00D33D68">
              <w:t>15,792,775.00</w:t>
            </w:r>
          </w:p>
        </w:tc>
        <w:tc>
          <w:tcPr>
            <w:tcW w:w="520" w:type="pct"/>
            <w:shd w:val="clear" w:color="auto" w:fill="auto"/>
          </w:tcPr>
          <w:p w14:paraId="24B1EBB2" w14:textId="77777777" w:rsidR="00E56BA0" w:rsidRPr="00D33D68" w:rsidRDefault="00E56BA0" w:rsidP="00511333">
            <w:pPr>
              <w:spacing w:after="0" w:line="240" w:lineRule="auto"/>
              <w:ind w:left="-104" w:right="-105"/>
              <w:jc w:val="center"/>
              <w:rPr>
                <w:rFonts w:eastAsia="Times New Roman"/>
                <w:noProof w:val="0"/>
                <w:sz w:val="22"/>
              </w:rPr>
            </w:pPr>
            <w:r w:rsidRPr="00D33D68">
              <w:rPr>
                <w:rFonts w:eastAsia="Times New Roman"/>
                <w:sz w:val="22"/>
              </w:rPr>
              <w:t>2,786,962.00</w:t>
            </w:r>
          </w:p>
        </w:tc>
        <w:tc>
          <w:tcPr>
            <w:tcW w:w="397" w:type="pct"/>
            <w:shd w:val="clear" w:color="auto" w:fill="auto"/>
          </w:tcPr>
          <w:p w14:paraId="58ABD338" w14:textId="77777777" w:rsidR="00E56BA0" w:rsidRPr="00D33D68" w:rsidRDefault="00E56BA0" w:rsidP="002D4065">
            <w:pPr>
              <w:spacing w:after="0" w:line="240" w:lineRule="auto"/>
              <w:ind w:left="-104" w:right="-105"/>
              <w:jc w:val="center"/>
              <w:rPr>
                <w:rFonts w:eastAsia="Times New Roman"/>
                <w:noProof w:val="0"/>
                <w:sz w:val="22"/>
              </w:rPr>
            </w:pPr>
            <w:r w:rsidRPr="00D33D68">
              <w:rPr>
                <w:rFonts w:eastAsia="Times New Roman"/>
                <w:sz w:val="22"/>
              </w:rPr>
              <w:t>0.00</w:t>
            </w:r>
          </w:p>
        </w:tc>
        <w:tc>
          <w:tcPr>
            <w:tcW w:w="399" w:type="pct"/>
            <w:shd w:val="clear" w:color="auto" w:fill="auto"/>
          </w:tcPr>
          <w:p w14:paraId="52D2F717" w14:textId="77777777" w:rsidR="00E56BA0" w:rsidRPr="00D33D68" w:rsidRDefault="00E56BA0" w:rsidP="002D4065">
            <w:pPr>
              <w:spacing w:after="0" w:line="240" w:lineRule="auto"/>
              <w:ind w:left="-194" w:right="-195"/>
              <w:jc w:val="center"/>
              <w:rPr>
                <w:rFonts w:eastAsia="Times New Roman"/>
                <w:noProof w:val="0"/>
                <w:sz w:val="22"/>
              </w:rPr>
            </w:pPr>
            <w:r w:rsidRPr="00D33D68">
              <w:rPr>
                <w:rFonts w:eastAsia="Times New Roman"/>
                <w:sz w:val="22"/>
              </w:rPr>
              <w:t>0.00</w:t>
            </w:r>
          </w:p>
        </w:tc>
        <w:tc>
          <w:tcPr>
            <w:tcW w:w="406" w:type="pct"/>
            <w:shd w:val="clear" w:color="auto" w:fill="auto"/>
          </w:tcPr>
          <w:p w14:paraId="025E0ED7" w14:textId="77777777" w:rsidR="00E56BA0" w:rsidRPr="00D33D68" w:rsidRDefault="00E56BA0" w:rsidP="00023F53">
            <w:pPr>
              <w:spacing w:after="0" w:line="240" w:lineRule="auto"/>
              <w:jc w:val="right"/>
              <w:rPr>
                <w:rFonts w:eastAsia="Times New Roman"/>
                <w:noProof w:val="0"/>
                <w:sz w:val="22"/>
              </w:rPr>
            </w:pPr>
            <w:r w:rsidRPr="00D33D68">
              <w:rPr>
                <w:rFonts w:eastAsia="Times New Roman"/>
                <w:sz w:val="22"/>
              </w:rPr>
              <w:t>0.00%</w:t>
            </w:r>
          </w:p>
        </w:tc>
      </w:tr>
      <w:tr w:rsidR="00D33D68" w:rsidRPr="00D33D68" w14:paraId="73A466EA" w14:textId="77777777" w:rsidTr="00834D0E">
        <w:tc>
          <w:tcPr>
            <w:tcW w:w="618" w:type="pct"/>
            <w:shd w:val="clear" w:color="auto" w:fill="auto"/>
          </w:tcPr>
          <w:p w14:paraId="65544DFB" w14:textId="4243D8E5" w:rsidR="00E56BA0" w:rsidRPr="00D33D68" w:rsidRDefault="00E56BA0" w:rsidP="00F13E9B">
            <w:pPr>
              <w:spacing w:after="0" w:line="240" w:lineRule="auto"/>
              <w:ind w:left="-90" w:right="-15"/>
              <w:rPr>
                <w:rFonts w:eastAsia="Times New Roman"/>
                <w:noProof w:val="0"/>
                <w:sz w:val="22"/>
              </w:rPr>
            </w:pPr>
            <w:r w:rsidRPr="00D33D68">
              <w:t>5 - Fostering marketing and processing</w:t>
            </w:r>
          </w:p>
        </w:tc>
        <w:tc>
          <w:tcPr>
            <w:tcW w:w="826" w:type="pct"/>
            <w:shd w:val="clear" w:color="auto" w:fill="auto"/>
          </w:tcPr>
          <w:p w14:paraId="6E407B42" w14:textId="4091841D" w:rsidR="00E56BA0" w:rsidRPr="00D33D68" w:rsidRDefault="00E56BA0" w:rsidP="00834D0E">
            <w:pPr>
              <w:spacing w:after="0" w:line="240" w:lineRule="auto"/>
              <w:ind w:left="-104" w:right="-15"/>
              <w:rPr>
                <w:rFonts w:eastAsia="Times New Roman"/>
                <w:noProof w:val="0"/>
                <w:sz w:val="22"/>
              </w:rPr>
            </w:pPr>
            <w:r w:rsidRPr="00D33D68">
              <w:t>1 - Storage aid (Article 67) (Article 13(6) of the EMFF)</w:t>
            </w:r>
          </w:p>
        </w:tc>
        <w:tc>
          <w:tcPr>
            <w:tcW w:w="459" w:type="pct"/>
            <w:shd w:val="clear" w:color="auto" w:fill="auto"/>
          </w:tcPr>
          <w:p w14:paraId="3AC59474" w14:textId="1AEDFD60" w:rsidR="00E56BA0" w:rsidRPr="00D33D68" w:rsidRDefault="00E56BA0" w:rsidP="00834D0E">
            <w:pPr>
              <w:spacing w:after="0" w:line="240" w:lineRule="auto"/>
              <w:ind w:left="-104" w:right="-195"/>
              <w:jc w:val="center"/>
              <w:rPr>
                <w:rFonts w:eastAsia="Times New Roman"/>
                <w:noProof w:val="0"/>
                <w:sz w:val="22"/>
              </w:rPr>
            </w:pPr>
            <w:r w:rsidRPr="00D33D68">
              <w:t>0.00</w:t>
            </w:r>
          </w:p>
        </w:tc>
        <w:tc>
          <w:tcPr>
            <w:tcW w:w="458" w:type="pct"/>
            <w:shd w:val="clear" w:color="auto" w:fill="auto"/>
          </w:tcPr>
          <w:p w14:paraId="48DCFB2F" w14:textId="18D38397" w:rsidR="00E56BA0" w:rsidRPr="00D33D68" w:rsidRDefault="00E56BA0" w:rsidP="00834D0E">
            <w:pPr>
              <w:spacing w:after="0" w:line="240" w:lineRule="auto"/>
              <w:ind w:left="-104" w:right="-105"/>
              <w:jc w:val="center"/>
              <w:rPr>
                <w:rFonts w:eastAsia="Times New Roman"/>
                <w:noProof w:val="0"/>
                <w:sz w:val="22"/>
              </w:rPr>
            </w:pPr>
            <w:r w:rsidRPr="00D33D68">
              <w:t>0.00</w:t>
            </w:r>
          </w:p>
        </w:tc>
        <w:tc>
          <w:tcPr>
            <w:tcW w:w="398" w:type="pct"/>
            <w:shd w:val="clear" w:color="auto" w:fill="auto"/>
          </w:tcPr>
          <w:p w14:paraId="609D1A21" w14:textId="77777777" w:rsidR="00E56BA0" w:rsidRPr="00D33D68" w:rsidRDefault="00E56BA0" w:rsidP="002D4065">
            <w:pPr>
              <w:spacing w:after="0" w:line="240" w:lineRule="auto"/>
              <w:jc w:val="center"/>
              <w:rPr>
                <w:rFonts w:eastAsia="Times New Roman"/>
                <w:noProof w:val="0"/>
                <w:sz w:val="22"/>
              </w:rPr>
            </w:pPr>
          </w:p>
        </w:tc>
        <w:tc>
          <w:tcPr>
            <w:tcW w:w="519" w:type="pct"/>
            <w:shd w:val="clear" w:color="auto" w:fill="auto"/>
          </w:tcPr>
          <w:p w14:paraId="06005EF3" w14:textId="17F67024" w:rsidR="00E56BA0" w:rsidRPr="00D33D68" w:rsidRDefault="00E56BA0" w:rsidP="002D4065">
            <w:pPr>
              <w:spacing w:after="0" w:line="240" w:lineRule="auto"/>
              <w:ind w:left="-104" w:right="-105"/>
              <w:jc w:val="center"/>
              <w:rPr>
                <w:rFonts w:eastAsia="Times New Roman"/>
                <w:noProof w:val="0"/>
                <w:sz w:val="22"/>
              </w:rPr>
            </w:pPr>
            <w:r w:rsidRPr="00D33D68">
              <w:t>0.00</w:t>
            </w:r>
          </w:p>
        </w:tc>
        <w:tc>
          <w:tcPr>
            <w:tcW w:w="520" w:type="pct"/>
            <w:shd w:val="clear" w:color="auto" w:fill="auto"/>
          </w:tcPr>
          <w:p w14:paraId="57474686" w14:textId="77777777" w:rsidR="00E56BA0" w:rsidRPr="00D33D68" w:rsidRDefault="00E56BA0" w:rsidP="00511333">
            <w:pPr>
              <w:spacing w:after="0" w:line="240" w:lineRule="auto"/>
              <w:ind w:left="-104" w:right="-105"/>
              <w:jc w:val="center"/>
              <w:rPr>
                <w:rFonts w:eastAsia="Times New Roman"/>
                <w:noProof w:val="0"/>
                <w:sz w:val="22"/>
              </w:rPr>
            </w:pPr>
            <w:r w:rsidRPr="00D33D68">
              <w:rPr>
                <w:rFonts w:eastAsia="Times New Roman"/>
                <w:sz w:val="22"/>
              </w:rPr>
              <w:t>0.00</w:t>
            </w:r>
          </w:p>
        </w:tc>
        <w:tc>
          <w:tcPr>
            <w:tcW w:w="397" w:type="pct"/>
            <w:shd w:val="clear" w:color="auto" w:fill="auto"/>
          </w:tcPr>
          <w:p w14:paraId="64697000" w14:textId="77777777" w:rsidR="00E56BA0" w:rsidRPr="00D33D68" w:rsidRDefault="00E56BA0" w:rsidP="002D4065">
            <w:pPr>
              <w:spacing w:after="0" w:line="240" w:lineRule="auto"/>
              <w:ind w:left="-104" w:right="-105"/>
              <w:jc w:val="center"/>
              <w:rPr>
                <w:rFonts w:eastAsia="Times New Roman"/>
                <w:noProof w:val="0"/>
                <w:sz w:val="22"/>
              </w:rPr>
            </w:pPr>
            <w:r w:rsidRPr="00D33D68">
              <w:rPr>
                <w:rFonts w:eastAsia="Times New Roman"/>
                <w:sz w:val="22"/>
              </w:rPr>
              <w:t>0.00</w:t>
            </w:r>
          </w:p>
        </w:tc>
        <w:tc>
          <w:tcPr>
            <w:tcW w:w="399" w:type="pct"/>
            <w:shd w:val="clear" w:color="auto" w:fill="auto"/>
          </w:tcPr>
          <w:p w14:paraId="3BFA8A5D" w14:textId="77777777" w:rsidR="00E56BA0" w:rsidRPr="00D33D68" w:rsidRDefault="00E56BA0" w:rsidP="002D4065">
            <w:pPr>
              <w:spacing w:after="0" w:line="240" w:lineRule="auto"/>
              <w:ind w:left="-194" w:right="-195"/>
              <w:jc w:val="center"/>
              <w:rPr>
                <w:rFonts w:eastAsia="Times New Roman"/>
                <w:noProof w:val="0"/>
                <w:sz w:val="22"/>
              </w:rPr>
            </w:pPr>
          </w:p>
        </w:tc>
        <w:tc>
          <w:tcPr>
            <w:tcW w:w="406" w:type="pct"/>
            <w:shd w:val="clear" w:color="auto" w:fill="auto"/>
          </w:tcPr>
          <w:p w14:paraId="159AEDE0" w14:textId="77777777" w:rsidR="00E56BA0" w:rsidRPr="00D33D68" w:rsidRDefault="00E56BA0" w:rsidP="00023F53">
            <w:pPr>
              <w:spacing w:after="0" w:line="240" w:lineRule="auto"/>
              <w:jc w:val="right"/>
              <w:rPr>
                <w:rFonts w:eastAsia="Times New Roman"/>
                <w:noProof w:val="0"/>
                <w:sz w:val="22"/>
              </w:rPr>
            </w:pPr>
            <w:r w:rsidRPr="00D33D68">
              <w:rPr>
                <w:rFonts w:eastAsia="Times New Roman"/>
                <w:sz w:val="22"/>
              </w:rPr>
              <w:t>0.00%</w:t>
            </w:r>
          </w:p>
        </w:tc>
      </w:tr>
      <w:tr w:rsidR="00D33D68" w:rsidRPr="00D33D68" w14:paraId="03C014EB" w14:textId="77777777" w:rsidTr="00834D0E">
        <w:tc>
          <w:tcPr>
            <w:tcW w:w="618" w:type="pct"/>
            <w:shd w:val="clear" w:color="auto" w:fill="auto"/>
          </w:tcPr>
          <w:p w14:paraId="050D1639" w14:textId="723BF834" w:rsidR="00E56BA0" w:rsidRPr="00D33D68" w:rsidRDefault="00E56BA0" w:rsidP="00F13E9B">
            <w:pPr>
              <w:spacing w:after="0" w:line="240" w:lineRule="auto"/>
              <w:ind w:left="-90" w:right="-15"/>
              <w:rPr>
                <w:rFonts w:eastAsia="Times New Roman"/>
                <w:noProof w:val="0"/>
                <w:sz w:val="22"/>
              </w:rPr>
            </w:pPr>
            <w:r w:rsidRPr="00D33D68">
              <w:t>5 - Fostering marketing and processing</w:t>
            </w:r>
          </w:p>
        </w:tc>
        <w:tc>
          <w:tcPr>
            <w:tcW w:w="826" w:type="pct"/>
            <w:shd w:val="clear" w:color="auto" w:fill="auto"/>
          </w:tcPr>
          <w:p w14:paraId="621A3BE2" w14:textId="03E004A5" w:rsidR="00E56BA0" w:rsidRPr="00D33D68" w:rsidRDefault="00E56BA0" w:rsidP="00834D0E">
            <w:pPr>
              <w:spacing w:after="0" w:line="240" w:lineRule="auto"/>
              <w:ind w:left="-104" w:right="-15"/>
              <w:rPr>
                <w:rFonts w:eastAsia="Times New Roman"/>
                <w:noProof w:val="0"/>
                <w:sz w:val="22"/>
              </w:rPr>
            </w:pPr>
            <w:r w:rsidRPr="00D33D68">
              <w:t>2 - Compensation for outermost regions (Article 70) (Article 13(5) of the EMFF)</w:t>
            </w:r>
          </w:p>
        </w:tc>
        <w:tc>
          <w:tcPr>
            <w:tcW w:w="459" w:type="pct"/>
            <w:shd w:val="clear" w:color="auto" w:fill="auto"/>
          </w:tcPr>
          <w:p w14:paraId="23782944" w14:textId="77777777" w:rsidR="00E56BA0" w:rsidRPr="00D33D68" w:rsidRDefault="00E56BA0" w:rsidP="00834D0E">
            <w:pPr>
              <w:spacing w:after="0" w:line="240" w:lineRule="auto"/>
              <w:ind w:left="-104" w:right="-195"/>
              <w:jc w:val="center"/>
              <w:rPr>
                <w:rFonts w:eastAsia="Times New Roman"/>
                <w:noProof w:val="0"/>
                <w:sz w:val="22"/>
              </w:rPr>
            </w:pPr>
          </w:p>
        </w:tc>
        <w:tc>
          <w:tcPr>
            <w:tcW w:w="458" w:type="pct"/>
            <w:shd w:val="clear" w:color="auto" w:fill="auto"/>
          </w:tcPr>
          <w:p w14:paraId="53D3D936" w14:textId="77777777" w:rsidR="00E56BA0" w:rsidRPr="00D33D68" w:rsidRDefault="00E56BA0" w:rsidP="00834D0E">
            <w:pPr>
              <w:spacing w:after="0" w:line="240" w:lineRule="auto"/>
              <w:ind w:left="-104" w:right="-105"/>
              <w:jc w:val="center"/>
              <w:rPr>
                <w:rFonts w:eastAsia="Times New Roman"/>
                <w:noProof w:val="0"/>
                <w:sz w:val="22"/>
              </w:rPr>
            </w:pPr>
          </w:p>
        </w:tc>
        <w:tc>
          <w:tcPr>
            <w:tcW w:w="398" w:type="pct"/>
            <w:shd w:val="clear" w:color="auto" w:fill="auto"/>
          </w:tcPr>
          <w:p w14:paraId="0140DFB6" w14:textId="77777777" w:rsidR="00E56BA0" w:rsidRPr="00D33D68" w:rsidRDefault="00E56BA0" w:rsidP="002D4065">
            <w:pPr>
              <w:spacing w:after="0" w:line="240" w:lineRule="auto"/>
              <w:jc w:val="center"/>
              <w:rPr>
                <w:rFonts w:eastAsia="Times New Roman"/>
                <w:noProof w:val="0"/>
                <w:sz w:val="22"/>
              </w:rPr>
            </w:pPr>
          </w:p>
        </w:tc>
        <w:tc>
          <w:tcPr>
            <w:tcW w:w="519" w:type="pct"/>
            <w:shd w:val="clear" w:color="auto" w:fill="auto"/>
          </w:tcPr>
          <w:p w14:paraId="30D2FC98" w14:textId="77777777" w:rsidR="00E56BA0" w:rsidRPr="00D33D68" w:rsidRDefault="00E56BA0" w:rsidP="002D4065">
            <w:pPr>
              <w:spacing w:after="0" w:line="240" w:lineRule="auto"/>
              <w:ind w:left="-104" w:right="-105"/>
              <w:jc w:val="center"/>
              <w:rPr>
                <w:rFonts w:eastAsia="Times New Roman"/>
                <w:noProof w:val="0"/>
                <w:sz w:val="22"/>
              </w:rPr>
            </w:pPr>
          </w:p>
        </w:tc>
        <w:tc>
          <w:tcPr>
            <w:tcW w:w="520" w:type="pct"/>
            <w:shd w:val="clear" w:color="auto" w:fill="auto"/>
          </w:tcPr>
          <w:p w14:paraId="293124E5" w14:textId="77777777" w:rsidR="00E56BA0" w:rsidRPr="00D33D68" w:rsidRDefault="00E56BA0" w:rsidP="00511333">
            <w:pPr>
              <w:spacing w:after="0" w:line="240" w:lineRule="auto"/>
              <w:ind w:left="-104" w:right="-105"/>
              <w:jc w:val="center"/>
              <w:rPr>
                <w:rFonts w:eastAsia="Times New Roman"/>
                <w:noProof w:val="0"/>
                <w:sz w:val="22"/>
              </w:rPr>
            </w:pPr>
          </w:p>
        </w:tc>
        <w:tc>
          <w:tcPr>
            <w:tcW w:w="397" w:type="pct"/>
            <w:shd w:val="clear" w:color="auto" w:fill="auto"/>
          </w:tcPr>
          <w:p w14:paraId="5D6123B8" w14:textId="77777777" w:rsidR="00E56BA0" w:rsidRPr="00D33D68" w:rsidRDefault="00E56BA0" w:rsidP="002D4065">
            <w:pPr>
              <w:spacing w:after="0" w:line="240" w:lineRule="auto"/>
              <w:ind w:left="-104" w:right="-105"/>
              <w:jc w:val="center"/>
              <w:rPr>
                <w:rFonts w:eastAsia="Times New Roman"/>
                <w:noProof w:val="0"/>
                <w:sz w:val="22"/>
              </w:rPr>
            </w:pPr>
          </w:p>
        </w:tc>
        <w:tc>
          <w:tcPr>
            <w:tcW w:w="399" w:type="pct"/>
            <w:shd w:val="clear" w:color="auto" w:fill="auto"/>
          </w:tcPr>
          <w:p w14:paraId="72A426B7" w14:textId="77777777" w:rsidR="00E56BA0" w:rsidRPr="00D33D68" w:rsidRDefault="00E56BA0" w:rsidP="002D4065">
            <w:pPr>
              <w:spacing w:after="0" w:line="240" w:lineRule="auto"/>
              <w:ind w:left="-194" w:right="-195"/>
              <w:jc w:val="center"/>
              <w:rPr>
                <w:rFonts w:eastAsia="Times New Roman"/>
                <w:noProof w:val="0"/>
                <w:sz w:val="22"/>
              </w:rPr>
            </w:pPr>
          </w:p>
        </w:tc>
        <w:tc>
          <w:tcPr>
            <w:tcW w:w="406" w:type="pct"/>
            <w:shd w:val="clear" w:color="auto" w:fill="auto"/>
          </w:tcPr>
          <w:p w14:paraId="1E6E2CF9" w14:textId="77777777" w:rsidR="00E56BA0" w:rsidRPr="00D33D68" w:rsidRDefault="00E56BA0" w:rsidP="00023F53">
            <w:pPr>
              <w:spacing w:after="0" w:line="240" w:lineRule="auto"/>
              <w:jc w:val="right"/>
              <w:rPr>
                <w:rFonts w:eastAsia="Times New Roman"/>
                <w:noProof w:val="0"/>
                <w:sz w:val="22"/>
              </w:rPr>
            </w:pPr>
          </w:p>
        </w:tc>
      </w:tr>
      <w:tr w:rsidR="00D33D68" w:rsidRPr="00D33D68" w14:paraId="231C7487" w14:textId="77777777" w:rsidTr="00834D0E">
        <w:tc>
          <w:tcPr>
            <w:tcW w:w="618" w:type="pct"/>
            <w:shd w:val="clear" w:color="auto" w:fill="auto"/>
          </w:tcPr>
          <w:p w14:paraId="7AEF2148" w14:textId="71F6B4CC" w:rsidR="00E56BA0" w:rsidRPr="00D33D68" w:rsidRDefault="00E56BA0" w:rsidP="00F13E9B">
            <w:pPr>
              <w:spacing w:after="0" w:line="240" w:lineRule="auto"/>
              <w:ind w:left="-90" w:right="-15"/>
              <w:rPr>
                <w:rFonts w:eastAsia="Times New Roman"/>
                <w:noProof w:val="0"/>
                <w:sz w:val="22"/>
              </w:rPr>
            </w:pPr>
            <w:r w:rsidRPr="00D33D68">
              <w:t xml:space="preserve">5 - Fostering </w:t>
            </w:r>
            <w:r w:rsidRPr="00D33D68">
              <w:lastRenderedPageBreak/>
              <w:t>marketing and processing</w:t>
            </w:r>
          </w:p>
        </w:tc>
        <w:tc>
          <w:tcPr>
            <w:tcW w:w="826" w:type="pct"/>
            <w:shd w:val="clear" w:color="auto" w:fill="auto"/>
          </w:tcPr>
          <w:p w14:paraId="42DCC3E9" w14:textId="5B0DAE5C" w:rsidR="00E56BA0" w:rsidRPr="00D33D68" w:rsidRDefault="00E56BA0" w:rsidP="00834D0E">
            <w:pPr>
              <w:spacing w:after="0" w:line="240" w:lineRule="auto"/>
              <w:ind w:left="-104" w:right="-15"/>
              <w:rPr>
                <w:rFonts w:eastAsia="Times New Roman"/>
                <w:noProof w:val="0"/>
                <w:sz w:val="22"/>
              </w:rPr>
            </w:pPr>
            <w:r w:rsidRPr="00D33D68">
              <w:lastRenderedPageBreak/>
              <w:t xml:space="preserve">3 - Financial allocation </w:t>
            </w:r>
            <w:r w:rsidRPr="00D33D68">
              <w:lastRenderedPageBreak/>
              <w:t>for the rest of the Union priority 5 (Article 13(2) of the EMFF)</w:t>
            </w:r>
          </w:p>
        </w:tc>
        <w:tc>
          <w:tcPr>
            <w:tcW w:w="459" w:type="pct"/>
            <w:shd w:val="clear" w:color="auto" w:fill="auto"/>
          </w:tcPr>
          <w:p w14:paraId="2A54AC1F" w14:textId="53CD329F" w:rsidR="00E56BA0" w:rsidRPr="00D33D68" w:rsidRDefault="00E56BA0" w:rsidP="00834D0E">
            <w:pPr>
              <w:spacing w:after="0" w:line="240" w:lineRule="auto"/>
              <w:ind w:left="-104" w:right="-195"/>
              <w:jc w:val="center"/>
              <w:rPr>
                <w:rFonts w:eastAsia="Times New Roman"/>
                <w:noProof w:val="0"/>
                <w:sz w:val="22"/>
              </w:rPr>
            </w:pPr>
            <w:r w:rsidRPr="00D33D68">
              <w:lastRenderedPageBreak/>
              <w:t>12,217,809.00</w:t>
            </w:r>
          </w:p>
        </w:tc>
        <w:tc>
          <w:tcPr>
            <w:tcW w:w="458" w:type="pct"/>
            <w:shd w:val="clear" w:color="auto" w:fill="auto"/>
          </w:tcPr>
          <w:p w14:paraId="0D5BD903" w14:textId="7FB2718E" w:rsidR="00E56BA0" w:rsidRPr="00D33D68" w:rsidRDefault="00E56BA0" w:rsidP="00834D0E">
            <w:pPr>
              <w:spacing w:after="0" w:line="240" w:lineRule="auto"/>
              <w:ind w:left="-104" w:right="-105"/>
              <w:jc w:val="center"/>
              <w:rPr>
                <w:rFonts w:eastAsia="Times New Roman"/>
                <w:noProof w:val="0"/>
                <w:sz w:val="22"/>
              </w:rPr>
            </w:pPr>
            <w:r w:rsidRPr="00D33D68">
              <w:t>4,072,602.00</w:t>
            </w:r>
          </w:p>
        </w:tc>
        <w:tc>
          <w:tcPr>
            <w:tcW w:w="398" w:type="pct"/>
            <w:shd w:val="clear" w:color="auto" w:fill="auto"/>
          </w:tcPr>
          <w:p w14:paraId="17A100F7" w14:textId="5D09CE1F" w:rsidR="00E56BA0" w:rsidRPr="00D33D68" w:rsidRDefault="00E56BA0" w:rsidP="002D4065">
            <w:pPr>
              <w:spacing w:after="0" w:line="240" w:lineRule="auto"/>
              <w:jc w:val="center"/>
              <w:rPr>
                <w:rFonts w:eastAsia="Times New Roman"/>
                <w:noProof w:val="0"/>
                <w:sz w:val="22"/>
              </w:rPr>
            </w:pPr>
            <w:r w:rsidRPr="00D33D68">
              <w:t>75.00%</w:t>
            </w:r>
          </w:p>
        </w:tc>
        <w:tc>
          <w:tcPr>
            <w:tcW w:w="519" w:type="pct"/>
            <w:shd w:val="clear" w:color="auto" w:fill="auto"/>
          </w:tcPr>
          <w:p w14:paraId="16AEB20A" w14:textId="0889B008" w:rsidR="00E56BA0" w:rsidRPr="00D33D68" w:rsidRDefault="00E56BA0" w:rsidP="002D4065">
            <w:pPr>
              <w:spacing w:after="0" w:line="240" w:lineRule="auto"/>
              <w:ind w:left="-104" w:right="-105"/>
              <w:jc w:val="center"/>
              <w:rPr>
                <w:rFonts w:eastAsia="Times New Roman"/>
                <w:noProof w:val="0"/>
                <w:sz w:val="22"/>
              </w:rPr>
            </w:pPr>
            <w:r w:rsidRPr="00D33D68">
              <w:t>12,217,809.00</w:t>
            </w:r>
          </w:p>
        </w:tc>
        <w:tc>
          <w:tcPr>
            <w:tcW w:w="520" w:type="pct"/>
            <w:shd w:val="clear" w:color="auto" w:fill="auto"/>
          </w:tcPr>
          <w:p w14:paraId="46F0E6D9" w14:textId="77777777" w:rsidR="00E56BA0" w:rsidRPr="00D33D68" w:rsidRDefault="00E56BA0" w:rsidP="00511333">
            <w:pPr>
              <w:spacing w:after="0" w:line="240" w:lineRule="auto"/>
              <w:ind w:left="-104" w:right="-105"/>
              <w:jc w:val="center"/>
              <w:rPr>
                <w:rFonts w:eastAsia="Times New Roman"/>
                <w:noProof w:val="0"/>
                <w:sz w:val="22"/>
              </w:rPr>
            </w:pPr>
            <w:r w:rsidRPr="00D33D68">
              <w:rPr>
                <w:rFonts w:eastAsia="Times New Roman"/>
                <w:sz w:val="22"/>
              </w:rPr>
              <w:t>4,074,578.00</w:t>
            </w:r>
          </w:p>
        </w:tc>
        <w:tc>
          <w:tcPr>
            <w:tcW w:w="397" w:type="pct"/>
            <w:shd w:val="clear" w:color="auto" w:fill="auto"/>
          </w:tcPr>
          <w:p w14:paraId="22D4FC09" w14:textId="77777777" w:rsidR="00E56BA0" w:rsidRPr="00D33D68" w:rsidRDefault="00E56BA0" w:rsidP="002D4065">
            <w:pPr>
              <w:spacing w:after="0" w:line="240" w:lineRule="auto"/>
              <w:ind w:left="-104" w:right="-105"/>
              <w:jc w:val="center"/>
              <w:rPr>
                <w:rFonts w:eastAsia="Times New Roman"/>
                <w:noProof w:val="0"/>
                <w:sz w:val="22"/>
              </w:rPr>
            </w:pPr>
            <w:r w:rsidRPr="00D33D68">
              <w:rPr>
                <w:rFonts w:eastAsia="Times New Roman"/>
                <w:sz w:val="22"/>
              </w:rPr>
              <w:t>0.00</w:t>
            </w:r>
          </w:p>
        </w:tc>
        <w:tc>
          <w:tcPr>
            <w:tcW w:w="399" w:type="pct"/>
            <w:shd w:val="clear" w:color="auto" w:fill="auto"/>
          </w:tcPr>
          <w:p w14:paraId="5FD599A5" w14:textId="77777777" w:rsidR="00E56BA0" w:rsidRPr="00D33D68" w:rsidRDefault="00E56BA0" w:rsidP="002D4065">
            <w:pPr>
              <w:spacing w:after="0" w:line="240" w:lineRule="auto"/>
              <w:ind w:left="-194" w:right="-195"/>
              <w:jc w:val="center"/>
              <w:rPr>
                <w:rFonts w:eastAsia="Times New Roman"/>
                <w:noProof w:val="0"/>
                <w:sz w:val="22"/>
              </w:rPr>
            </w:pPr>
            <w:r w:rsidRPr="00D33D68">
              <w:rPr>
                <w:rFonts w:eastAsia="Times New Roman"/>
                <w:sz w:val="22"/>
              </w:rPr>
              <w:t>0.00</w:t>
            </w:r>
          </w:p>
        </w:tc>
        <w:tc>
          <w:tcPr>
            <w:tcW w:w="406" w:type="pct"/>
            <w:shd w:val="clear" w:color="auto" w:fill="auto"/>
          </w:tcPr>
          <w:p w14:paraId="20742782" w14:textId="77777777" w:rsidR="00E56BA0" w:rsidRPr="00D33D68" w:rsidRDefault="00E56BA0" w:rsidP="00023F53">
            <w:pPr>
              <w:spacing w:after="0" w:line="240" w:lineRule="auto"/>
              <w:jc w:val="right"/>
              <w:rPr>
                <w:rFonts w:eastAsia="Times New Roman"/>
                <w:noProof w:val="0"/>
                <w:sz w:val="22"/>
              </w:rPr>
            </w:pPr>
          </w:p>
        </w:tc>
      </w:tr>
      <w:tr w:rsidR="00D33D68" w:rsidRPr="00D33D68" w14:paraId="72C177CB" w14:textId="77777777" w:rsidTr="00834D0E">
        <w:tc>
          <w:tcPr>
            <w:tcW w:w="618" w:type="pct"/>
            <w:shd w:val="clear" w:color="auto" w:fill="auto"/>
          </w:tcPr>
          <w:p w14:paraId="15AF31C4" w14:textId="288B53F8" w:rsidR="00E56BA0" w:rsidRPr="00D33D68" w:rsidRDefault="00E56BA0" w:rsidP="00F13E9B">
            <w:pPr>
              <w:spacing w:after="0" w:line="240" w:lineRule="auto"/>
              <w:ind w:left="-90" w:right="-15"/>
              <w:rPr>
                <w:rFonts w:eastAsia="Times New Roman"/>
                <w:noProof w:val="0"/>
                <w:sz w:val="22"/>
              </w:rPr>
            </w:pPr>
            <w:r w:rsidRPr="00D33D68">
              <w:lastRenderedPageBreak/>
              <w:t>6 - Fostering the implementation of the Integrated Maritime Policy</w:t>
            </w:r>
          </w:p>
        </w:tc>
        <w:tc>
          <w:tcPr>
            <w:tcW w:w="826" w:type="pct"/>
            <w:shd w:val="clear" w:color="auto" w:fill="auto"/>
          </w:tcPr>
          <w:p w14:paraId="7D14F40E" w14:textId="02BBDB13" w:rsidR="00E56BA0" w:rsidRPr="00D33D68" w:rsidRDefault="00E56BA0" w:rsidP="00834D0E">
            <w:pPr>
              <w:spacing w:after="0" w:line="240" w:lineRule="auto"/>
              <w:ind w:left="-104" w:right="-15"/>
              <w:rPr>
                <w:rFonts w:eastAsia="Times New Roman"/>
                <w:noProof w:val="0"/>
                <w:sz w:val="22"/>
              </w:rPr>
            </w:pPr>
            <w:r w:rsidRPr="00D33D68">
              <w:t xml:space="preserve"> - </w:t>
            </w:r>
          </w:p>
        </w:tc>
        <w:tc>
          <w:tcPr>
            <w:tcW w:w="459" w:type="pct"/>
            <w:shd w:val="clear" w:color="auto" w:fill="auto"/>
          </w:tcPr>
          <w:p w14:paraId="27E3C4B5" w14:textId="7B8E94B3" w:rsidR="00E56BA0" w:rsidRPr="00D33D68" w:rsidRDefault="00E56BA0" w:rsidP="00834D0E">
            <w:pPr>
              <w:spacing w:after="0" w:line="240" w:lineRule="auto"/>
              <w:ind w:left="-104" w:right="-195"/>
              <w:jc w:val="center"/>
              <w:rPr>
                <w:rFonts w:eastAsia="Times New Roman"/>
                <w:noProof w:val="0"/>
                <w:sz w:val="22"/>
              </w:rPr>
            </w:pPr>
            <w:r w:rsidRPr="00D33D68">
              <w:t>2,325,000.00</w:t>
            </w:r>
          </w:p>
        </w:tc>
        <w:tc>
          <w:tcPr>
            <w:tcW w:w="458" w:type="pct"/>
            <w:shd w:val="clear" w:color="auto" w:fill="auto"/>
          </w:tcPr>
          <w:p w14:paraId="67FE24E6" w14:textId="13ED45FE" w:rsidR="00E56BA0" w:rsidRPr="00D33D68" w:rsidRDefault="00E56BA0" w:rsidP="00834D0E">
            <w:pPr>
              <w:spacing w:after="0" w:line="240" w:lineRule="auto"/>
              <w:ind w:left="-104" w:right="-105"/>
              <w:jc w:val="center"/>
              <w:rPr>
                <w:rFonts w:eastAsia="Times New Roman"/>
                <w:noProof w:val="0"/>
                <w:sz w:val="22"/>
              </w:rPr>
            </w:pPr>
            <w:r w:rsidRPr="00D33D68">
              <w:t>775,000.00</w:t>
            </w:r>
          </w:p>
        </w:tc>
        <w:tc>
          <w:tcPr>
            <w:tcW w:w="398" w:type="pct"/>
            <w:shd w:val="clear" w:color="auto" w:fill="auto"/>
          </w:tcPr>
          <w:p w14:paraId="1BDA80E5" w14:textId="55A84ECE" w:rsidR="00E56BA0" w:rsidRPr="00D33D68" w:rsidRDefault="00E56BA0" w:rsidP="002D4065">
            <w:pPr>
              <w:spacing w:after="0" w:line="240" w:lineRule="auto"/>
              <w:jc w:val="center"/>
              <w:rPr>
                <w:rFonts w:eastAsia="Times New Roman"/>
                <w:noProof w:val="0"/>
                <w:sz w:val="22"/>
              </w:rPr>
            </w:pPr>
            <w:r w:rsidRPr="00D33D68">
              <w:t>75.00%</w:t>
            </w:r>
          </w:p>
        </w:tc>
        <w:tc>
          <w:tcPr>
            <w:tcW w:w="519" w:type="pct"/>
            <w:shd w:val="clear" w:color="auto" w:fill="auto"/>
          </w:tcPr>
          <w:p w14:paraId="288F95E7" w14:textId="2BA9794E" w:rsidR="00E56BA0" w:rsidRPr="00D33D68" w:rsidRDefault="00E56BA0" w:rsidP="002D4065">
            <w:pPr>
              <w:spacing w:after="0" w:line="240" w:lineRule="auto"/>
              <w:ind w:left="-104" w:right="-105"/>
              <w:jc w:val="center"/>
              <w:rPr>
                <w:rFonts w:eastAsia="Times New Roman"/>
                <w:noProof w:val="0"/>
                <w:sz w:val="22"/>
              </w:rPr>
            </w:pPr>
            <w:r w:rsidRPr="00D33D68">
              <w:t>2,325,000.00</w:t>
            </w:r>
          </w:p>
        </w:tc>
        <w:tc>
          <w:tcPr>
            <w:tcW w:w="520" w:type="pct"/>
            <w:shd w:val="clear" w:color="auto" w:fill="auto"/>
          </w:tcPr>
          <w:p w14:paraId="2776880D" w14:textId="77777777" w:rsidR="00E56BA0" w:rsidRPr="00D33D68" w:rsidRDefault="00E56BA0" w:rsidP="00511333">
            <w:pPr>
              <w:spacing w:after="0" w:line="240" w:lineRule="auto"/>
              <w:ind w:left="-104" w:right="-105"/>
              <w:jc w:val="center"/>
              <w:rPr>
                <w:rFonts w:eastAsia="Times New Roman"/>
                <w:noProof w:val="0"/>
                <w:sz w:val="22"/>
              </w:rPr>
            </w:pPr>
            <w:r w:rsidRPr="00D33D68">
              <w:rPr>
                <w:rFonts w:eastAsia="Times New Roman"/>
                <w:sz w:val="22"/>
              </w:rPr>
              <w:t>775,000.00</w:t>
            </w:r>
          </w:p>
        </w:tc>
        <w:tc>
          <w:tcPr>
            <w:tcW w:w="397" w:type="pct"/>
            <w:shd w:val="clear" w:color="auto" w:fill="auto"/>
          </w:tcPr>
          <w:p w14:paraId="094E18FE" w14:textId="77777777" w:rsidR="00E56BA0" w:rsidRPr="00D33D68" w:rsidRDefault="00E56BA0" w:rsidP="002D4065">
            <w:pPr>
              <w:spacing w:after="0" w:line="240" w:lineRule="auto"/>
              <w:ind w:left="-104" w:right="-105"/>
              <w:jc w:val="center"/>
              <w:rPr>
                <w:rFonts w:eastAsia="Times New Roman"/>
                <w:noProof w:val="0"/>
                <w:sz w:val="22"/>
              </w:rPr>
            </w:pPr>
            <w:r w:rsidRPr="00D33D68">
              <w:rPr>
                <w:rFonts w:eastAsia="Times New Roman"/>
                <w:sz w:val="22"/>
              </w:rPr>
              <w:t>0.00</w:t>
            </w:r>
          </w:p>
        </w:tc>
        <w:tc>
          <w:tcPr>
            <w:tcW w:w="399" w:type="pct"/>
            <w:shd w:val="clear" w:color="auto" w:fill="auto"/>
          </w:tcPr>
          <w:p w14:paraId="14217994" w14:textId="77777777" w:rsidR="00E56BA0" w:rsidRPr="00D33D68" w:rsidRDefault="00E56BA0" w:rsidP="002D4065">
            <w:pPr>
              <w:spacing w:after="0" w:line="240" w:lineRule="auto"/>
              <w:ind w:left="-194" w:right="-195"/>
              <w:jc w:val="center"/>
              <w:rPr>
                <w:rFonts w:eastAsia="Times New Roman"/>
                <w:noProof w:val="0"/>
                <w:sz w:val="22"/>
              </w:rPr>
            </w:pPr>
            <w:r w:rsidRPr="00D33D68">
              <w:rPr>
                <w:rFonts w:eastAsia="Times New Roman"/>
                <w:sz w:val="22"/>
              </w:rPr>
              <w:t>0.00</w:t>
            </w:r>
          </w:p>
        </w:tc>
        <w:tc>
          <w:tcPr>
            <w:tcW w:w="406" w:type="pct"/>
            <w:shd w:val="clear" w:color="auto" w:fill="auto"/>
          </w:tcPr>
          <w:p w14:paraId="6341EA2C" w14:textId="77777777" w:rsidR="00E56BA0" w:rsidRPr="00D33D68" w:rsidRDefault="00E56BA0" w:rsidP="00023F53">
            <w:pPr>
              <w:spacing w:after="0" w:line="240" w:lineRule="auto"/>
              <w:jc w:val="right"/>
              <w:rPr>
                <w:rFonts w:eastAsia="Times New Roman"/>
                <w:noProof w:val="0"/>
                <w:sz w:val="22"/>
              </w:rPr>
            </w:pPr>
            <w:r w:rsidRPr="00D33D68">
              <w:rPr>
                <w:rFonts w:eastAsia="Times New Roman"/>
                <w:sz w:val="22"/>
              </w:rPr>
              <w:t>0.00%</w:t>
            </w:r>
          </w:p>
        </w:tc>
      </w:tr>
      <w:tr w:rsidR="00D33D68" w:rsidRPr="00D33D68" w14:paraId="3FD7CE0D" w14:textId="77777777" w:rsidTr="00834D0E">
        <w:tc>
          <w:tcPr>
            <w:tcW w:w="618" w:type="pct"/>
            <w:shd w:val="clear" w:color="auto" w:fill="auto"/>
          </w:tcPr>
          <w:p w14:paraId="031D9079" w14:textId="44A8157A" w:rsidR="00E56BA0" w:rsidRPr="00D33D68" w:rsidRDefault="00E56BA0" w:rsidP="00F13E9B">
            <w:pPr>
              <w:spacing w:after="0" w:line="240" w:lineRule="auto"/>
              <w:ind w:left="-90" w:right="-15"/>
              <w:rPr>
                <w:rFonts w:eastAsia="Times New Roman"/>
                <w:noProof w:val="0"/>
                <w:sz w:val="22"/>
              </w:rPr>
            </w:pPr>
            <w:r w:rsidRPr="00D33D68">
              <w:t>7 - Technical assistance</w:t>
            </w:r>
          </w:p>
        </w:tc>
        <w:tc>
          <w:tcPr>
            <w:tcW w:w="826" w:type="pct"/>
            <w:shd w:val="clear" w:color="auto" w:fill="auto"/>
          </w:tcPr>
          <w:p w14:paraId="203C30D3" w14:textId="3F12EBA0" w:rsidR="00E56BA0" w:rsidRPr="00D33D68" w:rsidRDefault="00E56BA0" w:rsidP="00834D0E">
            <w:pPr>
              <w:spacing w:after="0" w:line="240" w:lineRule="auto"/>
              <w:ind w:left="-104" w:right="-15"/>
              <w:rPr>
                <w:rFonts w:eastAsia="Times New Roman"/>
                <w:noProof w:val="0"/>
                <w:sz w:val="22"/>
              </w:rPr>
            </w:pPr>
            <w:r w:rsidRPr="00D33D68">
              <w:t xml:space="preserve"> - </w:t>
            </w:r>
          </w:p>
        </w:tc>
        <w:tc>
          <w:tcPr>
            <w:tcW w:w="459" w:type="pct"/>
            <w:shd w:val="clear" w:color="auto" w:fill="auto"/>
          </w:tcPr>
          <w:p w14:paraId="4029D157" w14:textId="436BA650" w:rsidR="00E56BA0" w:rsidRPr="00D33D68" w:rsidRDefault="00E56BA0" w:rsidP="00834D0E">
            <w:pPr>
              <w:spacing w:after="0" w:line="240" w:lineRule="auto"/>
              <w:ind w:left="-104" w:right="-195"/>
              <w:jc w:val="center"/>
              <w:rPr>
                <w:rFonts w:eastAsia="Times New Roman"/>
                <w:noProof w:val="0"/>
                <w:sz w:val="22"/>
              </w:rPr>
            </w:pPr>
            <w:r w:rsidRPr="00D33D68">
              <w:t>4,125,000.00</w:t>
            </w:r>
          </w:p>
        </w:tc>
        <w:tc>
          <w:tcPr>
            <w:tcW w:w="458" w:type="pct"/>
            <w:shd w:val="clear" w:color="auto" w:fill="auto"/>
          </w:tcPr>
          <w:p w14:paraId="1F50DA6A" w14:textId="66E6F9C2" w:rsidR="00E56BA0" w:rsidRPr="00D33D68" w:rsidRDefault="00E56BA0" w:rsidP="00834D0E">
            <w:pPr>
              <w:spacing w:after="0" w:line="240" w:lineRule="auto"/>
              <w:ind w:left="-104" w:right="-105"/>
              <w:jc w:val="center"/>
              <w:rPr>
                <w:rFonts w:eastAsia="Times New Roman"/>
                <w:noProof w:val="0"/>
                <w:sz w:val="22"/>
              </w:rPr>
            </w:pPr>
            <w:r w:rsidRPr="00D33D68">
              <w:t>1,375,000.00</w:t>
            </w:r>
          </w:p>
        </w:tc>
        <w:tc>
          <w:tcPr>
            <w:tcW w:w="398" w:type="pct"/>
            <w:shd w:val="clear" w:color="auto" w:fill="auto"/>
          </w:tcPr>
          <w:p w14:paraId="7BD7C5E2" w14:textId="4F473B86" w:rsidR="00E56BA0" w:rsidRPr="00D33D68" w:rsidRDefault="00E56BA0" w:rsidP="002D4065">
            <w:pPr>
              <w:spacing w:after="0" w:line="240" w:lineRule="auto"/>
              <w:jc w:val="center"/>
              <w:rPr>
                <w:rFonts w:eastAsia="Times New Roman"/>
                <w:noProof w:val="0"/>
                <w:sz w:val="22"/>
              </w:rPr>
            </w:pPr>
            <w:r w:rsidRPr="00D33D68">
              <w:t>75.00%</w:t>
            </w:r>
          </w:p>
        </w:tc>
        <w:tc>
          <w:tcPr>
            <w:tcW w:w="519" w:type="pct"/>
            <w:shd w:val="clear" w:color="auto" w:fill="auto"/>
          </w:tcPr>
          <w:p w14:paraId="1FCF63D8" w14:textId="31ED9FC0" w:rsidR="00E56BA0" w:rsidRPr="00D33D68" w:rsidRDefault="00E56BA0" w:rsidP="002D4065">
            <w:pPr>
              <w:spacing w:after="0" w:line="240" w:lineRule="auto"/>
              <w:ind w:left="-104" w:right="-105"/>
              <w:jc w:val="center"/>
              <w:rPr>
                <w:rFonts w:eastAsia="Times New Roman"/>
                <w:noProof w:val="0"/>
                <w:sz w:val="22"/>
              </w:rPr>
            </w:pPr>
            <w:r w:rsidRPr="00D33D68">
              <w:t>4,125,000.00</w:t>
            </w:r>
          </w:p>
        </w:tc>
        <w:tc>
          <w:tcPr>
            <w:tcW w:w="520" w:type="pct"/>
            <w:shd w:val="clear" w:color="auto" w:fill="auto"/>
          </w:tcPr>
          <w:p w14:paraId="723608F1" w14:textId="77777777" w:rsidR="00E56BA0" w:rsidRPr="00D33D68" w:rsidRDefault="00E56BA0" w:rsidP="00511333">
            <w:pPr>
              <w:spacing w:after="0" w:line="240" w:lineRule="auto"/>
              <w:ind w:left="-104" w:right="-105"/>
              <w:jc w:val="center"/>
              <w:rPr>
                <w:rFonts w:eastAsia="Times New Roman"/>
                <w:noProof w:val="0"/>
                <w:sz w:val="22"/>
              </w:rPr>
            </w:pPr>
            <w:r w:rsidRPr="00D33D68">
              <w:rPr>
                <w:rFonts w:eastAsia="Times New Roman"/>
                <w:sz w:val="22"/>
              </w:rPr>
              <w:t>1,375,000.00</w:t>
            </w:r>
          </w:p>
        </w:tc>
        <w:tc>
          <w:tcPr>
            <w:tcW w:w="397" w:type="pct"/>
            <w:shd w:val="clear" w:color="auto" w:fill="auto"/>
          </w:tcPr>
          <w:p w14:paraId="1E01FD97" w14:textId="77777777" w:rsidR="00E56BA0" w:rsidRPr="00D33D68" w:rsidRDefault="00E56BA0" w:rsidP="002D4065">
            <w:pPr>
              <w:spacing w:after="0" w:line="240" w:lineRule="auto"/>
              <w:ind w:left="-104" w:right="-105"/>
              <w:jc w:val="center"/>
              <w:rPr>
                <w:rFonts w:eastAsia="Times New Roman"/>
                <w:noProof w:val="0"/>
                <w:sz w:val="22"/>
              </w:rPr>
            </w:pPr>
          </w:p>
        </w:tc>
        <w:tc>
          <w:tcPr>
            <w:tcW w:w="399" w:type="pct"/>
            <w:shd w:val="clear" w:color="auto" w:fill="auto"/>
          </w:tcPr>
          <w:p w14:paraId="4D6A3D08" w14:textId="77777777" w:rsidR="00E56BA0" w:rsidRPr="00D33D68" w:rsidRDefault="00E56BA0" w:rsidP="002D4065">
            <w:pPr>
              <w:spacing w:after="0" w:line="240" w:lineRule="auto"/>
              <w:ind w:left="-194" w:right="-195"/>
              <w:jc w:val="center"/>
              <w:rPr>
                <w:rFonts w:eastAsia="Times New Roman"/>
                <w:noProof w:val="0"/>
                <w:sz w:val="22"/>
              </w:rPr>
            </w:pPr>
          </w:p>
        </w:tc>
        <w:tc>
          <w:tcPr>
            <w:tcW w:w="406" w:type="pct"/>
            <w:shd w:val="clear" w:color="auto" w:fill="auto"/>
          </w:tcPr>
          <w:p w14:paraId="7FB43811" w14:textId="77777777" w:rsidR="00E56BA0" w:rsidRPr="00D33D68" w:rsidRDefault="00E56BA0" w:rsidP="00023F53">
            <w:pPr>
              <w:spacing w:after="0" w:line="240" w:lineRule="auto"/>
              <w:jc w:val="right"/>
              <w:rPr>
                <w:rFonts w:eastAsia="Times New Roman"/>
                <w:noProof w:val="0"/>
                <w:sz w:val="22"/>
              </w:rPr>
            </w:pPr>
          </w:p>
        </w:tc>
      </w:tr>
      <w:tr w:rsidR="00D33D68" w:rsidRPr="00D33D68" w14:paraId="401628D5" w14:textId="77777777" w:rsidTr="00834D0E">
        <w:tc>
          <w:tcPr>
            <w:tcW w:w="618" w:type="pct"/>
            <w:shd w:val="clear" w:color="auto" w:fill="auto"/>
          </w:tcPr>
          <w:p w14:paraId="55089586" w14:textId="693B9340" w:rsidR="00E56BA0" w:rsidRPr="00D33D68" w:rsidRDefault="00E56BA0" w:rsidP="00F13E9B">
            <w:pPr>
              <w:spacing w:after="0" w:line="240" w:lineRule="auto"/>
              <w:ind w:left="-90" w:right="-15"/>
              <w:rPr>
                <w:rFonts w:eastAsia="Times New Roman"/>
                <w:noProof w:val="0"/>
                <w:sz w:val="22"/>
              </w:rPr>
            </w:pPr>
            <w:r w:rsidRPr="00D33D68">
              <w:t>Total</w:t>
            </w:r>
          </w:p>
        </w:tc>
        <w:tc>
          <w:tcPr>
            <w:tcW w:w="826" w:type="pct"/>
            <w:shd w:val="clear" w:color="auto" w:fill="auto"/>
          </w:tcPr>
          <w:p w14:paraId="455D167D" w14:textId="77777777" w:rsidR="00E56BA0" w:rsidRPr="00D33D68" w:rsidRDefault="00E56BA0" w:rsidP="00834D0E">
            <w:pPr>
              <w:spacing w:after="0" w:line="240" w:lineRule="auto"/>
              <w:ind w:left="-104" w:right="-15"/>
              <w:rPr>
                <w:rFonts w:eastAsia="Times New Roman"/>
                <w:noProof w:val="0"/>
                <w:sz w:val="22"/>
              </w:rPr>
            </w:pPr>
          </w:p>
        </w:tc>
        <w:tc>
          <w:tcPr>
            <w:tcW w:w="459" w:type="pct"/>
            <w:shd w:val="clear" w:color="auto" w:fill="auto"/>
          </w:tcPr>
          <w:p w14:paraId="1F3486F7" w14:textId="1297D602" w:rsidR="00E56BA0" w:rsidRPr="00D33D68" w:rsidRDefault="00E56BA0" w:rsidP="00834D0E">
            <w:pPr>
              <w:spacing w:after="0" w:line="240" w:lineRule="auto"/>
              <w:ind w:left="-104" w:right="-195"/>
              <w:jc w:val="center"/>
              <w:rPr>
                <w:rFonts w:eastAsia="Times New Roman"/>
                <w:noProof w:val="0"/>
                <w:sz w:val="22"/>
              </w:rPr>
            </w:pPr>
            <w:r w:rsidRPr="00D33D68">
              <w:t>80,823,727.00</w:t>
            </w:r>
          </w:p>
        </w:tc>
        <w:tc>
          <w:tcPr>
            <w:tcW w:w="458" w:type="pct"/>
            <w:shd w:val="clear" w:color="auto" w:fill="auto"/>
          </w:tcPr>
          <w:p w14:paraId="3D2A6522" w14:textId="3B5887AA" w:rsidR="00E56BA0" w:rsidRPr="00D33D68" w:rsidRDefault="00E56BA0" w:rsidP="00834D0E">
            <w:pPr>
              <w:spacing w:after="0" w:line="240" w:lineRule="auto"/>
              <w:ind w:left="-104" w:right="-105"/>
              <w:jc w:val="center"/>
              <w:rPr>
                <w:rFonts w:eastAsia="Times New Roman"/>
                <w:noProof w:val="0"/>
                <w:sz w:val="22"/>
              </w:rPr>
            </w:pPr>
            <w:r w:rsidRPr="00D33D68">
              <w:t>23,465,724.00</w:t>
            </w:r>
          </w:p>
        </w:tc>
        <w:tc>
          <w:tcPr>
            <w:tcW w:w="398" w:type="pct"/>
            <w:shd w:val="clear" w:color="auto" w:fill="auto"/>
          </w:tcPr>
          <w:p w14:paraId="1E76940F" w14:textId="77777777" w:rsidR="00E56BA0" w:rsidRPr="00D33D68" w:rsidRDefault="00E56BA0" w:rsidP="00023F53">
            <w:pPr>
              <w:spacing w:after="0" w:line="240" w:lineRule="auto"/>
              <w:jc w:val="right"/>
              <w:rPr>
                <w:rFonts w:eastAsia="Times New Roman"/>
                <w:noProof w:val="0"/>
                <w:sz w:val="22"/>
              </w:rPr>
            </w:pPr>
          </w:p>
        </w:tc>
        <w:tc>
          <w:tcPr>
            <w:tcW w:w="519" w:type="pct"/>
            <w:shd w:val="clear" w:color="auto" w:fill="auto"/>
          </w:tcPr>
          <w:p w14:paraId="461ABA99" w14:textId="5383BCCA" w:rsidR="00E56BA0" w:rsidRPr="00D33D68" w:rsidRDefault="00E56BA0" w:rsidP="002D4065">
            <w:pPr>
              <w:spacing w:after="0" w:line="240" w:lineRule="auto"/>
              <w:ind w:left="-104" w:right="-105"/>
              <w:jc w:val="center"/>
              <w:rPr>
                <w:rFonts w:eastAsia="Times New Roman"/>
                <w:noProof w:val="0"/>
                <w:sz w:val="22"/>
              </w:rPr>
            </w:pPr>
            <w:r w:rsidRPr="00D33D68">
              <w:t>75,539,729.00</w:t>
            </w:r>
          </w:p>
        </w:tc>
        <w:tc>
          <w:tcPr>
            <w:tcW w:w="520" w:type="pct"/>
            <w:shd w:val="clear" w:color="auto" w:fill="auto"/>
          </w:tcPr>
          <w:p w14:paraId="0A754D70" w14:textId="77777777" w:rsidR="00E56BA0" w:rsidRPr="00D33D68" w:rsidRDefault="00E56BA0" w:rsidP="00511333">
            <w:pPr>
              <w:spacing w:after="0" w:line="240" w:lineRule="auto"/>
              <w:ind w:left="-104" w:right="-105"/>
              <w:jc w:val="center"/>
              <w:rPr>
                <w:rFonts w:eastAsia="Times New Roman"/>
                <w:noProof w:val="0"/>
                <w:sz w:val="22"/>
              </w:rPr>
            </w:pPr>
            <w:r w:rsidRPr="00D33D68">
              <w:rPr>
                <w:rFonts w:eastAsia="Times New Roman"/>
                <w:b/>
                <w:sz w:val="22"/>
              </w:rPr>
              <w:t>22,525,849.00</w:t>
            </w:r>
          </w:p>
        </w:tc>
        <w:tc>
          <w:tcPr>
            <w:tcW w:w="397" w:type="pct"/>
            <w:shd w:val="clear" w:color="auto" w:fill="auto"/>
          </w:tcPr>
          <w:p w14:paraId="51286A99" w14:textId="77777777" w:rsidR="00E56BA0" w:rsidRPr="00D33D68" w:rsidRDefault="00E56BA0" w:rsidP="002D4065">
            <w:pPr>
              <w:spacing w:after="0" w:line="240" w:lineRule="auto"/>
              <w:ind w:left="-104" w:right="-105"/>
              <w:jc w:val="center"/>
              <w:rPr>
                <w:rFonts w:eastAsia="Times New Roman"/>
                <w:noProof w:val="0"/>
                <w:sz w:val="22"/>
              </w:rPr>
            </w:pPr>
            <w:r w:rsidRPr="00D33D68">
              <w:rPr>
                <w:rFonts w:eastAsia="Times New Roman"/>
                <w:b/>
                <w:sz w:val="22"/>
              </w:rPr>
              <w:t>5,283,998.00</w:t>
            </w:r>
          </w:p>
        </w:tc>
        <w:tc>
          <w:tcPr>
            <w:tcW w:w="399" w:type="pct"/>
            <w:shd w:val="clear" w:color="auto" w:fill="auto"/>
          </w:tcPr>
          <w:p w14:paraId="168E502B" w14:textId="77777777" w:rsidR="00E56BA0" w:rsidRPr="00D33D68" w:rsidRDefault="00E56BA0" w:rsidP="002D4065">
            <w:pPr>
              <w:spacing w:after="0" w:line="240" w:lineRule="auto"/>
              <w:ind w:left="-194" w:right="-195"/>
              <w:jc w:val="center"/>
              <w:rPr>
                <w:rFonts w:eastAsia="Times New Roman"/>
                <w:noProof w:val="0"/>
                <w:sz w:val="22"/>
              </w:rPr>
            </w:pPr>
            <w:r w:rsidRPr="00D33D68">
              <w:rPr>
                <w:rFonts w:eastAsia="Times New Roman"/>
                <w:b/>
                <w:sz w:val="22"/>
              </w:rPr>
              <w:t>915,549.00</w:t>
            </w:r>
          </w:p>
        </w:tc>
        <w:tc>
          <w:tcPr>
            <w:tcW w:w="406" w:type="pct"/>
            <w:shd w:val="clear" w:color="auto" w:fill="auto"/>
          </w:tcPr>
          <w:p w14:paraId="6CA63A44" w14:textId="77777777" w:rsidR="00E56BA0" w:rsidRPr="00D33D68" w:rsidRDefault="00E56BA0" w:rsidP="00023F53">
            <w:pPr>
              <w:spacing w:after="0" w:line="240" w:lineRule="auto"/>
              <w:jc w:val="right"/>
              <w:rPr>
                <w:rFonts w:eastAsia="Times New Roman"/>
                <w:noProof w:val="0"/>
                <w:sz w:val="22"/>
              </w:rPr>
            </w:pPr>
            <w:r w:rsidRPr="00D33D68">
              <w:rPr>
                <w:rFonts w:eastAsia="Times New Roman"/>
                <w:b/>
                <w:sz w:val="22"/>
              </w:rPr>
              <w:t>6.54%</w:t>
            </w:r>
          </w:p>
        </w:tc>
      </w:tr>
    </w:tbl>
    <w:p w14:paraId="20595372" w14:textId="77777777" w:rsidR="00023F53" w:rsidRPr="00D33D68" w:rsidRDefault="00023F53" w:rsidP="00023F53">
      <w:pPr>
        <w:sectPr w:rsidR="00023F53" w:rsidRPr="00D33D68" w:rsidSect="00511333">
          <w:pgSz w:w="16838" w:h="11906" w:orient="landscape" w:code="9"/>
          <w:pgMar w:top="1417" w:right="1417" w:bottom="1417" w:left="1417" w:header="708" w:footer="708" w:gutter="0"/>
          <w:cols w:space="708"/>
          <w:docGrid w:linePitch="360"/>
        </w:sectPr>
      </w:pPr>
    </w:p>
    <w:p w14:paraId="72A7DE9E" w14:textId="56846A27" w:rsidR="00581FBD" w:rsidRPr="00D33D68" w:rsidRDefault="00581FBD" w:rsidP="00067D88">
      <w:pPr>
        <w:pStyle w:val="Heading2"/>
        <w:numPr>
          <w:ilvl w:val="0"/>
          <w:numId w:val="0"/>
        </w:numPr>
        <w:rPr>
          <w:rFonts w:ascii="Times New Roman" w:hAnsi="Times New Roman" w:cs="Times New Roman"/>
        </w:rPr>
      </w:pPr>
    </w:p>
    <w:p w14:paraId="3E7018DB" w14:textId="344347E2" w:rsidR="00196F49" w:rsidRPr="00D33D68" w:rsidRDefault="00196F49" w:rsidP="00196F49">
      <w:pPr>
        <w:pStyle w:val="Heading2"/>
        <w:rPr>
          <w:rFonts w:ascii="Times New Roman" w:hAnsi="Times New Roman" w:cs="Times New Roman"/>
        </w:rPr>
      </w:pPr>
      <w:r w:rsidRPr="00D33D68">
        <w:rPr>
          <w:rFonts w:ascii="Times New Roman" w:hAnsi="Times New Roman" w:cs="Times New Roman"/>
        </w:rPr>
        <w:t>Промяна в секция 8.3 „Участие на ЕФМДР по отношение на тематичните цели на ЕСИ фондовете“</w:t>
      </w:r>
    </w:p>
    <w:p w14:paraId="6C2B5E96" w14:textId="445D0735" w:rsidR="003D6FA7" w:rsidRPr="00D33D68" w:rsidRDefault="00196F49" w:rsidP="00860069">
      <w:pPr>
        <w:rPr>
          <w:b/>
        </w:rPr>
      </w:pPr>
      <w:r w:rsidRPr="00D33D68">
        <w:tab/>
      </w:r>
      <w:r w:rsidR="003D6FA7" w:rsidRPr="00D33D68">
        <w:t xml:space="preserve">Предложеното изменение на програмата води до промени в приноса на по различните тематични цели към ПМДР, както следва: </w:t>
      </w:r>
    </w:p>
    <w:p w14:paraId="56D88C03" w14:textId="77777777" w:rsidR="003D6FA7" w:rsidRPr="00D33D68" w:rsidRDefault="003D6FA7" w:rsidP="003D6FA7">
      <w:r w:rsidRPr="00D33D68">
        <w:t xml:space="preserve"> Промяната в приноса на ПМДР към тематични цели 3, 4, 6 и 8 е следната:</w:t>
      </w:r>
    </w:p>
    <w:tbl>
      <w:tblPr>
        <w:tblW w:w="957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5092"/>
        <w:gridCol w:w="2280"/>
        <w:gridCol w:w="2200"/>
      </w:tblGrid>
      <w:tr w:rsidR="00D33D68" w:rsidRPr="00D33D68" w14:paraId="5B00FAEA" w14:textId="77777777" w:rsidTr="00651EAB">
        <w:trPr>
          <w:trHeight w:val="990"/>
        </w:trPr>
        <w:tc>
          <w:tcPr>
            <w:tcW w:w="5092" w:type="dxa"/>
            <w:tcMar>
              <w:top w:w="0" w:type="dxa"/>
              <w:left w:w="70" w:type="dxa"/>
              <w:bottom w:w="0" w:type="dxa"/>
              <w:right w:w="70" w:type="dxa"/>
            </w:tcMar>
            <w:vAlign w:val="center"/>
            <w:hideMark/>
          </w:tcPr>
          <w:p w14:paraId="73570023" w14:textId="77777777" w:rsidR="00A42CAA" w:rsidRPr="00D33D68" w:rsidRDefault="00A42CAA">
            <w:pPr>
              <w:jc w:val="center"/>
              <w:rPr>
                <w:b/>
                <w:bCs/>
                <w:lang w:eastAsia="bg-BG"/>
              </w:rPr>
            </w:pPr>
            <w:r w:rsidRPr="00D33D68">
              <w:rPr>
                <w:b/>
                <w:bCs/>
                <w:lang w:eastAsia="bg-BG"/>
              </w:rPr>
              <w:t>Thematic objective</w:t>
            </w:r>
          </w:p>
        </w:tc>
        <w:tc>
          <w:tcPr>
            <w:tcW w:w="2280" w:type="dxa"/>
            <w:tcMar>
              <w:top w:w="0" w:type="dxa"/>
              <w:left w:w="70" w:type="dxa"/>
              <w:bottom w:w="0" w:type="dxa"/>
              <w:right w:w="70" w:type="dxa"/>
            </w:tcMar>
            <w:vAlign w:val="center"/>
            <w:hideMark/>
          </w:tcPr>
          <w:p w14:paraId="6BAD273D" w14:textId="77777777" w:rsidR="00A42CAA" w:rsidRPr="00D33D68" w:rsidRDefault="00A42CAA" w:rsidP="00A42CAA">
            <w:pPr>
              <w:contextualSpacing/>
              <w:jc w:val="center"/>
              <w:rPr>
                <w:b/>
                <w:bCs/>
                <w:lang w:eastAsia="bg-BG"/>
              </w:rPr>
            </w:pPr>
            <w:r w:rsidRPr="00D33D68">
              <w:rPr>
                <w:b/>
                <w:bCs/>
                <w:lang w:eastAsia="bg-BG"/>
              </w:rPr>
              <w:t>EMFF contribution, euro</w:t>
            </w:r>
          </w:p>
          <w:p w14:paraId="6CC737FC" w14:textId="77777777" w:rsidR="00A42CAA" w:rsidRPr="00D33D68" w:rsidRDefault="00A42CAA" w:rsidP="00A42CAA">
            <w:pPr>
              <w:contextualSpacing/>
              <w:jc w:val="center"/>
              <w:rPr>
                <w:b/>
                <w:bCs/>
                <w:lang w:eastAsia="bg-BG"/>
              </w:rPr>
            </w:pPr>
            <w:r w:rsidRPr="00D33D68">
              <w:rPr>
                <w:b/>
                <w:bCs/>
                <w:lang w:eastAsia="bg-BG"/>
              </w:rPr>
              <w:t>(current)</w:t>
            </w:r>
          </w:p>
        </w:tc>
        <w:tc>
          <w:tcPr>
            <w:tcW w:w="2200" w:type="dxa"/>
          </w:tcPr>
          <w:p w14:paraId="31BB9CE2" w14:textId="77777777" w:rsidR="00A42CAA" w:rsidRPr="00D33D68" w:rsidRDefault="00A42CAA" w:rsidP="00A42CAA">
            <w:pPr>
              <w:contextualSpacing/>
              <w:jc w:val="center"/>
              <w:rPr>
                <w:b/>
                <w:bCs/>
                <w:lang w:eastAsia="bg-BG"/>
              </w:rPr>
            </w:pPr>
            <w:r w:rsidRPr="00D33D68">
              <w:rPr>
                <w:b/>
                <w:bCs/>
                <w:lang w:eastAsia="bg-BG"/>
              </w:rPr>
              <w:t>EMFF contribution, euro</w:t>
            </w:r>
          </w:p>
          <w:p w14:paraId="057E57F5" w14:textId="77777777" w:rsidR="00A42CAA" w:rsidRPr="00D33D68" w:rsidRDefault="00A42CAA" w:rsidP="00A42CAA">
            <w:pPr>
              <w:contextualSpacing/>
              <w:jc w:val="center"/>
              <w:rPr>
                <w:b/>
                <w:bCs/>
                <w:lang w:eastAsia="bg-BG"/>
              </w:rPr>
            </w:pPr>
            <w:r w:rsidRPr="00D33D68">
              <w:rPr>
                <w:b/>
                <w:bCs/>
                <w:lang w:eastAsia="bg-BG"/>
              </w:rPr>
              <w:t>(new)</w:t>
            </w:r>
          </w:p>
        </w:tc>
      </w:tr>
      <w:tr w:rsidR="00D33D68" w:rsidRPr="00D33D68" w14:paraId="23A7A617" w14:textId="77777777" w:rsidTr="00651EAB">
        <w:trPr>
          <w:trHeight w:val="340"/>
        </w:trPr>
        <w:tc>
          <w:tcPr>
            <w:tcW w:w="5092" w:type="dxa"/>
            <w:tcMar>
              <w:top w:w="0" w:type="dxa"/>
              <w:left w:w="70" w:type="dxa"/>
              <w:bottom w:w="0" w:type="dxa"/>
              <w:right w:w="70" w:type="dxa"/>
            </w:tcMar>
            <w:vAlign w:val="center"/>
            <w:hideMark/>
          </w:tcPr>
          <w:p w14:paraId="4FA6C397" w14:textId="77777777" w:rsidR="00A42CAA" w:rsidRPr="00D33D68" w:rsidRDefault="00A42CAA" w:rsidP="00F52D48">
            <w:pPr>
              <w:spacing w:after="0"/>
            </w:pPr>
            <w:r w:rsidRPr="00D33D68">
              <w:t>(3) enhancing the competitiveness of SMEs, of the agricultural sector (for the EAFRD) and of the fishery and aquaculture sector (for the EMFF)</w:t>
            </w:r>
          </w:p>
        </w:tc>
        <w:tc>
          <w:tcPr>
            <w:tcW w:w="2280" w:type="dxa"/>
            <w:tcMar>
              <w:top w:w="0" w:type="dxa"/>
              <w:left w:w="70" w:type="dxa"/>
              <w:bottom w:w="0" w:type="dxa"/>
              <w:right w:w="70" w:type="dxa"/>
            </w:tcMar>
            <w:vAlign w:val="center"/>
          </w:tcPr>
          <w:p w14:paraId="4BAA56DD" w14:textId="20BCC97A" w:rsidR="00A42CAA" w:rsidRPr="00D33D68" w:rsidRDefault="00E62191" w:rsidP="00F52D48">
            <w:pPr>
              <w:spacing w:after="0"/>
              <w:jc w:val="right"/>
            </w:pPr>
            <w:r w:rsidRPr="00D33D68">
              <w:t>39,863,027.00</w:t>
            </w:r>
          </w:p>
        </w:tc>
        <w:tc>
          <w:tcPr>
            <w:tcW w:w="2200" w:type="dxa"/>
            <w:vAlign w:val="center"/>
          </w:tcPr>
          <w:p w14:paraId="60D34269" w14:textId="7B1FBC44" w:rsidR="00A42CAA" w:rsidRPr="00D33D68" w:rsidRDefault="00A42CAA" w:rsidP="00F32B99">
            <w:pPr>
              <w:spacing w:after="0"/>
              <w:jc w:val="right"/>
            </w:pPr>
            <w:r w:rsidRPr="00D33D68">
              <w:t xml:space="preserve">      </w:t>
            </w:r>
            <w:r w:rsidR="00F32B99" w:rsidRPr="00D33D68">
              <w:rPr>
                <w:lang w:val="en-US"/>
              </w:rPr>
              <w:t>38</w:t>
            </w:r>
            <w:r w:rsidR="00D10235" w:rsidRPr="00D33D68">
              <w:t>,</w:t>
            </w:r>
            <w:r w:rsidR="00F32B99" w:rsidRPr="00D33D68">
              <w:rPr>
                <w:lang w:val="en-US"/>
              </w:rPr>
              <w:t>631</w:t>
            </w:r>
            <w:r w:rsidR="00D10235" w:rsidRPr="00D33D68">
              <w:t>,</w:t>
            </w:r>
            <w:r w:rsidR="00F32B99" w:rsidRPr="00D33D68">
              <w:rPr>
                <w:lang w:val="en-US"/>
              </w:rPr>
              <w:t>010</w:t>
            </w:r>
            <w:r w:rsidR="00D10235" w:rsidRPr="00D33D68">
              <w:t>.00</w:t>
            </w:r>
            <w:r w:rsidR="00CF5BF6" w:rsidRPr="00D33D68">
              <w:t xml:space="preserve"> </w:t>
            </w:r>
          </w:p>
        </w:tc>
      </w:tr>
      <w:tr w:rsidR="00D33D68" w:rsidRPr="00D33D68" w14:paraId="67E76D5C" w14:textId="77777777" w:rsidTr="00651EAB">
        <w:trPr>
          <w:trHeight w:val="754"/>
        </w:trPr>
        <w:tc>
          <w:tcPr>
            <w:tcW w:w="5092" w:type="dxa"/>
            <w:tcMar>
              <w:top w:w="0" w:type="dxa"/>
              <w:left w:w="70" w:type="dxa"/>
              <w:bottom w:w="0" w:type="dxa"/>
              <w:right w:w="70" w:type="dxa"/>
            </w:tcMar>
            <w:vAlign w:val="center"/>
            <w:hideMark/>
          </w:tcPr>
          <w:p w14:paraId="719B8211" w14:textId="77777777" w:rsidR="00A42CAA" w:rsidRPr="00D33D68" w:rsidRDefault="00A42CAA" w:rsidP="00F52D48">
            <w:pPr>
              <w:spacing w:after="0"/>
            </w:pPr>
            <w:r w:rsidRPr="00D33D68">
              <w:t>(4) supporting the shift towards a low-carbon economy in all sectors;</w:t>
            </w:r>
          </w:p>
        </w:tc>
        <w:tc>
          <w:tcPr>
            <w:tcW w:w="2280" w:type="dxa"/>
            <w:tcMar>
              <w:top w:w="0" w:type="dxa"/>
              <w:left w:w="70" w:type="dxa"/>
              <w:bottom w:w="0" w:type="dxa"/>
              <w:right w:w="70" w:type="dxa"/>
            </w:tcMar>
            <w:vAlign w:val="center"/>
          </w:tcPr>
          <w:p w14:paraId="75D9AB7A" w14:textId="058A066B" w:rsidR="00A42CAA" w:rsidRPr="00D33D68" w:rsidRDefault="00E62191" w:rsidP="00F52D48">
            <w:pPr>
              <w:spacing w:after="0"/>
              <w:jc w:val="right"/>
            </w:pPr>
            <w:r w:rsidRPr="00D33D68">
              <w:t>980,831.00</w:t>
            </w:r>
          </w:p>
        </w:tc>
        <w:tc>
          <w:tcPr>
            <w:tcW w:w="2200" w:type="dxa"/>
            <w:vAlign w:val="center"/>
          </w:tcPr>
          <w:p w14:paraId="3A945757" w14:textId="2C3C6E76" w:rsidR="00A42CAA" w:rsidRPr="00D33D68" w:rsidRDefault="00A42CAA" w:rsidP="00F32B99">
            <w:pPr>
              <w:spacing w:after="0"/>
              <w:jc w:val="right"/>
            </w:pPr>
            <w:r w:rsidRPr="00D33D68">
              <w:t xml:space="preserve">        </w:t>
            </w:r>
            <w:r w:rsidR="00F32B99" w:rsidRPr="00D33D68">
              <w:rPr>
                <w:lang w:val="en-US"/>
              </w:rPr>
              <w:t>1,031</w:t>
            </w:r>
            <w:r w:rsidR="00D10235" w:rsidRPr="00D33D68">
              <w:t>,</w:t>
            </w:r>
            <w:r w:rsidR="00F32B99" w:rsidRPr="00D33D68">
              <w:rPr>
                <w:lang w:val="en-US"/>
              </w:rPr>
              <w:t>250</w:t>
            </w:r>
            <w:r w:rsidR="00D10235" w:rsidRPr="00D33D68">
              <w:t>.00</w:t>
            </w:r>
            <w:r w:rsidRPr="00D33D68">
              <w:t xml:space="preserve"> </w:t>
            </w:r>
          </w:p>
        </w:tc>
      </w:tr>
      <w:tr w:rsidR="00D33D68" w:rsidRPr="00D33D68" w14:paraId="683297A3" w14:textId="77777777" w:rsidTr="00651EAB">
        <w:trPr>
          <w:trHeight w:val="709"/>
        </w:trPr>
        <w:tc>
          <w:tcPr>
            <w:tcW w:w="5092" w:type="dxa"/>
            <w:tcMar>
              <w:top w:w="0" w:type="dxa"/>
              <w:left w:w="70" w:type="dxa"/>
              <w:bottom w:w="0" w:type="dxa"/>
              <w:right w:w="70" w:type="dxa"/>
            </w:tcMar>
            <w:vAlign w:val="center"/>
            <w:hideMark/>
          </w:tcPr>
          <w:p w14:paraId="345B4A93" w14:textId="77777777" w:rsidR="00A42CAA" w:rsidRPr="00D33D68" w:rsidRDefault="00A42CAA" w:rsidP="00F52D48">
            <w:pPr>
              <w:spacing w:after="0"/>
            </w:pPr>
            <w:r w:rsidRPr="00D33D68">
              <w:t>(6) preserving and protecting the environment and promoting resource efficiency;</w:t>
            </w:r>
          </w:p>
        </w:tc>
        <w:tc>
          <w:tcPr>
            <w:tcW w:w="2280" w:type="dxa"/>
            <w:tcMar>
              <w:top w:w="0" w:type="dxa"/>
              <w:left w:w="70" w:type="dxa"/>
              <w:bottom w:w="0" w:type="dxa"/>
              <w:right w:w="70" w:type="dxa"/>
            </w:tcMar>
            <w:vAlign w:val="center"/>
          </w:tcPr>
          <w:p w14:paraId="2D48AF50" w14:textId="1B24FA16" w:rsidR="00A42CAA" w:rsidRPr="00D33D68" w:rsidRDefault="00E62191" w:rsidP="00F52D48">
            <w:pPr>
              <w:spacing w:after="0"/>
              <w:jc w:val="right"/>
            </w:pPr>
            <w:r w:rsidRPr="00D33D68">
              <w:t>20,062,094.00</w:t>
            </w:r>
          </w:p>
        </w:tc>
        <w:tc>
          <w:tcPr>
            <w:tcW w:w="2200" w:type="dxa"/>
            <w:vAlign w:val="center"/>
          </w:tcPr>
          <w:p w14:paraId="587A5598" w14:textId="4D925D64" w:rsidR="00A42CAA" w:rsidRPr="00D33D68" w:rsidRDefault="00A42CAA" w:rsidP="00F32B99">
            <w:pPr>
              <w:spacing w:after="0"/>
              <w:jc w:val="right"/>
            </w:pPr>
            <w:r w:rsidRPr="00D33D68">
              <w:t xml:space="preserve">      </w:t>
            </w:r>
            <w:r w:rsidR="00F32B99" w:rsidRPr="00D33D68">
              <w:rPr>
                <w:lang w:val="en-US"/>
              </w:rPr>
              <w:t>21</w:t>
            </w:r>
            <w:r w:rsidR="00D10235" w:rsidRPr="00D33D68">
              <w:t>,</w:t>
            </w:r>
            <w:r w:rsidR="00F32B99" w:rsidRPr="00D33D68">
              <w:rPr>
                <w:lang w:val="en-US"/>
              </w:rPr>
              <w:t>243</w:t>
            </w:r>
            <w:r w:rsidR="00D10235" w:rsidRPr="00D33D68">
              <w:t>,</w:t>
            </w:r>
            <w:r w:rsidR="00F32B99" w:rsidRPr="00D33D68">
              <w:rPr>
                <w:lang w:val="en-US"/>
              </w:rPr>
              <w:t>692</w:t>
            </w:r>
            <w:r w:rsidR="00D10235" w:rsidRPr="00D33D68">
              <w:t>.00</w:t>
            </w:r>
            <w:r w:rsidRPr="00D33D68">
              <w:t xml:space="preserve"> </w:t>
            </w:r>
          </w:p>
        </w:tc>
      </w:tr>
      <w:tr w:rsidR="00D33D68" w:rsidRPr="00D33D68" w14:paraId="2A39B016" w14:textId="77777777" w:rsidTr="00651EAB">
        <w:trPr>
          <w:trHeight w:val="791"/>
        </w:trPr>
        <w:tc>
          <w:tcPr>
            <w:tcW w:w="5092" w:type="dxa"/>
            <w:tcMar>
              <w:top w:w="0" w:type="dxa"/>
              <w:left w:w="70" w:type="dxa"/>
              <w:bottom w:w="0" w:type="dxa"/>
              <w:right w:w="70" w:type="dxa"/>
            </w:tcMar>
            <w:vAlign w:val="center"/>
            <w:hideMark/>
          </w:tcPr>
          <w:p w14:paraId="77F025DF" w14:textId="77777777" w:rsidR="00A42CAA" w:rsidRPr="00D33D68" w:rsidRDefault="00A42CAA" w:rsidP="00F52D48">
            <w:pPr>
              <w:spacing w:after="0"/>
            </w:pPr>
            <w:r w:rsidRPr="00D33D68">
              <w:t>(8) promoting sustainable and quality employment and supporting labour mobility.</w:t>
            </w:r>
          </w:p>
        </w:tc>
        <w:tc>
          <w:tcPr>
            <w:tcW w:w="2280" w:type="dxa"/>
            <w:tcMar>
              <w:top w:w="0" w:type="dxa"/>
              <w:left w:w="70" w:type="dxa"/>
              <w:bottom w:w="0" w:type="dxa"/>
              <w:right w:w="70" w:type="dxa"/>
            </w:tcMar>
            <w:vAlign w:val="center"/>
          </w:tcPr>
          <w:p w14:paraId="52E9DE29" w14:textId="749ACED8" w:rsidR="00A42CAA" w:rsidRPr="00D33D68" w:rsidRDefault="00E62191" w:rsidP="00F52D48">
            <w:pPr>
              <w:spacing w:after="0"/>
              <w:jc w:val="right"/>
            </w:pPr>
            <w:r w:rsidRPr="00D33D68">
              <w:t>15,792,775.00</w:t>
            </w:r>
          </w:p>
        </w:tc>
        <w:tc>
          <w:tcPr>
            <w:tcW w:w="2200" w:type="dxa"/>
            <w:vAlign w:val="center"/>
          </w:tcPr>
          <w:p w14:paraId="70FCB85D" w14:textId="5F9C77E9" w:rsidR="00A42CAA" w:rsidRPr="00D33D68" w:rsidRDefault="00A42CAA" w:rsidP="00D10235">
            <w:pPr>
              <w:spacing w:after="0"/>
              <w:jc w:val="right"/>
            </w:pPr>
            <w:r w:rsidRPr="00D33D68">
              <w:t xml:space="preserve">      </w:t>
            </w:r>
            <w:r w:rsidR="00D10235" w:rsidRPr="00D33D68">
              <w:t>15,792,775.00</w:t>
            </w:r>
            <w:r w:rsidRPr="00D33D68">
              <w:t xml:space="preserve"> </w:t>
            </w:r>
          </w:p>
        </w:tc>
      </w:tr>
    </w:tbl>
    <w:p w14:paraId="02250FD7" w14:textId="77777777" w:rsidR="00196F49" w:rsidRPr="00D33D68" w:rsidRDefault="00196F49" w:rsidP="00196F49"/>
    <w:p w14:paraId="62DD6865" w14:textId="77777777" w:rsidR="00196F49" w:rsidRPr="00D33D68" w:rsidRDefault="00196F49" w:rsidP="00196F49">
      <w:pPr>
        <w:pStyle w:val="Heading2"/>
        <w:rPr>
          <w:rFonts w:ascii="Times New Roman" w:hAnsi="Times New Roman" w:cs="Times New Roman"/>
        </w:rPr>
      </w:pPr>
      <w:r w:rsidRPr="00D33D68">
        <w:rPr>
          <w:rFonts w:ascii="Times New Roman" w:hAnsi="Times New Roman" w:cs="Times New Roman"/>
        </w:rPr>
        <w:t xml:space="preserve">Промяна в секция 9.2 „Определяне на ориентировъчния размер на подкрепата за постигането на целите, свързани със смекчаване и приспособяване към изменението на климата (в съответствие с чл. 18, параграф 1, буква </w:t>
      </w:r>
      <w:r w:rsidR="00691000" w:rsidRPr="00D33D68">
        <w:rPr>
          <w:rFonts w:ascii="Times New Roman" w:hAnsi="Times New Roman" w:cs="Times New Roman"/>
        </w:rPr>
        <w:t>а от Регламент (ЕС) № 508/2014)</w:t>
      </w:r>
      <w:r w:rsidRPr="00D33D68">
        <w:rPr>
          <w:rFonts w:ascii="Times New Roman" w:hAnsi="Times New Roman" w:cs="Times New Roman"/>
        </w:rPr>
        <w:t xml:space="preserve">“ </w:t>
      </w:r>
    </w:p>
    <w:p w14:paraId="62FADADC" w14:textId="77777777" w:rsidR="00196F49" w:rsidRPr="00D33D68" w:rsidRDefault="00196F49" w:rsidP="00196F49">
      <w:pPr>
        <w:spacing w:after="0" w:line="240" w:lineRule="auto"/>
      </w:pPr>
    </w:p>
    <w:p w14:paraId="4CAB178B" w14:textId="1CFAC96A" w:rsidR="00E067A1" w:rsidRPr="00D33D68" w:rsidRDefault="00196F49" w:rsidP="009E18EA">
      <w:r w:rsidRPr="00D33D68">
        <w:tab/>
      </w:r>
      <w:r w:rsidR="00E067A1" w:rsidRPr="00D33D68">
        <w:t>Предложеното</w:t>
      </w:r>
      <w:r w:rsidR="007525E5" w:rsidRPr="00D33D68">
        <w:t xml:space="preserve"> изменение на пр</w:t>
      </w:r>
      <w:r w:rsidR="00C61B6E" w:rsidRPr="00D33D68">
        <w:t>о</w:t>
      </w:r>
      <w:r w:rsidR="007525E5" w:rsidRPr="00D33D68">
        <w:t>грамата</w:t>
      </w:r>
      <w:r w:rsidR="00E067A1" w:rsidRPr="00D33D68">
        <w:t xml:space="preserve"> води до промени в приноса на ПМДР към изменението на климата</w:t>
      </w:r>
      <w:r w:rsidR="00E0651D" w:rsidRPr="00D33D68">
        <w:t xml:space="preserve"> поради </w:t>
      </w:r>
      <w:r w:rsidR="007525E5" w:rsidRPr="00D33D68">
        <w:t>пренасочване на бюджетите</w:t>
      </w:r>
      <w:r w:rsidR="0054238D" w:rsidRPr="00D33D68">
        <w:t xml:space="preserve"> </w:t>
      </w:r>
      <w:r w:rsidR="00C61B6E" w:rsidRPr="00D33D68">
        <w:t>по различните мерки, като мерки с принос към климата остават 1.6; 1.3; 1.8; 1,9; 2.2; 3.2; 4.2; 6.3</w:t>
      </w:r>
      <w:r w:rsidR="009E18EA" w:rsidRPr="00D33D68">
        <w:t>. Промяната в приноса на ПМДР към изменението на климата е следната</w:t>
      </w:r>
      <w:r w:rsidR="00E067A1" w:rsidRPr="00D33D68">
        <w:t>:</w:t>
      </w:r>
    </w:p>
    <w:tbl>
      <w:tblPr>
        <w:tblW w:w="4959" w:type="pct"/>
        <w:tblInd w:w="108" w:type="dxa"/>
        <w:tblLayout w:type="fixed"/>
        <w:tblCellMar>
          <w:left w:w="0" w:type="dxa"/>
          <w:right w:w="0" w:type="dxa"/>
        </w:tblCellMar>
        <w:tblLook w:val="04A0" w:firstRow="1" w:lastRow="0" w:firstColumn="1" w:lastColumn="0" w:noHBand="0" w:noVBand="1"/>
      </w:tblPr>
      <w:tblGrid>
        <w:gridCol w:w="2277"/>
        <w:gridCol w:w="1853"/>
        <w:gridCol w:w="2850"/>
        <w:gridCol w:w="2563"/>
      </w:tblGrid>
      <w:tr w:rsidR="00D33D68" w:rsidRPr="00D33D68" w14:paraId="6ED0BCD7" w14:textId="77777777" w:rsidTr="009D38A4">
        <w:tc>
          <w:tcPr>
            <w:tcW w:w="1193"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AB2FF5E" w14:textId="77777777" w:rsidR="00663796" w:rsidRPr="00D33D68" w:rsidRDefault="00466BD4" w:rsidP="00466BD4">
            <w:pPr>
              <w:spacing w:after="0" w:line="240" w:lineRule="auto"/>
              <w:jc w:val="left"/>
              <w:rPr>
                <w:rFonts w:eastAsia="Times New Roman"/>
                <w:b/>
                <w:bCs/>
                <w:noProof w:val="0"/>
                <w:shd w:val="clear" w:color="auto" w:fill="FFFF00"/>
              </w:rPr>
            </w:pPr>
            <w:proofErr w:type="spellStart"/>
            <w:r w:rsidRPr="00D33D68">
              <w:rPr>
                <w:rFonts w:eastAsia="Times New Roman"/>
                <w:b/>
                <w:bCs/>
                <w:noProof w:val="0"/>
              </w:rPr>
              <w:t>The</w:t>
            </w:r>
            <w:proofErr w:type="spellEnd"/>
            <w:r w:rsidRPr="00D33D68">
              <w:rPr>
                <w:rFonts w:eastAsia="Times New Roman"/>
                <w:b/>
                <w:bCs/>
                <w:noProof w:val="0"/>
              </w:rPr>
              <w:t xml:space="preserve"> </w:t>
            </w:r>
            <w:proofErr w:type="spellStart"/>
            <w:r w:rsidRPr="00D33D68">
              <w:rPr>
                <w:rFonts w:eastAsia="Times New Roman"/>
                <w:b/>
                <w:bCs/>
                <w:noProof w:val="0"/>
              </w:rPr>
              <w:t>indicative</w:t>
            </w:r>
            <w:proofErr w:type="spellEnd"/>
            <w:r w:rsidRPr="00D33D68">
              <w:rPr>
                <w:rFonts w:eastAsia="Times New Roman"/>
                <w:b/>
                <w:bCs/>
                <w:noProof w:val="0"/>
              </w:rPr>
              <w:t xml:space="preserve"> EMFF </w:t>
            </w:r>
            <w:proofErr w:type="spellStart"/>
            <w:r w:rsidRPr="00D33D68">
              <w:rPr>
                <w:rFonts w:eastAsia="Times New Roman"/>
                <w:b/>
                <w:bCs/>
                <w:noProof w:val="0"/>
              </w:rPr>
              <w:t>contribution</w:t>
            </w:r>
            <w:proofErr w:type="spellEnd"/>
            <w:r w:rsidRPr="00D33D68">
              <w:rPr>
                <w:rFonts w:eastAsia="Times New Roman"/>
                <w:b/>
                <w:bCs/>
                <w:noProof w:val="0"/>
              </w:rPr>
              <w:t xml:space="preserve"> (</w:t>
            </w:r>
            <w:proofErr w:type="spellStart"/>
            <w:r w:rsidRPr="00D33D68">
              <w:rPr>
                <w:rFonts w:eastAsia="Times New Roman"/>
                <w:b/>
                <w:bCs/>
                <w:noProof w:val="0"/>
              </w:rPr>
              <w:t>euro</w:t>
            </w:r>
            <w:proofErr w:type="spellEnd"/>
            <w:r w:rsidRPr="00D33D68">
              <w:rPr>
                <w:rFonts w:eastAsia="Times New Roman"/>
                <w:b/>
                <w:bCs/>
                <w:noProof w:val="0"/>
              </w:rPr>
              <w:t xml:space="preserve">) </w:t>
            </w:r>
          </w:p>
          <w:p w14:paraId="1FFBAB1E" w14:textId="77777777" w:rsidR="00663796" w:rsidRPr="00D33D68" w:rsidRDefault="00466BD4" w:rsidP="00466BD4">
            <w:pPr>
              <w:spacing w:after="0" w:line="240" w:lineRule="auto"/>
              <w:jc w:val="left"/>
              <w:rPr>
                <w:rFonts w:eastAsia="Times New Roman"/>
                <w:b/>
                <w:noProof w:val="0"/>
              </w:rPr>
            </w:pPr>
            <w:r w:rsidRPr="00D33D68">
              <w:rPr>
                <w:rFonts w:eastAsia="Times New Roman"/>
                <w:b/>
                <w:noProof w:val="0"/>
              </w:rPr>
              <w:t>(</w:t>
            </w:r>
            <w:proofErr w:type="spellStart"/>
            <w:r w:rsidRPr="00D33D68">
              <w:rPr>
                <w:rFonts w:eastAsia="Times New Roman"/>
                <w:b/>
                <w:noProof w:val="0"/>
              </w:rPr>
              <w:t>current</w:t>
            </w:r>
            <w:proofErr w:type="spellEnd"/>
            <w:r w:rsidRPr="00D33D68">
              <w:rPr>
                <w:rFonts w:eastAsia="Times New Roman"/>
                <w:b/>
                <w:noProof w:val="0"/>
              </w:rPr>
              <w:t>)</w:t>
            </w:r>
          </w:p>
        </w:tc>
        <w:tc>
          <w:tcPr>
            <w:tcW w:w="971"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4E05BF1" w14:textId="77777777" w:rsidR="00663796" w:rsidRPr="00D33D68" w:rsidRDefault="00466BD4" w:rsidP="00466BD4">
            <w:pPr>
              <w:spacing w:after="0" w:line="240" w:lineRule="auto"/>
              <w:jc w:val="left"/>
              <w:rPr>
                <w:rFonts w:eastAsia="Times New Roman"/>
                <w:b/>
                <w:noProof w:val="0"/>
              </w:rPr>
            </w:pPr>
            <w:proofErr w:type="spellStart"/>
            <w:r w:rsidRPr="00D33D68">
              <w:rPr>
                <w:rFonts w:eastAsia="Times New Roman"/>
                <w:b/>
                <w:bCs/>
                <w:noProof w:val="0"/>
              </w:rPr>
              <w:t>The</w:t>
            </w:r>
            <w:proofErr w:type="spellEnd"/>
            <w:r w:rsidRPr="00D33D68">
              <w:rPr>
                <w:rFonts w:eastAsia="Times New Roman"/>
                <w:b/>
                <w:bCs/>
                <w:noProof w:val="0"/>
              </w:rPr>
              <w:t xml:space="preserve"> </w:t>
            </w:r>
            <w:proofErr w:type="spellStart"/>
            <w:r w:rsidRPr="00D33D68">
              <w:rPr>
                <w:rFonts w:eastAsia="Times New Roman"/>
                <w:b/>
                <w:bCs/>
                <w:noProof w:val="0"/>
              </w:rPr>
              <w:t>indicative</w:t>
            </w:r>
            <w:proofErr w:type="spellEnd"/>
            <w:r w:rsidRPr="00D33D68">
              <w:rPr>
                <w:rFonts w:eastAsia="Times New Roman"/>
                <w:b/>
                <w:bCs/>
                <w:noProof w:val="0"/>
              </w:rPr>
              <w:t xml:space="preserve"> EMFF </w:t>
            </w:r>
            <w:proofErr w:type="spellStart"/>
            <w:r w:rsidRPr="00D33D68">
              <w:rPr>
                <w:rFonts w:eastAsia="Times New Roman"/>
                <w:b/>
                <w:bCs/>
                <w:noProof w:val="0"/>
              </w:rPr>
              <w:t>contribution</w:t>
            </w:r>
            <w:proofErr w:type="spellEnd"/>
            <w:r w:rsidRPr="00D33D68">
              <w:rPr>
                <w:rFonts w:eastAsia="Times New Roman"/>
                <w:b/>
                <w:bCs/>
                <w:noProof w:val="0"/>
              </w:rPr>
              <w:t xml:space="preserve"> (</w:t>
            </w:r>
            <w:proofErr w:type="spellStart"/>
            <w:r w:rsidRPr="00D33D68">
              <w:rPr>
                <w:rFonts w:eastAsia="Times New Roman"/>
                <w:b/>
                <w:bCs/>
                <w:noProof w:val="0"/>
              </w:rPr>
              <w:t>euro</w:t>
            </w:r>
            <w:proofErr w:type="spellEnd"/>
            <w:r w:rsidRPr="00D33D68">
              <w:rPr>
                <w:rFonts w:eastAsia="Times New Roman"/>
                <w:b/>
                <w:bCs/>
                <w:noProof w:val="0"/>
              </w:rPr>
              <w:t>) (</w:t>
            </w:r>
            <w:proofErr w:type="spellStart"/>
            <w:r w:rsidRPr="00D33D68">
              <w:rPr>
                <w:rFonts w:eastAsia="Times New Roman"/>
                <w:b/>
                <w:bCs/>
                <w:noProof w:val="0"/>
              </w:rPr>
              <w:t>new</w:t>
            </w:r>
            <w:proofErr w:type="spellEnd"/>
            <w:r w:rsidRPr="00D33D68">
              <w:rPr>
                <w:rFonts w:eastAsia="Times New Roman"/>
                <w:b/>
                <w:bCs/>
                <w:noProof w:val="0"/>
              </w:rPr>
              <w:t>)</w:t>
            </w:r>
          </w:p>
        </w:tc>
        <w:tc>
          <w:tcPr>
            <w:tcW w:w="149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E33EF4F" w14:textId="77777777" w:rsidR="00663796" w:rsidRPr="00D33D68" w:rsidRDefault="00466BD4" w:rsidP="00466BD4">
            <w:pPr>
              <w:spacing w:after="0" w:line="240" w:lineRule="auto"/>
              <w:jc w:val="left"/>
              <w:rPr>
                <w:rFonts w:eastAsia="Times New Roman"/>
                <w:b/>
                <w:bCs/>
                <w:noProof w:val="0"/>
                <w:shd w:val="clear" w:color="auto" w:fill="FFFF00"/>
              </w:rPr>
            </w:pPr>
            <w:proofErr w:type="spellStart"/>
            <w:r w:rsidRPr="00D33D68">
              <w:rPr>
                <w:rFonts w:eastAsia="Times New Roman"/>
                <w:b/>
                <w:bCs/>
                <w:noProof w:val="0"/>
              </w:rPr>
              <w:t>Share</w:t>
            </w:r>
            <w:proofErr w:type="spellEnd"/>
            <w:r w:rsidRPr="00D33D68">
              <w:rPr>
                <w:rFonts w:eastAsia="Times New Roman"/>
                <w:b/>
                <w:bCs/>
                <w:noProof w:val="0"/>
              </w:rPr>
              <w:t xml:space="preserve"> of </w:t>
            </w:r>
            <w:proofErr w:type="spellStart"/>
            <w:r w:rsidRPr="00D33D68">
              <w:rPr>
                <w:rFonts w:eastAsia="Times New Roman"/>
                <w:b/>
                <w:bCs/>
                <w:noProof w:val="0"/>
              </w:rPr>
              <w:t>the</w:t>
            </w:r>
            <w:proofErr w:type="spellEnd"/>
            <w:r w:rsidRPr="00D33D68">
              <w:rPr>
                <w:rFonts w:eastAsia="Times New Roman"/>
                <w:b/>
                <w:bCs/>
                <w:noProof w:val="0"/>
              </w:rPr>
              <w:t xml:space="preserve"> </w:t>
            </w:r>
            <w:proofErr w:type="spellStart"/>
            <w:r w:rsidRPr="00D33D68">
              <w:rPr>
                <w:rFonts w:eastAsia="Times New Roman"/>
                <w:b/>
                <w:bCs/>
                <w:noProof w:val="0"/>
              </w:rPr>
              <w:t>total</w:t>
            </w:r>
            <w:proofErr w:type="spellEnd"/>
            <w:r w:rsidRPr="00D33D68">
              <w:rPr>
                <w:rFonts w:eastAsia="Times New Roman"/>
                <w:b/>
                <w:bCs/>
                <w:noProof w:val="0"/>
              </w:rPr>
              <w:t xml:space="preserve"> EMFF </w:t>
            </w:r>
            <w:proofErr w:type="spellStart"/>
            <w:r w:rsidRPr="00D33D68">
              <w:rPr>
                <w:rFonts w:eastAsia="Times New Roman"/>
                <w:b/>
                <w:bCs/>
                <w:noProof w:val="0"/>
              </w:rPr>
              <w:t>allocation</w:t>
            </w:r>
            <w:proofErr w:type="spellEnd"/>
            <w:r w:rsidRPr="00D33D68">
              <w:rPr>
                <w:rFonts w:eastAsia="Times New Roman"/>
                <w:b/>
                <w:bCs/>
                <w:noProof w:val="0"/>
              </w:rPr>
              <w:t xml:space="preserve"> to </w:t>
            </w:r>
            <w:proofErr w:type="spellStart"/>
            <w:r w:rsidRPr="00D33D68">
              <w:rPr>
                <w:rFonts w:eastAsia="Times New Roman"/>
                <w:b/>
                <w:bCs/>
                <w:noProof w:val="0"/>
              </w:rPr>
              <w:t>the</w:t>
            </w:r>
            <w:proofErr w:type="spellEnd"/>
            <w:r w:rsidRPr="00D33D68">
              <w:rPr>
                <w:rFonts w:eastAsia="Times New Roman"/>
                <w:b/>
                <w:bCs/>
                <w:noProof w:val="0"/>
              </w:rPr>
              <w:t xml:space="preserve"> </w:t>
            </w:r>
            <w:proofErr w:type="spellStart"/>
            <w:r w:rsidRPr="00D33D68">
              <w:rPr>
                <w:rFonts w:eastAsia="Times New Roman"/>
                <w:b/>
                <w:bCs/>
                <w:noProof w:val="0"/>
              </w:rPr>
              <w:t>operational</w:t>
            </w:r>
            <w:proofErr w:type="spellEnd"/>
            <w:r w:rsidRPr="00D33D68">
              <w:rPr>
                <w:rFonts w:eastAsia="Times New Roman"/>
                <w:b/>
                <w:bCs/>
                <w:noProof w:val="0"/>
              </w:rPr>
              <w:t xml:space="preserve"> </w:t>
            </w:r>
            <w:proofErr w:type="spellStart"/>
            <w:r w:rsidRPr="00D33D68">
              <w:rPr>
                <w:rFonts w:eastAsia="Times New Roman"/>
                <w:b/>
                <w:bCs/>
                <w:noProof w:val="0"/>
              </w:rPr>
              <w:t>programme</w:t>
            </w:r>
            <w:proofErr w:type="spellEnd"/>
            <w:r w:rsidRPr="00D33D68">
              <w:rPr>
                <w:rFonts w:eastAsia="Times New Roman"/>
                <w:b/>
                <w:bCs/>
                <w:noProof w:val="0"/>
              </w:rPr>
              <w:t xml:space="preserve"> (%) </w:t>
            </w:r>
          </w:p>
          <w:p w14:paraId="2970A3D6" w14:textId="77777777" w:rsidR="00663796" w:rsidRPr="00D33D68" w:rsidRDefault="00466BD4" w:rsidP="00466BD4">
            <w:pPr>
              <w:spacing w:after="0" w:line="240" w:lineRule="auto"/>
              <w:jc w:val="left"/>
              <w:rPr>
                <w:rFonts w:eastAsia="Times New Roman"/>
                <w:b/>
                <w:noProof w:val="0"/>
              </w:rPr>
            </w:pPr>
            <w:r w:rsidRPr="00D33D68">
              <w:rPr>
                <w:rFonts w:eastAsia="Times New Roman"/>
                <w:b/>
                <w:noProof w:val="0"/>
              </w:rPr>
              <w:t>(</w:t>
            </w:r>
            <w:proofErr w:type="spellStart"/>
            <w:r w:rsidRPr="00D33D68">
              <w:rPr>
                <w:rFonts w:eastAsia="Times New Roman"/>
                <w:b/>
                <w:noProof w:val="0"/>
              </w:rPr>
              <w:t>current</w:t>
            </w:r>
            <w:proofErr w:type="spellEnd"/>
            <w:r w:rsidRPr="00D33D68">
              <w:rPr>
                <w:rFonts w:eastAsia="Times New Roman"/>
                <w:b/>
                <w:noProof w:val="0"/>
              </w:rPr>
              <w:t>)</w:t>
            </w:r>
          </w:p>
        </w:tc>
        <w:tc>
          <w:tcPr>
            <w:tcW w:w="1343"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149FF37" w14:textId="77777777" w:rsidR="00663796" w:rsidRPr="00D33D68" w:rsidRDefault="00466BD4" w:rsidP="00466BD4">
            <w:pPr>
              <w:spacing w:after="0" w:line="240" w:lineRule="auto"/>
              <w:jc w:val="left"/>
              <w:rPr>
                <w:rFonts w:eastAsia="Times New Roman"/>
                <w:b/>
                <w:noProof w:val="0"/>
              </w:rPr>
            </w:pPr>
            <w:proofErr w:type="spellStart"/>
            <w:r w:rsidRPr="00D33D68">
              <w:rPr>
                <w:rFonts w:eastAsia="Times New Roman"/>
                <w:b/>
                <w:bCs/>
                <w:noProof w:val="0"/>
              </w:rPr>
              <w:t>Share</w:t>
            </w:r>
            <w:proofErr w:type="spellEnd"/>
            <w:r w:rsidRPr="00D33D68">
              <w:rPr>
                <w:rFonts w:eastAsia="Times New Roman"/>
                <w:b/>
                <w:bCs/>
                <w:noProof w:val="0"/>
              </w:rPr>
              <w:t xml:space="preserve"> of </w:t>
            </w:r>
            <w:proofErr w:type="spellStart"/>
            <w:r w:rsidRPr="00D33D68">
              <w:rPr>
                <w:rFonts w:eastAsia="Times New Roman"/>
                <w:b/>
                <w:bCs/>
                <w:noProof w:val="0"/>
              </w:rPr>
              <w:t>the</w:t>
            </w:r>
            <w:proofErr w:type="spellEnd"/>
            <w:r w:rsidRPr="00D33D68">
              <w:rPr>
                <w:rFonts w:eastAsia="Times New Roman"/>
                <w:b/>
                <w:bCs/>
                <w:noProof w:val="0"/>
              </w:rPr>
              <w:t xml:space="preserve"> </w:t>
            </w:r>
            <w:proofErr w:type="spellStart"/>
            <w:r w:rsidRPr="00D33D68">
              <w:rPr>
                <w:rFonts w:eastAsia="Times New Roman"/>
                <w:b/>
                <w:bCs/>
                <w:noProof w:val="0"/>
              </w:rPr>
              <w:t>total</w:t>
            </w:r>
            <w:proofErr w:type="spellEnd"/>
            <w:r w:rsidRPr="00D33D68">
              <w:rPr>
                <w:rFonts w:eastAsia="Times New Roman"/>
                <w:b/>
                <w:bCs/>
                <w:noProof w:val="0"/>
              </w:rPr>
              <w:t xml:space="preserve"> EMFF </w:t>
            </w:r>
            <w:proofErr w:type="spellStart"/>
            <w:r w:rsidRPr="00D33D68">
              <w:rPr>
                <w:rFonts w:eastAsia="Times New Roman"/>
                <w:b/>
                <w:bCs/>
                <w:noProof w:val="0"/>
              </w:rPr>
              <w:t>allocation</w:t>
            </w:r>
            <w:proofErr w:type="spellEnd"/>
            <w:r w:rsidRPr="00D33D68">
              <w:rPr>
                <w:rFonts w:eastAsia="Times New Roman"/>
                <w:b/>
                <w:bCs/>
                <w:noProof w:val="0"/>
              </w:rPr>
              <w:t xml:space="preserve"> to </w:t>
            </w:r>
            <w:proofErr w:type="spellStart"/>
            <w:r w:rsidRPr="00D33D68">
              <w:rPr>
                <w:rFonts w:eastAsia="Times New Roman"/>
                <w:b/>
                <w:bCs/>
                <w:noProof w:val="0"/>
              </w:rPr>
              <w:t>the</w:t>
            </w:r>
            <w:proofErr w:type="spellEnd"/>
            <w:r w:rsidRPr="00D33D68">
              <w:rPr>
                <w:rFonts w:eastAsia="Times New Roman"/>
                <w:b/>
                <w:bCs/>
                <w:noProof w:val="0"/>
              </w:rPr>
              <w:t xml:space="preserve"> </w:t>
            </w:r>
            <w:proofErr w:type="spellStart"/>
            <w:r w:rsidRPr="00D33D68">
              <w:rPr>
                <w:rFonts w:eastAsia="Times New Roman"/>
                <w:b/>
                <w:bCs/>
                <w:noProof w:val="0"/>
              </w:rPr>
              <w:t>operational</w:t>
            </w:r>
            <w:proofErr w:type="spellEnd"/>
            <w:r w:rsidRPr="00D33D68">
              <w:rPr>
                <w:rFonts w:eastAsia="Times New Roman"/>
                <w:b/>
                <w:bCs/>
                <w:noProof w:val="0"/>
              </w:rPr>
              <w:t xml:space="preserve"> </w:t>
            </w:r>
            <w:proofErr w:type="spellStart"/>
            <w:r w:rsidRPr="00D33D68">
              <w:rPr>
                <w:rFonts w:eastAsia="Times New Roman"/>
                <w:b/>
                <w:bCs/>
                <w:noProof w:val="0"/>
              </w:rPr>
              <w:t>programme</w:t>
            </w:r>
            <w:proofErr w:type="spellEnd"/>
            <w:r w:rsidRPr="00D33D68">
              <w:rPr>
                <w:rFonts w:eastAsia="Times New Roman"/>
                <w:b/>
                <w:bCs/>
                <w:noProof w:val="0"/>
              </w:rPr>
              <w:t xml:space="preserve"> (%) (</w:t>
            </w:r>
            <w:proofErr w:type="spellStart"/>
            <w:r w:rsidRPr="00D33D68">
              <w:rPr>
                <w:rFonts w:eastAsia="Times New Roman"/>
                <w:b/>
                <w:bCs/>
                <w:noProof w:val="0"/>
              </w:rPr>
              <w:t>new</w:t>
            </w:r>
            <w:proofErr w:type="spellEnd"/>
            <w:r w:rsidRPr="00D33D68">
              <w:rPr>
                <w:rFonts w:eastAsia="Times New Roman"/>
                <w:b/>
                <w:bCs/>
                <w:noProof w:val="0"/>
              </w:rPr>
              <w:t>)</w:t>
            </w:r>
          </w:p>
        </w:tc>
      </w:tr>
      <w:tr w:rsidR="009D38A4" w:rsidRPr="00D33D68" w14:paraId="309C8019" w14:textId="77777777" w:rsidTr="009D38A4">
        <w:tc>
          <w:tcPr>
            <w:tcW w:w="119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8E97878" w14:textId="0F3E99D1" w:rsidR="00663796" w:rsidRPr="00D33D68" w:rsidRDefault="00AA0291" w:rsidP="005E532A">
            <w:pPr>
              <w:spacing w:after="0" w:line="240" w:lineRule="auto"/>
              <w:jc w:val="right"/>
              <w:rPr>
                <w:rFonts w:eastAsia="Times New Roman"/>
                <w:noProof w:val="0"/>
              </w:rPr>
            </w:pPr>
            <w:r w:rsidRPr="00D33D68">
              <w:t>11,524,649.80</w:t>
            </w:r>
          </w:p>
        </w:tc>
        <w:tc>
          <w:tcPr>
            <w:tcW w:w="971" w:type="pct"/>
            <w:tcBorders>
              <w:top w:val="nil"/>
              <w:left w:val="nil"/>
              <w:bottom w:val="single" w:sz="8" w:space="0" w:color="auto"/>
              <w:right w:val="single" w:sz="8" w:space="0" w:color="auto"/>
            </w:tcBorders>
            <w:tcMar>
              <w:top w:w="0" w:type="dxa"/>
              <w:left w:w="108" w:type="dxa"/>
              <w:bottom w:w="0" w:type="dxa"/>
              <w:right w:w="108" w:type="dxa"/>
            </w:tcMar>
            <w:hideMark/>
          </w:tcPr>
          <w:p w14:paraId="0FBF70E2" w14:textId="1F93283E" w:rsidR="00663796" w:rsidRPr="00D33D68" w:rsidRDefault="00D5665D" w:rsidP="00D5665D">
            <w:pPr>
              <w:spacing w:after="0" w:line="240" w:lineRule="auto"/>
              <w:jc w:val="right"/>
              <w:rPr>
                <w:rFonts w:eastAsia="Times New Roman"/>
                <w:noProof w:val="0"/>
              </w:rPr>
            </w:pPr>
            <w:r w:rsidRPr="00D33D68">
              <w:rPr>
                <w:rFonts w:eastAsia="Times New Roman"/>
                <w:noProof w:val="0"/>
              </w:rPr>
              <w:t>12</w:t>
            </w:r>
            <w:r w:rsidR="00AA0291" w:rsidRPr="00D33D68">
              <w:rPr>
                <w:rFonts w:eastAsia="Times New Roman"/>
                <w:noProof w:val="0"/>
              </w:rPr>
              <w:t>,</w:t>
            </w:r>
            <w:r w:rsidRPr="00D33D68">
              <w:rPr>
                <w:rFonts w:eastAsia="Times New Roman"/>
                <w:noProof w:val="0"/>
              </w:rPr>
              <w:t>030</w:t>
            </w:r>
            <w:r w:rsidR="00AA0291" w:rsidRPr="00D33D68">
              <w:rPr>
                <w:rFonts w:eastAsia="Times New Roman"/>
                <w:noProof w:val="0"/>
              </w:rPr>
              <w:t>,</w:t>
            </w:r>
            <w:r w:rsidRPr="00D33D68">
              <w:rPr>
                <w:rFonts w:eastAsia="Times New Roman"/>
                <w:noProof w:val="0"/>
              </w:rPr>
              <w:t>846</w:t>
            </w:r>
            <w:r w:rsidR="00AA0291" w:rsidRPr="00D33D68">
              <w:rPr>
                <w:rFonts w:eastAsia="Times New Roman"/>
                <w:noProof w:val="0"/>
              </w:rPr>
              <w:t>.00</w:t>
            </w:r>
            <w:r w:rsidR="00A93EF4" w:rsidRPr="00D33D68">
              <w:rPr>
                <w:rFonts w:eastAsia="Times New Roman"/>
                <w:noProof w:val="0"/>
              </w:rPr>
              <w:t> </w:t>
            </w:r>
          </w:p>
        </w:tc>
        <w:tc>
          <w:tcPr>
            <w:tcW w:w="1493" w:type="pct"/>
            <w:tcBorders>
              <w:top w:val="nil"/>
              <w:left w:val="nil"/>
              <w:bottom w:val="single" w:sz="8" w:space="0" w:color="auto"/>
              <w:right w:val="single" w:sz="8" w:space="0" w:color="auto"/>
            </w:tcBorders>
            <w:tcMar>
              <w:top w:w="0" w:type="dxa"/>
              <w:left w:w="108" w:type="dxa"/>
              <w:bottom w:w="0" w:type="dxa"/>
              <w:right w:w="108" w:type="dxa"/>
            </w:tcMar>
            <w:hideMark/>
          </w:tcPr>
          <w:p w14:paraId="3E5A470C" w14:textId="72EB1160" w:rsidR="00663796" w:rsidRPr="00D33D68" w:rsidRDefault="00AA0291" w:rsidP="005E532A">
            <w:pPr>
              <w:spacing w:after="0" w:line="240" w:lineRule="auto"/>
              <w:jc w:val="right"/>
              <w:rPr>
                <w:rFonts w:eastAsia="Times New Roman"/>
                <w:noProof w:val="0"/>
              </w:rPr>
            </w:pPr>
            <w:r w:rsidRPr="00D33D68">
              <w:t>14.26</w:t>
            </w:r>
            <w:r w:rsidR="00A45C7D" w:rsidRPr="00D33D68">
              <w:t xml:space="preserve"> %</w:t>
            </w:r>
          </w:p>
        </w:tc>
        <w:tc>
          <w:tcPr>
            <w:tcW w:w="1343" w:type="pct"/>
            <w:tcBorders>
              <w:top w:val="nil"/>
              <w:left w:val="nil"/>
              <w:bottom w:val="single" w:sz="8" w:space="0" w:color="auto"/>
              <w:right w:val="single" w:sz="8" w:space="0" w:color="auto"/>
            </w:tcBorders>
            <w:tcMar>
              <w:top w:w="0" w:type="dxa"/>
              <w:left w:w="108" w:type="dxa"/>
              <w:bottom w:w="0" w:type="dxa"/>
              <w:right w:w="108" w:type="dxa"/>
            </w:tcMar>
            <w:hideMark/>
          </w:tcPr>
          <w:p w14:paraId="28647300" w14:textId="7781D0C1" w:rsidR="00663796" w:rsidRPr="00D33D68" w:rsidRDefault="00AA0291" w:rsidP="00D5665D">
            <w:pPr>
              <w:spacing w:after="0" w:line="240" w:lineRule="auto"/>
              <w:jc w:val="right"/>
              <w:rPr>
                <w:rFonts w:eastAsia="Times New Roman"/>
                <w:noProof w:val="0"/>
              </w:rPr>
            </w:pPr>
            <w:r w:rsidRPr="00D33D68">
              <w:rPr>
                <w:rFonts w:eastAsia="Times New Roman"/>
                <w:noProof w:val="0"/>
              </w:rPr>
              <w:t>14.</w:t>
            </w:r>
            <w:r w:rsidR="00D5665D" w:rsidRPr="00D33D68">
              <w:rPr>
                <w:rFonts w:eastAsia="Times New Roman"/>
                <w:noProof w:val="0"/>
              </w:rPr>
              <w:t>89</w:t>
            </w:r>
            <w:r w:rsidRPr="00D33D68">
              <w:rPr>
                <w:rFonts w:eastAsia="Times New Roman"/>
                <w:noProof w:val="0"/>
              </w:rPr>
              <w:t>%</w:t>
            </w:r>
            <w:r w:rsidR="00A93EF4" w:rsidRPr="00D33D68">
              <w:rPr>
                <w:rFonts w:eastAsia="Times New Roman"/>
                <w:noProof w:val="0"/>
              </w:rPr>
              <w:t> </w:t>
            </w:r>
          </w:p>
        </w:tc>
      </w:tr>
    </w:tbl>
    <w:p w14:paraId="3F8CEA64" w14:textId="77777777" w:rsidR="00EE0164" w:rsidRPr="00D33D68" w:rsidRDefault="00EE0164" w:rsidP="00991079">
      <w:pPr>
        <w:spacing w:after="0" w:line="240" w:lineRule="auto"/>
      </w:pPr>
    </w:p>
    <w:p w14:paraId="18C3CE77" w14:textId="7F3C2669" w:rsidR="001E2B04" w:rsidRPr="00D33D68" w:rsidRDefault="0042145E" w:rsidP="0042145E">
      <w:pPr>
        <w:pStyle w:val="Heading2"/>
        <w:rPr>
          <w:rFonts w:ascii="Times New Roman" w:hAnsi="Times New Roman" w:cs="Times New Roman"/>
        </w:rPr>
      </w:pPr>
      <w:r w:rsidRPr="00D33D68">
        <w:rPr>
          <w:rFonts w:ascii="Times New Roman" w:hAnsi="Times New Roman" w:cs="Times New Roman"/>
        </w:rPr>
        <w:t xml:space="preserve">Промяна в </w:t>
      </w:r>
      <w:r w:rsidR="00B40C15" w:rsidRPr="00D33D68">
        <w:rPr>
          <w:rFonts w:ascii="Times New Roman" w:hAnsi="Times New Roman" w:cs="Times New Roman"/>
        </w:rPr>
        <w:t>Приложение III към ПМДР</w:t>
      </w:r>
    </w:p>
    <w:p w14:paraId="2AD46F31" w14:textId="03259A33" w:rsidR="001E2B04" w:rsidRPr="00D33D68" w:rsidRDefault="001E2B04" w:rsidP="00AD46AD">
      <w:r w:rsidRPr="00D33D68">
        <w:lastRenderedPageBreak/>
        <w:t xml:space="preserve"> </w:t>
      </w:r>
      <w:r w:rsidR="00965857" w:rsidRPr="00D33D68">
        <w:t>В приложение III са нанесени промени, касаещи звената, отговорни за прилагането и изпълнението на ПМДР 2014-2020</w:t>
      </w:r>
      <w:r w:rsidR="0092632F" w:rsidRPr="00D33D68">
        <w:t>, с настъпили законодателни промени е сменен отговорен одитен орган от</w:t>
      </w:r>
      <w:r w:rsidR="00AD46AD" w:rsidRPr="00D33D68">
        <w:t xml:space="preserve"> ИА ОСЕС</w:t>
      </w:r>
      <w:r w:rsidR="0092632F" w:rsidRPr="00D33D68">
        <w:t xml:space="preserve"> на </w:t>
      </w:r>
      <w:r w:rsidR="00AD46AD" w:rsidRPr="00D33D68">
        <w:t>ИА СОСЕЗФ</w:t>
      </w:r>
      <w:r w:rsidR="003E1A79" w:rsidRPr="00D33D68">
        <w:t>, а</w:t>
      </w:r>
      <w:r w:rsidR="0092632F" w:rsidRPr="00D33D68">
        <w:t xml:space="preserve"> ИАРА не е второ междинно звено</w:t>
      </w:r>
      <w:r w:rsidR="00965857" w:rsidRPr="00D33D68">
        <w:t xml:space="preserve">. Съгласно промененото Споразумение за делегиране на функции по прилагане на програма за морско дело и рибарство 2014 - 2020 г. </w:t>
      </w:r>
      <w:r w:rsidR="002327E4" w:rsidRPr="00D33D68">
        <w:t xml:space="preserve">между УО на </w:t>
      </w:r>
      <w:r w:rsidR="004D187C" w:rsidRPr="00D33D68">
        <w:t>П</w:t>
      </w:r>
      <w:r w:rsidR="002327E4" w:rsidRPr="00D33D68">
        <w:t>МДР и ДФЗ-РА</w:t>
      </w:r>
      <w:r w:rsidR="0092632F" w:rsidRPr="00D33D68">
        <w:t xml:space="preserve"> през </w:t>
      </w:r>
      <w:r w:rsidR="00E80324" w:rsidRPr="00D33D68">
        <w:t xml:space="preserve">септември </w:t>
      </w:r>
      <w:r w:rsidR="0092632F" w:rsidRPr="00D33D68">
        <w:t>2019 г. свързано с делегиране и на функция – мониторинг на проектните предложения</w:t>
      </w:r>
      <w:r w:rsidR="002327E4" w:rsidRPr="00D33D68">
        <w:t xml:space="preserve"> са нанесени съответните промени и в приложението.</w:t>
      </w:r>
    </w:p>
    <w:p w14:paraId="32BA7AFA" w14:textId="21826422" w:rsidR="001E2B04" w:rsidRPr="00D33D68" w:rsidRDefault="00DC09DE" w:rsidP="00DC09DE">
      <w:pPr>
        <w:pStyle w:val="Heading2"/>
        <w:rPr>
          <w:rFonts w:ascii="Times New Roman" w:hAnsi="Times New Roman" w:cs="Times New Roman"/>
        </w:rPr>
      </w:pPr>
      <w:r w:rsidRPr="00D33D68">
        <w:rPr>
          <w:rFonts w:ascii="Times New Roman" w:hAnsi="Times New Roman" w:cs="Times New Roman"/>
        </w:rPr>
        <w:t xml:space="preserve">Промяна на методиката за изчисление на компенсации </w:t>
      </w:r>
    </w:p>
    <w:p w14:paraId="0EF4A3AF" w14:textId="51D646A2" w:rsidR="00A95D3C" w:rsidRPr="00D33D68" w:rsidRDefault="001D2115" w:rsidP="00A95D3C">
      <w:r w:rsidRPr="00D33D68">
        <w:t xml:space="preserve">УО планира да отвори нов прием по </w:t>
      </w:r>
      <w:r w:rsidRPr="00D33D68">
        <w:rPr>
          <w:lang w:val="en-US"/>
        </w:rPr>
        <w:t xml:space="preserve">COVID-19 </w:t>
      </w:r>
      <w:r w:rsidRPr="00D33D68">
        <w:t xml:space="preserve">мерките в рамките на допустимия период. За да бъде възможно определянето на допустимостта на банефициентите и правилното изчисление на премиите е нужно да се </w:t>
      </w:r>
      <w:r w:rsidR="00922248" w:rsidRPr="00D33D68">
        <w:t xml:space="preserve">редактират </w:t>
      </w:r>
      <w:r w:rsidRPr="00D33D68">
        <w:t>текстовете, които реферират към конкретни календарни години и месеци.</w:t>
      </w:r>
      <w:r w:rsidR="008B47DE" w:rsidRPr="00D33D68">
        <w:t xml:space="preserve"> Изменените текстове на методиките са възпроизведени по-долу в цялост с оглед яснота.</w:t>
      </w:r>
      <w:r w:rsidR="003D4C28" w:rsidRPr="00D33D68">
        <w:t xml:space="preserve"> По същия начин е изменен и текстът в Приложение </w:t>
      </w:r>
      <w:r w:rsidR="003D4C28" w:rsidRPr="00D33D68">
        <w:rPr>
          <w:lang w:val="en-US"/>
        </w:rPr>
        <w:t>XI</w:t>
      </w:r>
      <w:r w:rsidR="003D4C28" w:rsidRPr="00D33D68">
        <w:t xml:space="preserve"> към оперативната програма.</w:t>
      </w:r>
      <w:r w:rsidR="00A95D3C">
        <w:t xml:space="preserve"> За по-голяма яснота по трите мерки е добавен текстът че методиката изчислява премията отделно за всеки обект (кораб, стопанство или предприятие), които са собственост на един кандидат.</w:t>
      </w:r>
    </w:p>
    <w:p w14:paraId="2FBB9423" w14:textId="037C7D81" w:rsidR="00A95D3C" w:rsidRDefault="00A95D3C" w:rsidP="00DC09DE">
      <w:pPr>
        <w:pStyle w:val="Heading3"/>
        <w:rPr>
          <w:rFonts w:ascii="Times New Roman" w:hAnsi="Times New Roman" w:cs="Times New Roman"/>
          <w:sz w:val="24"/>
          <w:lang w:val="bg-BG"/>
        </w:rPr>
      </w:pPr>
      <w:r>
        <w:rPr>
          <w:rFonts w:ascii="Times New Roman" w:hAnsi="Times New Roman" w:cs="Times New Roman"/>
          <w:sz w:val="24"/>
          <w:lang w:val="bg-BG"/>
        </w:rPr>
        <w:t>Методика за чл. 33</w:t>
      </w:r>
    </w:p>
    <w:p w14:paraId="0633BBC0" w14:textId="77777777" w:rsidR="00A95D3C" w:rsidRPr="008C67CF" w:rsidRDefault="00A95D3C" w:rsidP="00A95D3C">
      <w:pPr>
        <w:pStyle w:val="Heading2"/>
        <w:numPr>
          <w:ilvl w:val="1"/>
          <w:numId w:val="16"/>
        </w:numPr>
        <w:ind w:right="-283"/>
        <w:contextualSpacing/>
      </w:pPr>
      <w:r w:rsidRPr="008C67CF">
        <w:t>Компенсация за собственици на кораби</w:t>
      </w:r>
    </w:p>
    <w:p w14:paraId="09B65952" w14:textId="77777777" w:rsidR="00A95D3C" w:rsidRPr="008C67CF" w:rsidRDefault="00A95D3C" w:rsidP="00A95D3C">
      <w:pPr>
        <w:spacing w:after="0"/>
      </w:pPr>
    </w:p>
    <w:p w14:paraId="338D447B" w14:textId="77777777" w:rsidR="00A95D3C" w:rsidRPr="008C67CF" w:rsidRDefault="00A95D3C" w:rsidP="00A95D3C">
      <w:pPr>
        <w:spacing w:after="0"/>
      </w:pPr>
      <w:r w:rsidRPr="008C67CF">
        <w:t>Методът, който е най-удачен за компенсация на собственици на кораби, е базиран на опита на УО с мярката за постоянно прекратяване на риболовните дейности както и на опита на други държави-членки. С оглед краткотрайния и извънреден характер на прилагането на тази мярка в България и сравнително ниския брой (под 6% от риболовния флот) очаквани потенциални бенефициенти, следва да се възприемат опростени компенсаторни схеми, а именно:</w:t>
      </w:r>
    </w:p>
    <w:p w14:paraId="4D88E42C" w14:textId="77777777" w:rsidR="00A95D3C" w:rsidRPr="008C67CF" w:rsidRDefault="00A95D3C" w:rsidP="00A95D3C">
      <w:pPr>
        <w:spacing w:after="0"/>
      </w:pPr>
    </w:p>
    <w:p w14:paraId="17A63C63" w14:textId="77777777" w:rsidR="00A95D3C" w:rsidRPr="008C67CF" w:rsidRDefault="00A95D3C" w:rsidP="00A95D3C">
      <w:pPr>
        <w:spacing w:after="0"/>
      </w:pPr>
      <w:r w:rsidRPr="008C67CF">
        <w:t xml:space="preserve">Премията се изчислява със следната формула </w:t>
      </w:r>
    </w:p>
    <w:p w14:paraId="5F67519E" w14:textId="77777777" w:rsidR="00A95D3C" w:rsidRPr="008C67CF" w:rsidRDefault="00A95D3C" w:rsidP="00A95D3C">
      <w:pPr>
        <w:pBdr>
          <w:top w:val="single" w:sz="4" w:space="1" w:color="auto"/>
          <w:left w:val="single" w:sz="4" w:space="6" w:color="auto"/>
          <w:bottom w:val="single" w:sz="4" w:space="1" w:color="auto"/>
          <w:right w:val="single" w:sz="4" w:space="4" w:color="auto"/>
        </w:pBdr>
        <w:spacing w:before="120" w:after="120"/>
        <w:ind w:left="142" w:right="104"/>
        <w:jc w:val="center"/>
        <w:rPr>
          <w:b/>
        </w:rPr>
      </w:pPr>
      <w:r w:rsidRPr="008C67CF">
        <w:rPr>
          <w:b/>
        </w:rPr>
        <w:t>K = ((P х GT) + R) х d</w:t>
      </w:r>
    </w:p>
    <w:p w14:paraId="19B30852" w14:textId="77777777" w:rsidR="00A95D3C" w:rsidRPr="008C67CF" w:rsidRDefault="00A95D3C" w:rsidP="00A95D3C">
      <w:pPr>
        <w:pBdr>
          <w:top w:val="single" w:sz="4" w:space="1" w:color="auto"/>
          <w:left w:val="single" w:sz="4" w:space="6" w:color="auto"/>
          <w:bottom w:val="single" w:sz="4" w:space="1" w:color="auto"/>
          <w:right w:val="single" w:sz="4" w:space="4" w:color="auto"/>
        </w:pBdr>
        <w:spacing w:before="120" w:after="120"/>
        <w:ind w:left="142" w:right="104"/>
      </w:pPr>
      <w:r w:rsidRPr="008C67CF">
        <w:t>в която:</w:t>
      </w:r>
    </w:p>
    <w:p w14:paraId="0452F72D" w14:textId="77777777" w:rsidR="00A95D3C" w:rsidRPr="008C67CF" w:rsidRDefault="00A95D3C" w:rsidP="00A95D3C">
      <w:pPr>
        <w:pBdr>
          <w:top w:val="single" w:sz="4" w:space="1" w:color="auto"/>
          <w:left w:val="single" w:sz="4" w:space="6" w:color="auto"/>
          <w:bottom w:val="single" w:sz="4" w:space="1" w:color="auto"/>
          <w:right w:val="single" w:sz="4" w:space="4" w:color="auto"/>
        </w:pBdr>
        <w:spacing w:before="120" w:after="120"/>
        <w:ind w:left="142" w:right="104"/>
      </w:pPr>
      <w:r w:rsidRPr="008C67CF">
        <w:rPr>
          <w:b/>
        </w:rPr>
        <w:t>К</w:t>
      </w:r>
      <w:r w:rsidRPr="008C67CF">
        <w:t xml:space="preserve"> е общата компенсация за временно преустановяване на риболовните дейности на кораб;</w:t>
      </w:r>
    </w:p>
    <w:p w14:paraId="7DE13476" w14:textId="77777777" w:rsidR="00A95D3C" w:rsidRPr="008C67CF" w:rsidRDefault="00A95D3C" w:rsidP="00A95D3C">
      <w:pPr>
        <w:pBdr>
          <w:top w:val="single" w:sz="4" w:space="1" w:color="auto"/>
          <w:left w:val="single" w:sz="4" w:space="6" w:color="auto"/>
          <w:bottom w:val="single" w:sz="4" w:space="1" w:color="auto"/>
          <w:right w:val="single" w:sz="4" w:space="4" w:color="auto"/>
        </w:pBdr>
        <w:spacing w:before="120" w:after="120"/>
        <w:ind w:left="142" w:right="104"/>
      </w:pPr>
      <w:r w:rsidRPr="008C67CF">
        <w:rPr>
          <w:b/>
        </w:rPr>
        <w:t>P</w:t>
      </w:r>
      <w:r w:rsidRPr="008C67CF">
        <w:t xml:space="preserve"> – дневна премия за преустановяване на риболовните дейности за 1 БТ (Бруто тон) от риболовният кораб (представена е в таблица 1);</w:t>
      </w:r>
    </w:p>
    <w:p w14:paraId="43A69F22" w14:textId="77777777" w:rsidR="00A95D3C" w:rsidRPr="008C67CF" w:rsidRDefault="00A95D3C" w:rsidP="00A95D3C">
      <w:pPr>
        <w:pBdr>
          <w:top w:val="single" w:sz="4" w:space="1" w:color="auto"/>
          <w:left w:val="single" w:sz="4" w:space="6" w:color="auto"/>
          <w:bottom w:val="single" w:sz="4" w:space="1" w:color="auto"/>
          <w:right w:val="single" w:sz="4" w:space="4" w:color="auto"/>
        </w:pBdr>
        <w:spacing w:before="120" w:after="120"/>
        <w:ind w:left="142" w:right="104"/>
      </w:pPr>
      <w:r w:rsidRPr="008C67CF">
        <w:rPr>
          <w:b/>
        </w:rPr>
        <w:t>GT</w:t>
      </w:r>
      <w:r w:rsidRPr="008C67CF">
        <w:t xml:space="preserve"> – бруто тонаж на кораба;</w:t>
      </w:r>
    </w:p>
    <w:p w14:paraId="6A33B663" w14:textId="77777777" w:rsidR="00A95D3C" w:rsidRPr="008C67CF" w:rsidRDefault="00A95D3C" w:rsidP="00A95D3C">
      <w:pPr>
        <w:pBdr>
          <w:top w:val="single" w:sz="4" w:space="1" w:color="auto"/>
          <w:left w:val="single" w:sz="4" w:space="6" w:color="auto"/>
          <w:bottom w:val="single" w:sz="4" w:space="1" w:color="auto"/>
          <w:right w:val="single" w:sz="4" w:space="4" w:color="auto"/>
        </w:pBdr>
        <w:spacing w:before="120" w:after="120"/>
        <w:ind w:left="142" w:right="104"/>
      </w:pPr>
      <w:r w:rsidRPr="008C67CF">
        <w:rPr>
          <w:b/>
        </w:rPr>
        <w:t xml:space="preserve">R </w:t>
      </w:r>
      <w:r w:rsidRPr="008C67CF">
        <w:t>– премия за допълнителни разходи – 5,66 лв. на ден;</w:t>
      </w:r>
    </w:p>
    <w:p w14:paraId="5CE8E867" w14:textId="77777777" w:rsidR="00A95D3C" w:rsidRPr="008C67CF" w:rsidRDefault="00A95D3C" w:rsidP="00A95D3C">
      <w:pPr>
        <w:pBdr>
          <w:top w:val="single" w:sz="4" w:space="1" w:color="auto"/>
          <w:left w:val="single" w:sz="4" w:space="6" w:color="auto"/>
          <w:bottom w:val="single" w:sz="4" w:space="1" w:color="auto"/>
          <w:right w:val="single" w:sz="4" w:space="4" w:color="auto"/>
        </w:pBdr>
        <w:spacing w:before="120" w:after="120"/>
        <w:ind w:left="142" w:right="104"/>
      </w:pPr>
      <w:r w:rsidRPr="008C67CF">
        <w:rPr>
          <w:b/>
        </w:rPr>
        <w:t xml:space="preserve">d </w:t>
      </w:r>
      <w:r w:rsidRPr="008C67CF">
        <w:t>– брой дни на преустановяване на риболовните дейности.</w:t>
      </w:r>
    </w:p>
    <w:p w14:paraId="6E289B98" w14:textId="77777777" w:rsidR="00A95D3C" w:rsidRPr="008C67CF" w:rsidRDefault="00A95D3C" w:rsidP="00A95D3C">
      <w:r w:rsidRPr="008C67CF">
        <w:lastRenderedPageBreak/>
        <w:t xml:space="preserve">Този модел взема предвид не само тонажа на кораба, но и неговата дължина. Той определя вариращи стойности за 1 БТ в зависимост от категорията за дължина, като стойността се променя спрямо съответния сегмент. Разделянето по сегменти се основава на Доклада за съответствие капацитета на риболовния флот с възможностите за риболов.  За изчисляване на  дневната премия (Р), са е взети и съответно анализирани данни, предоставени от ИАРА във връзка със стойността на уловите, бруто тонажа и дължината на корабите за всеки сегмент. </w:t>
      </w:r>
    </w:p>
    <w:p w14:paraId="26E610CE" w14:textId="77777777" w:rsidR="00A95D3C" w:rsidRPr="008C67CF" w:rsidRDefault="00A95D3C" w:rsidP="00A95D3C">
      <w:pPr>
        <w:ind w:left="60"/>
        <w:rPr>
          <w:b/>
        </w:rPr>
      </w:pPr>
      <w:r w:rsidRPr="008C67CF">
        <w:rPr>
          <w:b/>
        </w:rPr>
        <w:t>Таблица 1</w:t>
      </w:r>
    </w:p>
    <w:tbl>
      <w:tblPr>
        <w:tblStyle w:val="TableGrid"/>
        <w:tblW w:w="9781" w:type="dxa"/>
        <w:tblInd w:w="108" w:type="dxa"/>
        <w:tblLook w:val="04A0" w:firstRow="1" w:lastRow="0" w:firstColumn="1" w:lastColumn="0" w:noHBand="0" w:noVBand="1"/>
      </w:tblPr>
      <w:tblGrid>
        <w:gridCol w:w="4536"/>
        <w:gridCol w:w="5245"/>
      </w:tblGrid>
      <w:tr w:rsidR="00A95D3C" w:rsidRPr="008C67CF" w14:paraId="6DD88C80" w14:textId="77777777" w:rsidTr="004D695D">
        <w:tc>
          <w:tcPr>
            <w:tcW w:w="4536" w:type="dxa"/>
          </w:tcPr>
          <w:p w14:paraId="631F689B" w14:textId="77777777" w:rsidR="00A95D3C" w:rsidRPr="008C67CF" w:rsidRDefault="00A95D3C" w:rsidP="004D695D">
            <w:pPr>
              <w:ind w:right="-283"/>
            </w:pPr>
            <w:r w:rsidRPr="008C67CF">
              <w:t>Категоризация по дължина на кораба (m)</w:t>
            </w:r>
          </w:p>
        </w:tc>
        <w:tc>
          <w:tcPr>
            <w:tcW w:w="5245" w:type="dxa"/>
          </w:tcPr>
          <w:p w14:paraId="46FCDDDF" w14:textId="77777777" w:rsidR="00A95D3C" w:rsidRPr="008C67CF" w:rsidRDefault="00A95D3C" w:rsidP="004D695D">
            <w:pPr>
              <w:ind w:right="-283"/>
            </w:pPr>
            <w:r w:rsidRPr="008C67CF">
              <w:t>Дневна премия за преустановяване за 1 БТ (лв.)</w:t>
            </w:r>
          </w:p>
        </w:tc>
      </w:tr>
      <w:tr w:rsidR="00A95D3C" w:rsidRPr="008C67CF" w14:paraId="118AAD36" w14:textId="77777777" w:rsidTr="004D695D">
        <w:tc>
          <w:tcPr>
            <w:tcW w:w="4536" w:type="dxa"/>
            <w:vAlign w:val="bottom"/>
          </w:tcPr>
          <w:p w14:paraId="2792F832" w14:textId="77777777" w:rsidR="00A95D3C" w:rsidRPr="008C67CF" w:rsidRDefault="00A95D3C" w:rsidP="004D695D">
            <w:pPr>
              <w:ind w:right="-283"/>
            </w:pPr>
            <w:r w:rsidRPr="008C67CF">
              <w:t>&lt;6</w:t>
            </w:r>
          </w:p>
        </w:tc>
        <w:tc>
          <w:tcPr>
            <w:tcW w:w="5245" w:type="dxa"/>
          </w:tcPr>
          <w:p w14:paraId="4C486D01" w14:textId="77777777" w:rsidR="00A95D3C" w:rsidRPr="008C67CF" w:rsidRDefault="00A95D3C" w:rsidP="004D695D">
            <w:r w:rsidRPr="008C67CF">
              <w:t>12,92</w:t>
            </w:r>
          </w:p>
        </w:tc>
      </w:tr>
      <w:tr w:rsidR="00A95D3C" w:rsidRPr="008C67CF" w14:paraId="1C067FC2" w14:textId="77777777" w:rsidTr="004D695D">
        <w:tc>
          <w:tcPr>
            <w:tcW w:w="4536" w:type="dxa"/>
            <w:vAlign w:val="bottom"/>
          </w:tcPr>
          <w:p w14:paraId="1023AF09" w14:textId="77777777" w:rsidR="00A95D3C" w:rsidRPr="008C67CF" w:rsidRDefault="00A95D3C" w:rsidP="004D695D">
            <w:pPr>
              <w:ind w:right="-283"/>
            </w:pPr>
            <w:r w:rsidRPr="008C67CF">
              <w:t>≥6&lt;12</w:t>
            </w:r>
          </w:p>
        </w:tc>
        <w:tc>
          <w:tcPr>
            <w:tcW w:w="5245" w:type="dxa"/>
          </w:tcPr>
          <w:p w14:paraId="43FEAB82" w14:textId="77777777" w:rsidR="00A95D3C" w:rsidRPr="008C67CF" w:rsidRDefault="00A95D3C" w:rsidP="004D695D">
            <w:r w:rsidRPr="008C67CF">
              <w:t>12,92</w:t>
            </w:r>
          </w:p>
        </w:tc>
      </w:tr>
      <w:tr w:rsidR="00A95D3C" w:rsidRPr="008C67CF" w14:paraId="657EA790" w14:textId="77777777" w:rsidTr="004D695D">
        <w:tc>
          <w:tcPr>
            <w:tcW w:w="4536" w:type="dxa"/>
            <w:vAlign w:val="bottom"/>
          </w:tcPr>
          <w:p w14:paraId="405FEDAC" w14:textId="77777777" w:rsidR="00A95D3C" w:rsidRPr="008C67CF" w:rsidRDefault="00A95D3C" w:rsidP="004D695D">
            <w:pPr>
              <w:ind w:right="-283"/>
            </w:pPr>
            <w:r w:rsidRPr="008C67CF">
              <w:t>≥12&lt;18</w:t>
            </w:r>
          </w:p>
        </w:tc>
        <w:tc>
          <w:tcPr>
            <w:tcW w:w="5245" w:type="dxa"/>
          </w:tcPr>
          <w:p w14:paraId="3B2DC22A" w14:textId="77777777" w:rsidR="00A95D3C" w:rsidRPr="008C67CF" w:rsidRDefault="00A95D3C" w:rsidP="004D695D">
            <w:r w:rsidRPr="008C67CF">
              <w:t>12,92</w:t>
            </w:r>
          </w:p>
        </w:tc>
      </w:tr>
      <w:tr w:rsidR="00A95D3C" w:rsidRPr="008C67CF" w14:paraId="003C4601" w14:textId="77777777" w:rsidTr="004D695D">
        <w:tc>
          <w:tcPr>
            <w:tcW w:w="4536" w:type="dxa"/>
            <w:vAlign w:val="bottom"/>
          </w:tcPr>
          <w:p w14:paraId="46EF2524" w14:textId="77777777" w:rsidR="00A95D3C" w:rsidRPr="008C67CF" w:rsidRDefault="00A95D3C" w:rsidP="004D695D">
            <w:pPr>
              <w:ind w:right="-283"/>
            </w:pPr>
            <w:r w:rsidRPr="008C67CF">
              <w:t>≥18&lt;24</w:t>
            </w:r>
          </w:p>
        </w:tc>
        <w:tc>
          <w:tcPr>
            <w:tcW w:w="5245" w:type="dxa"/>
          </w:tcPr>
          <w:p w14:paraId="5F70AA25" w14:textId="77777777" w:rsidR="00A95D3C" w:rsidRPr="008C67CF" w:rsidRDefault="00A95D3C" w:rsidP="004D695D">
            <w:r w:rsidRPr="008C67CF">
              <w:t xml:space="preserve"> 7,75   </w:t>
            </w:r>
          </w:p>
        </w:tc>
      </w:tr>
      <w:tr w:rsidR="00A95D3C" w:rsidRPr="008C67CF" w14:paraId="5E9AC186" w14:textId="77777777" w:rsidTr="004D695D">
        <w:tc>
          <w:tcPr>
            <w:tcW w:w="4536" w:type="dxa"/>
            <w:vAlign w:val="bottom"/>
          </w:tcPr>
          <w:p w14:paraId="235651CE" w14:textId="77777777" w:rsidR="00A95D3C" w:rsidRPr="008C67CF" w:rsidRDefault="00A95D3C" w:rsidP="004D695D">
            <w:pPr>
              <w:ind w:right="-283"/>
            </w:pPr>
            <w:r w:rsidRPr="008C67CF">
              <w:t>≥24</w:t>
            </w:r>
          </w:p>
        </w:tc>
        <w:tc>
          <w:tcPr>
            <w:tcW w:w="5245" w:type="dxa"/>
          </w:tcPr>
          <w:p w14:paraId="418D2394" w14:textId="77777777" w:rsidR="00A95D3C" w:rsidRPr="008C67CF" w:rsidRDefault="00A95D3C" w:rsidP="004D695D">
            <w:r w:rsidRPr="008C67CF">
              <w:t xml:space="preserve"> 4,65    </w:t>
            </w:r>
          </w:p>
        </w:tc>
      </w:tr>
    </w:tbl>
    <w:p w14:paraId="71FF2CEF" w14:textId="77777777" w:rsidR="00A95D3C" w:rsidRPr="008C67CF" w:rsidRDefault="00A95D3C" w:rsidP="00A95D3C">
      <w:pPr>
        <w:rPr>
          <w:highlight w:val="yellow"/>
        </w:rPr>
      </w:pPr>
    </w:p>
    <w:p w14:paraId="656BC54F" w14:textId="77777777" w:rsidR="00A95D3C" w:rsidRPr="008C67CF" w:rsidRDefault="00A95D3C" w:rsidP="00A95D3C">
      <w:r w:rsidRPr="008C67CF">
        <w:t>Сумата от 12,92 лв. за 1БТ е среднодневната стойност на улова на допустимите кораби (от справката на ИАРА и допустимост само за продължитеност на риболовните дейности) спрямо 1БТ. Тъй като нито един кораб не е бил непрекъснато на море, среднодневната стойност е изчислена като се раздели средната годишна стойност на улова на 295, защото корабът с най-много дни на море за последните две години е бил на море 590 дни или 295 средно на година. Премиите от 7,75 и 4,65 са резултат от постепенно намаляване с 40%. При тази методология, макар да се използват два различни фактора (дължина и БТ), БТ е водещият фактор, понеже е множител във формулата. Сегментите &lt;6, ≥6&lt;12 и ≥12&lt;18 са с еднаква стойност на премията, защото БТ на тези кораби (които са допустими с оглед дни на море) е в сравнително малък диапазон – от &lt;1БТ до 30БТ, като над 30 БТ има само 3 кораба (30.06 БТ, 31БТ и 39 БТ). По-раздробена сегментация би довела до свръхкомпенсация на най-малкия сегмент с оглед официалните данни от ИАРА. Сегментът ≥18&lt;24 варира от 31.76 БТ до 86.98 БТ, а ≥24 от 76.33 БТ до 117.36 БТ. Тази методология и сегментация позволява да се предостави обективно подпомагане и да се избегне свръхкомпенсация. С оглед практиката на други Държави членки по тази мярка, премията за 1 БТ се намалява за по-големите риболовни кораби.</w:t>
      </w:r>
    </w:p>
    <w:p w14:paraId="727D4488" w14:textId="77777777" w:rsidR="00A95D3C" w:rsidRPr="008C67CF" w:rsidRDefault="00A95D3C" w:rsidP="00A95D3C"/>
    <w:p w14:paraId="4ABB17A2" w14:textId="77777777" w:rsidR="00A95D3C" w:rsidRPr="008C67CF" w:rsidRDefault="00A95D3C" w:rsidP="00A95D3C">
      <w:r w:rsidRPr="008C67CF">
        <w:t xml:space="preserve">За определяне на стойността на </w:t>
      </w:r>
      <w:r w:rsidRPr="008C67CF">
        <w:rPr>
          <w:b/>
        </w:rPr>
        <w:t>А –</w:t>
      </w:r>
      <w:r w:rsidRPr="008C67CF">
        <w:t xml:space="preserve"> Допълнителна премия за административни разходи на собствениците на риболовни кораби са ползвани официални данни от </w:t>
      </w:r>
      <w:r w:rsidRPr="008C67CF">
        <w:rPr>
          <w:b/>
        </w:rPr>
        <w:t>„Рибни ресурси” ЕООД</w:t>
      </w:r>
      <w:r w:rsidRPr="008C67CF">
        <w:t>.</w:t>
      </w:r>
      <w:r w:rsidRPr="008C67CF">
        <w:rPr>
          <w:rStyle w:val="FootnoteReference"/>
        </w:rPr>
        <w:footnoteReference w:id="17"/>
      </w:r>
    </w:p>
    <w:p w14:paraId="06867001" w14:textId="77777777" w:rsidR="00A95D3C" w:rsidRPr="008C67CF" w:rsidRDefault="00A95D3C" w:rsidP="00A95D3C">
      <w:r w:rsidRPr="008C67CF">
        <w:lastRenderedPageBreak/>
        <w:t xml:space="preserve">За определяне на стойността на </w:t>
      </w:r>
      <w:r w:rsidRPr="008C67CF">
        <w:rPr>
          <w:b/>
        </w:rPr>
        <w:t>P</w:t>
      </w:r>
      <w:r w:rsidRPr="008C67CF">
        <w:t xml:space="preserve"> </w:t>
      </w:r>
      <w:r w:rsidRPr="008C67CF">
        <w:rPr>
          <w:b/>
        </w:rPr>
        <w:t xml:space="preserve">- </w:t>
      </w:r>
      <w:r w:rsidRPr="008C67CF">
        <w:t xml:space="preserve"> Дневна премия за преустанвяване за 1 БТ са ползвани официални данни от ИАРА.</w:t>
      </w:r>
    </w:p>
    <w:p w14:paraId="6E839B25" w14:textId="77777777" w:rsidR="00A95D3C" w:rsidRPr="008C67CF" w:rsidRDefault="00A95D3C" w:rsidP="00A95D3C">
      <w:r w:rsidRPr="008C67CF">
        <w:t>За ден (</w:t>
      </w:r>
      <w:r w:rsidRPr="008C67CF">
        <w:rPr>
          <w:b/>
        </w:rPr>
        <w:t>d</w:t>
      </w:r>
      <w:r w:rsidRPr="008C67CF">
        <w:t>) се счита периодът от 0:00 часа до 24:00 часа UTC+2 на всеки календарен ден, независимо от броя на излизанията на риболовния кораб и броя на декларациите за произход по чл. 20 от Закона за рибарството и аквакултурите (ЗРА) за посочения период от 0:00 часа до 24:00 часа UTC+2 на този ден.</w:t>
      </w:r>
    </w:p>
    <w:p w14:paraId="49E3D0E7" w14:textId="77777777" w:rsidR="00A95D3C" w:rsidRPr="00F81F27" w:rsidRDefault="00A95D3C" w:rsidP="00A95D3C">
      <w:pPr>
        <w:pStyle w:val="ListParagraph"/>
        <w:ind w:left="0"/>
      </w:pPr>
      <w:r w:rsidRPr="008C67CF">
        <w:t xml:space="preserve">Продължителността на </w:t>
      </w:r>
      <w:r w:rsidRPr="00F81F27">
        <w:t>изпълнение</w:t>
      </w:r>
      <w:r w:rsidRPr="00F81F27">
        <w:rPr>
          <w:rStyle w:val="FootnoteReference"/>
        </w:rPr>
        <w:footnoteReference w:id="18"/>
      </w:r>
      <w:r w:rsidRPr="00F81F27">
        <w:t xml:space="preserve"> на всеки проект</w:t>
      </w:r>
      <w:r w:rsidRPr="00F81F27">
        <w:rPr>
          <w:lang w:val="en-US"/>
        </w:rPr>
        <w:t xml:space="preserve"> </w:t>
      </w:r>
      <w:r w:rsidRPr="00F81F27">
        <w:t>не следва да надвишава 3 (три) месеца.</w:t>
      </w:r>
    </w:p>
    <w:p w14:paraId="43D20E80" w14:textId="77777777" w:rsidR="00A95D3C" w:rsidRPr="008C67CF" w:rsidRDefault="00A95D3C" w:rsidP="00A95D3C">
      <w:pPr>
        <w:pStyle w:val="ListParagraph"/>
        <w:ind w:left="0"/>
      </w:pPr>
      <w:r w:rsidRPr="008C67CF">
        <w:t>Периодът на допустимост на мярката, съответно дейностите и разходите по нея ще се определя съгласно приложимото законодателство</w:t>
      </w:r>
      <w:r w:rsidRPr="008C67CF">
        <w:rPr>
          <w:rStyle w:val="FootnoteReference"/>
        </w:rPr>
        <w:footnoteReference w:id="19"/>
      </w:r>
      <w:r w:rsidRPr="008C67CF">
        <w:t>.</w:t>
      </w:r>
    </w:p>
    <w:p w14:paraId="6C832382" w14:textId="77777777" w:rsidR="00A95D3C" w:rsidRPr="008C67CF" w:rsidRDefault="00A95D3C" w:rsidP="00A95D3C">
      <w:pPr>
        <w:spacing w:after="0"/>
      </w:pPr>
      <w:r w:rsidRPr="008C67CF">
        <w:t xml:space="preserve">Допустими са собственици на риболовни кораби и рибари в рамките на чл. 33 параграф 3 от Регламент (ЕС) № 508/2014 на Европейския парламент и на Съвета от 15 май 2014 година за Европейския фонд за </w:t>
      </w:r>
      <w:bookmarkStart w:id="2" w:name="_GoBack"/>
      <w:r w:rsidRPr="008C67CF">
        <w:t>морско дело и рибарство и за отмяна на регламенти (ЕО) № 2328/2003, (ЕО) № 861/2006, (ЕО) №</w:t>
      </w:r>
      <w:bookmarkEnd w:id="2"/>
      <w:r w:rsidRPr="008C67CF">
        <w:t xml:space="preserve"> 1198/2006 и (ЕО) № 791/2007 на Съвета и Регламент (ЕС) № 1255/2011 на Европейския парламент и на Съвета (Регламент № 508/2014) и дерогациите, въведени с чл. 1 от Регламент (ЕС) 2020/560 на Европейския парламент и на Съвета от 23 април 2020 година за изменение на регламенти (ЕС) № 508/2014 и (ЕС) № 1379/2013 по отношение на специални мерки за смекчаване на въздействието на избухването на COVID-19 върху сектора на рибарството и аквакултурите, с който в Регламент № 508/2014 в чл. 33 е създаден параграф 3а относно дерогациите, а именно:</w:t>
      </w:r>
    </w:p>
    <w:p w14:paraId="7DF6185A" w14:textId="77777777" w:rsidR="00A95D3C" w:rsidRPr="008C67CF" w:rsidRDefault="00A95D3C" w:rsidP="00A95D3C">
      <w:pPr>
        <w:spacing w:after="0"/>
      </w:pPr>
    </w:p>
    <w:p w14:paraId="651124B6" w14:textId="77777777" w:rsidR="00A95D3C" w:rsidRPr="008C67CF" w:rsidRDefault="00A95D3C" w:rsidP="00A95D3C">
      <w:pPr>
        <w:spacing w:after="0"/>
      </w:pPr>
      <w:r w:rsidRPr="008C67CF">
        <w:t>•</w:t>
      </w:r>
      <w:r w:rsidRPr="008C67CF">
        <w:tab/>
        <w:t xml:space="preserve">„собственици на риболовни кораби на Съюза, регистрирани като действащи, които са извършвали риболовна дейност в продължение на най-малко 120 дни в морето през последните две календарни години, предхождащи датата на подаване на заявлението за подпомагане“, а „когато риболовен кораб е регистриран в регистъра на риболовния флот на Съюза в продължение на по-малко от две години към датата на подаване на заявлението за подпомагане, държавите членки могат да изчислят минималния брой дни за риболовни дейности, изисквани за този кораб, като съотношение от 120 дни през последните две календарни години“; </w:t>
      </w:r>
    </w:p>
    <w:p w14:paraId="5DBA493C" w14:textId="77777777" w:rsidR="00A95D3C" w:rsidRPr="008C67CF" w:rsidRDefault="00A95D3C" w:rsidP="00A95D3C">
      <w:pPr>
        <w:spacing w:after="0"/>
      </w:pPr>
      <w:r w:rsidRPr="008C67CF">
        <w:lastRenderedPageBreak/>
        <w:t>•</w:t>
      </w:r>
      <w:r w:rsidRPr="008C67CF">
        <w:tab/>
        <w:t>„рибари, които са работили в морето в продължение на най-малко 120 дни през последните две календарни години, предхождащи датата на подаване на заявлението за подпомагане, на борда на риболовен кораб на Съюза, засегнат от временното преустановяване“, а „когато рибар е започнал работа на борда на риболовен кораб на Съюза по-малко от две години преди датата на подаване на заявлението за подпомагане, държавите членки могат да изчислят минималния брой дни работа, изисквани за този рибар, като съотношение от 120 дни през последните две календарни години“.</w:t>
      </w:r>
    </w:p>
    <w:p w14:paraId="4E986AF2" w14:textId="77777777" w:rsidR="00A95D3C" w:rsidRPr="008C67CF" w:rsidRDefault="00A95D3C" w:rsidP="00A95D3C">
      <w:pPr>
        <w:spacing w:after="0"/>
      </w:pPr>
    </w:p>
    <w:p w14:paraId="484BB22F" w14:textId="77777777" w:rsidR="00A95D3C" w:rsidRPr="008C67CF" w:rsidRDefault="00A95D3C" w:rsidP="00A95D3C">
      <w:pPr>
        <w:spacing w:after="0"/>
      </w:pPr>
      <w:r w:rsidRPr="008C67CF">
        <w:t>Управляващият орган на ПМДР се възползва от предоставената възможност в чл. 1 от Регламент (ЕС) 2020/560, с който е изменен чл. 33 от Регламент № 508/2014 за дерогация от изискването на 120 календарни дни за две години при по-скорошно регистриране на риболовния кораб или започване на работа на рибар. Така УО ще приема за допустими проекти, при които риболовните дейности и работа в морето са в съотношение от 120 дни през последните две календарни години, като минималният времеви праг ще е една година, а именно УО ще изисква:</w:t>
      </w:r>
    </w:p>
    <w:p w14:paraId="1AFFA0F9" w14:textId="77777777" w:rsidR="00A95D3C" w:rsidRPr="008C67CF" w:rsidRDefault="00A95D3C" w:rsidP="00A95D3C">
      <w:pPr>
        <w:spacing w:after="0"/>
      </w:pPr>
      <w:r w:rsidRPr="008C67CF">
        <w:t>•</w:t>
      </w:r>
      <w:r w:rsidRPr="008C67CF">
        <w:tab/>
        <w:t xml:space="preserve">за кораби да са били регистрирани от поне една година преди датата на подаване на заявлението за подпомагане през която да са извършвали риболовна дейност в продължение на най-малко 60 дни, </w:t>
      </w:r>
    </w:p>
    <w:p w14:paraId="5BCF3983" w14:textId="77777777" w:rsidR="00A95D3C" w:rsidRPr="008C67CF" w:rsidRDefault="00A95D3C" w:rsidP="00A95D3C">
      <w:pPr>
        <w:spacing w:after="0"/>
      </w:pPr>
      <w:r w:rsidRPr="008C67CF">
        <w:t>•</w:t>
      </w:r>
      <w:r w:rsidRPr="008C67CF">
        <w:tab/>
        <w:t xml:space="preserve">а за рибари да са работили в морето от поне една календарна година преди датата на подаване на заявлението за подпомагане в продължение на  най-малко 60 дни. </w:t>
      </w:r>
    </w:p>
    <w:p w14:paraId="37DE3440" w14:textId="77777777" w:rsidR="00A95D3C" w:rsidRPr="008C67CF" w:rsidRDefault="00A95D3C" w:rsidP="00A95D3C">
      <w:pPr>
        <w:spacing w:after="0"/>
      </w:pPr>
      <w:r w:rsidRPr="008C67CF">
        <w:t>Причината за това е нуждата от референтен период за предишна риболовна дейност за да може да се покаже, че временното преустановяване е поради избухването на COVID-19.</w:t>
      </w:r>
    </w:p>
    <w:p w14:paraId="09010266" w14:textId="77777777" w:rsidR="00A95D3C" w:rsidRPr="008C67CF" w:rsidRDefault="00A95D3C" w:rsidP="00A95D3C">
      <w:pPr>
        <w:spacing w:after="0"/>
      </w:pPr>
    </w:p>
    <w:p w14:paraId="06C5C6F2" w14:textId="77777777" w:rsidR="00A95D3C" w:rsidRPr="008C67CF" w:rsidRDefault="00A95D3C" w:rsidP="00A95D3C">
      <w:pPr>
        <w:spacing w:after="0"/>
        <w:rPr>
          <w:b/>
        </w:rPr>
      </w:pPr>
      <w:r w:rsidRPr="008C67CF">
        <w:rPr>
          <w:b/>
        </w:rPr>
        <w:t>Пример:</w:t>
      </w:r>
    </w:p>
    <w:p w14:paraId="6C6DD4C1" w14:textId="77777777" w:rsidR="00A95D3C" w:rsidRPr="008C67CF" w:rsidRDefault="00A95D3C" w:rsidP="00A95D3C">
      <w:pPr>
        <w:spacing w:after="0"/>
      </w:pPr>
      <w:r w:rsidRPr="008C67CF">
        <w:t>Ако един риболовен кораб е бил регистриран година и половина (548 дни) преди датата на подаване на заявлението за подмомагане, то той трябва да е извършвал риболовна дейност в продължение на поне 90 дни.</w:t>
      </w:r>
    </w:p>
    <w:p w14:paraId="4C87DBB6" w14:textId="77777777" w:rsidR="00A95D3C" w:rsidRPr="008C67CF" w:rsidRDefault="00A95D3C" w:rsidP="00A95D3C">
      <w:pPr>
        <w:spacing w:after="0"/>
      </w:pPr>
    </w:p>
    <w:p w14:paraId="1304A8AA" w14:textId="77777777" w:rsidR="00A95D3C" w:rsidRPr="008C67CF" w:rsidRDefault="00A95D3C" w:rsidP="00A95D3C">
      <w:pPr>
        <w:spacing w:after="0"/>
      </w:pPr>
      <w:r w:rsidRPr="008C67CF">
        <w:t>Ако един рибар е започнал работа на борда на риболовен кораб на Съюза година и половина (548) преди датата на подаване на заявлението за подпомагане, този рибар трябва да е работил в морето в продължение на най-малко 90 дни.</w:t>
      </w:r>
    </w:p>
    <w:p w14:paraId="34C7498A" w14:textId="77777777" w:rsidR="00A95D3C" w:rsidRPr="008C67CF" w:rsidRDefault="00A95D3C" w:rsidP="00A95D3C">
      <w:pPr>
        <w:spacing w:after="0"/>
      </w:pPr>
    </w:p>
    <w:p w14:paraId="5C5D0D6C" w14:textId="77777777" w:rsidR="00A95D3C" w:rsidRPr="008C67CF" w:rsidRDefault="00A95D3C" w:rsidP="00A95D3C">
      <w:pPr>
        <w:spacing w:after="0"/>
      </w:pPr>
      <w:r w:rsidRPr="008C67CF">
        <w:rPr>
          <w:b/>
        </w:rPr>
        <w:t>Важно:</w:t>
      </w:r>
      <w:r w:rsidRPr="008C67CF">
        <w:t xml:space="preserve"> Не се предоставя премия за кораби които са преустановили риболовна дейност поради други причини, различни от COVID-19. За корабите, попадащи под забрана за риболов по време на размножителния период или поради нетипични климатични промени, отразяващи се негативно на водните популации в рибностопанските обекти по чл. 3, ал 1, т. 1 от ЗРА</w:t>
      </w:r>
      <w:r w:rsidRPr="008C67CF">
        <w:rPr>
          <w:rStyle w:val="FootnoteReference"/>
        </w:rPr>
        <w:footnoteReference w:id="20"/>
      </w:r>
      <w:r w:rsidRPr="008C67CF">
        <w:t xml:space="preserve"> следва да представят доказателства, че за периода на допустимост на кораба, същия е извършвал стопански риболов и за други видове, които не са обект на забрана в същия период от годината, за който важи забраната.</w:t>
      </w:r>
    </w:p>
    <w:p w14:paraId="78D8BD5A" w14:textId="77777777" w:rsidR="00A95D3C" w:rsidRPr="008C67CF" w:rsidRDefault="00A95D3C" w:rsidP="00A95D3C">
      <w:pPr>
        <w:spacing w:after="0"/>
      </w:pPr>
    </w:p>
    <w:p w14:paraId="2DE50CB9" w14:textId="77777777" w:rsidR="00A95D3C" w:rsidRPr="008C67CF" w:rsidRDefault="00A95D3C" w:rsidP="00A95D3C">
      <w:pPr>
        <w:spacing w:after="0"/>
      </w:pPr>
      <w:r w:rsidRPr="008C67CF">
        <w:rPr>
          <w:b/>
        </w:rPr>
        <w:t xml:space="preserve">Пример: </w:t>
      </w:r>
      <w:r w:rsidRPr="008C67CF">
        <w:t>Риболовен кораб регистриран в регистъра на риболовния флот на съюза през 2010 година който има минимум 120 дни на море през последните 2 години и има разрешително за улов на калкан, кандидатства за подпомагане по настоящата мярка за месец юни 2020. До 15.06.2020 важи забрана за улов на калкан. Собственикът на кораба при подване на проектното си предложение, следва да представи доказателства, че през периода 01-15.06.2020 през изминалите години (в случая 2 години, съгласно периода за допустима активност на кораба.) със същия риболовен кораб са ловени други видове.</w:t>
      </w:r>
    </w:p>
    <w:p w14:paraId="4725E5C1" w14:textId="77777777" w:rsidR="00A95D3C" w:rsidRPr="008C67CF" w:rsidRDefault="00A95D3C" w:rsidP="00A95D3C">
      <w:pPr>
        <w:spacing w:after="0"/>
      </w:pPr>
    </w:p>
    <w:p w14:paraId="13EC0112" w14:textId="77777777" w:rsidR="00A95D3C" w:rsidRPr="008C67CF" w:rsidRDefault="00A95D3C" w:rsidP="00A95D3C">
      <w:pPr>
        <w:spacing w:after="0"/>
      </w:pPr>
      <w:r w:rsidRPr="008C67CF">
        <w:t>Допустими по са бенефициенти, които отговарят на изискванията на чл. 10 от Регламент (ЕС) 508/2014, както и на изискванията на националното законодателство.</w:t>
      </w:r>
    </w:p>
    <w:p w14:paraId="5FF1CEDA" w14:textId="77777777" w:rsidR="00A95D3C" w:rsidRPr="008C67CF" w:rsidRDefault="00A95D3C" w:rsidP="00A95D3C">
      <w:pPr>
        <w:spacing w:after="0"/>
      </w:pPr>
    </w:p>
    <w:p w14:paraId="5A996DB1" w14:textId="77777777" w:rsidR="00A95D3C" w:rsidRPr="008C67CF" w:rsidRDefault="00A95D3C" w:rsidP="00A95D3C">
      <w:pPr>
        <w:spacing w:after="0"/>
      </w:pPr>
      <w:r w:rsidRPr="008C67CF">
        <w:t>Във връзка с изпълнението на одобрения проект, бенефициентите трябва да представят доказателства за преустановена риболовна дейност - риболовен дневник на кораба за тези, които са под 12 метра дължина и др; документи, доказващи заетост на екипажа съгласно приложимото законодателство за периода на допустимост (ведомости за заплати, сметка за изплатени суми и др.), както и доказателства за тяхното изплащане.</w:t>
      </w:r>
    </w:p>
    <w:p w14:paraId="4B11F9BD" w14:textId="77777777" w:rsidR="00A95D3C" w:rsidRPr="008C67CF" w:rsidRDefault="00A95D3C" w:rsidP="00A95D3C">
      <w:pPr>
        <w:spacing w:after="0"/>
      </w:pPr>
    </w:p>
    <w:p w14:paraId="0BA6AAB8" w14:textId="77777777" w:rsidR="00A95D3C" w:rsidRPr="008C67CF" w:rsidRDefault="00A95D3C" w:rsidP="00A95D3C">
      <w:pPr>
        <w:spacing w:after="0"/>
      </w:pPr>
      <w:r w:rsidRPr="008C67CF">
        <w:rPr>
          <w:b/>
        </w:rPr>
        <w:t>Пример 1</w:t>
      </w:r>
      <w:r w:rsidRPr="008C67CF">
        <w:t>: Кораб 13 метра, с БТ – 15, с преустановена дейност за 35 дни.</w:t>
      </w:r>
    </w:p>
    <w:p w14:paraId="13F00D45" w14:textId="77777777" w:rsidR="00A95D3C" w:rsidRPr="008C67CF" w:rsidRDefault="00A95D3C" w:rsidP="00A95D3C">
      <w:pPr>
        <w:spacing w:after="0"/>
      </w:pPr>
    </w:p>
    <w:p w14:paraId="7B39BAEC" w14:textId="77777777" w:rsidR="00A95D3C" w:rsidRPr="008C67CF" w:rsidRDefault="00A95D3C" w:rsidP="00A95D3C">
      <w:pPr>
        <w:spacing w:after="0"/>
      </w:pPr>
      <w:r w:rsidRPr="008C67CF">
        <w:t>Общата компенсация е равна на:   6.981,1 =( (12,92 х15)+5,66)*35</w:t>
      </w:r>
    </w:p>
    <w:p w14:paraId="70C4EC0A" w14:textId="77777777" w:rsidR="00A95D3C" w:rsidRPr="008C67CF" w:rsidRDefault="00A95D3C" w:rsidP="00A95D3C">
      <w:pPr>
        <w:spacing w:after="0"/>
      </w:pPr>
    </w:p>
    <w:p w14:paraId="4DA022A9" w14:textId="77777777" w:rsidR="00A95D3C" w:rsidRPr="008C67CF" w:rsidRDefault="00A95D3C" w:rsidP="00A95D3C">
      <w:pPr>
        <w:spacing w:after="0"/>
      </w:pPr>
      <w:r w:rsidRPr="008C67CF">
        <w:rPr>
          <w:b/>
        </w:rPr>
        <w:t>Пример 2</w:t>
      </w:r>
      <w:r w:rsidRPr="008C67CF">
        <w:t>: Кораб 24 метра, с БТ – 117, с преустановена дейност за 35 дни.</w:t>
      </w:r>
    </w:p>
    <w:p w14:paraId="135E7DF2" w14:textId="77777777" w:rsidR="00A95D3C" w:rsidRPr="008C67CF" w:rsidRDefault="00A95D3C" w:rsidP="00A95D3C">
      <w:pPr>
        <w:spacing w:after="0"/>
      </w:pPr>
    </w:p>
    <w:p w14:paraId="2B126A82" w14:textId="77777777" w:rsidR="00A95D3C" w:rsidRDefault="00A95D3C" w:rsidP="00A95D3C">
      <w:pPr>
        <w:spacing w:after="0"/>
      </w:pPr>
      <w:r w:rsidRPr="008C67CF">
        <w:t>Общата компенсация е равна на:  19.239,85 =( (4,65 х117)+5,66)*35</w:t>
      </w:r>
    </w:p>
    <w:p w14:paraId="7C8CBC8A" w14:textId="77777777" w:rsidR="00A95D3C" w:rsidRDefault="00A95D3C" w:rsidP="00A95D3C">
      <w:pPr>
        <w:spacing w:after="0"/>
      </w:pPr>
    </w:p>
    <w:p w14:paraId="3E29E6A1" w14:textId="77777777" w:rsidR="00A95D3C" w:rsidRPr="008C67CF" w:rsidRDefault="00A95D3C" w:rsidP="00A95D3C">
      <w:pPr>
        <w:spacing w:after="0"/>
      </w:pPr>
      <w:r>
        <w:t>Компенсацията се изчислява отделно за всеки кораб, собственост на един кандидат.</w:t>
      </w:r>
    </w:p>
    <w:p w14:paraId="4A2EE10D" w14:textId="77777777" w:rsidR="00A95D3C" w:rsidRPr="00A95D3C" w:rsidRDefault="00A95D3C" w:rsidP="00A95D3C"/>
    <w:p w14:paraId="5DF1B15F" w14:textId="3B7989C4" w:rsidR="00DC09DE" w:rsidRPr="00D33D68" w:rsidRDefault="00DC09DE" w:rsidP="00DC09DE">
      <w:pPr>
        <w:pStyle w:val="Heading3"/>
        <w:rPr>
          <w:rFonts w:ascii="Times New Roman" w:hAnsi="Times New Roman" w:cs="Times New Roman"/>
          <w:sz w:val="24"/>
          <w:lang w:val="bg-BG"/>
        </w:rPr>
      </w:pPr>
      <w:r w:rsidRPr="00D33D68">
        <w:rPr>
          <w:rFonts w:ascii="Times New Roman" w:hAnsi="Times New Roman" w:cs="Times New Roman"/>
          <w:sz w:val="24"/>
          <w:lang w:val="bg-BG"/>
        </w:rPr>
        <w:t>Методика за чл. 55</w:t>
      </w:r>
    </w:p>
    <w:p w14:paraId="25BF2663" w14:textId="77777777" w:rsidR="00A95D3C" w:rsidRPr="00A95D3C" w:rsidRDefault="00A95D3C" w:rsidP="00A95D3C">
      <w:pPr>
        <w:spacing w:after="0"/>
        <w:rPr>
          <w:szCs w:val="20"/>
        </w:rPr>
      </w:pPr>
      <w:r w:rsidRPr="00A95D3C">
        <w:rPr>
          <w:szCs w:val="20"/>
        </w:rPr>
        <w:t>Допустими ще са кандидати, които са регистрирали спад в приходния оборот поне 20 %  от месец/месеци (определени в Условията за кандидатстване по мярката)  спрямо средноаритметичния месечен оборот за предходната календарна година или средноаритметичния оборот за месец от предходните три календарни години</w:t>
      </w:r>
    </w:p>
    <w:p w14:paraId="313062AE" w14:textId="77777777" w:rsidR="00A95D3C" w:rsidRPr="00A95D3C" w:rsidRDefault="00A95D3C" w:rsidP="00A95D3C">
      <w:pPr>
        <w:spacing w:after="0"/>
        <w:rPr>
          <w:szCs w:val="20"/>
        </w:rPr>
      </w:pPr>
    </w:p>
    <w:p w14:paraId="28468853" w14:textId="77777777" w:rsidR="00A95D3C" w:rsidRPr="00A95D3C" w:rsidRDefault="00A95D3C" w:rsidP="00A95D3C">
      <w:pPr>
        <w:spacing w:after="0"/>
        <w:rPr>
          <w:szCs w:val="20"/>
        </w:rPr>
      </w:pPr>
      <w:r w:rsidRPr="00A95D3C">
        <w:rPr>
          <w:szCs w:val="20"/>
        </w:rPr>
        <w:t>Допустими ще са разходи, необходими за преодоляване на недостига на средства, настъпили в резултат от епидемичния взрив от COVID-19 (разходи за съхранение, разходи за заплати, разходи за суровини, разходи за логистични услуги и подобни свързани с оборотния капитал). Заявената безвъзмездна финансова помощ не може да надвишава 20% от нетните приходи за продажби за предходната календарна година.</w:t>
      </w:r>
    </w:p>
    <w:p w14:paraId="34E8AD32" w14:textId="77777777" w:rsidR="00A95D3C" w:rsidRPr="00A95D3C" w:rsidRDefault="00A95D3C" w:rsidP="00A95D3C">
      <w:pPr>
        <w:spacing w:after="0"/>
        <w:rPr>
          <w:szCs w:val="20"/>
        </w:rPr>
      </w:pPr>
    </w:p>
    <w:p w14:paraId="5D493738" w14:textId="77777777" w:rsidR="00A95D3C" w:rsidRPr="00A95D3C" w:rsidRDefault="00A95D3C" w:rsidP="00A95D3C">
      <w:pPr>
        <w:spacing w:after="0"/>
        <w:rPr>
          <w:szCs w:val="20"/>
        </w:rPr>
      </w:pPr>
      <w:r w:rsidRPr="00A95D3C">
        <w:rPr>
          <w:szCs w:val="20"/>
        </w:rPr>
        <w:lastRenderedPageBreak/>
        <w:t>Периодът на допустимост на мярката, съответно дейностите и разходите по нея ще се определя съгласно приложимото законодателство .</w:t>
      </w:r>
    </w:p>
    <w:p w14:paraId="5CD85A4D" w14:textId="77777777" w:rsidR="00A95D3C" w:rsidRPr="00A95D3C" w:rsidRDefault="00A95D3C" w:rsidP="00A95D3C">
      <w:pPr>
        <w:spacing w:after="0"/>
        <w:rPr>
          <w:szCs w:val="20"/>
        </w:rPr>
      </w:pPr>
    </w:p>
    <w:p w14:paraId="730D1895" w14:textId="77777777" w:rsidR="00A95D3C" w:rsidRPr="00A95D3C" w:rsidRDefault="00A95D3C" w:rsidP="00A95D3C">
      <w:pPr>
        <w:spacing w:after="0"/>
        <w:rPr>
          <w:szCs w:val="20"/>
        </w:rPr>
      </w:pPr>
      <w:r w:rsidRPr="00A95D3C">
        <w:rPr>
          <w:szCs w:val="20"/>
        </w:rPr>
        <w:t>Продължителността на изпълнение  на всеки проект не следва да надвишава 4 (четири) месеца.</w:t>
      </w:r>
    </w:p>
    <w:p w14:paraId="5874F973" w14:textId="77777777" w:rsidR="00A95D3C" w:rsidRPr="00A95D3C" w:rsidRDefault="00A95D3C" w:rsidP="00A95D3C">
      <w:pPr>
        <w:spacing w:after="0"/>
        <w:rPr>
          <w:szCs w:val="20"/>
        </w:rPr>
      </w:pPr>
    </w:p>
    <w:p w14:paraId="1A928B38" w14:textId="77777777" w:rsidR="00A95D3C" w:rsidRPr="00A95D3C" w:rsidRDefault="00A95D3C" w:rsidP="00A95D3C">
      <w:pPr>
        <w:spacing w:after="0"/>
        <w:rPr>
          <w:szCs w:val="20"/>
        </w:rPr>
      </w:pPr>
      <w:r w:rsidRPr="00A95D3C">
        <w:rPr>
          <w:szCs w:val="20"/>
        </w:rPr>
        <w:t>По процедурите няма да има критерии за подбор – „Техническа и финансова оценка”, помощта е предназначена за всички допустими оператори и до изчерпване на бюджета ще се прилага принципът „Първи по ред, първи по право”.</w:t>
      </w:r>
    </w:p>
    <w:p w14:paraId="02F3A00A" w14:textId="77777777" w:rsidR="00A95D3C" w:rsidRPr="00A95D3C" w:rsidRDefault="00A95D3C" w:rsidP="00A95D3C">
      <w:pPr>
        <w:spacing w:after="0"/>
        <w:rPr>
          <w:szCs w:val="20"/>
        </w:rPr>
      </w:pPr>
    </w:p>
    <w:p w14:paraId="574F580D" w14:textId="77777777" w:rsidR="00A95D3C" w:rsidRPr="00A95D3C" w:rsidRDefault="00A95D3C" w:rsidP="00A95D3C">
      <w:pPr>
        <w:spacing w:after="0"/>
        <w:rPr>
          <w:szCs w:val="20"/>
        </w:rPr>
      </w:pPr>
      <w:r w:rsidRPr="00A95D3C">
        <w:rPr>
          <w:szCs w:val="20"/>
        </w:rPr>
        <w:t>Във връзка с изпълнението на одобрения проект, бенефициентите ще трябва да представят разходооправдателни документи за допустимите извършени разходи– фактури, ведомости за заплати и др., както и доказателства за тяхното изплащане.</w:t>
      </w:r>
    </w:p>
    <w:p w14:paraId="19F1E250" w14:textId="77777777" w:rsidR="00A95D3C" w:rsidRPr="00A95D3C" w:rsidRDefault="00A95D3C" w:rsidP="00A95D3C">
      <w:pPr>
        <w:spacing w:after="0"/>
        <w:rPr>
          <w:szCs w:val="20"/>
        </w:rPr>
      </w:pPr>
    </w:p>
    <w:p w14:paraId="6F83DDA4" w14:textId="77777777" w:rsidR="00A95D3C" w:rsidRPr="00A95D3C" w:rsidRDefault="00A95D3C" w:rsidP="00A95D3C">
      <w:pPr>
        <w:spacing w:after="0"/>
        <w:rPr>
          <w:szCs w:val="20"/>
        </w:rPr>
      </w:pPr>
      <w:r w:rsidRPr="00A95D3C">
        <w:rPr>
          <w:szCs w:val="20"/>
        </w:rPr>
        <w:t>Пример:  Нетните приходи за продажби на ред „Продукция“ (код 15110) от приходната част на ОПР за 2019 г.) – 120 000 лв.</w:t>
      </w:r>
    </w:p>
    <w:p w14:paraId="30DAE0D4" w14:textId="77777777" w:rsidR="00A95D3C" w:rsidRPr="00A95D3C" w:rsidRDefault="00A95D3C" w:rsidP="00A95D3C">
      <w:pPr>
        <w:spacing w:after="0"/>
        <w:rPr>
          <w:szCs w:val="20"/>
        </w:rPr>
      </w:pPr>
    </w:p>
    <w:p w14:paraId="57EFEF6B" w14:textId="77777777" w:rsidR="00A95D3C" w:rsidRPr="00A95D3C" w:rsidRDefault="00A95D3C" w:rsidP="00A95D3C">
      <w:pPr>
        <w:spacing w:after="0"/>
        <w:rPr>
          <w:szCs w:val="20"/>
        </w:rPr>
      </w:pPr>
      <w:r w:rsidRPr="00A95D3C">
        <w:rPr>
          <w:szCs w:val="20"/>
        </w:rPr>
        <w:t>24 000 лв. са -20 % от Нетните приходи за продажби на ред „Продукция“ (код 15110) от приходната част на ОПР за 2019 г.) и това е БФП, която ще получи.</w:t>
      </w:r>
    </w:p>
    <w:p w14:paraId="2AC0C3E0" w14:textId="77777777" w:rsidR="00A95D3C" w:rsidRPr="00A95D3C" w:rsidRDefault="00A95D3C" w:rsidP="00A95D3C">
      <w:pPr>
        <w:spacing w:after="0"/>
        <w:rPr>
          <w:szCs w:val="20"/>
        </w:rPr>
      </w:pPr>
    </w:p>
    <w:p w14:paraId="7EF98E62" w14:textId="40272059" w:rsidR="009840D1" w:rsidRDefault="00A95D3C" w:rsidP="00A95D3C">
      <w:pPr>
        <w:spacing w:after="0"/>
        <w:rPr>
          <w:szCs w:val="20"/>
        </w:rPr>
      </w:pPr>
      <w:r w:rsidRPr="00A95D3C">
        <w:rPr>
          <w:szCs w:val="20"/>
        </w:rPr>
        <w:t>Компенсацията се изчислява отделно за всяко стопанство, собственост на един кандидат.</w:t>
      </w:r>
    </w:p>
    <w:p w14:paraId="3810C41C" w14:textId="77777777" w:rsidR="00A95D3C" w:rsidRPr="00D33D68" w:rsidRDefault="00A95D3C" w:rsidP="00A95D3C">
      <w:pPr>
        <w:spacing w:after="0"/>
        <w:rPr>
          <w:rFonts w:ascii="Verdana" w:hAnsi="Verdana"/>
          <w:sz w:val="20"/>
          <w:szCs w:val="20"/>
        </w:rPr>
      </w:pPr>
    </w:p>
    <w:p w14:paraId="0F038A08" w14:textId="53C4BD4F" w:rsidR="00DC09DE" w:rsidRPr="00D33D68" w:rsidRDefault="00DC09DE" w:rsidP="00DC09DE">
      <w:pPr>
        <w:pStyle w:val="Heading3"/>
        <w:rPr>
          <w:rFonts w:ascii="Times New Roman" w:hAnsi="Times New Roman" w:cs="Times New Roman"/>
          <w:sz w:val="24"/>
          <w:lang w:val="bg-BG"/>
        </w:rPr>
      </w:pPr>
      <w:r w:rsidRPr="00D33D68">
        <w:rPr>
          <w:rFonts w:ascii="Times New Roman" w:hAnsi="Times New Roman" w:cs="Times New Roman"/>
          <w:sz w:val="24"/>
          <w:lang w:val="bg-BG"/>
        </w:rPr>
        <w:t>Методика за чл. 69, параграф 3</w:t>
      </w:r>
    </w:p>
    <w:p w14:paraId="5A2CAC3C" w14:textId="77777777" w:rsidR="00A95D3C" w:rsidRPr="00A95D3C" w:rsidRDefault="00A95D3C" w:rsidP="00A95D3C">
      <w:pPr>
        <w:spacing w:after="0"/>
        <w:rPr>
          <w:szCs w:val="20"/>
        </w:rPr>
      </w:pPr>
      <w:r w:rsidRPr="00A95D3C">
        <w:rPr>
          <w:szCs w:val="20"/>
        </w:rPr>
        <w:t xml:space="preserve">Допустими ще са кандидати, които са регистрирали спад в приходния оборот поне 20 %  от месец/месеци (определени в Условията за кандидатстване по мярката)  спрямо средноаритметичния месечен оборот за предходната календарна година или средноаритметичния оборот за месец от предходните три календарни години. </w:t>
      </w:r>
    </w:p>
    <w:p w14:paraId="7ED8719B" w14:textId="77777777" w:rsidR="00A95D3C" w:rsidRPr="00A95D3C" w:rsidRDefault="00A95D3C" w:rsidP="00A95D3C">
      <w:pPr>
        <w:spacing w:after="0"/>
        <w:rPr>
          <w:szCs w:val="20"/>
        </w:rPr>
      </w:pPr>
    </w:p>
    <w:p w14:paraId="508B3228" w14:textId="77777777" w:rsidR="00A95D3C" w:rsidRPr="00A95D3C" w:rsidRDefault="00A95D3C" w:rsidP="00A95D3C">
      <w:pPr>
        <w:spacing w:after="0"/>
        <w:rPr>
          <w:szCs w:val="20"/>
        </w:rPr>
      </w:pPr>
      <w:r w:rsidRPr="00A95D3C">
        <w:rPr>
          <w:szCs w:val="20"/>
        </w:rPr>
        <w:t>Допустими ще са разходи, необходими за преодоляване на недостига на средства, настъпили в резултат от епидемичния взрив от COVID-19 (разходи за съхранение, разходи за заплати, разходи за суровини, разходи за логистични услуги и подобни свързани с оборотния капитал). Заявената безвъзмездна финансова помощ не може да надвишава 20% от нетните приходи за продажби за предходната календарна година.</w:t>
      </w:r>
    </w:p>
    <w:p w14:paraId="07100346" w14:textId="77777777" w:rsidR="00A95D3C" w:rsidRPr="00A95D3C" w:rsidRDefault="00A95D3C" w:rsidP="00A95D3C">
      <w:pPr>
        <w:spacing w:after="0"/>
        <w:rPr>
          <w:szCs w:val="20"/>
        </w:rPr>
      </w:pPr>
      <w:r w:rsidRPr="00A95D3C">
        <w:rPr>
          <w:szCs w:val="20"/>
        </w:rPr>
        <w:t>Периодът на допустимост на мярката, съответно дейностите и разходите по нея ще се определя съгласно приложимото законодателство .</w:t>
      </w:r>
    </w:p>
    <w:p w14:paraId="0C5A46A3" w14:textId="77777777" w:rsidR="00A95D3C" w:rsidRPr="00A95D3C" w:rsidRDefault="00A95D3C" w:rsidP="00A95D3C">
      <w:pPr>
        <w:spacing w:after="0"/>
        <w:rPr>
          <w:szCs w:val="20"/>
        </w:rPr>
      </w:pPr>
      <w:r w:rsidRPr="00A95D3C">
        <w:rPr>
          <w:szCs w:val="20"/>
        </w:rPr>
        <w:t>Продължителността на изпълнение  на всеки проект не следва да надвишава 4 (четири) месеца.</w:t>
      </w:r>
    </w:p>
    <w:p w14:paraId="7E548326" w14:textId="77777777" w:rsidR="00A95D3C" w:rsidRPr="00A95D3C" w:rsidRDefault="00A95D3C" w:rsidP="00A95D3C">
      <w:pPr>
        <w:spacing w:after="0"/>
        <w:rPr>
          <w:szCs w:val="20"/>
        </w:rPr>
      </w:pPr>
      <w:r w:rsidRPr="00A95D3C">
        <w:rPr>
          <w:szCs w:val="20"/>
        </w:rPr>
        <w:t>По процедурите няма да има критерии за подбор – „Техническа и финансова оценка”, помощта е предназначена за всички допустими оператори и до изчерпване на бюджета ще се прилага принципът „Първи по ред, първи по право”.</w:t>
      </w:r>
    </w:p>
    <w:p w14:paraId="0B3841E4" w14:textId="77777777" w:rsidR="00A95D3C" w:rsidRPr="00A95D3C" w:rsidRDefault="00A95D3C" w:rsidP="00A95D3C">
      <w:pPr>
        <w:spacing w:after="0"/>
        <w:rPr>
          <w:szCs w:val="20"/>
        </w:rPr>
      </w:pPr>
      <w:r w:rsidRPr="00A95D3C">
        <w:rPr>
          <w:szCs w:val="20"/>
        </w:rPr>
        <w:lastRenderedPageBreak/>
        <w:t>Във връзка с изпълнението на одобрения проект, бенефициентите ще трябва да представят разходооправдателни документи за  допустимите извършени разходи– фактури, ведомости за заплати и др., както и доказателства за тяхното изплащане.</w:t>
      </w:r>
    </w:p>
    <w:p w14:paraId="08448FB0" w14:textId="77777777" w:rsidR="00A95D3C" w:rsidRPr="00A95D3C" w:rsidRDefault="00A95D3C" w:rsidP="00A95D3C">
      <w:pPr>
        <w:spacing w:after="0"/>
        <w:rPr>
          <w:szCs w:val="20"/>
        </w:rPr>
      </w:pPr>
    </w:p>
    <w:p w14:paraId="49490DD5" w14:textId="77777777" w:rsidR="00A95D3C" w:rsidRPr="00A95D3C" w:rsidRDefault="00A95D3C" w:rsidP="00A95D3C">
      <w:pPr>
        <w:spacing w:after="0"/>
        <w:rPr>
          <w:szCs w:val="20"/>
        </w:rPr>
      </w:pPr>
      <w:r w:rsidRPr="00A95D3C">
        <w:rPr>
          <w:szCs w:val="20"/>
        </w:rPr>
        <w:t>Пример:  Сумата на нетните приходи за продажби на ред „Продукция“ (код 15110) и ред „Стоки” (код 15120)от приходната част на ОПР за 2019 г.) – 120 000 лв.,</w:t>
      </w:r>
    </w:p>
    <w:p w14:paraId="12A47561" w14:textId="77777777" w:rsidR="00A95D3C" w:rsidRPr="00A95D3C" w:rsidRDefault="00A95D3C" w:rsidP="00A95D3C">
      <w:pPr>
        <w:spacing w:after="0"/>
        <w:rPr>
          <w:szCs w:val="20"/>
        </w:rPr>
      </w:pPr>
    </w:p>
    <w:p w14:paraId="4A37CB47" w14:textId="77777777" w:rsidR="00A95D3C" w:rsidRPr="00A95D3C" w:rsidRDefault="00A95D3C" w:rsidP="00A95D3C">
      <w:pPr>
        <w:spacing w:after="0"/>
        <w:rPr>
          <w:szCs w:val="20"/>
        </w:rPr>
      </w:pPr>
      <w:r w:rsidRPr="00A95D3C">
        <w:rPr>
          <w:szCs w:val="20"/>
        </w:rPr>
        <w:t>24 000 лв. са -20 % от сумата на нетните приходи за продажби на ред „Продукция“ (код 15110) и ред „Стоки” (код 15120) от приходната част на ОПР за 2019 г.) и това е БФП, която ще получи.</w:t>
      </w:r>
    </w:p>
    <w:p w14:paraId="597E2FBE" w14:textId="77777777" w:rsidR="00A95D3C" w:rsidRPr="00A95D3C" w:rsidRDefault="00A95D3C" w:rsidP="00A95D3C">
      <w:pPr>
        <w:spacing w:after="0"/>
        <w:rPr>
          <w:szCs w:val="20"/>
        </w:rPr>
      </w:pPr>
    </w:p>
    <w:p w14:paraId="3D9F7530" w14:textId="58FA7AC4" w:rsidR="009840D1" w:rsidRPr="00D33D68" w:rsidRDefault="00A95D3C" w:rsidP="00A95D3C">
      <w:pPr>
        <w:spacing w:after="0"/>
        <w:rPr>
          <w:szCs w:val="20"/>
        </w:rPr>
      </w:pPr>
      <w:r w:rsidRPr="00A95D3C">
        <w:rPr>
          <w:szCs w:val="20"/>
        </w:rPr>
        <w:t>Компенсацията се изчислява отделно за всяко предприятие, собственост на един кандидат.</w:t>
      </w:r>
    </w:p>
    <w:sectPr w:rsidR="009840D1" w:rsidRPr="00D33D68" w:rsidSect="00511333">
      <w:headerReference w:type="default" r:id="rId12"/>
      <w:footerReference w:type="default" r:id="rId13"/>
      <w:pgSz w:w="12240" w:h="15840"/>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5DA349" w14:textId="77777777" w:rsidR="00875681" w:rsidRDefault="00875681" w:rsidP="00B60748">
      <w:r>
        <w:separator/>
      </w:r>
    </w:p>
  </w:endnote>
  <w:endnote w:type="continuationSeparator" w:id="0">
    <w:p w14:paraId="5455B49E" w14:textId="77777777" w:rsidR="00875681" w:rsidRDefault="00875681" w:rsidP="00B60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5078382"/>
      <w:docPartObj>
        <w:docPartGallery w:val="Page Numbers (Bottom of Page)"/>
        <w:docPartUnique/>
      </w:docPartObj>
    </w:sdtPr>
    <w:sdtContent>
      <w:sdt>
        <w:sdtPr>
          <w:id w:val="860082579"/>
          <w:docPartObj>
            <w:docPartGallery w:val="Page Numbers (Top of Page)"/>
            <w:docPartUnique/>
          </w:docPartObj>
        </w:sdtPr>
        <w:sdtContent>
          <w:p w14:paraId="5D755E3C" w14:textId="47636C9A" w:rsidR="00875681" w:rsidRPr="00CA7BA8" w:rsidRDefault="00875681" w:rsidP="00C80916">
            <w:pPr>
              <w:pStyle w:val="Footer"/>
              <w:tabs>
                <w:tab w:val="left" w:pos="1755"/>
                <w:tab w:val="right" w:pos="9072"/>
              </w:tabs>
              <w:jc w:val="left"/>
            </w:pPr>
            <w:r>
              <w:tab/>
            </w:r>
            <w:r>
              <w:tab/>
            </w:r>
            <w:r>
              <w:tab/>
              <w:t xml:space="preserve">Стр </w:t>
            </w:r>
            <w:r>
              <w:rPr>
                <w:b/>
                <w:bCs/>
              </w:rPr>
              <w:fldChar w:fldCharType="begin"/>
            </w:r>
            <w:r>
              <w:rPr>
                <w:b/>
                <w:bCs/>
              </w:rPr>
              <w:instrText xml:space="preserve"> PAGE </w:instrText>
            </w:r>
            <w:r>
              <w:rPr>
                <w:b/>
                <w:bCs/>
              </w:rPr>
              <w:fldChar w:fldCharType="separate"/>
            </w:r>
            <w:r w:rsidR="00A95D3C">
              <w:rPr>
                <w:b/>
                <w:bCs/>
              </w:rPr>
              <w:t>49</w:t>
            </w:r>
            <w:r>
              <w:rPr>
                <w:b/>
                <w:bCs/>
              </w:rPr>
              <w:fldChar w:fldCharType="end"/>
            </w:r>
            <w:r>
              <w:t xml:space="preserve"> от </w:t>
            </w:r>
            <w:r>
              <w:rPr>
                <w:b/>
                <w:bCs/>
              </w:rPr>
              <w:fldChar w:fldCharType="begin"/>
            </w:r>
            <w:r>
              <w:rPr>
                <w:b/>
                <w:bCs/>
              </w:rPr>
              <w:instrText xml:space="preserve"> NUMPAGES  </w:instrText>
            </w:r>
            <w:r>
              <w:rPr>
                <w:b/>
                <w:bCs/>
              </w:rPr>
              <w:fldChar w:fldCharType="separate"/>
            </w:r>
            <w:r w:rsidR="00A95D3C">
              <w:rPr>
                <w:b/>
                <w:bCs/>
              </w:rPr>
              <w:t>53</w:t>
            </w:r>
            <w:r>
              <w:rPr>
                <w:b/>
                <w:bCs/>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40"/>
      </w:rPr>
      <w:id w:val="-1699145412"/>
      <w:docPartObj>
        <w:docPartGallery w:val="Page Numbers (Bottom of Page)"/>
        <w:docPartUnique/>
      </w:docPartObj>
    </w:sdtPr>
    <w:sdtContent>
      <w:sdt>
        <w:sdtPr>
          <w:rPr>
            <w:sz w:val="40"/>
          </w:rPr>
          <w:id w:val="1857533656"/>
          <w:docPartObj>
            <w:docPartGallery w:val="Page Numbers (Top of Page)"/>
            <w:docPartUnique/>
          </w:docPartObj>
        </w:sdtPr>
        <w:sdtContent>
          <w:p w14:paraId="52C13200" w14:textId="446D9B97" w:rsidR="00875681" w:rsidRPr="00EE5A05" w:rsidRDefault="00875681" w:rsidP="00591849">
            <w:pPr>
              <w:pStyle w:val="Footer"/>
              <w:jc w:val="right"/>
              <w:rPr>
                <w:sz w:val="40"/>
              </w:rPr>
            </w:pPr>
            <w:r w:rsidRPr="00EE5A05">
              <w:rPr>
                <w:szCs w:val="16"/>
              </w:rPr>
              <w:t xml:space="preserve">стр </w:t>
            </w:r>
            <w:r w:rsidRPr="00EE5A05">
              <w:rPr>
                <w:b/>
                <w:bCs/>
                <w:szCs w:val="16"/>
              </w:rPr>
              <w:fldChar w:fldCharType="begin"/>
            </w:r>
            <w:r w:rsidRPr="00EE5A05">
              <w:rPr>
                <w:b/>
                <w:bCs/>
                <w:szCs w:val="16"/>
              </w:rPr>
              <w:instrText xml:space="preserve"> PAGE </w:instrText>
            </w:r>
            <w:r w:rsidRPr="00EE5A05">
              <w:rPr>
                <w:b/>
                <w:bCs/>
                <w:szCs w:val="16"/>
              </w:rPr>
              <w:fldChar w:fldCharType="separate"/>
            </w:r>
            <w:r w:rsidR="00F81F27">
              <w:rPr>
                <w:b/>
                <w:bCs/>
                <w:szCs w:val="16"/>
              </w:rPr>
              <w:t>54</w:t>
            </w:r>
            <w:r w:rsidRPr="00EE5A05">
              <w:rPr>
                <w:b/>
                <w:bCs/>
                <w:szCs w:val="16"/>
              </w:rPr>
              <w:fldChar w:fldCharType="end"/>
            </w:r>
            <w:r w:rsidRPr="00EE5A05">
              <w:rPr>
                <w:szCs w:val="16"/>
              </w:rPr>
              <w:t xml:space="preserve"> от </w:t>
            </w:r>
            <w:r w:rsidRPr="00EE5A05">
              <w:rPr>
                <w:b/>
                <w:bCs/>
                <w:szCs w:val="16"/>
              </w:rPr>
              <w:fldChar w:fldCharType="begin"/>
            </w:r>
            <w:r w:rsidRPr="00EE5A05">
              <w:rPr>
                <w:b/>
                <w:bCs/>
                <w:szCs w:val="16"/>
              </w:rPr>
              <w:instrText xml:space="preserve"> NUMPAGES  </w:instrText>
            </w:r>
            <w:r w:rsidRPr="00EE5A05">
              <w:rPr>
                <w:b/>
                <w:bCs/>
                <w:szCs w:val="16"/>
              </w:rPr>
              <w:fldChar w:fldCharType="separate"/>
            </w:r>
            <w:r w:rsidR="00F81F27">
              <w:rPr>
                <w:b/>
                <w:bCs/>
                <w:szCs w:val="16"/>
              </w:rPr>
              <w:t>57</w:t>
            </w:r>
            <w:r w:rsidRPr="00EE5A05">
              <w:rPr>
                <w:b/>
                <w:bCs/>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3F5155" w14:textId="77777777" w:rsidR="00875681" w:rsidRDefault="00875681" w:rsidP="005D0434">
      <w:pPr>
        <w:spacing w:after="0"/>
      </w:pPr>
      <w:r>
        <w:separator/>
      </w:r>
    </w:p>
  </w:footnote>
  <w:footnote w:type="continuationSeparator" w:id="0">
    <w:p w14:paraId="36666E11" w14:textId="77777777" w:rsidR="00875681" w:rsidRDefault="00875681" w:rsidP="00B60748">
      <w:r>
        <w:continuationSeparator/>
      </w:r>
    </w:p>
  </w:footnote>
  <w:footnote w:id="1">
    <w:p w14:paraId="4F4C329B" w14:textId="25F5DA3B" w:rsidR="00875681" w:rsidRPr="00F04827" w:rsidRDefault="00875681" w:rsidP="00AB1960">
      <w:pPr>
        <w:pStyle w:val="FootnoteText"/>
      </w:pPr>
      <w:r w:rsidRPr="00F04827">
        <w:rPr>
          <w:rStyle w:val="FootnoteReference"/>
        </w:rPr>
        <w:footnoteRef/>
      </w:r>
      <w:r w:rsidRPr="00F04827">
        <w:t xml:space="preserve"> Нестабилни доходи поради слабите икономически резултати на сектора и възприемането на риболовната дейност от повечето рибари като странична и сезонна - Информационно-статистическа система на ИАРА – тази нестабилност води и до несигурност за устойчивостта в задължителния период на мониторинг на мярката - Социологическо проучване по Програмата за морско дело и рибарство 2014-2020 г., проведено от Прогрес-консулт ЕООД, извършено през ноември 2019 г. ; Намаляващи рибни запаси в Черно море видни от поръчваните от ИАРА ежегодни изследванията на квотираните видове в българската акватория на Черно море.</w:t>
      </w:r>
    </w:p>
  </w:footnote>
  <w:footnote w:id="2">
    <w:p w14:paraId="393E4B43" w14:textId="104B0898" w:rsidR="00875681" w:rsidRPr="00F04827" w:rsidRDefault="00875681">
      <w:pPr>
        <w:pStyle w:val="FootnoteText"/>
      </w:pPr>
      <w:r w:rsidRPr="00F04827">
        <w:rPr>
          <w:rStyle w:val="FootnoteReference"/>
        </w:rPr>
        <w:footnoteRef/>
      </w:r>
      <w:r w:rsidRPr="00F04827">
        <w:t xml:space="preserve"> Анкетно проучване и консултациите проведени от УО с двете най-големи признати браншови организации.</w:t>
      </w:r>
    </w:p>
  </w:footnote>
  <w:footnote w:id="3">
    <w:p w14:paraId="25DA12D9" w14:textId="61238D6A" w:rsidR="00875681" w:rsidRPr="00F04827" w:rsidRDefault="00875681">
      <w:pPr>
        <w:pStyle w:val="FootnoteText"/>
      </w:pPr>
      <w:r w:rsidRPr="00F04827">
        <w:rPr>
          <w:rStyle w:val="FootnoteReference"/>
        </w:rPr>
        <w:footnoteRef/>
      </w:r>
      <w:r w:rsidRPr="00F04827">
        <w:t xml:space="preserve"> Социологически проучвания, проведени от УО сред рибарски общности по Черно море. –през януари 2020 г. </w:t>
      </w:r>
    </w:p>
  </w:footnote>
  <w:footnote w:id="4">
    <w:p w14:paraId="576EF5D3" w14:textId="2BF50875" w:rsidR="00875681" w:rsidRPr="00F04827" w:rsidRDefault="00875681">
      <w:pPr>
        <w:pStyle w:val="FootnoteText"/>
      </w:pPr>
      <w:r w:rsidRPr="00F04827">
        <w:rPr>
          <w:rStyle w:val="FootnoteReference"/>
        </w:rPr>
        <w:footnoteRef/>
      </w:r>
      <w:r w:rsidRPr="00F04827">
        <w:t xml:space="preserve">  Междинна Оценка на Програмата за морско дело и рибарство 2014-2020 г. за периода от стартиране на ПМДР 2014-2020 до 31.12.2018 г., 193.</w:t>
      </w:r>
    </w:p>
  </w:footnote>
  <w:footnote w:id="5">
    <w:p w14:paraId="56D98F4B" w14:textId="72522806" w:rsidR="00875681" w:rsidRPr="00F04827" w:rsidRDefault="00875681">
      <w:pPr>
        <w:pStyle w:val="FootnoteText"/>
      </w:pPr>
      <w:r w:rsidRPr="00F04827">
        <w:rPr>
          <w:rStyle w:val="FootnoteReference"/>
        </w:rPr>
        <w:footnoteRef/>
      </w:r>
      <w:r w:rsidRPr="00F04827">
        <w:t xml:space="preserve"> Нисък дял на млади и активни хора в сектора - Информационно-статистическа система на ИАРА; Една трета неактивни риболовни кораби - Годишен доклад на България за усилията през 2018 г. за постигане на устойчив баланс между риболовния капацитет и риболовните възможности, 3-4 </w:t>
      </w:r>
      <w:r w:rsidRPr="00F04827">
        <w:rPr>
          <w:lang w:val="en-US"/>
        </w:rPr>
        <w:t xml:space="preserve">&lt;http://iara.government.bg/wp-content/uploads/2019/03/Доклад-БГ-31.05.pdf&gt; </w:t>
      </w:r>
      <w:r w:rsidRPr="00F04827">
        <w:t xml:space="preserve">консултиран на </w:t>
      </w:r>
      <w:r w:rsidRPr="00F04827">
        <w:rPr>
          <w:lang w:val="en-US"/>
        </w:rPr>
        <w:t xml:space="preserve">03 </w:t>
      </w:r>
      <w:r w:rsidRPr="00F04827">
        <w:t>март 2020г.</w:t>
      </w:r>
    </w:p>
  </w:footnote>
  <w:footnote w:id="6">
    <w:p w14:paraId="735B22CF" w14:textId="3F02720B" w:rsidR="00875681" w:rsidRPr="00F04827" w:rsidRDefault="00875681" w:rsidP="00994808">
      <w:pPr>
        <w:pStyle w:val="FootnoteText"/>
        <w:rPr>
          <w:lang w:val="en-US"/>
        </w:rPr>
      </w:pPr>
      <w:r w:rsidRPr="00F04827">
        <w:rPr>
          <w:rStyle w:val="FootnoteReference"/>
        </w:rPr>
        <w:footnoteRef/>
      </w:r>
      <w:r w:rsidRPr="00F04827">
        <w:t xml:space="preserve"> УО предложи Закона за морските пространства вътрешните водни пътища и пристанищата на Република България да се измени като се дефинира термина „лодкостоянка“. Проектът на закона е подложен на широко обществено обсъждане, приет е от Министерския съвет и предстои гласуването му в Народното събрание през настоящата година.</w:t>
      </w:r>
    </w:p>
  </w:footnote>
  <w:footnote w:id="7">
    <w:p w14:paraId="0A5354FD" w14:textId="77777777" w:rsidR="00875681" w:rsidRPr="00F04827" w:rsidRDefault="00875681">
      <w:pPr>
        <w:pStyle w:val="FootnoteText"/>
      </w:pPr>
      <w:r w:rsidRPr="00F04827">
        <w:rPr>
          <w:rStyle w:val="FootnoteReference"/>
        </w:rPr>
        <w:footnoteRef/>
      </w:r>
      <w:r w:rsidRPr="00F04827">
        <w:t xml:space="preserve"> Организация на производителите „Черноморски изгрев“ и Междубраншова организация „Асоциация на производителите на рибни продукти БГ Фиш“.</w:t>
      </w:r>
    </w:p>
  </w:footnote>
  <w:footnote w:id="8">
    <w:p w14:paraId="7CF84933" w14:textId="7F884703" w:rsidR="00875681" w:rsidRPr="00581FBD" w:rsidRDefault="00875681">
      <w:pPr>
        <w:pStyle w:val="FootnoteText"/>
      </w:pPr>
      <w:r>
        <w:rPr>
          <w:rStyle w:val="FootnoteReference"/>
        </w:rPr>
        <w:footnoteRef/>
      </w:r>
      <w:r>
        <w:t xml:space="preserve"> УО първоначално проведе писмена консултация и допълнително проведе онлайн видео среща с представители на сектора на 18.08.2020 г.</w:t>
      </w:r>
      <w:r>
        <w:rPr>
          <w:lang w:val="en-US"/>
        </w:rPr>
        <w:t xml:space="preserve">, </w:t>
      </w:r>
      <w:r>
        <w:t>както и среща в гр. Сливен на 19.08.2020 г.</w:t>
      </w:r>
    </w:p>
  </w:footnote>
  <w:footnote w:id="9">
    <w:p w14:paraId="46A90969" w14:textId="0E154809" w:rsidR="00875681" w:rsidRPr="00F04827" w:rsidRDefault="00875681">
      <w:pPr>
        <w:pStyle w:val="FootnoteText"/>
      </w:pPr>
      <w:r w:rsidRPr="00F04827">
        <w:rPr>
          <w:rStyle w:val="FootnoteReference"/>
        </w:rPr>
        <w:footnoteRef/>
      </w:r>
      <w:r w:rsidRPr="00F04827">
        <w:t xml:space="preserve"> Междинна Оценка на Програмата за морско дело и рибарство 2014-2020 г. за периода от стартиране на ПМДР 2014-2020 до 31.12.2018 г., 275.</w:t>
      </w:r>
    </w:p>
  </w:footnote>
  <w:footnote w:id="10">
    <w:p w14:paraId="48D2B27F" w14:textId="47FCF673" w:rsidR="00875681" w:rsidRDefault="00875681" w:rsidP="00E65A4D">
      <w:pPr>
        <w:pStyle w:val="FootnoteText"/>
        <w:rPr>
          <w:lang w:val="en-US"/>
        </w:rPr>
      </w:pPr>
      <w:r w:rsidRPr="00F04827">
        <w:rPr>
          <w:rStyle w:val="FootnoteReference"/>
        </w:rPr>
        <w:footnoteRef/>
      </w:r>
      <w:r w:rsidRPr="00F04827">
        <w:t xml:space="preserve"> </w:t>
      </w:r>
      <w:hyperlink r:id="rId1" w:history="1">
        <w:r>
          <w:rPr>
            <w:rStyle w:val="Hyperlink"/>
          </w:rPr>
          <w:t>https://dnews.bg/vodna-kriza-v-pernik.html</w:t>
        </w:r>
      </w:hyperlink>
    </w:p>
    <w:p w14:paraId="4E877C75" w14:textId="4DF4204B" w:rsidR="00875681" w:rsidRPr="00F108CB" w:rsidRDefault="00875681" w:rsidP="00E65A4D">
      <w:pPr>
        <w:pStyle w:val="FootnoteText"/>
        <w:rPr>
          <w:lang w:val="en-US"/>
        </w:rPr>
      </w:pPr>
      <w:hyperlink r:id="rId2" w:history="1">
        <w:r>
          <w:rPr>
            <w:rStyle w:val="Hyperlink"/>
          </w:rPr>
          <w:t>https://www.euronews.com/2020/01/25/bulgaria-residents-in-pernik-protest-about-water-shortages</w:t>
        </w:r>
      </w:hyperlink>
    </w:p>
  </w:footnote>
  <w:footnote w:id="11">
    <w:p w14:paraId="4F2761FA" w14:textId="5DF41575" w:rsidR="00875681" w:rsidRPr="00F04827" w:rsidRDefault="00875681">
      <w:pPr>
        <w:pStyle w:val="FootnoteText"/>
      </w:pPr>
      <w:r w:rsidRPr="00F04827">
        <w:rPr>
          <w:rStyle w:val="FootnoteReference"/>
        </w:rPr>
        <w:footnoteRef/>
      </w:r>
      <w:r w:rsidRPr="00F04827">
        <w:t xml:space="preserve"> Междинна Оценка на Програмата за морско дело и рибарство 2014-2020 г. за периода от стартиране на ПМДР 2014-2020 до 31.12.2018 г., 22.</w:t>
      </w:r>
    </w:p>
  </w:footnote>
  <w:footnote w:id="12">
    <w:p w14:paraId="0C5220D5" w14:textId="4B729402" w:rsidR="00875681" w:rsidRDefault="00875681" w:rsidP="008F154F">
      <w:pPr>
        <w:pStyle w:val="FootnoteText"/>
      </w:pPr>
      <w:r>
        <w:rPr>
          <w:rStyle w:val="FootnoteReference"/>
        </w:rPr>
        <w:footnoteRef/>
      </w:r>
      <w:r>
        <w:t xml:space="preserve"> УО първоначално проведе писмена консултация и допълнително проведе онлайн аудио и видео среща с представители на сектора на 18.08.2020 г., както и среща в гр. Сливен на 19.08.2020 г.</w:t>
      </w:r>
    </w:p>
  </w:footnote>
  <w:footnote w:id="13">
    <w:p w14:paraId="3BB9B3D6" w14:textId="7AFFB552" w:rsidR="00875681" w:rsidRPr="00F04827" w:rsidRDefault="00875681" w:rsidP="00F66B1E">
      <w:pPr>
        <w:pStyle w:val="FootnoteText"/>
      </w:pPr>
      <w:r w:rsidRPr="00F04827">
        <w:rPr>
          <w:rStyle w:val="FootnoteReference"/>
        </w:rPr>
        <w:footnoteRef/>
      </w:r>
      <w:r w:rsidRPr="00F04827">
        <w:t xml:space="preserve"> Междинна Оценка на Програмата за морско дело и рибарство 2014-2020 г. за периода от стартиране на ПМДР 2014-2020 до 31.12.2018 г.,  268.</w:t>
      </w:r>
    </w:p>
  </w:footnote>
  <w:footnote w:id="14">
    <w:p w14:paraId="5E34E58B" w14:textId="77777777" w:rsidR="00875681" w:rsidRPr="00F04827" w:rsidRDefault="00875681">
      <w:pPr>
        <w:pStyle w:val="FootnoteText"/>
      </w:pPr>
      <w:r w:rsidRPr="00F04827">
        <w:rPr>
          <w:rStyle w:val="FootnoteReference"/>
        </w:rPr>
        <w:footnoteRef/>
      </w:r>
      <w:r w:rsidRPr="00F04827">
        <w:t xml:space="preserve"> Писмо от 06.02.2020 изпратено от междубраншовата организация „Асоциация на производителите на рибни продукти БГ Фиш“ до г-н Стоян Котов, Директор на Дирекция морско дело и рибарство. </w:t>
      </w:r>
    </w:p>
  </w:footnote>
  <w:footnote w:id="15">
    <w:p w14:paraId="2E56E64E" w14:textId="77777777" w:rsidR="00875681" w:rsidRPr="00F04827" w:rsidRDefault="00875681" w:rsidP="00C10FA0">
      <w:pPr>
        <w:pStyle w:val="FootnoteText"/>
        <w:rPr>
          <w:lang w:val="en-US"/>
        </w:rPr>
      </w:pPr>
      <w:r w:rsidRPr="00F04827">
        <w:rPr>
          <w:rStyle w:val="FootnoteReference"/>
        </w:rPr>
        <w:footnoteRef/>
      </w:r>
      <w:r w:rsidRPr="00F04827">
        <w:t xml:space="preserve"> Три социологически проучвания по Програмата за морско дело и рибарство 2014-2020 г., проведени сред рибарски общности по черно море,  рибарски общности по дунав и производители на аквакултури, проведени от Прогрес-консулт ЕООД, финансирани по „Техническа помощ“ на ПМДР. Извършени са през м. ноември 2019 г.</w:t>
      </w:r>
    </w:p>
  </w:footnote>
  <w:footnote w:id="16">
    <w:p w14:paraId="5959F04A" w14:textId="2A9834CF" w:rsidR="00875681" w:rsidRPr="00C028CD" w:rsidRDefault="00875681">
      <w:pPr>
        <w:pStyle w:val="FootnoteText"/>
      </w:pPr>
      <w:r>
        <w:rPr>
          <w:rStyle w:val="FootnoteReference"/>
        </w:rPr>
        <w:footnoteRef/>
      </w:r>
      <w:r>
        <w:t xml:space="preserve"> CT03.1</w:t>
      </w:r>
      <w:r>
        <w:rPr>
          <w:lang w:val="en-US"/>
        </w:rPr>
        <w:t>,</w:t>
      </w:r>
      <w:r>
        <w:t xml:space="preserve"> EMFF Evaluation Toolbox </w:t>
      </w:r>
      <w:r>
        <w:rPr>
          <w:lang w:val="en-US"/>
        </w:rPr>
        <w:t>(</w:t>
      </w:r>
      <w:r>
        <w:t>FAME Support Unit</w:t>
      </w:r>
      <w:r>
        <w:rPr>
          <w:lang w:val="en-US"/>
        </w:rPr>
        <w:t>)</w:t>
      </w:r>
      <w:r>
        <w:t>, 110-119</w:t>
      </w:r>
      <w:r>
        <w:rPr>
          <w:lang w:val="en-US"/>
        </w:rPr>
        <w:t xml:space="preserve"> &lt;</w:t>
      </w:r>
      <w:hyperlink r:id="rId3" w:history="1">
        <w:r>
          <w:rPr>
            <w:rStyle w:val="Hyperlink"/>
          </w:rPr>
          <w:t>https://ec.europa.eu/fisheries/sites/fisheries/files/fame-working-paper-emff-evaluation-toolbox_en.pdf</w:t>
        </w:r>
      </w:hyperlink>
      <w:r>
        <w:rPr>
          <w:lang w:val="en-US"/>
        </w:rPr>
        <w:t xml:space="preserve">&gt; </w:t>
      </w:r>
      <w:r>
        <w:t>последно консултиран 24 септември 2020.</w:t>
      </w:r>
    </w:p>
  </w:footnote>
  <w:footnote w:id="17">
    <w:p w14:paraId="688188ED" w14:textId="77777777" w:rsidR="00A95D3C" w:rsidRPr="008C67CF" w:rsidRDefault="00A95D3C" w:rsidP="00A95D3C">
      <w:pPr>
        <w:pStyle w:val="FootnoteText"/>
      </w:pPr>
      <w:r w:rsidRPr="008C67CF">
        <w:rPr>
          <w:rStyle w:val="FootnoteReference"/>
        </w:rPr>
        <w:footnoteRef/>
      </w:r>
      <w:r w:rsidRPr="008C67CF">
        <w:t xml:space="preserve"> Еднолично дружество с ограничена отговорност със 100% държавно участие към Министъра на земеделието, храните и горите. "Рибни ресурси" ЕООД е образувано с Решение № 648 от 21 юли 2009 г. на Министерския съвет на Република България, като правата на държавата се упражняват от министъра на земеделието и храните. В капитала на "Рибни ресурси" ЕООД са внесени като непарични вноски няколко недвижими имота, които представляват рибарски пристанища в Балчик, Варна и Созопол. </w:t>
      </w:r>
      <w:hyperlink r:id="rId4" w:history="1">
        <w:r w:rsidRPr="008C67CF">
          <w:rPr>
            <w:rStyle w:val="Hyperlink"/>
          </w:rPr>
          <w:t>http://ribniresursi.com/</w:t>
        </w:r>
      </w:hyperlink>
      <w:r w:rsidRPr="008C67CF">
        <w:t xml:space="preserve"> .</w:t>
      </w:r>
    </w:p>
  </w:footnote>
  <w:footnote w:id="18">
    <w:p w14:paraId="4C6ECF27" w14:textId="77777777" w:rsidR="00A95D3C" w:rsidRPr="004D695D" w:rsidRDefault="00A95D3C" w:rsidP="00A95D3C">
      <w:pPr>
        <w:pStyle w:val="FootnoteText"/>
      </w:pPr>
      <w:r>
        <w:rPr>
          <w:rStyle w:val="FootnoteReference"/>
        </w:rPr>
        <w:footnoteRef/>
      </w:r>
      <w:r>
        <w:t xml:space="preserve"> Периодът от подписване на административния договор за предоставяне на БФП до подаване на окончателно/единствено искане за плащане по договора.</w:t>
      </w:r>
    </w:p>
  </w:footnote>
  <w:footnote w:id="19">
    <w:p w14:paraId="520DE9F4" w14:textId="77777777" w:rsidR="00A95D3C" w:rsidRPr="008C67CF" w:rsidRDefault="00A95D3C" w:rsidP="00A95D3C">
      <w:pPr>
        <w:pStyle w:val="FootnoteText"/>
      </w:pPr>
      <w:r w:rsidRPr="008C67CF">
        <w:rPr>
          <w:rStyle w:val="FootnoteReference"/>
        </w:rPr>
        <w:footnoteRef/>
      </w:r>
      <w:r w:rsidRPr="008C67CF">
        <w:t xml:space="preserve"> Закон за мерките и действията по време на извънредното положение, обявено с решение на Народното събрание от 13 март 2020 г. и РЕГЛАМЕНТ (ЕС) 2020/560 НА ЕВРОПЕЙСКИЯ ПАРЛАМЕНТ И НА СЪВЕТА от 23 април 2020 година за изменение на регламенти (ЕС) № 508/2014 и (ЕС) № 1379/2013 по отношение на специални мерки за смекчаване на въздействието на избухването на COVID-19 върху сектора на рибарството и аквакултурите,</w:t>
      </w:r>
      <w:r w:rsidRPr="008C67CF">
        <w:rPr>
          <w:strike/>
        </w:rPr>
        <w:t xml:space="preserve"> </w:t>
      </w:r>
      <w:r w:rsidRPr="008C67CF">
        <w:t xml:space="preserve"> публикуван  на 24.04.2020 г. в Официалния вестник на Европейския съюз</w:t>
      </w:r>
    </w:p>
  </w:footnote>
  <w:footnote w:id="20">
    <w:p w14:paraId="7AD506DC" w14:textId="77777777" w:rsidR="00A95D3C" w:rsidRPr="008C67CF" w:rsidRDefault="00A95D3C" w:rsidP="00A95D3C">
      <w:pPr>
        <w:pStyle w:val="FootnoteText"/>
        <w:rPr>
          <w:strike/>
        </w:rPr>
      </w:pPr>
      <w:r w:rsidRPr="008C67CF">
        <w:rPr>
          <w:rStyle w:val="FootnoteReference"/>
        </w:rPr>
        <w:footnoteRef/>
      </w:r>
      <w:r w:rsidRPr="008C67CF">
        <w:t xml:space="preserve"> Закон за рибарството и аквакултурите,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6EE616" w14:textId="77777777" w:rsidR="00875681" w:rsidRPr="00591849" w:rsidRDefault="00875681" w:rsidP="00591849">
    <w:pPr>
      <w:pStyle w:val="Header"/>
      <w:jc w:val="right"/>
      <w:rPr>
        <w:rFonts w:ascii="Arial" w:hAnsi="Arial" w:cs="Arial"/>
        <w:i/>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C0B02"/>
    <w:multiLevelType w:val="hybridMultilevel"/>
    <w:tmpl w:val="F86AB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241BFC"/>
    <w:multiLevelType w:val="hybridMultilevel"/>
    <w:tmpl w:val="78CEE4BA"/>
    <w:lvl w:ilvl="0" w:tplc="45B6A6E6">
      <w:start w:val="1"/>
      <w:numFmt w:val="upperLetter"/>
      <w:pStyle w:val="Heading4"/>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2821814"/>
    <w:multiLevelType w:val="hybridMultilevel"/>
    <w:tmpl w:val="F2C4ED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2D289D"/>
    <w:multiLevelType w:val="hybridMultilevel"/>
    <w:tmpl w:val="791455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F5519AD"/>
    <w:multiLevelType w:val="hybridMultilevel"/>
    <w:tmpl w:val="FA927208"/>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5">
    <w:nsid w:val="2FE116CD"/>
    <w:multiLevelType w:val="hybridMultilevel"/>
    <w:tmpl w:val="091CC290"/>
    <w:lvl w:ilvl="0" w:tplc="285A7F32">
      <w:start w:val="1"/>
      <w:numFmt w:val="upperRoman"/>
      <w:pStyle w:val="Heading2"/>
      <w:lvlText w:val="%1."/>
      <w:lvlJc w:val="left"/>
      <w:pPr>
        <w:ind w:left="990" w:hanging="720"/>
      </w:pPr>
      <w:rPr>
        <w:rFonts w:hint="default"/>
      </w:rPr>
    </w:lvl>
    <w:lvl w:ilvl="1" w:tplc="23363FE0">
      <w:start w:val="1"/>
      <w:numFmt w:val="decimal"/>
      <w:pStyle w:val="Heading3"/>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8BC1AE9"/>
    <w:multiLevelType w:val="hybridMultilevel"/>
    <w:tmpl w:val="AB509CF4"/>
    <w:lvl w:ilvl="0" w:tplc="F322E4AE">
      <w:start w:val="11"/>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CD55230"/>
    <w:multiLevelType w:val="hybridMultilevel"/>
    <w:tmpl w:val="82F44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A3738BC"/>
    <w:multiLevelType w:val="hybridMultilevel"/>
    <w:tmpl w:val="959C0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BA57F8A"/>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color w:val="auto"/>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nsid w:val="67782747"/>
    <w:multiLevelType w:val="hybridMultilevel"/>
    <w:tmpl w:val="B5D65F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712C7EEA"/>
    <w:multiLevelType w:val="hybridMultilevel"/>
    <w:tmpl w:val="A5E6DFD2"/>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76114C03"/>
    <w:multiLevelType w:val="hybridMultilevel"/>
    <w:tmpl w:val="C1AA3BC8"/>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num w:numId="1">
    <w:abstractNumId w:val="5"/>
  </w:num>
  <w:num w:numId="2">
    <w:abstractNumId w:val="1"/>
  </w:num>
  <w:num w:numId="3">
    <w:abstractNumId w:val="10"/>
  </w:num>
  <w:num w:numId="4">
    <w:abstractNumId w:val="3"/>
  </w:num>
  <w:num w:numId="5">
    <w:abstractNumId w:val="6"/>
  </w:num>
  <w:num w:numId="6">
    <w:abstractNumId w:val="4"/>
  </w:num>
  <w:num w:numId="7">
    <w:abstractNumId w:val="11"/>
  </w:num>
  <w:num w:numId="8">
    <w:abstractNumId w:val="12"/>
  </w:num>
  <w:num w:numId="9">
    <w:abstractNumId w:val="0"/>
  </w:num>
  <w:num w:numId="10">
    <w:abstractNumId w:val="5"/>
    <w:lvlOverride w:ilvl="0">
      <w:startOverride w:val="2"/>
    </w:lvlOverride>
  </w:num>
  <w:num w:numId="11">
    <w:abstractNumId w:val="7"/>
  </w:num>
  <w:num w:numId="12">
    <w:abstractNumId w:val="5"/>
  </w:num>
  <w:num w:numId="13">
    <w:abstractNumId w:val="5"/>
    <w:lvlOverride w:ilvl="0">
      <w:startOverride w:val="5"/>
    </w:lvlOverride>
  </w:num>
  <w:num w:numId="14">
    <w:abstractNumId w:val="8"/>
  </w:num>
  <w:num w:numId="15">
    <w:abstractNumId w:val="2"/>
  </w:num>
  <w:num w:numId="16">
    <w:abstractNumId w:val="9"/>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oryana Vodenicharska">
    <w15:presenceInfo w15:providerId="None" w15:userId="Boryana Vodenichars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mailMerge>
    <w:mainDocumentType w:val="catalog"/>
    <w:dataType w:val="textFile"/>
    <w:activeRecord w:val="-1"/>
  </w:mailMerge>
  <w:defaultTabStop w:val="720"/>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663"/>
    <w:rsid w:val="000001D8"/>
    <w:rsid w:val="00001220"/>
    <w:rsid w:val="0000160D"/>
    <w:rsid w:val="00002141"/>
    <w:rsid w:val="00002376"/>
    <w:rsid w:val="0000301F"/>
    <w:rsid w:val="00003198"/>
    <w:rsid w:val="00005201"/>
    <w:rsid w:val="0000539F"/>
    <w:rsid w:val="00005C3C"/>
    <w:rsid w:val="000064CF"/>
    <w:rsid w:val="000068A1"/>
    <w:rsid w:val="00006E04"/>
    <w:rsid w:val="00007DE2"/>
    <w:rsid w:val="00010551"/>
    <w:rsid w:val="00012C62"/>
    <w:rsid w:val="000137D5"/>
    <w:rsid w:val="0001385B"/>
    <w:rsid w:val="00013B56"/>
    <w:rsid w:val="00014874"/>
    <w:rsid w:val="000162B8"/>
    <w:rsid w:val="000168E3"/>
    <w:rsid w:val="00017C6C"/>
    <w:rsid w:val="000203E6"/>
    <w:rsid w:val="00020435"/>
    <w:rsid w:val="00022976"/>
    <w:rsid w:val="00023911"/>
    <w:rsid w:val="00023CD7"/>
    <w:rsid w:val="00023F53"/>
    <w:rsid w:val="0002489B"/>
    <w:rsid w:val="00024E0A"/>
    <w:rsid w:val="00027948"/>
    <w:rsid w:val="00030E99"/>
    <w:rsid w:val="0003104E"/>
    <w:rsid w:val="0003182B"/>
    <w:rsid w:val="00031B98"/>
    <w:rsid w:val="00031BA1"/>
    <w:rsid w:val="00031BA3"/>
    <w:rsid w:val="000326BD"/>
    <w:rsid w:val="00032753"/>
    <w:rsid w:val="0003289A"/>
    <w:rsid w:val="00032C0B"/>
    <w:rsid w:val="0003300F"/>
    <w:rsid w:val="00033115"/>
    <w:rsid w:val="000337F0"/>
    <w:rsid w:val="00033AB8"/>
    <w:rsid w:val="0003508C"/>
    <w:rsid w:val="000352B8"/>
    <w:rsid w:val="00035E8B"/>
    <w:rsid w:val="00036763"/>
    <w:rsid w:val="000367C3"/>
    <w:rsid w:val="0004027A"/>
    <w:rsid w:val="00041A7E"/>
    <w:rsid w:val="000426A1"/>
    <w:rsid w:val="00043283"/>
    <w:rsid w:val="0004366A"/>
    <w:rsid w:val="00044107"/>
    <w:rsid w:val="00044C24"/>
    <w:rsid w:val="000451DD"/>
    <w:rsid w:val="0004580B"/>
    <w:rsid w:val="000467D5"/>
    <w:rsid w:val="00047204"/>
    <w:rsid w:val="00047379"/>
    <w:rsid w:val="000473CE"/>
    <w:rsid w:val="000511DC"/>
    <w:rsid w:val="000516FF"/>
    <w:rsid w:val="00051D89"/>
    <w:rsid w:val="00053121"/>
    <w:rsid w:val="00053EBC"/>
    <w:rsid w:val="00054CCA"/>
    <w:rsid w:val="00054E4D"/>
    <w:rsid w:val="00057028"/>
    <w:rsid w:val="000603CE"/>
    <w:rsid w:val="00060982"/>
    <w:rsid w:val="00061483"/>
    <w:rsid w:val="00061ACD"/>
    <w:rsid w:val="00061E49"/>
    <w:rsid w:val="00063C95"/>
    <w:rsid w:val="00063F2C"/>
    <w:rsid w:val="00064C49"/>
    <w:rsid w:val="00064F59"/>
    <w:rsid w:val="000659FC"/>
    <w:rsid w:val="00067AB7"/>
    <w:rsid w:val="00067D88"/>
    <w:rsid w:val="0007012D"/>
    <w:rsid w:val="00070409"/>
    <w:rsid w:val="0007048C"/>
    <w:rsid w:val="00071025"/>
    <w:rsid w:val="0007185F"/>
    <w:rsid w:val="00074A37"/>
    <w:rsid w:val="000751CB"/>
    <w:rsid w:val="00075E7D"/>
    <w:rsid w:val="0007637F"/>
    <w:rsid w:val="00076AEB"/>
    <w:rsid w:val="00077D55"/>
    <w:rsid w:val="0008063D"/>
    <w:rsid w:val="00081175"/>
    <w:rsid w:val="000818C1"/>
    <w:rsid w:val="00083AAC"/>
    <w:rsid w:val="00083DDC"/>
    <w:rsid w:val="000844AC"/>
    <w:rsid w:val="00084924"/>
    <w:rsid w:val="00085897"/>
    <w:rsid w:val="000861D1"/>
    <w:rsid w:val="00087A12"/>
    <w:rsid w:val="00087C95"/>
    <w:rsid w:val="00092987"/>
    <w:rsid w:val="00092EC9"/>
    <w:rsid w:val="000932AE"/>
    <w:rsid w:val="0009390A"/>
    <w:rsid w:val="00093B98"/>
    <w:rsid w:val="00094046"/>
    <w:rsid w:val="000940F7"/>
    <w:rsid w:val="00094515"/>
    <w:rsid w:val="00096A38"/>
    <w:rsid w:val="00096F2D"/>
    <w:rsid w:val="00097589"/>
    <w:rsid w:val="000976CE"/>
    <w:rsid w:val="000A05E9"/>
    <w:rsid w:val="000A1E40"/>
    <w:rsid w:val="000A2093"/>
    <w:rsid w:val="000A3069"/>
    <w:rsid w:val="000A39B4"/>
    <w:rsid w:val="000A3C28"/>
    <w:rsid w:val="000A409E"/>
    <w:rsid w:val="000A5098"/>
    <w:rsid w:val="000A517B"/>
    <w:rsid w:val="000A6F33"/>
    <w:rsid w:val="000A7808"/>
    <w:rsid w:val="000A7987"/>
    <w:rsid w:val="000A7C20"/>
    <w:rsid w:val="000B036B"/>
    <w:rsid w:val="000B17B8"/>
    <w:rsid w:val="000B1E2A"/>
    <w:rsid w:val="000B1EC5"/>
    <w:rsid w:val="000B25B3"/>
    <w:rsid w:val="000B3AE9"/>
    <w:rsid w:val="000B430D"/>
    <w:rsid w:val="000B5165"/>
    <w:rsid w:val="000B5E4D"/>
    <w:rsid w:val="000B6D46"/>
    <w:rsid w:val="000B7250"/>
    <w:rsid w:val="000B7A16"/>
    <w:rsid w:val="000C1036"/>
    <w:rsid w:val="000C1850"/>
    <w:rsid w:val="000C2829"/>
    <w:rsid w:val="000C3973"/>
    <w:rsid w:val="000C5EAD"/>
    <w:rsid w:val="000C6B27"/>
    <w:rsid w:val="000C7D45"/>
    <w:rsid w:val="000D09E5"/>
    <w:rsid w:val="000D0A69"/>
    <w:rsid w:val="000D0ABD"/>
    <w:rsid w:val="000D1261"/>
    <w:rsid w:val="000D1453"/>
    <w:rsid w:val="000D2282"/>
    <w:rsid w:val="000D2A91"/>
    <w:rsid w:val="000D32E7"/>
    <w:rsid w:val="000D37A2"/>
    <w:rsid w:val="000D67F0"/>
    <w:rsid w:val="000D7AC9"/>
    <w:rsid w:val="000D7DC5"/>
    <w:rsid w:val="000D7EAF"/>
    <w:rsid w:val="000E0450"/>
    <w:rsid w:val="000E1695"/>
    <w:rsid w:val="000E1C26"/>
    <w:rsid w:val="000E20A3"/>
    <w:rsid w:val="000E29D7"/>
    <w:rsid w:val="000E305A"/>
    <w:rsid w:val="000E40AC"/>
    <w:rsid w:val="000E6623"/>
    <w:rsid w:val="000E7301"/>
    <w:rsid w:val="000F17F7"/>
    <w:rsid w:val="000F1D88"/>
    <w:rsid w:val="000F27AF"/>
    <w:rsid w:val="000F2883"/>
    <w:rsid w:val="000F2CC2"/>
    <w:rsid w:val="000F3E61"/>
    <w:rsid w:val="000F58D9"/>
    <w:rsid w:val="000F5FC7"/>
    <w:rsid w:val="000F6647"/>
    <w:rsid w:val="000F69DD"/>
    <w:rsid w:val="000F7098"/>
    <w:rsid w:val="000F7536"/>
    <w:rsid w:val="000F7941"/>
    <w:rsid w:val="000F7C52"/>
    <w:rsid w:val="001006CE"/>
    <w:rsid w:val="00100E5D"/>
    <w:rsid w:val="00101559"/>
    <w:rsid w:val="00105B0A"/>
    <w:rsid w:val="00105C8B"/>
    <w:rsid w:val="001070C6"/>
    <w:rsid w:val="00107F2F"/>
    <w:rsid w:val="001121EF"/>
    <w:rsid w:val="00112356"/>
    <w:rsid w:val="00112599"/>
    <w:rsid w:val="00112F84"/>
    <w:rsid w:val="00114F28"/>
    <w:rsid w:val="0011511D"/>
    <w:rsid w:val="001156DB"/>
    <w:rsid w:val="00117892"/>
    <w:rsid w:val="001207CC"/>
    <w:rsid w:val="00120AD9"/>
    <w:rsid w:val="00121495"/>
    <w:rsid w:val="00122287"/>
    <w:rsid w:val="00122DD4"/>
    <w:rsid w:val="00124143"/>
    <w:rsid w:val="00124FE9"/>
    <w:rsid w:val="00125FCA"/>
    <w:rsid w:val="0012666E"/>
    <w:rsid w:val="00127CF3"/>
    <w:rsid w:val="0013110A"/>
    <w:rsid w:val="00131405"/>
    <w:rsid w:val="00131F5F"/>
    <w:rsid w:val="001332C1"/>
    <w:rsid w:val="00135E13"/>
    <w:rsid w:val="00140667"/>
    <w:rsid w:val="00144292"/>
    <w:rsid w:val="00144512"/>
    <w:rsid w:val="0014451A"/>
    <w:rsid w:val="001474BE"/>
    <w:rsid w:val="00147847"/>
    <w:rsid w:val="00147FC2"/>
    <w:rsid w:val="00150582"/>
    <w:rsid w:val="001505CD"/>
    <w:rsid w:val="0015064A"/>
    <w:rsid w:val="001516B6"/>
    <w:rsid w:val="001522B8"/>
    <w:rsid w:val="00152AA0"/>
    <w:rsid w:val="001546BE"/>
    <w:rsid w:val="00154711"/>
    <w:rsid w:val="00154D8A"/>
    <w:rsid w:val="00155307"/>
    <w:rsid w:val="00155571"/>
    <w:rsid w:val="001555E2"/>
    <w:rsid w:val="00155B9B"/>
    <w:rsid w:val="00155ECA"/>
    <w:rsid w:val="001576E7"/>
    <w:rsid w:val="00157759"/>
    <w:rsid w:val="00157B7F"/>
    <w:rsid w:val="00157E30"/>
    <w:rsid w:val="00160337"/>
    <w:rsid w:val="001603F7"/>
    <w:rsid w:val="0016050C"/>
    <w:rsid w:val="0016085D"/>
    <w:rsid w:val="00161B32"/>
    <w:rsid w:val="00161E10"/>
    <w:rsid w:val="0016202F"/>
    <w:rsid w:val="00162572"/>
    <w:rsid w:val="001628BC"/>
    <w:rsid w:val="001637F9"/>
    <w:rsid w:val="001652F9"/>
    <w:rsid w:val="00165A2C"/>
    <w:rsid w:val="00165DF1"/>
    <w:rsid w:val="00166C2B"/>
    <w:rsid w:val="00166D43"/>
    <w:rsid w:val="00166DB3"/>
    <w:rsid w:val="00170BCC"/>
    <w:rsid w:val="00170E6D"/>
    <w:rsid w:val="001711F7"/>
    <w:rsid w:val="001717AA"/>
    <w:rsid w:val="00172705"/>
    <w:rsid w:val="00173DA7"/>
    <w:rsid w:val="00174102"/>
    <w:rsid w:val="00174385"/>
    <w:rsid w:val="001767AE"/>
    <w:rsid w:val="001821B3"/>
    <w:rsid w:val="001823EB"/>
    <w:rsid w:val="00182441"/>
    <w:rsid w:val="00182C4A"/>
    <w:rsid w:val="00183F1B"/>
    <w:rsid w:val="001849D4"/>
    <w:rsid w:val="00185D2E"/>
    <w:rsid w:val="0018626F"/>
    <w:rsid w:val="0018725C"/>
    <w:rsid w:val="00187D70"/>
    <w:rsid w:val="0019056B"/>
    <w:rsid w:val="00190572"/>
    <w:rsid w:val="00190936"/>
    <w:rsid w:val="00191364"/>
    <w:rsid w:val="00191EB3"/>
    <w:rsid w:val="00191F90"/>
    <w:rsid w:val="0019461E"/>
    <w:rsid w:val="00194A6B"/>
    <w:rsid w:val="00194A71"/>
    <w:rsid w:val="00195601"/>
    <w:rsid w:val="00195752"/>
    <w:rsid w:val="001962E5"/>
    <w:rsid w:val="00196DD0"/>
    <w:rsid w:val="00196F49"/>
    <w:rsid w:val="001973FD"/>
    <w:rsid w:val="00197EDE"/>
    <w:rsid w:val="001A08A1"/>
    <w:rsid w:val="001A18D6"/>
    <w:rsid w:val="001A2183"/>
    <w:rsid w:val="001A361D"/>
    <w:rsid w:val="001A5AC5"/>
    <w:rsid w:val="001A654A"/>
    <w:rsid w:val="001A7F3D"/>
    <w:rsid w:val="001B027C"/>
    <w:rsid w:val="001B2427"/>
    <w:rsid w:val="001B28B1"/>
    <w:rsid w:val="001B28D5"/>
    <w:rsid w:val="001B3718"/>
    <w:rsid w:val="001B3AE5"/>
    <w:rsid w:val="001B4933"/>
    <w:rsid w:val="001B76C8"/>
    <w:rsid w:val="001C0EF6"/>
    <w:rsid w:val="001C1303"/>
    <w:rsid w:val="001C2CD8"/>
    <w:rsid w:val="001C3414"/>
    <w:rsid w:val="001C3BFB"/>
    <w:rsid w:val="001C4470"/>
    <w:rsid w:val="001C53C7"/>
    <w:rsid w:val="001C66BB"/>
    <w:rsid w:val="001D1F8B"/>
    <w:rsid w:val="001D2115"/>
    <w:rsid w:val="001D2329"/>
    <w:rsid w:val="001D2989"/>
    <w:rsid w:val="001D2D73"/>
    <w:rsid w:val="001D3AB6"/>
    <w:rsid w:val="001D41E7"/>
    <w:rsid w:val="001D430A"/>
    <w:rsid w:val="001D5212"/>
    <w:rsid w:val="001D5BEE"/>
    <w:rsid w:val="001D5DAE"/>
    <w:rsid w:val="001D5DFE"/>
    <w:rsid w:val="001D5EDA"/>
    <w:rsid w:val="001D7628"/>
    <w:rsid w:val="001D77B1"/>
    <w:rsid w:val="001E0AAA"/>
    <w:rsid w:val="001E0B4F"/>
    <w:rsid w:val="001E16AB"/>
    <w:rsid w:val="001E2646"/>
    <w:rsid w:val="001E2B04"/>
    <w:rsid w:val="001E33E8"/>
    <w:rsid w:val="001E42B8"/>
    <w:rsid w:val="001E4448"/>
    <w:rsid w:val="001E4C49"/>
    <w:rsid w:val="001E4E28"/>
    <w:rsid w:val="001E5122"/>
    <w:rsid w:val="001E52D0"/>
    <w:rsid w:val="001E58DE"/>
    <w:rsid w:val="001E6FAC"/>
    <w:rsid w:val="001F0325"/>
    <w:rsid w:val="001F2A5C"/>
    <w:rsid w:val="001F2D5C"/>
    <w:rsid w:val="001F4072"/>
    <w:rsid w:val="001F52C7"/>
    <w:rsid w:val="001F603D"/>
    <w:rsid w:val="001F657C"/>
    <w:rsid w:val="001F725A"/>
    <w:rsid w:val="001F74B6"/>
    <w:rsid w:val="001F7A51"/>
    <w:rsid w:val="001F7D7E"/>
    <w:rsid w:val="00200DA1"/>
    <w:rsid w:val="00202FC8"/>
    <w:rsid w:val="0020300E"/>
    <w:rsid w:val="00203E75"/>
    <w:rsid w:val="00204BBE"/>
    <w:rsid w:val="00205A73"/>
    <w:rsid w:val="00205C6B"/>
    <w:rsid w:val="0020619D"/>
    <w:rsid w:val="0020654F"/>
    <w:rsid w:val="00206698"/>
    <w:rsid w:val="00207533"/>
    <w:rsid w:val="00210117"/>
    <w:rsid w:val="0021023A"/>
    <w:rsid w:val="00210929"/>
    <w:rsid w:val="0021120F"/>
    <w:rsid w:val="0021173D"/>
    <w:rsid w:val="00211AE1"/>
    <w:rsid w:val="00211B0A"/>
    <w:rsid w:val="002126E1"/>
    <w:rsid w:val="0021311D"/>
    <w:rsid w:val="00213C43"/>
    <w:rsid w:val="002144BE"/>
    <w:rsid w:val="002153A1"/>
    <w:rsid w:val="00215985"/>
    <w:rsid w:val="00215E25"/>
    <w:rsid w:val="002162E6"/>
    <w:rsid w:val="0021652A"/>
    <w:rsid w:val="00217CC8"/>
    <w:rsid w:val="00217E6B"/>
    <w:rsid w:val="002200AC"/>
    <w:rsid w:val="00220858"/>
    <w:rsid w:val="002220EB"/>
    <w:rsid w:val="00222B96"/>
    <w:rsid w:val="0022389E"/>
    <w:rsid w:val="00223EE3"/>
    <w:rsid w:val="00225EE6"/>
    <w:rsid w:val="002303BA"/>
    <w:rsid w:val="00230569"/>
    <w:rsid w:val="002327E4"/>
    <w:rsid w:val="00232FC5"/>
    <w:rsid w:val="002346A3"/>
    <w:rsid w:val="00235753"/>
    <w:rsid w:val="00236402"/>
    <w:rsid w:val="002365C3"/>
    <w:rsid w:val="0023673A"/>
    <w:rsid w:val="00237883"/>
    <w:rsid w:val="00240BF9"/>
    <w:rsid w:val="00240CAB"/>
    <w:rsid w:val="0024190C"/>
    <w:rsid w:val="00241E8F"/>
    <w:rsid w:val="00242DC4"/>
    <w:rsid w:val="002433E0"/>
    <w:rsid w:val="002449EC"/>
    <w:rsid w:val="00246192"/>
    <w:rsid w:val="002469B8"/>
    <w:rsid w:val="00246A97"/>
    <w:rsid w:val="002472E0"/>
    <w:rsid w:val="0025090A"/>
    <w:rsid w:val="002509A2"/>
    <w:rsid w:val="00250F06"/>
    <w:rsid w:val="002515BE"/>
    <w:rsid w:val="00251BE5"/>
    <w:rsid w:val="00252A60"/>
    <w:rsid w:val="00252F75"/>
    <w:rsid w:val="00253028"/>
    <w:rsid w:val="00254206"/>
    <w:rsid w:val="00254F84"/>
    <w:rsid w:val="00256C08"/>
    <w:rsid w:val="0025775B"/>
    <w:rsid w:val="00257A95"/>
    <w:rsid w:val="002602AC"/>
    <w:rsid w:val="0026105D"/>
    <w:rsid w:val="002620C9"/>
    <w:rsid w:val="002629AE"/>
    <w:rsid w:val="002632F0"/>
    <w:rsid w:val="002637A8"/>
    <w:rsid w:val="00263C8B"/>
    <w:rsid w:val="00264BCB"/>
    <w:rsid w:val="00266024"/>
    <w:rsid w:val="0026681A"/>
    <w:rsid w:val="00266FE9"/>
    <w:rsid w:val="00267672"/>
    <w:rsid w:val="0026791A"/>
    <w:rsid w:val="00267A66"/>
    <w:rsid w:val="00270737"/>
    <w:rsid w:val="00270763"/>
    <w:rsid w:val="00270F53"/>
    <w:rsid w:val="00270FE5"/>
    <w:rsid w:val="00271A98"/>
    <w:rsid w:val="00273041"/>
    <w:rsid w:val="00273276"/>
    <w:rsid w:val="00274080"/>
    <w:rsid w:val="00274105"/>
    <w:rsid w:val="00275222"/>
    <w:rsid w:val="00275306"/>
    <w:rsid w:val="002757CD"/>
    <w:rsid w:val="00277BF7"/>
    <w:rsid w:val="002800FA"/>
    <w:rsid w:val="0028162C"/>
    <w:rsid w:val="00281C60"/>
    <w:rsid w:val="00284371"/>
    <w:rsid w:val="002851ED"/>
    <w:rsid w:val="00285C2F"/>
    <w:rsid w:val="00285F3D"/>
    <w:rsid w:val="00286280"/>
    <w:rsid w:val="00286AB9"/>
    <w:rsid w:val="00286ECD"/>
    <w:rsid w:val="0028711C"/>
    <w:rsid w:val="00287B6D"/>
    <w:rsid w:val="00290CF5"/>
    <w:rsid w:val="002915D0"/>
    <w:rsid w:val="0029298C"/>
    <w:rsid w:val="0029372A"/>
    <w:rsid w:val="0029403E"/>
    <w:rsid w:val="00294B26"/>
    <w:rsid w:val="00295C29"/>
    <w:rsid w:val="00297D72"/>
    <w:rsid w:val="002A0AD9"/>
    <w:rsid w:val="002A1508"/>
    <w:rsid w:val="002A168E"/>
    <w:rsid w:val="002A2F1A"/>
    <w:rsid w:val="002A44A7"/>
    <w:rsid w:val="002A4D94"/>
    <w:rsid w:val="002A4E7E"/>
    <w:rsid w:val="002A61DE"/>
    <w:rsid w:val="002B0686"/>
    <w:rsid w:val="002B0AF2"/>
    <w:rsid w:val="002B11C8"/>
    <w:rsid w:val="002B3607"/>
    <w:rsid w:val="002B5C38"/>
    <w:rsid w:val="002B65AA"/>
    <w:rsid w:val="002B6859"/>
    <w:rsid w:val="002B6B02"/>
    <w:rsid w:val="002B7AD9"/>
    <w:rsid w:val="002C15A2"/>
    <w:rsid w:val="002C25C4"/>
    <w:rsid w:val="002C2A17"/>
    <w:rsid w:val="002C2DCB"/>
    <w:rsid w:val="002C362A"/>
    <w:rsid w:val="002C4CEC"/>
    <w:rsid w:val="002C5073"/>
    <w:rsid w:val="002C68E4"/>
    <w:rsid w:val="002C7273"/>
    <w:rsid w:val="002D18D3"/>
    <w:rsid w:val="002D2108"/>
    <w:rsid w:val="002D24A6"/>
    <w:rsid w:val="002D2A50"/>
    <w:rsid w:val="002D2DF7"/>
    <w:rsid w:val="002D4065"/>
    <w:rsid w:val="002D5315"/>
    <w:rsid w:val="002D742C"/>
    <w:rsid w:val="002D7829"/>
    <w:rsid w:val="002D7924"/>
    <w:rsid w:val="002D79F1"/>
    <w:rsid w:val="002D7A92"/>
    <w:rsid w:val="002E44D5"/>
    <w:rsid w:val="002E4592"/>
    <w:rsid w:val="002E45C4"/>
    <w:rsid w:val="002E665E"/>
    <w:rsid w:val="002F0C8C"/>
    <w:rsid w:val="002F11C1"/>
    <w:rsid w:val="002F3D0A"/>
    <w:rsid w:val="002F3FF5"/>
    <w:rsid w:val="002F4D55"/>
    <w:rsid w:val="002F4F97"/>
    <w:rsid w:val="002F5767"/>
    <w:rsid w:val="002F5AAA"/>
    <w:rsid w:val="002F5D8F"/>
    <w:rsid w:val="002F6075"/>
    <w:rsid w:val="002F6462"/>
    <w:rsid w:val="002F65DE"/>
    <w:rsid w:val="002F7C5A"/>
    <w:rsid w:val="00300228"/>
    <w:rsid w:val="00300FB1"/>
    <w:rsid w:val="00301357"/>
    <w:rsid w:val="00301823"/>
    <w:rsid w:val="00302BA9"/>
    <w:rsid w:val="00303699"/>
    <w:rsid w:val="003041AA"/>
    <w:rsid w:val="00307A13"/>
    <w:rsid w:val="0031070B"/>
    <w:rsid w:val="003108B4"/>
    <w:rsid w:val="00310C8F"/>
    <w:rsid w:val="00310D5D"/>
    <w:rsid w:val="00311248"/>
    <w:rsid w:val="003113BE"/>
    <w:rsid w:val="00312AA5"/>
    <w:rsid w:val="00312F2B"/>
    <w:rsid w:val="00313E76"/>
    <w:rsid w:val="0031419A"/>
    <w:rsid w:val="00314312"/>
    <w:rsid w:val="003147AA"/>
    <w:rsid w:val="003154B1"/>
    <w:rsid w:val="003158DB"/>
    <w:rsid w:val="0031599C"/>
    <w:rsid w:val="00315A2A"/>
    <w:rsid w:val="00316416"/>
    <w:rsid w:val="00317ADB"/>
    <w:rsid w:val="00317D3E"/>
    <w:rsid w:val="00320138"/>
    <w:rsid w:val="00320663"/>
    <w:rsid w:val="0032084E"/>
    <w:rsid w:val="0032144C"/>
    <w:rsid w:val="00323013"/>
    <w:rsid w:val="0032385A"/>
    <w:rsid w:val="003242B9"/>
    <w:rsid w:val="00324F23"/>
    <w:rsid w:val="00324FBA"/>
    <w:rsid w:val="00325347"/>
    <w:rsid w:val="00325C50"/>
    <w:rsid w:val="003274A2"/>
    <w:rsid w:val="0033046E"/>
    <w:rsid w:val="00330D8E"/>
    <w:rsid w:val="003328D3"/>
    <w:rsid w:val="00332BD0"/>
    <w:rsid w:val="00332F4B"/>
    <w:rsid w:val="003337DD"/>
    <w:rsid w:val="00333C15"/>
    <w:rsid w:val="00333CA4"/>
    <w:rsid w:val="00334D14"/>
    <w:rsid w:val="003360A6"/>
    <w:rsid w:val="00336410"/>
    <w:rsid w:val="00337BE7"/>
    <w:rsid w:val="003401D3"/>
    <w:rsid w:val="0034072A"/>
    <w:rsid w:val="0034124C"/>
    <w:rsid w:val="00342449"/>
    <w:rsid w:val="0034383C"/>
    <w:rsid w:val="00343AAA"/>
    <w:rsid w:val="003442A7"/>
    <w:rsid w:val="0034454E"/>
    <w:rsid w:val="003454AC"/>
    <w:rsid w:val="00346D5B"/>
    <w:rsid w:val="003474E4"/>
    <w:rsid w:val="00347751"/>
    <w:rsid w:val="00347B9A"/>
    <w:rsid w:val="00347C8E"/>
    <w:rsid w:val="0035093D"/>
    <w:rsid w:val="00350F44"/>
    <w:rsid w:val="003518E0"/>
    <w:rsid w:val="00352467"/>
    <w:rsid w:val="00352638"/>
    <w:rsid w:val="003529A5"/>
    <w:rsid w:val="00353A51"/>
    <w:rsid w:val="00356A92"/>
    <w:rsid w:val="0035784B"/>
    <w:rsid w:val="0035784C"/>
    <w:rsid w:val="0036022B"/>
    <w:rsid w:val="0036028A"/>
    <w:rsid w:val="00360D48"/>
    <w:rsid w:val="00360E21"/>
    <w:rsid w:val="0036104B"/>
    <w:rsid w:val="003610EB"/>
    <w:rsid w:val="00361D0D"/>
    <w:rsid w:val="00362A2D"/>
    <w:rsid w:val="00362C87"/>
    <w:rsid w:val="0036447C"/>
    <w:rsid w:val="00365051"/>
    <w:rsid w:val="00365B45"/>
    <w:rsid w:val="00365E6E"/>
    <w:rsid w:val="00366D50"/>
    <w:rsid w:val="00366F97"/>
    <w:rsid w:val="0036713A"/>
    <w:rsid w:val="00367554"/>
    <w:rsid w:val="00367735"/>
    <w:rsid w:val="00367FE9"/>
    <w:rsid w:val="00370AA1"/>
    <w:rsid w:val="00371752"/>
    <w:rsid w:val="00372479"/>
    <w:rsid w:val="003726BD"/>
    <w:rsid w:val="003746E7"/>
    <w:rsid w:val="00374D6F"/>
    <w:rsid w:val="00374FC1"/>
    <w:rsid w:val="00375A66"/>
    <w:rsid w:val="0037606E"/>
    <w:rsid w:val="003764C4"/>
    <w:rsid w:val="0037652A"/>
    <w:rsid w:val="00376B01"/>
    <w:rsid w:val="00377374"/>
    <w:rsid w:val="00377472"/>
    <w:rsid w:val="003775D2"/>
    <w:rsid w:val="003806A9"/>
    <w:rsid w:val="0038081C"/>
    <w:rsid w:val="003820D6"/>
    <w:rsid w:val="003826A0"/>
    <w:rsid w:val="00382794"/>
    <w:rsid w:val="003837A5"/>
    <w:rsid w:val="00383F1C"/>
    <w:rsid w:val="00384E53"/>
    <w:rsid w:val="00385CA6"/>
    <w:rsid w:val="00386641"/>
    <w:rsid w:val="003879B1"/>
    <w:rsid w:val="00391730"/>
    <w:rsid w:val="003935CD"/>
    <w:rsid w:val="00393A22"/>
    <w:rsid w:val="003940D9"/>
    <w:rsid w:val="00394626"/>
    <w:rsid w:val="00394690"/>
    <w:rsid w:val="0039474D"/>
    <w:rsid w:val="003956F9"/>
    <w:rsid w:val="0039645F"/>
    <w:rsid w:val="00396DDC"/>
    <w:rsid w:val="00396E39"/>
    <w:rsid w:val="003A025E"/>
    <w:rsid w:val="003A155F"/>
    <w:rsid w:val="003A17B1"/>
    <w:rsid w:val="003A1828"/>
    <w:rsid w:val="003A1E2C"/>
    <w:rsid w:val="003A2226"/>
    <w:rsid w:val="003A27D1"/>
    <w:rsid w:val="003A2E28"/>
    <w:rsid w:val="003A2F6A"/>
    <w:rsid w:val="003A4E30"/>
    <w:rsid w:val="003B0D3E"/>
    <w:rsid w:val="003B178C"/>
    <w:rsid w:val="003B1854"/>
    <w:rsid w:val="003B2FD4"/>
    <w:rsid w:val="003B472E"/>
    <w:rsid w:val="003B5531"/>
    <w:rsid w:val="003B6599"/>
    <w:rsid w:val="003B6971"/>
    <w:rsid w:val="003B7087"/>
    <w:rsid w:val="003B7406"/>
    <w:rsid w:val="003B7F11"/>
    <w:rsid w:val="003C01E1"/>
    <w:rsid w:val="003C0B40"/>
    <w:rsid w:val="003C1963"/>
    <w:rsid w:val="003C1C7E"/>
    <w:rsid w:val="003C297B"/>
    <w:rsid w:val="003C2CE1"/>
    <w:rsid w:val="003C3E32"/>
    <w:rsid w:val="003C466E"/>
    <w:rsid w:val="003C4A9C"/>
    <w:rsid w:val="003C5D4B"/>
    <w:rsid w:val="003C611A"/>
    <w:rsid w:val="003C6B9C"/>
    <w:rsid w:val="003C7AF4"/>
    <w:rsid w:val="003C7EF9"/>
    <w:rsid w:val="003D03FE"/>
    <w:rsid w:val="003D04E8"/>
    <w:rsid w:val="003D09B5"/>
    <w:rsid w:val="003D1BA5"/>
    <w:rsid w:val="003D30E2"/>
    <w:rsid w:val="003D33D7"/>
    <w:rsid w:val="003D4C28"/>
    <w:rsid w:val="003D57CF"/>
    <w:rsid w:val="003D57FB"/>
    <w:rsid w:val="003D5843"/>
    <w:rsid w:val="003D6FA7"/>
    <w:rsid w:val="003E053D"/>
    <w:rsid w:val="003E06F7"/>
    <w:rsid w:val="003E13F2"/>
    <w:rsid w:val="003E1A79"/>
    <w:rsid w:val="003E3F97"/>
    <w:rsid w:val="003E4490"/>
    <w:rsid w:val="003E44FB"/>
    <w:rsid w:val="003E489D"/>
    <w:rsid w:val="003E4DA9"/>
    <w:rsid w:val="003E5790"/>
    <w:rsid w:val="003E6A45"/>
    <w:rsid w:val="003E6C14"/>
    <w:rsid w:val="003E7327"/>
    <w:rsid w:val="003E7B86"/>
    <w:rsid w:val="003E7FA6"/>
    <w:rsid w:val="003F0256"/>
    <w:rsid w:val="003F07A2"/>
    <w:rsid w:val="003F0D7A"/>
    <w:rsid w:val="003F0E0D"/>
    <w:rsid w:val="003F1161"/>
    <w:rsid w:val="003F1CFC"/>
    <w:rsid w:val="003F5393"/>
    <w:rsid w:val="003F5539"/>
    <w:rsid w:val="003F5FCF"/>
    <w:rsid w:val="003F676B"/>
    <w:rsid w:val="003F6D65"/>
    <w:rsid w:val="003F707C"/>
    <w:rsid w:val="003F71B6"/>
    <w:rsid w:val="003F7D88"/>
    <w:rsid w:val="003F7E28"/>
    <w:rsid w:val="00400129"/>
    <w:rsid w:val="00400F0D"/>
    <w:rsid w:val="00401190"/>
    <w:rsid w:val="00402ECA"/>
    <w:rsid w:val="00403830"/>
    <w:rsid w:val="00403D15"/>
    <w:rsid w:val="00403E4C"/>
    <w:rsid w:val="004046ED"/>
    <w:rsid w:val="00404873"/>
    <w:rsid w:val="00404CD6"/>
    <w:rsid w:val="00405605"/>
    <w:rsid w:val="004063F2"/>
    <w:rsid w:val="00406A8E"/>
    <w:rsid w:val="004079BE"/>
    <w:rsid w:val="0041131E"/>
    <w:rsid w:val="00412585"/>
    <w:rsid w:val="004128F4"/>
    <w:rsid w:val="004132D6"/>
    <w:rsid w:val="00414F1E"/>
    <w:rsid w:val="00415199"/>
    <w:rsid w:val="00415FE9"/>
    <w:rsid w:val="0041653C"/>
    <w:rsid w:val="00416A18"/>
    <w:rsid w:val="004176E6"/>
    <w:rsid w:val="00417BEB"/>
    <w:rsid w:val="0042071A"/>
    <w:rsid w:val="00420D22"/>
    <w:rsid w:val="004212F8"/>
    <w:rsid w:val="0042145E"/>
    <w:rsid w:val="004215D3"/>
    <w:rsid w:val="004245A1"/>
    <w:rsid w:val="004247A2"/>
    <w:rsid w:val="0042686E"/>
    <w:rsid w:val="0042694F"/>
    <w:rsid w:val="00427CA3"/>
    <w:rsid w:val="00427CB5"/>
    <w:rsid w:val="00427F4D"/>
    <w:rsid w:val="0043055E"/>
    <w:rsid w:val="004305D7"/>
    <w:rsid w:val="0043064C"/>
    <w:rsid w:val="00430F97"/>
    <w:rsid w:val="004318EA"/>
    <w:rsid w:val="00432122"/>
    <w:rsid w:val="004322BD"/>
    <w:rsid w:val="00432350"/>
    <w:rsid w:val="00435871"/>
    <w:rsid w:val="00435A10"/>
    <w:rsid w:val="00435CA7"/>
    <w:rsid w:val="00436A9B"/>
    <w:rsid w:val="004370F6"/>
    <w:rsid w:val="004371CF"/>
    <w:rsid w:val="0044058C"/>
    <w:rsid w:val="00440D46"/>
    <w:rsid w:val="00440EEB"/>
    <w:rsid w:val="00441231"/>
    <w:rsid w:val="00441F24"/>
    <w:rsid w:val="0044390E"/>
    <w:rsid w:val="00443961"/>
    <w:rsid w:val="00443BA2"/>
    <w:rsid w:val="00444689"/>
    <w:rsid w:val="00444B7C"/>
    <w:rsid w:val="00444FD1"/>
    <w:rsid w:val="004462D4"/>
    <w:rsid w:val="0044649F"/>
    <w:rsid w:val="00446552"/>
    <w:rsid w:val="00446602"/>
    <w:rsid w:val="00446781"/>
    <w:rsid w:val="00446AA9"/>
    <w:rsid w:val="00447A26"/>
    <w:rsid w:val="00447F1E"/>
    <w:rsid w:val="00450744"/>
    <w:rsid w:val="0045147E"/>
    <w:rsid w:val="00451A9E"/>
    <w:rsid w:val="00451FDF"/>
    <w:rsid w:val="00452556"/>
    <w:rsid w:val="00452AFA"/>
    <w:rsid w:val="00453E50"/>
    <w:rsid w:val="00454093"/>
    <w:rsid w:val="0045514D"/>
    <w:rsid w:val="0045601F"/>
    <w:rsid w:val="004561EC"/>
    <w:rsid w:val="00456770"/>
    <w:rsid w:val="004570E2"/>
    <w:rsid w:val="004607D0"/>
    <w:rsid w:val="00460B48"/>
    <w:rsid w:val="00461CE4"/>
    <w:rsid w:val="004639D5"/>
    <w:rsid w:val="00464FA0"/>
    <w:rsid w:val="00465600"/>
    <w:rsid w:val="00466259"/>
    <w:rsid w:val="004667A3"/>
    <w:rsid w:val="00466A69"/>
    <w:rsid w:val="00466BD4"/>
    <w:rsid w:val="004670BD"/>
    <w:rsid w:val="00467300"/>
    <w:rsid w:val="004673D9"/>
    <w:rsid w:val="00467884"/>
    <w:rsid w:val="004701F7"/>
    <w:rsid w:val="0047165D"/>
    <w:rsid w:val="004719AA"/>
    <w:rsid w:val="00471D1A"/>
    <w:rsid w:val="0047282B"/>
    <w:rsid w:val="00472A7A"/>
    <w:rsid w:val="00472E32"/>
    <w:rsid w:val="004733E2"/>
    <w:rsid w:val="004736CA"/>
    <w:rsid w:val="004739C1"/>
    <w:rsid w:val="00473C2C"/>
    <w:rsid w:val="00473D55"/>
    <w:rsid w:val="0047418D"/>
    <w:rsid w:val="0047542D"/>
    <w:rsid w:val="004766A4"/>
    <w:rsid w:val="00480089"/>
    <w:rsid w:val="004807BA"/>
    <w:rsid w:val="00480C09"/>
    <w:rsid w:val="00481777"/>
    <w:rsid w:val="00482CD0"/>
    <w:rsid w:val="00483058"/>
    <w:rsid w:val="004831AE"/>
    <w:rsid w:val="00483A70"/>
    <w:rsid w:val="00483B99"/>
    <w:rsid w:val="004852EA"/>
    <w:rsid w:val="0048658C"/>
    <w:rsid w:val="004868B7"/>
    <w:rsid w:val="00486C47"/>
    <w:rsid w:val="00490CC6"/>
    <w:rsid w:val="00491A57"/>
    <w:rsid w:val="00491EEE"/>
    <w:rsid w:val="004926EF"/>
    <w:rsid w:val="00492825"/>
    <w:rsid w:val="00492D1B"/>
    <w:rsid w:val="0049300B"/>
    <w:rsid w:val="004948A7"/>
    <w:rsid w:val="0049761D"/>
    <w:rsid w:val="004979C4"/>
    <w:rsid w:val="00497DDF"/>
    <w:rsid w:val="00497E61"/>
    <w:rsid w:val="004A05D0"/>
    <w:rsid w:val="004A1AB6"/>
    <w:rsid w:val="004A3318"/>
    <w:rsid w:val="004A3487"/>
    <w:rsid w:val="004A5947"/>
    <w:rsid w:val="004A66C3"/>
    <w:rsid w:val="004A70D7"/>
    <w:rsid w:val="004A7A81"/>
    <w:rsid w:val="004B035D"/>
    <w:rsid w:val="004B2637"/>
    <w:rsid w:val="004B263A"/>
    <w:rsid w:val="004B2753"/>
    <w:rsid w:val="004B2C41"/>
    <w:rsid w:val="004B2C6D"/>
    <w:rsid w:val="004B3469"/>
    <w:rsid w:val="004B3834"/>
    <w:rsid w:val="004B3A90"/>
    <w:rsid w:val="004B40E3"/>
    <w:rsid w:val="004B435D"/>
    <w:rsid w:val="004B4D8F"/>
    <w:rsid w:val="004B52A3"/>
    <w:rsid w:val="004B5A0B"/>
    <w:rsid w:val="004B5A61"/>
    <w:rsid w:val="004B5A9D"/>
    <w:rsid w:val="004B7882"/>
    <w:rsid w:val="004C02B8"/>
    <w:rsid w:val="004C34FC"/>
    <w:rsid w:val="004C3634"/>
    <w:rsid w:val="004C5584"/>
    <w:rsid w:val="004C679D"/>
    <w:rsid w:val="004C6CF5"/>
    <w:rsid w:val="004C712A"/>
    <w:rsid w:val="004C7683"/>
    <w:rsid w:val="004C7BE7"/>
    <w:rsid w:val="004D117D"/>
    <w:rsid w:val="004D187C"/>
    <w:rsid w:val="004D1E27"/>
    <w:rsid w:val="004D2D34"/>
    <w:rsid w:val="004D3945"/>
    <w:rsid w:val="004D6477"/>
    <w:rsid w:val="004D6890"/>
    <w:rsid w:val="004D69B3"/>
    <w:rsid w:val="004D7A51"/>
    <w:rsid w:val="004D7D74"/>
    <w:rsid w:val="004E09A1"/>
    <w:rsid w:val="004E10EE"/>
    <w:rsid w:val="004E27D0"/>
    <w:rsid w:val="004E43A6"/>
    <w:rsid w:val="004E5070"/>
    <w:rsid w:val="004E510E"/>
    <w:rsid w:val="004E5ABD"/>
    <w:rsid w:val="004E5F63"/>
    <w:rsid w:val="004E731B"/>
    <w:rsid w:val="004F0BFD"/>
    <w:rsid w:val="004F0ECA"/>
    <w:rsid w:val="004F1436"/>
    <w:rsid w:val="004F14F5"/>
    <w:rsid w:val="004F2720"/>
    <w:rsid w:val="004F2781"/>
    <w:rsid w:val="004F41C0"/>
    <w:rsid w:val="004F4236"/>
    <w:rsid w:val="004F4E11"/>
    <w:rsid w:val="004F643F"/>
    <w:rsid w:val="004F68AA"/>
    <w:rsid w:val="004F710E"/>
    <w:rsid w:val="004F71CB"/>
    <w:rsid w:val="00501A3D"/>
    <w:rsid w:val="00501D6D"/>
    <w:rsid w:val="00502A9E"/>
    <w:rsid w:val="00505BC1"/>
    <w:rsid w:val="00505D5E"/>
    <w:rsid w:val="0050608F"/>
    <w:rsid w:val="0050631A"/>
    <w:rsid w:val="005075C8"/>
    <w:rsid w:val="00507DEC"/>
    <w:rsid w:val="00510EC1"/>
    <w:rsid w:val="00511047"/>
    <w:rsid w:val="005111C9"/>
    <w:rsid w:val="00511333"/>
    <w:rsid w:val="0051178D"/>
    <w:rsid w:val="005117C9"/>
    <w:rsid w:val="00511D90"/>
    <w:rsid w:val="00512B1C"/>
    <w:rsid w:val="00512FBA"/>
    <w:rsid w:val="0051313C"/>
    <w:rsid w:val="005139BA"/>
    <w:rsid w:val="005173D5"/>
    <w:rsid w:val="00520B05"/>
    <w:rsid w:val="00522879"/>
    <w:rsid w:val="00522A4B"/>
    <w:rsid w:val="005231C6"/>
    <w:rsid w:val="00523AC8"/>
    <w:rsid w:val="00524514"/>
    <w:rsid w:val="00524AEC"/>
    <w:rsid w:val="00525B51"/>
    <w:rsid w:val="0052662C"/>
    <w:rsid w:val="00526B23"/>
    <w:rsid w:val="00527499"/>
    <w:rsid w:val="005306CD"/>
    <w:rsid w:val="00530AB7"/>
    <w:rsid w:val="005321B7"/>
    <w:rsid w:val="00532756"/>
    <w:rsid w:val="00532EAF"/>
    <w:rsid w:val="00533A9B"/>
    <w:rsid w:val="005340DC"/>
    <w:rsid w:val="005347B6"/>
    <w:rsid w:val="00534B68"/>
    <w:rsid w:val="0053565C"/>
    <w:rsid w:val="00535EAF"/>
    <w:rsid w:val="00536DB4"/>
    <w:rsid w:val="00540B2D"/>
    <w:rsid w:val="00540B82"/>
    <w:rsid w:val="0054238D"/>
    <w:rsid w:val="00544E4B"/>
    <w:rsid w:val="00547B35"/>
    <w:rsid w:val="00550495"/>
    <w:rsid w:val="0055075F"/>
    <w:rsid w:val="00550DD8"/>
    <w:rsid w:val="00551EAB"/>
    <w:rsid w:val="0055457D"/>
    <w:rsid w:val="00554A18"/>
    <w:rsid w:val="00560837"/>
    <w:rsid w:val="005608C1"/>
    <w:rsid w:val="00560E1A"/>
    <w:rsid w:val="0056130C"/>
    <w:rsid w:val="00561E89"/>
    <w:rsid w:val="005625C1"/>
    <w:rsid w:val="00563560"/>
    <w:rsid w:val="00563C86"/>
    <w:rsid w:val="005651DB"/>
    <w:rsid w:val="00566044"/>
    <w:rsid w:val="00566074"/>
    <w:rsid w:val="005664C2"/>
    <w:rsid w:val="005678B1"/>
    <w:rsid w:val="00570910"/>
    <w:rsid w:val="00570A36"/>
    <w:rsid w:val="0057532E"/>
    <w:rsid w:val="005758D8"/>
    <w:rsid w:val="00575E3F"/>
    <w:rsid w:val="00575EB5"/>
    <w:rsid w:val="00575F93"/>
    <w:rsid w:val="00576215"/>
    <w:rsid w:val="005767E6"/>
    <w:rsid w:val="00576DC4"/>
    <w:rsid w:val="00577489"/>
    <w:rsid w:val="0057780B"/>
    <w:rsid w:val="00581FBD"/>
    <w:rsid w:val="00582BE1"/>
    <w:rsid w:val="00582D26"/>
    <w:rsid w:val="00582EA4"/>
    <w:rsid w:val="005830FD"/>
    <w:rsid w:val="00583A33"/>
    <w:rsid w:val="00583D14"/>
    <w:rsid w:val="00583FF5"/>
    <w:rsid w:val="00584E89"/>
    <w:rsid w:val="005850A7"/>
    <w:rsid w:val="00590A17"/>
    <w:rsid w:val="00591849"/>
    <w:rsid w:val="0059311A"/>
    <w:rsid w:val="00593844"/>
    <w:rsid w:val="00593BE6"/>
    <w:rsid w:val="005949A4"/>
    <w:rsid w:val="00594E5F"/>
    <w:rsid w:val="00596A0C"/>
    <w:rsid w:val="00597340"/>
    <w:rsid w:val="0059754D"/>
    <w:rsid w:val="00597866"/>
    <w:rsid w:val="005A0287"/>
    <w:rsid w:val="005A071B"/>
    <w:rsid w:val="005A3B58"/>
    <w:rsid w:val="005A3C51"/>
    <w:rsid w:val="005A5B76"/>
    <w:rsid w:val="005A6C33"/>
    <w:rsid w:val="005A75B6"/>
    <w:rsid w:val="005A76ED"/>
    <w:rsid w:val="005A7B62"/>
    <w:rsid w:val="005B02B3"/>
    <w:rsid w:val="005B07DB"/>
    <w:rsid w:val="005B0ADE"/>
    <w:rsid w:val="005B1160"/>
    <w:rsid w:val="005B14FB"/>
    <w:rsid w:val="005B2514"/>
    <w:rsid w:val="005B4B15"/>
    <w:rsid w:val="005B69EF"/>
    <w:rsid w:val="005B7121"/>
    <w:rsid w:val="005B7BAE"/>
    <w:rsid w:val="005C158F"/>
    <w:rsid w:val="005C1597"/>
    <w:rsid w:val="005C18D4"/>
    <w:rsid w:val="005C1A06"/>
    <w:rsid w:val="005C46E4"/>
    <w:rsid w:val="005C4B10"/>
    <w:rsid w:val="005C6A3B"/>
    <w:rsid w:val="005C6BEE"/>
    <w:rsid w:val="005C7413"/>
    <w:rsid w:val="005C7489"/>
    <w:rsid w:val="005C77A0"/>
    <w:rsid w:val="005D0290"/>
    <w:rsid w:val="005D0434"/>
    <w:rsid w:val="005D1312"/>
    <w:rsid w:val="005D1607"/>
    <w:rsid w:val="005D2487"/>
    <w:rsid w:val="005D24D1"/>
    <w:rsid w:val="005D2504"/>
    <w:rsid w:val="005D252D"/>
    <w:rsid w:val="005D3E78"/>
    <w:rsid w:val="005D3EC9"/>
    <w:rsid w:val="005D41E4"/>
    <w:rsid w:val="005D53E2"/>
    <w:rsid w:val="005D72C1"/>
    <w:rsid w:val="005D74C2"/>
    <w:rsid w:val="005D7C0D"/>
    <w:rsid w:val="005E0555"/>
    <w:rsid w:val="005E0638"/>
    <w:rsid w:val="005E107E"/>
    <w:rsid w:val="005E13AD"/>
    <w:rsid w:val="005E2E8F"/>
    <w:rsid w:val="005E3817"/>
    <w:rsid w:val="005E399F"/>
    <w:rsid w:val="005E4071"/>
    <w:rsid w:val="005E4AF2"/>
    <w:rsid w:val="005E4DFE"/>
    <w:rsid w:val="005E4FC4"/>
    <w:rsid w:val="005E5263"/>
    <w:rsid w:val="005E532A"/>
    <w:rsid w:val="005E55CB"/>
    <w:rsid w:val="005E6054"/>
    <w:rsid w:val="005E629F"/>
    <w:rsid w:val="005E6422"/>
    <w:rsid w:val="005E68E1"/>
    <w:rsid w:val="005E7649"/>
    <w:rsid w:val="005F000F"/>
    <w:rsid w:val="005F0C03"/>
    <w:rsid w:val="005F1273"/>
    <w:rsid w:val="005F156C"/>
    <w:rsid w:val="005F182E"/>
    <w:rsid w:val="005F20DC"/>
    <w:rsid w:val="005F23D3"/>
    <w:rsid w:val="005F43CE"/>
    <w:rsid w:val="005F43E4"/>
    <w:rsid w:val="005F4E5D"/>
    <w:rsid w:val="005F56E2"/>
    <w:rsid w:val="005F72FA"/>
    <w:rsid w:val="005F78E5"/>
    <w:rsid w:val="005F7957"/>
    <w:rsid w:val="005F7AEC"/>
    <w:rsid w:val="006000BB"/>
    <w:rsid w:val="00600AED"/>
    <w:rsid w:val="006014C4"/>
    <w:rsid w:val="006033BE"/>
    <w:rsid w:val="006053B4"/>
    <w:rsid w:val="00605E14"/>
    <w:rsid w:val="0060698D"/>
    <w:rsid w:val="00611423"/>
    <w:rsid w:val="00611A15"/>
    <w:rsid w:val="00612015"/>
    <w:rsid w:val="00612C68"/>
    <w:rsid w:val="00612D3D"/>
    <w:rsid w:val="006133D6"/>
    <w:rsid w:val="006136C0"/>
    <w:rsid w:val="006139EC"/>
    <w:rsid w:val="006151DB"/>
    <w:rsid w:val="0061610F"/>
    <w:rsid w:val="00616922"/>
    <w:rsid w:val="00621307"/>
    <w:rsid w:val="006213F4"/>
    <w:rsid w:val="00621B4B"/>
    <w:rsid w:val="006221C8"/>
    <w:rsid w:val="0062259E"/>
    <w:rsid w:val="006231CF"/>
    <w:rsid w:val="00623F15"/>
    <w:rsid w:val="00624AD6"/>
    <w:rsid w:val="006252A6"/>
    <w:rsid w:val="00625A85"/>
    <w:rsid w:val="00626308"/>
    <w:rsid w:val="006269F0"/>
    <w:rsid w:val="0062779D"/>
    <w:rsid w:val="006306A8"/>
    <w:rsid w:val="006315E6"/>
    <w:rsid w:val="0063238E"/>
    <w:rsid w:val="00632F0A"/>
    <w:rsid w:val="00633AE8"/>
    <w:rsid w:val="00634178"/>
    <w:rsid w:val="00635064"/>
    <w:rsid w:val="0063711B"/>
    <w:rsid w:val="00637A9D"/>
    <w:rsid w:val="0064005E"/>
    <w:rsid w:val="006400A4"/>
    <w:rsid w:val="006409B7"/>
    <w:rsid w:val="00641B89"/>
    <w:rsid w:val="00641E14"/>
    <w:rsid w:val="006420AE"/>
    <w:rsid w:val="0064267E"/>
    <w:rsid w:val="00644CAA"/>
    <w:rsid w:val="00645F9F"/>
    <w:rsid w:val="00646447"/>
    <w:rsid w:val="00646FDC"/>
    <w:rsid w:val="00651167"/>
    <w:rsid w:val="00651EAB"/>
    <w:rsid w:val="0065205B"/>
    <w:rsid w:val="00652393"/>
    <w:rsid w:val="00652A83"/>
    <w:rsid w:val="00652ABC"/>
    <w:rsid w:val="0065378B"/>
    <w:rsid w:val="006541EC"/>
    <w:rsid w:val="00654336"/>
    <w:rsid w:val="00654629"/>
    <w:rsid w:val="00655182"/>
    <w:rsid w:val="006558D4"/>
    <w:rsid w:val="00655E74"/>
    <w:rsid w:val="0065617D"/>
    <w:rsid w:val="006562CC"/>
    <w:rsid w:val="00656DA5"/>
    <w:rsid w:val="006575A5"/>
    <w:rsid w:val="00657620"/>
    <w:rsid w:val="00660809"/>
    <w:rsid w:val="0066227D"/>
    <w:rsid w:val="00663796"/>
    <w:rsid w:val="00664A9A"/>
    <w:rsid w:val="00665706"/>
    <w:rsid w:val="00665C14"/>
    <w:rsid w:val="00666D7E"/>
    <w:rsid w:val="006673D2"/>
    <w:rsid w:val="006676ED"/>
    <w:rsid w:val="00667926"/>
    <w:rsid w:val="00670323"/>
    <w:rsid w:val="00671BD4"/>
    <w:rsid w:val="00672C0A"/>
    <w:rsid w:val="00672D99"/>
    <w:rsid w:val="0067394F"/>
    <w:rsid w:val="00673E37"/>
    <w:rsid w:val="00673FE8"/>
    <w:rsid w:val="00675F91"/>
    <w:rsid w:val="0067652F"/>
    <w:rsid w:val="00676DE2"/>
    <w:rsid w:val="00676E19"/>
    <w:rsid w:val="0067701B"/>
    <w:rsid w:val="00680A5A"/>
    <w:rsid w:val="00681A3D"/>
    <w:rsid w:val="00681CA3"/>
    <w:rsid w:val="00681D2E"/>
    <w:rsid w:val="00681E01"/>
    <w:rsid w:val="00681F14"/>
    <w:rsid w:val="0068266A"/>
    <w:rsid w:val="00682C28"/>
    <w:rsid w:val="0068446E"/>
    <w:rsid w:val="00684851"/>
    <w:rsid w:val="00684B0E"/>
    <w:rsid w:val="0068529A"/>
    <w:rsid w:val="006859C3"/>
    <w:rsid w:val="00686E83"/>
    <w:rsid w:val="00687C5C"/>
    <w:rsid w:val="00691000"/>
    <w:rsid w:val="00691B12"/>
    <w:rsid w:val="00692382"/>
    <w:rsid w:val="006924E4"/>
    <w:rsid w:val="00692D85"/>
    <w:rsid w:val="00693903"/>
    <w:rsid w:val="00694253"/>
    <w:rsid w:val="006943E2"/>
    <w:rsid w:val="00694F70"/>
    <w:rsid w:val="00696E73"/>
    <w:rsid w:val="00696EF9"/>
    <w:rsid w:val="00696FF4"/>
    <w:rsid w:val="006A0E21"/>
    <w:rsid w:val="006A199F"/>
    <w:rsid w:val="006A1A25"/>
    <w:rsid w:val="006A1EBE"/>
    <w:rsid w:val="006A2A4A"/>
    <w:rsid w:val="006A2D28"/>
    <w:rsid w:val="006A2D2E"/>
    <w:rsid w:val="006A43AA"/>
    <w:rsid w:val="006A5253"/>
    <w:rsid w:val="006A751F"/>
    <w:rsid w:val="006A79EE"/>
    <w:rsid w:val="006B0552"/>
    <w:rsid w:val="006B086E"/>
    <w:rsid w:val="006B0D3C"/>
    <w:rsid w:val="006B3D44"/>
    <w:rsid w:val="006B4568"/>
    <w:rsid w:val="006B4A0B"/>
    <w:rsid w:val="006B6A27"/>
    <w:rsid w:val="006B75D1"/>
    <w:rsid w:val="006B7A3A"/>
    <w:rsid w:val="006B7B87"/>
    <w:rsid w:val="006C0774"/>
    <w:rsid w:val="006C0F04"/>
    <w:rsid w:val="006C1B63"/>
    <w:rsid w:val="006C1E69"/>
    <w:rsid w:val="006C3780"/>
    <w:rsid w:val="006C501B"/>
    <w:rsid w:val="006C5179"/>
    <w:rsid w:val="006C5C57"/>
    <w:rsid w:val="006C5C9A"/>
    <w:rsid w:val="006C698B"/>
    <w:rsid w:val="006C6C34"/>
    <w:rsid w:val="006C71F1"/>
    <w:rsid w:val="006C73F7"/>
    <w:rsid w:val="006D04EE"/>
    <w:rsid w:val="006D0E1B"/>
    <w:rsid w:val="006D15F0"/>
    <w:rsid w:val="006D1BD3"/>
    <w:rsid w:val="006D2397"/>
    <w:rsid w:val="006D5167"/>
    <w:rsid w:val="006D5787"/>
    <w:rsid w:val="006D6450"/>
    <w:rsid w:val="006D66EE"/>
    <w:rsid w:val="006D6CB4"/>
    <w:rsid w:val="006D7D4E"/>
    <w:rsid w:val="006D7DF7"/>
    <w:rsid w:val="006D7F06"/>
    <w:rsid w:val="006E0460"/>
    <w:rsid w:val="006E06D3"/>
    <w:rsid w:val="006E148D"/>
    <w:rsid w:val="006E1FC8"/>
    <w:rsid w:val="006E35BA"/>
    <w:rsid w:val="006E36EC"/>
    <w:rsid w:val="006E3C53"/>
    <w:rsid w:val="006E3CF6"/>
    <w:rsid w:val="006E3EC5"/>
    <w:rsid w:val="006E4B49"/>
    <w:rsid w:val="006E4E88"/>
    <w:rsid w:val="006E5309"/>
    <w:rsid w:val="006E62EA"/>
    <w:rsid w:val="006E71F8"/>
    <w:rsid w:val="006E7BC5"/>
    <w:rsid w:val="006F046D"/>
    <w:rsid w:val="006F0720"/>
    <w:rsid w:val="006F1446"/>
    <w:rsid w:val="006F2B26"/>
    <w:rsid w:val="006F3207"/>
    <w:rsid w:val="006F403C"/>
    <w:rsid w:val="006F6458"/>
    <w:rsid w:val="006F7325"/>
    <w:rsid w:val="006F7367"/>
    <w:rsid w:val="006F7683"/>
    <w:rsid w:val="007018E6"/>
    <w:rsid w:val="007019E0"/>
    <w:rsid w:val="00701D4B"/>
    <w:rsid w:val="00702DDB"/>
    <w:rsid w:val="00702DE2"/>
    <w:rsid w:val="00703926"/>
    <w:rsid w:val="0070488F"/>
    <w:rsid w:val="00704D47"/>
    <w:rsid w:val="0070515A"/>
    <w:rsid w:val="00705211"/>
    <w:rsid w:val="00705E8D"/>
    <w:rsid w:val="00706145"/>
    <w:rsid w:val="0070651B"/>
    <w:rsid w:val="00706721"/>
    <w:rsid w:val="00707D93"/>
    <w:rsid w:val="007111CF"/>
    <w:rsid w:val="00711879"/>
    <w:rsid w:val="007130CB"/>
    <w:rsid w:val="00714083"/>
    <w:rsid w:val="0071422E"/>
    <w:rsid w:val="007151EC"/>
    <w:rsid w:val="0071525F"/>
    <w:rsid w:val="00715E29"/>
    <w:rsid w:val="007168F5"/>
    <w:rsid w:val="00721C38"/>
    <w:rsid w:val="0072241F"/>
    <w:rsid w:val="00722906"/>
    <w:rsid w:val="00722AB3"/>
    <w:rsid w:val="00722AE4"/>
    <w:rsid w:val="00723148"/>
    <w:rsid w:val="007235D6"/>
    <w:rsid w:val="00725473"/>
    <w:rsid w:val="00726530"/>
    <w:rsid w:val="0072668F"/>
    <w:rsid w:val="00727638"/>
    <w:rsid w:val="00727A9D"/>
    <w:rsid w:val="00730541"/>
    <w:rsid w:val="00730582"/>
    <w:rsid w:val="00732E70"/>
    <w:rsid w:val="0073329D"/>
    <w:rsid w:val="00734052"/>
    <w:rsid w:val="00734C44"/>
    <w:rsid w:val="00735C2F"/>
    <w:rsid w:val="00735D60"/>
    <w:rsid w:val="00735E0A"/>
    <w:rsid w:val="00736737"/>
    <w:rsid w:val="007378F4"/>
    <w:rsid w:val="00741F90"/>
    <w:rsid w:val="007432D9"/>
    <w:rsid w:val="00743D2C"/>
    <w:rsid w:val="00744191"/>
    <w:rsid w:val="0074463D"/>
    <w:rsid w:val="0074496F"/>
    <w:rsid w:val="00744AEC"/>
    <w:rsid w:val="00745EA6"/>
    <w:rsid w:val="007464DC"/>
    <w:rsid w:val="0074650A"/>
    <w:rsid w:val="0074663C"/>
    <w:rsid w:val="00746CBC"/>
    <w:rsid w:val="007474CE"/>
    <w:rsid w:val="007500C2"/>
    <w:rsid w:val="00750CB9"/>
    <w:rsid w:val="007525E5"/>
    <w:rsid w:val="00752836"/>
    <w:rsid w:val="00752948"/>
    <w:rsid w:val="00752C58"/>
    <w:rsid w:val="00752F8E"/>
    <w:rsid w:val="00752FE6"/>
    <w:rsid w:val="007534C4"/>
    <w:rsid w:val="0075610B"/>
    <w:rsid w:val="00756136"/>
    <w:rsid w:val="007563DD"/>
    <w:rsid w:val="00760735"/>
    <w:rsid w:val="00760900"/>
    <w:rsid w:val="00762940"/>
    <w:rsid w:val="00762D33"/>
    <w:rsid w:val="0076443B"/>
    <w:rsid w:val="007660C8"/>
    <w:rsid w:val="007668AD"/>
    <w:rsid w:val="00767B54"/>
    <w:rsid w:val="00767BBA"/>
    <w:rsid w:val="0077005B"/>
    <w:rsid w:val="007704C5"/>
    <w:rsid w:val="0077147C"/>
    <w:rsid w:val="007718C6"/>
    <w:rsid w:val="00771AAB"/>
    <w:rsid w:val="00771E9D"/>
    <w:rsid w:val="00772A1F"/>
    <w:rsid w:val="00773A55"/>
    <w:rsid w:val="0077488C"/>
    <w:rsid w:val="00775958"/>
    <w:rsid w:val="007772E6"/>
    <w:rsid w:val="00777F31"/>
    <w:rsid w:val="0078068A"/>
    <w:rsid w:val="00780C97"/>
    <w:rsid w:val="00781476"/>
    <w:rsid w:val="0078260C"/>
    <w:rsid w:val="0078359D"/>
    <w:rsid w:val="00783B9E"/>
    <w:rsid w:val="00784050"/>
    <w:rsid w:val="00784EFF"/>
    <w:rsid w:val="007852AF"/>
    <w:rsid w:val="0078561F"/>
    <w:rsid w:val="00785769"/>
    <w:rsid w:val="00786825"/>
    <w:rsid w:val="00786B94"/>
    <w:rsid w:val="0078708F"/>
    <w:rsid w:val="00790DCE"/>
    <w:rsid w:val="00791040"/>
    <w:rsid w:val="007911E2"/>
    <w:rsid w:val="0079183F"/>
    <w:rsid w:val="00791B6B"/>
    <w:rsid w:val="00791F94"/>
    <w:rsid w:val="007921A1"/>
    <w:rsid w:val="00792C45"/>
    <w:rsid w:val="0079441D"/>
    <w:rsid w:val="00794ECA"/>
    <w:rsid w:val="00795457"/>
    <w:rsid w:val="0079612F"/>
    <w:rsid w:val="00796603"/>
    <w:rsid w:val="00797ECE"/>
    <w:rsid w:val="007A02E5"/>
    <w:rsid w:val="007A0D8C"/>
    <w:rsid w:val="007A1A38"/>
    <w:rsid w:val="007A1EDC"/>
    <w:rsid w:val="007A2D5F"/>
    <w:rsid w:val="007A2E60"/>
    <w:rsid w:val="007A3968"/>
    <w:rsid w:val="007A4CFE"/>
    <w:rsid w:val="007A5278"/>
    <w:rsid w:val="007A52A0"/>
    <w:rsid w:val="007A5832"/>
    <w:rsid w:val="007A67D4"/>
    <w:rsid w:val="007B01E1"/>
    <w:rsid w:val="007B0F58"/>
    <w:rsid w:val="007B22D5"/>
    <w:rsid w:val="007B24EE"/>
    <w:rsid w:val="007B25B4"/>
    <w:rsid w:val="007B2815"/>
    <w:rsid w:val="007B28F2"/>
    <w:rsid w:val="007B2F8B"/>
    <w:rsid w:val="007B3267"/>
    <w:rsid w:val="007B3E0D"/>
    <w:rsid w:val="007B3FE7"/>
    <w:rsid w:val="007B43B4"/>
    <w:rsid w:val="007B48F9"/>
    <w:rsid w:val="007C06F8"/>
    <w:rsid w:val="007C11CC"/>
    <w:rsid w:val="007C1FFE"/>
    <w:rsid w:val="007C450E"/>
    <w:rsid w:val="007C47D1"/>
    <w:rsid w:val="007C48EA"/>
    <w:rsid w:val="007C491A"/>
    <w:rsid w:val="007C4D9D"/>
    <w:rsid w:val="007C596B"/>
    <w:rsid w:val="007C5BFC"/>
    <w:rsid w:val="007C5E29"/>
    <w:rsid w:val="007C61C0"/>
    <w:rsid w:val="007C76BF"/>
    <w:rsid w:val="007D0D1C"/>
    <w:rsid w:val="007D107C"/>
    <w:rsid w:val="007D1D6B"/>
    <w:rsid w:val="007D289D"/>
    <w:rsid w:val="007D2A8A"/>
    <w:rsid w:val="007D323B"/>
    <w:rsid w:val="007D3665"/>
    <w:rsid w:val="007D3718"/>
    <w:rsid w:val="007D3E99"/>
    <w:rsid w:val="007D45FB"/>
    <w:rsid w:val="007D4AC5"/>
    <w:rsid w:val="007D6A24"/>
    <w:rsid w:val="007D6EFB"/>
    <w:rsid w:val="007D716C"/>
    <w:rsid w:val="007D71CF"/>
    <w:rsid w:val="007E164F"/>
    <w:rsid w:val="007E1B52"/>
    <w:rsid w:val="007E26EE"/>
    <w:rsid w:val="007E3A6A"/>
    <w:rsid w:val="007E6CB4"/>
    <w:rsid w:val="007E6F76"/>
    <w:rsid w:val="007E7843"/>
    <w:rsid w:val="007F0638"/>
    <w:rsid w:val="007F1396"/>
    <w:rsid w:val="007F1450"/>
    <w:rsid w:val="007F1F71"/>
    <w:rsid w:val="007F2200"/>
    <w:rsid w:val="007F247B"/>
    <w:rsid w:val="007F339C"/>
    <w:rsid w:val="007F347C"/>
    <w:rsid w:val="007F3539"/>
    <w:rsid w:val="007F35CA"/>
    <w:rsid w:val="007F3CC8"/>
    <w:rsid w:val="007F40EA"/>
    <w:rsid w:val="007F4E8F"/>
    <w:rsid w:val="007F52FE"/>
    <w:rsid w:val="007F6C44"/>
    <w:rsid w:val="007F713B"/>
    <w:rsid w:val="007F7578"/>
    <w:rsid w:val="007F765F"/>
    <w:rsid w:val="00801401"/>
    <w:rsid w:val="00802BE6"/>
    <w:rsid w:val="00803082"/>
    <w:rsid w:val="00804A9C"/>
    <w:rsid w:val="00805397"/>
    <w:rsid w:val="00805998"/>
    <w:rsid w:val="008073DA"/>
    <w:rsid w:val="0080780F"/>
    <w:rsid w:val="00811164"/>
    <w:rsid w:val="008112E1"/>
    <w:rsid w:val="00812462"/>
    <w:rsid w:val="008133EB"/>
    <w:rsid w:val="00813A39"/>
    <w:rsid w:val="008143E6"/>
    <w:rsid w:val="00814FB5"/>
    <w:rsid w:val="008153F9"/>
    <w:rsid w:val="00816AD1"/>
    <w:rsid w:val="00817225"/>
    <w:rsid w:val="008173BA"/>
    <w:rsid w:val="008177E7"/>
    <w:rsid w:val="008203CD"/>
    <w:rsid w:val="008209F5"/>
    <w:rsid w:val="00820A33"/>
    <w:rsid w:val="00821977"/>
    <w:rsid w:val="00821987"/>
    <w:rsid w:val="00822088"/>
    <w:rsid w:val="00823854"/>
    <w:rsid w:val="00823C4F"/>
    <w:rsid w:val="00824B27"/>
    <w:rsid w:val="00826741"/>
    <w:rsid w:val="00830203"/>
    <w:rsid w:val="00831B28"/>
    <w:rsid w:val="00832784"/>
    <w:rsid w:val="00834D0E"/>
    <w:rsid w:val="00834F8E"/>
    <w:rsid w:val="00836248"/>
    <w:rsid w:val="00836AB9"/>
    <w:rsid w:val="008371EC"/>
    <w:rsid w:val="0083770F"/>
    <w:rsid w:val="00837978"/>
    <w:rsid w:val="00840EA7"/>
    <w:rsid w:val="0084354A"/>
    <w:rsid w:val="00843BEC"/>
    <w:rsid w:val="00844170"/>
    <w:rsid w:val="008442AD"/>
    <w:rsid w:val="00844F5D"/>
    <w:rsid w:val="0084508F"/>
    <w:rsid w:val="00845E2E"/>
    <w:rsid w:val="00846420"/>
    <w:rsid w:val="00850FC9"/>
    <w:rsid w:val="00851185"/>
    <w:rsid w:val="008521BC"/>
    <w:rsid w:val="00852D85"/>
    <w:rsid w:val="00852EC3"/>
    <w:rsid w:val="00855142"/>
    <w:rsid w:val="008552FD"/>
    <w:rsid w:val="008562B8"/>
    <w:rsid w:val="00856DE2"/>
    <w:rsid w:val="0085727B"/>
    <w:rsid w:val="00857CE9"/>
    <w:rsid w:val="00860069"/>
    <w:rsid w:val="008610C6"/>
    <w:rsid w:val="00861D58"/>
    <w:rsid w:val="008630B8"/>
    <w:rsid w:val="008632D4"/>
    <w:rsid w:val="00863670"/>
    <w:rsid w:val="0086408F"/>
    <w:rsid w:val="0086464D"/>
    <w:rsid w:val="008650BF"/>
    <w:rsid w:val="0086787D"/>
    <w:rsid w:val="0087152E"/>
    <w:rsid w:val="008743BD"/>
    <w:rsid w:val="00875594"/>
    <w:rsid w:val="00875681"/>
    <w:rsid w:val="00876AF4"/>
    <w:rsid w:val="00877F94"/>
    <w:rsid w:val="00880F93"/>
    <w:rsid w:val="008810F5"/>
    <w:rsid w:val="00881F89"/>
    <w:rsid w:val="008821E8"/>
    <w:rsid w:val="0088269D"/>
    <w:rsid w:val="008826B1"/>
    <w:rsid w:val="008826EE"/>
    <w:rsid w:val="00882A80"/>
    <w:rsid w:val="00882D0E"/>
    <w:rsid w:val="00883398"/>
    <w:rsid w:val="00883F56"/>
    <w:rsid w:val="00884142"/>
    <w:rsid w:val="00884710"/>
    <w:rsid w:val="00884FB1"/>
    <w:rsid w:val="008864BD"/>
    <w:rsid w:val="0088701D"/>
    <w:rsid w:val="00887FC1"/>
    <w:rsid w:val="0089136F"/>
    <w:rsid w:val="0089261D"/>
    <w:rsid w:val="008927F1"/>
    <w:rsid w:val="00892BB0"/>
    <w:rsid w:val="008943CE"/>
    <w:rsid w:val="008948C2"/>
    <w:rsid w:val="00894B2B"/>
    <w:rsid w:val="00895115"/>
    <w:rsid w:val="00895478"/>
    <w:rsid w:val="00895ECC"/>
    <w:rsid w:val="00896142"/>
    <w:rsid w:val="008974BC"/>
    <w:rsid w:val="0089769E"/>
    <w:rsid w:val="00897936"/>
    <w:rsid w:val="008A0CFE"/>
    <w:rsid w:val="008A17C2"/>
    <w:rsid w:val="008A2CE8"/>
    <w:rsid w:val="008A3428"/>
    <w:rsid w:val="008A36BD"/>
    <w:rsid w:val="008A3A75"/>
    <w:rsid w:val="008A4274"/>
    <w:rsid w:val="008A473F"/>
    <w:rsid w:val="008A4C4A"/>
    <w:rsid w:val="008A5F05"/>
    <w:rsid w:val="008A6666"/>
    <w:rsid w:val="008A7704"/>
    <w:rsid w:val="008B05F5"/>
    <w:rsid w:val="008B161D"/>
    <w:rsid w:val="008B2921"/>
    <w:rsid w:val="008B2A75"/>
    <w:rsid w:val="008B2E4E"/>
    <w:rsid w:val="008B312D"/>
    <w:rsid w:val="008B383E"/>
    <w:rsid w:val="008B4532"/>
    <w:rsid w:val="008B47DE"/>
    <w:rsid w:val="008B5BDF"/>
    <w:rsid w:val="008B64C0"/>
    <w:rsid w:val="008C07A6"/>
    <w:rsid w:val="008C1204"/>
    <w:rsid w:val="008C1345"/>
    <w:rsid w:val="008C14DB"/>
    <w:rsid w:val="008C22B2"/>
    <w:rsid w:val="008C2FFF"/>
    <w:rsid w:val="008C556C"/>
    <w:rsid w:val="008C58B5"/>
    <w:rsid w:val="008C6424"/>
    <w:rsid w:val="008C66F8"/>
    <w:rsid w:val="008C6893"/>
    <w:rsid w:val="008C7990"/>
    <w:rsid w:val="008D24AC"/>
    <w:rsid w:val="008D2693"/>
    <w:rsid w:val="008D2808"/>
    <w:rsid w:val="008D2971"/>
    <w:rsid w:val="008D2FEF"/>
    <w:rsid w:val="008D3C92"/>
    <w:rsid w:val="008D5161"/>
    <w:rsid w:val="008D559F"/>
    <w:rsid w:val="008D58B7"/>
    <w:rsid w:val="008D5F7A"/>
    <w:rsid w:val="008D70F6"/>
    <w:rsid w:val="008D7A0B"/>
    <w:rsid w:val="008E0333"/>
    <w:rsid w:val="008E0EC9"/>
    <w:rsid w:val="008E12A3"/>
    <w:rsid w:val="008E23C4"/>
    <w:rsid w:val="008E3C9A"/>
    <w:rsid w:val="008E53AA"/>
    <w:rsid w:val="008E5846"/>
    <w:rsid w:val="008E6CE8"/>
    <w:rsid w:val="008E6DE4"/>
    <w:rsid w:val="008E73C8"/>
    <w:rsid w:val="008E7470"/>
    <w:rsid w:val="008E76FE"/>
    <w:rsid w:val="008F0CE1"/>
    <w:rsid w:val="008F154F"/>
    <w:rsid w:val="008F179F"/>
    <w:rsid w:val="008F1BD5"/>
    <w:rsid w:val="008F4FC1"/>
    <w:rsid w:val="008F5668"/>
    <w:rsid w:val="008F5D26"/>
    <w:rsid w:val="008F686E"/>
    <w:rsid w:val="008F6DFD"/>
    <w:rsid w:val="0090100A"/>
    <w:rsid w:val="00901AC3"/>
    <w:rsid w:val="00901C72"/>
    <w:rsid w:val="00902042"/>
    <w:rsid w:val="009021DA"/>
    <w:rsid w:val="009028FB"/>
    <w:rsid w:val="00902F7C"/>
    <w:rsid w:val="0090430B"/>
    <w:rsid w:val="00904A1C"/>
    <w:rsid w:val="00905CBF"/>
    <w:rsid w:val="0091021D"/>
    <w:rsid w:val="009106A8"/>
    <w:rsid w:val="0091077D"/>
    <w:rsid w:val="00911639"/>
    <w:rsid w:val="009116F1"/>
    <w:rsid w:val="009118FD"/>
    <w:rsid w:val="00911936"/>
    <w:rsid w:val="009119DB"/>
    <w:rsid w:val="00911EE2"/>
    <w:rsid w:val="00912D39"/>
    <w:rsid w:val="00912E92"/>
    <w:rsid w:val="00912F9B"/>
    <w:rsid w:val="00913A44"/>
    <w:rsid w:val="00913B41"/>
    <w:rsid w:val="00914895"/>
    <w:rsid w:val="009154C6"/>
    <w:rsid w:val="0091680D"/>
    <w:rsid w:val="00917495"/>
    <w:rsid w:val="009179B3"/>
    <w:rsid w:val="0092205C"/>
    <w:rsid w:val="0092205D"/>
    <w:rsid w:val="00922248"/>
    <w:rsid w:val="009233E4"/>
    <w:rsid w:val="0092392D"/>
    <w:rsid w:val="00924A19"/>
    <w:rsid w:val="00924DE9"/>
    <w:rsid w:val="00925A62"/>
    <w:rsid w:val="0092632F"/>
    <w:rsid w:val="0092766F"/>
    <w:rsid w:val="009304F4"/>
    <w:rsid w:val="00930CA4"/>
    <w:rsid w:val="009311AD"/>
    <w:rsid w:val="009312C5"/>
    <w:rsid w:val="00931FE2"/>
    <w:rsid w:val="0093358C"/>
    <w:rsid w:val="00933725"/>
    <w:rsid w:val="009351BC"/>
    <w:rsid w:val="009369A6"/>
    <w:rsid w:val="00936B5D"/>
    <w:rsid w:val="00937856"/>
    <w:rsid w:val="00940765"/>
    <w:rsid w:val="00940DF3"/>
    <w:rsid w:val="009412C5"/>
    <w:rsid w:val="00943469"/>
    <w:rsid w:val="00943688"/>
    <w:rsid w:val="0094375A"/>
    <w:rsid w:val="0094410A"/>
    <w:rsid w:val="00944508"/>
    <w:rsid w:val="00944A73"/>
    <w:rsid w:val="00945136"/>
    <w:rsid w:val="00945EA2"/>
    <w:rsid w:val="00946A77"/>
    <w:rsid w:val="00946F92"/>
    <w:rsid w:val="00950498"/>
    <w:rsid w:val="0095070B"/>
    <w:rsid w:val="00950CDA"/>
    <w:rsid w:val="0095181F"/>
    <w:rsid w:val="00953570"/>
    <w:rsid w:val="00953708"/>
    <w:rsid w:val="009544AB"/>
    <w:rsid w:val="0095486B"/>
    <w:rsid w:val="0095568E"/>
    <w:rsid w:val="00955F7D"/>
    <w:rsid w:val="00956187"/>
    <w:rsid w:val="0095672B"/>
    <w:rsid w:val="00956A20"/>
    <w:rsid w:val="00957FDD"/>
    <w:rsid w:val="00961D8A"/>
    <w:rsid w:val="00961DE5"/>
    <w:rsid w:val="00962115"/>
    <w:rsid w:val="0096284C"/>
    <w:rsid w:val="00962AE3"/>
    <w:rsid w:val="00962D2C"/>
    <w:rsid w:val="00963556"/>
    <w:rsid w:val="00965857"/>
    <w:rsid w:val="00965ED5"/>
    <w:rsid w:val="0096672C"/>
    <w:rsid w:val="0096794E"/>
    <w:rsid w:val="009679B5"/>
    <w:rsid w:val="00967BB5"/>
    <w:rsid w:val="00970A66"/>
    <w:rsid w:val="00971778"/>
    <w:rsid w:val="00971B90"/>
    <w:rsid w:val="009735A1"/>
    <w:rsid w:val="00973857"/>
    <w:rsid w:val="00973B24"/>
    <w:rsid w:val="00974867"/>
    <w:rsid w:val="00974CB2"/>
    <w:rsid w:val="0097527D"/>
    <w:rsid w:val="00977E0F"/>
    <w:rsid w:val="0098143A"/>
    <w:rsid w:val="0098196D"/>
    <w:rsid w:val="00982A37"/>
    <w:rsid w:val="00982BDC"/>
    <w:rsid w:val="009833CA"/>
    <w:rsid w:val="009840D1"/>
    <w:rsid w:val="00984873"/>
    <w:rsid w:val="00984CFD"/>
    <w:rsid w:val="00986DE7"/>
    <w:rsid w:val="00986EDA"/>
    <w:rsid w:val="009873C0"/>
    <w:rsid w:val="0099010D"/>
    <w:rsid w:val="00990614"/>
    <w:rsid w:val="009908E9"/>
    <w:rsid w:val="00990CAF"/>
    <w:rsid w:val="00991079"/>
    <w:rsid w:val="009911C5"/>
    <w:rsid w:val="00993E7E"/>
    <w:rsid w:val="00994808"/>
    <w:rsid w:val="00994859"/>
    <w:rsid w:val="00994A53"/>
    <w:rsid w:val="009950D1"/>
    <w:rsid w:val="009961E5"/>
    <w:rsid w:val="00996A6D"/>
    <w:rsid w:val="00997983"/>
    <w:rsid w:val="009A0630"/>
    <w:rsid w:val="009A139B"/>
    <w:rsid w:val="009A158C"/>
    <w:rsid w:val="009A170D"/>
    <w:rsid w:val="009A1D19"/>
    <w:rsid w:val="009A2542"/>
    <w:rsid w:val="009A2F5D"/>
    <w:rsid w:val="009A30BD"/>
    <w:rsid w:val="009A44EE"/>
    <w:rsid w:val="009A5142"/>
    <w:rsid w:val="009A5C85"/>
    <w:rsid w:val="009A6685"/>
    <w:rsid w:val="009A739F"/>
    <w:rsid w:val="009A768D"/>
    <w:rsid w:val="009B055C"/>
    <w:rsid w:val="009B0F83"/>
    <w:rsid w:val="009B1D84"/>
    <w:rsid w:val="009B2115"/>
    <w:rsid w:val="009B2FA9"/>
    <w:rsid w:val="009B31D3"/>
    <w:rsid w:val="009B584E"/>
    <w:rsid w:val="009B6097"/>
    <w:rsid w:val="009C1095"/>
    <w:rsid w:val="009C15DE"/>
    <w:rsid w:val="009C19B8"/>
    <w:rsid w:val="009C1A35"/>
    <w:rsid w:val="009C2C86"/>
    <w:rsid w:val="009C3291"/>
    <w:rsid w:val="009C4679"/>
    <w:rsid w:val="009C606A"/>
    <w:rsid w:val="009C7A20"/>
    <w:rsid w:val="009D0682"/>
    <w:rsid w:val="009D0853"/>
    <w:rsid w:val="009D11EA"/>
    <w:rsid w:val="009D27B3"/>
    <w:rsid w:val="009D28F9"/>
    <w:rsid w:val="009D2E84"/>
    <w:rsid w:val="009D38A4"/>
    <w:rsid w:val="009D3D45"/>
    <w:rsid w:val="009D5CCA"/>
    <w:rsid w:val="009D6167"/>
    <w:rsid w:val="009D6B2A"/>
    <w:rsid w:val="009D6D10"/>
    <w:rsid w:val="009E18EA"/>
    <w:rsid w:val="009E21BB"/>
    <w:rsid w:val="009E310D"/>
    <w:rsid w:val="009E33E1"/>
    <w:rsid w:val="009E34C0"/>
    <w:rsid w:val="009E5003"/>
    <w:rsid w:val="009E59E0"/>
    <w:rsid w:val="009E6236"/>
    <w:rsid w:val="009E643D"/>
    <w:rsid w:val="009E7418"/>
    <w:rsid w:val="009E74EA"/>
    <w:rsid w:val="009E7A64"/>
    <w:rsid w:val="009E7F48"/>
    <w:rsid w:val="009F1734"/>
    <w:rsid w:val="009F29C4"/>
    <w:rsid w:val="009F2AEA"/>
    <w:rsid w:val="009F37F3"/>
    <w:rsid w:val="009F3E60"/>
    <w:rsid w:val="009F4391"/>
    <w:rsid w:val="009F45CC"/>
    <w:rsid w:val="009F45E5"/>
    <w:rsid w:val="009F471D"/>
    <w:rsid w:val="009F4819"/>
    <w:rsid w:val="009F4AA6"/>
    <w:rsid w:val="009F4BDB"/>
    <w:rsid w:val="009F53DC"/>
    <w:rsid w:val="009F55DD"/>
    <w:rsid w:val="009F5BE0"/>
    <w:rsid w:val="009F5D3F"/>
    <w:rsid w:val="009F5EF6"/>
    <w:rsid w:val="009F5FF4"/>
    <w:rsid w:val="009F70CA"/>
    <w:rsid w:val="009F7DDD"/>
    <w:rsid w:val="00A01367"/>
    <w:rsid w:val="00A0150A"/>
    <w:rsid w:val="00A01BCF"/>
    <w:rsid w:val="00A0263B"/>
    <w:rsid w:val="00A02BA6"/>
    <w:rsid w:val="00A02E58"/>
    <w:rsid w:val="00A04F7D"/>
    <w:rsid w:val="00A063A9"/>
    <w:rsid w:val="00A070ED"/>
    <w:rsid w:val="00A0777A"/>
    <w:rsid w:val="00A07A94"/>
    <w:rsid w:val="00A106B2"/>
    <w:rsid w:val="00A112C1"/>
    <w:rsid w:val="00A13546"/>
    <w:rsid w:val="00A136B1"/>
    <w:rsid w:val="00A14657"/>
    <w:rsid w:val="00A1485F"/>
    <w:rsid w:val="00A1531B"/>
    <w:rsid w:val="00A15659"/>
    <w:rsid w:val="00A15AE3"/>
    <w:rsid w:val="00A15CCE"/>
    <w:rsid w:val="00A15E82"/>
    <w:rsid w:val="00A16618"/>
    <w:rsid w:val="00A170EB"/>
    <w:rsid w:val="00A172C4"/>
    <w:rsid w:val="00A173CE"/>
    <w:rsid w:val="00A17ADE"/>
    <w:rsid w:val="00A204FB"/>
    <w:rsid w:val="00A21512"/>
    <w:rsid w:val="00A2157D"/>
    <w:rsid w:val="00A2179D"/>
    <w:rsid w:val="00A21B49"/>
    <w:rsid w:val="00A23AD9"/>
    <w:rsid w:val="00A25ED7"/>
    <w:rsid w:val="00A261D7"/>
    <w:rsid w:val="00A26488"/>
    <w:rsid w:val="00A2750F"/>
    <w:rsid w:val="00A27912"/>
    <w:rsid w:val="00A32497"/>
    <w:rsid w:val="00A32629"/>
    <w:rsid w:val="00A3285E"/>
    <w:rsid w:val="00A32B5A"/>
    <w:rsid w:val="00A32F2F"/>
    <w:rsid w:val="00A33467"/>
    <w:rsid w:val="00A33855"/>
    <w:rsid w:val="00A34C80"/>
    <w:rsid w:val="00A4013A"/>
    <w:rsid w:val="00A40F63"/>
    <w:rsid w:val="00A42987"/>
    <w:rsid w:val="00A42C9F"/>
    <w:rsid w:val="00A42CAA"/>
    <w:rsid w:val="00A42FCD"/>
    <w:rsid w:val="00A43515"/>
    <w:rsid w:val="00A43889"/>
    <w:rsid w:val="00A43DC7"/>
    <w:rsid w:val="00A43EC9"/>
    <w:rsid w:val="00A44B29"/>
    <w:rsid w:val="00A4533E"/>
    <w:rsid w:val="00A45C7D"/>
    <w:rsid w:val="00A46037"/>
    <w:rsid w:val="00A463A3"/>
    <w:rsid w:val="00A46D08"/>
    <w:rsid w:val="00A50F61"/>
    <w:rsid w:val="00A52F8B"/>
    <w:rsid w:val="00A52FE4"/>
    <w:rsid w:val="00A55044"/>
    <w:rsid w:val="00A55B39"/>
    <w:rsid w:val="00A57424"/>
    <w:rsid w:val="00A60089"/>
    <w:rsid w:val="00A600C7"/>
    <w:rsid w:val="00A616CA"/>
    <w:rsid w:val="00A62E5C"/>
    <w:rsid w:val="00A63B89"/>
    <w:rsid w:val="00A64232"/>
    <w:rsid w:val="00A64639"/>
    <w:rsid w:val="00A6557D"/>
    <w:rsid w:val="00A6611F"/>
    <w:rsid w:val="00A661A4"/>
    <w:rsid w:val="00A6686E"/>
    <w:rsid w:val="00A66C72"/>
    <w:rsid w:val="00A66D6E"/>
    <w:rsid w:val="00A66F8A"/>
    <w:rsid w:val="00A67587"/>
    <w:rsid w:val="00A67707"/>
    <w:rsid w:val="00A7028F"/>
    <w:rsid w:val="00A70489"/>
    <w:rsid w:val="00A70792"/>
    <w:rsid w:val="00A70F6B"/>
    <w:rsid w:val="00A71181"/>
    <w:rsid w:val="00A74792"/>
    <w:rsid w:val="00A747D2"/>
    <w:rsid w:val="00A757C3"/>
    <w:rsid w:val="00A75B22"/>
    <w:rsid w:val="00A76CF8"/>
    <w:rsid w:val="00A77FD9"/>
    <w:rsid w:val="00A80C03"/>
    <w:rsid w:val="00A81282"/>
    <w:rsid w:val="00A81A05"/>
    <w:rsid w:val="00A81DFA"/>
    <w:rsid w:val="00A81F67"/>
    <w:rsid w:val="00A8250B"/>
    <w:rsid w:val="00A82793"/>
    <w:rsid w:val="00A82CFA"/>
    <w:rsid w:val="00A8310C"/>
    <w:rsid w:val="00A83EE4"/>
    <w:rsid w:val="00A8434D"/>
    <w:rsid w:val="00A85760"/>
    <w:rsid w:val="00A85F03"/>
    <w:rsid w:val="00A87C10"/>
    <w:rsid w:val="00A91A36"/>
    <w:rsid w:val="00A91E72"/>
    <w:rsid w:val="00A920E8"/>
    <w:rsid w:val="00A9371B"/>
    <w:rsid w:val="00A93EF4"/>
    <w:rsid w:val="00A948FB"/>
    <w:rsid w:val="00A95D3C"/>
    <w:rsid w:val="00A963CE"/>
    <w:rsid w:val="00A96C32"/>
    <w:rsid w:val="00A97340"/>
    <w:rsid w:val="00AA0291"/>
    <w:rsid w:val="00AA0419"/>
    <w:rsid w:val="00AA18D3"/>
    <w:rsid w:val="00AA1C40"/>
    <w:rsid w:val="00AA2111"/>
    <w:rsid w:val="00AA4EC5"/>
    <w:rsid w:val="00AA6CB3"/>
    <w:rsid w:val="00AA7463"/>
    <w:rsid w:val="00AA77D9"/>
    <w:rsid w:val="00AA7D9B"/>
    <w:rsid w:val="00AA7FC9"/>
    <w:rsid w:val="00AB0166"/>
    <w:rsid w:val="00AB1153"/>
    <w:rsid w:val="00AB16F3"/>
    <w:rsid w:val="00AB1960"/>
    <w:rsid w:val="00AB1BC2"/>
    <w:rsid w:val="00AB1D2E"/>
    <w:rsid w:val="00AB1DD0"/>
    <w:rsid w:val="00AB1FB6"/>
    <w:rsid w:val="00AB2FC9"/>
    <w:rsid w:val="00AB3789"/>
    <w:rsid w:val="00AB379A"/>
    <w:rsid w:val="00AB3DAC"/>
    <w:rsid w:val="00AB44BD"/>
    <w:rsid w:val="00AB48F8"/>
    <w:rsid w:val="00AB5D95"/>
    <w:rsid w:val="00AB68B3"/>
    <w:rsid w:val="00AB77E3"/>
    <w:rsid w:val="00AC0B4D"/>
    <w:rsid w:val="00AC0EE3"/>
    <w:rsid w:val="00AC1508"/>
    <w:rsid w:val="00AC20FA"/>
    <w:rsid w:val="00AC25DA"/>
    <w:rsid w:val="00AC2B35"/>
    <w:rsid w:val="00AC2E05"/>
    <w:rsid w:val="00AC4FAD"/>
    <w:rsid w:val="00AC50EB"/>
    <w:rsid w:val="00AC6FD4"/>
    <w:rsid w:val="00AC749B"/>
    <w:rsid w:val="00AD0375"/>
    <w:rsid w:val="00AD0B04"/>
    <w:rsid w:val="00AD1B78"/>
    <w:rsid w:val="00AD1F65"/>
    <w:rsid w:val="00AD2C64"/>
    <w:rsid w:val="00AD34D2"/>
    <w:rsid w:val="00AD46AD"/>
    <w:rsid w:val="00AD49E4"/>
    <w:rsid w:val="00AD5481"/>
    <w:rsid w:val="00AD5621"/>
    <w:rsid w:val="00AD60DF"/>
    <w:rsid w:val="00AD67AA"/>
    <w:rsid w:val="00AE035E"/>
    <w:rsid w:val="00AE0C12"/>
    <w:rsid w:val="00AE0C4A"/>
    <w:rsid w:val="00AE0EA6"/>
    <w:rsid w:val="00AE1D7C"/>
    <w:rsid w:val="00AE24F1"/>
    <w:rsid w:val="00AE2DEE"/>
    <w:rsid w:val="00AE2F01"/>
    <w:rsid w:val="00AE3D82"/>
    <w:rsid w:val="00AE401E"/>
    <w:rsid w:val="00AE442D"/>
    <w:rsid w:val="00AE4896"/>
    <w:rsid w:val="00AE4DF5"/>
    <w:rsid w:val="00AE665D"/>
    <w:rsid w:val="00AE699A"/>
    <w:rsid w:val="00AF15D1"/>
    <w:rsid w:val="00AF18A3"/>
    <w:rsid w:val="00AF1A84"/>
    <w:rsid w:val="00AF1E23"/>
    <w:rsid w:val="00AF2328"/>
    <w:rsid w:val="00AF24E0"/>
    <w:rsid w:val="00AF37A8"/>
    <w:rsid w:val="00AF5B7C"/>
    <w:rsid w:val="00AF74AD"/>
    <w:rsid w:val="00B007D3"/>
    <w:rsid w:val="00B00B64"/>
    <w:rsid w:val="00B017A1"/>
    <w:rsid w:val="00B01D23"/>
    <w:rsid w:val="00B01F2D"/>
    <w:rsid w:val="00B02CA1"/>
    <w:rsid w:val="00B02F6B"/>
    <w:rsid w:val="00B035B9"/>
    <w:rsid w:val="00B03818"/>
    <w:rsid w:val="00B03E8F"/>
    <w:rsid w:val="00B050E3"/>
    <w:rsid w:val="00B05AF6"/>
    <w:rsid w:val="00B05D12"/>
    <w:rsid w:val="00B06164"/>
    <w:rsid w:val="00B07B37"/>
    <w:rsid w:val="00B10CE3"/>
    <w:rsid w:val="00B122BC"/>
    <w:rsid w:val="00B1388E"/>
    <w:rsid w:val="00B13B3B"/>
    <w:rsid w:val="00B145AC"/>
    <w:rsid w:val="00B14A97"/>
    <w:rsid w:val="00B15529"/>
    <w:rsid w:val="00B155E8"/>
    <w:rsid w:val="00B15D63"/>
    <w:rsid w:val="00B1615F"/>
    <w:rsid w:val="00B1637C"/>
    <w:rsid w:val="00B176EA"/>
    <w:rsid w:val="00B2000D"/>
    <w:rsid w:val="00B20D8D"/>
    <w:rsid w:val="00B20E22"/>
    <w:rsid w:val="00B21E04"/>
    <w:rsid w:val="00B223C2"/>
    <w:rsid w:val="00B2358C"/>
    <w:rsid w:val="00B23A99"/>
    <w:rsid w:val="00B24941"/>
    <w:rsid w:val="00B25E14"/>
    <w:rsid w:val="00B26FA8"/>
    <w:rsid w:val="00B278CA"/>
    <w:rsid w:val="00B30265"/>
    <w:rsid w:val="00B30C08"/>
    <w:rsid w:val="00B322A0"/>
    <w:rsid w:val="00B3409B"/>
    <w:rsid w:val="00B340CA"/>
    <w:rsid w:val="00B34DDC"/>
    <w:rsid w:val="00B34E55"/>
    <w:rsid w:val="00B35175"/>
    <w:rsid w:val="00B35BC2"/>
    <w:rsid w:val="00B3766E"/>
    <w:rsid w:val="00B40C15"/>
    <w:rsid w:val="00B40CEA"/>
    <w:rsid w:val="00B4199E"/>
    <w:rsid w:val="00B41C2B"/>
    <w:rsid w:val="00B462D7"/>
    <w:rsid w:val="00B46B34"/>
    <w:rsid w:val="00B47213"/>
    <w:rsid w:val="00B51014"/>
    <w:rsid w:val="00B5134A"/>
    <w:rsid w:val="00B522BD"/>
    <w:rsid w:val="00B531A2"/>
    <w:rsid w:val="00B537E9"/>
    <w:rsid w:val="00B557E3"/>
    <w:rsid w:val="00B55F46"/>
    <w:rsid w:val="00B567A8"/>
    <w:rsid w:val="00B569F3"/>
    <w:rsid w:val="00B575A8"/>
    <w:rsid w:val="00B5762F"/>
    <w:rsid w:val="00B5774E"/>
    <w:rsid w:val="00B57986"/>
    <w:rsid w:val="00B60748"/>
    <w:rsid w:val="00B615B6"/>
    <w:rsid w:val="00B621DD"/>
    <w:rsid w:val="00B635F8"/>
    <w:rsid w:val="00B63923"/>
    <w:rsid w:val="00B63C35"/>
    <w:rsid w:val="00B65164"/>
    <w:rsid w:val="00B67E6D"/>
    <w:rsid w:val="00B70464"/>
    <w:rsid w:val="00B7069D"/>
    <w:rsid w:val="00B70BF2"/>
    <w:rsid w:val="00B7159D"/>
    <w:rsid w:val="00B71935"/>
    <w:rsid w:val="00B71BA2"/>
    <w:rsid w:val="00B72356"/>
    <w:rsid w:val="00B74F36"/>
    <w:rsid w:val="00B750C2"/>
    <w:rsid w:val="00B76D11"/>
    <w:rsid w:val="00B76E1E"/>
    <w:rsid w:val="00B76F68"/>
    <w:rsid w:val="00B77293"/>
    <w:rsid w:val="00B7740B"/>
    <w:rsid w:val="00B77B48"/>
    <w:rsid w:val="00B80A07"/>
    <w:rsid w:val="00B80EAA"/>
    <w:rsid w:val="00B81715"/>
    <w:rsid w:val="00B82732"/>
    <w:rsid w:val="00B82A00"/>
    <w:rsid w:val="00B82D37"/>
    <w:rsid w:val="00B83624"/>
    <w:rsid w:val="00B83840"/>
    <w:rsid w:val="00B83DA7"/>
    <w:rsid w:val="00B84DB0"/>
    <w:rsid w:val="00B86731"/>
    <w:rsid w:val="00B86D21"/>
    <w:rsid w:val="00B876E0"/>
    <w:rsid w:val="00B9037C"/>
    <w:rsid w:val="00B90881"/>
    <w:rsid w:val="00B9122A"/>
    <w:rsid w:val="00B92652"/>
    <w:rsid w:val="00B9299D"/>
    <w:rsid w:val="00B92E2C"/>
    <w:rsid w:val="00B937A9"/>
    <w:rsid w:val="00B96821"/>
    <w:rsid w:val="00B96EF4"/>
    <w:rsid w:val="00B97D2E"/>
    <w:rsid w:val="00BA0323"/>
    <w:rsid w:val="00BA1396"/>
    <w:rsid w:val="00BA2013"/>
    <w:rsid w:val="00BA2C7D"/>
    <w:rsid w:val="00BA3BFF"/>
    <w:rsid w:val="00BA3EEC"/>
    <w:rsid w:val="00BA4AD7"/>
    <w:rsid w:val="00BA4C5D"/>
    <w:rsid w:val="00BA4DB3"/>
    <w:rsid w:val="00BA50BF"/>
    <w:rsid w:val="00BA5A69"/>
    <w:rsid w:val="00BA6332"/>
    <w:rsid w:val="00BA7050"/>
    <w:rsid w:val="00BA7567"/>
    <w:rsid w:val="00BB02B3"/>
    <w:rsid w:val="00BB0C70"/>
    <w:rsid w:val="00BB0D70"/>
    <w:rsid w:val="00BB265E"/>
    <w:rsid w:val="00BB4049"/>
    <w:rsid w:val="00BB40B4"/>
    <w:rsid w:val="00BB43FF"/>
    <w:rsid w:val="00BB6563"/>
    <w:rsid w:val="00BB7BA2"/>
    <w:rsid w:val="00BB7BBC"/>
    <w:rsid w:val="00BC0C5E"/>
    <w:rsid w:val="00BC24E3"/>
    <w:rsid w:val="00BC3016"/>
    <w:rsid w:val="00BC5336"/>
    <w:rsid w:val="00BC76EA"/>
    <w:rsid w:val="00BD178A"/>
    <w:rsid w:val="00BD1E14"/>
    <w:rsid w:val="00BD2553"/>
    <w:rsid w:val="00BD2F5C"/>
    <w:rsid w:val="00BD2FBA"/>
    <w:rsid w:val="00BD54BA"/>
    <w:rsid w:val="00BD54F9"/>
    <w:rsid w:val="00BD671E"/>
    <w:rsid w:val="00BD7862"/>
    <w:rsid w:val="00BE0D01"/>
    <w:rsid w:val="00BE0E07"/>
    <w:rsid w:val="00BE15A4"/>
    <w:rsid w:val="00BE18F8"/>
    <w:rsid w:val="00BE2507"/>
    <w:rsid w:val="00BE2B65"/>
    <w:rsid w:val="00BE3112"/>
    <w:rsid w:val="00BE49AA"/>
    <w:rsid w:val="00BE49F8"/>
    <w:rsid w:val="00BE65F5"/>
    <w:rsid w:val="00BE72E8"/>
    <w:rsid w:val="00BE7B2A"/>
    <w:rsid w:val="00BF07BB"/>
    <w:rsid w:val="00BF0D8E"/>
    <w:rsid w:val="00BF1F8E"/>
    <w:rsid w:val="00BF21B8"/>
    <w:rsid w:val="00BF21D1"/>
    <w:rsid w:val="00BF244D"/>
    <w:rsid w:val="00BF27EE"/>
    <w:rsid w:val="00BF36BB"/>
    <w:rsid w:val="00BF3883"/>
    <w:rsid w:val="00BF41BC"/>
    <w:rsid w:val="00BF41C2"/>
    <w:rsid w:val="00BF59A6"/>
    <w:rsid w:val="00BF5D85"/>
    <w:rsid w:val="00BF67DD"/>
    <w:rsid w:val="00BF6D03"/>
    <w:rsid w:val="00BF7D35"/>
    <w:rsid w:val="00C02461"/>
    <w:rsid w:val="00C02840"/>
    <w:rsid w:val="00C028CD"/>
    <w:rsid w:val="00C02B3B"/>
    <w:rsid w:val="00C02E7C"/>
    <w:rsid w:val="00C03201"/>
    <w:rsid w:val="00C032EA"/>
    <w:rsid w:val="00C040C4"/>
    <w:rsid w:val="00C0468C"/>
    <w:rsid w:val="00C04A09"/>
    <w:rsid w:val="00C059D9"/>
    <w:rsid w:val="00C05B0E"/>
    <w:rsid w:val="00C07953"/>
    <w:rsid w:val="00C100E2"/>
    <w:rsid w:val="00C10AF6"/>
    <w:rsid w:val="00C10FA0"/>
    <w:rsid w:val="00C11CC6"/>
    <w:rsid w:val="00C11F88"/>
    <w:rsid w:val="00C12BD8"/>
    <w:rsid w:val="00C145B3"/>
    <w:rsid w:val="00C14670"/>
    <w:rsid w:val="00C1469F"/>
    <w:rsid w:val="00C15479"/>
    <w:rsid w:val="00C1551E"/>
    <w:rsid w:val="00C1713D"/>
    <w:rsid w:val="00C1748D"/>
    <w:rsid w:val="00C21BB2"/>
    <w:rsid w:val="00C21C00"/>
    <w:rsid w:val="00C21C59"/>
    <w:rsid w:val="00C23A86"/>
    <w:rsid w:val="00C2402B"/>
    <w:rsid w:val="00C2464A"/>
    <w:rsid w:val="00C24CF0"/>
    <w:rsid w:val="00C25CF3"/>
    <w:rsid w:val="00C26595"/>
    <w:rsid w:val="00C26633"/>
    <w:rsid w:val="00C27D51"/>
    <w:rsid w:val="00C314E7"/>
    <w:rsid w:val="00C32430"/>
    <w:rsid w:val="00C327A1"/>
    <w:rsid w:val="00C3282B"/>
    <w:rsid w:val="00C32F76"/>
    <w:rsid w:val="00C33FC0"/>
    <w:rsid w:val="00C347AD"/>
    <w:rsid w:val="00C34DC6"/>
    <w:rsid w:val="00C35BAF"/>
    <w:rsid w:val="00C379E2"/>
    <w:rsid w:val="00C37BDA"/>
    <w:rsid w:val="00C37F06"/>
    <w:rsid w:val="00C41D16"/>
    <w:rsid w:val="00C4304A"/>
    <w:rsid w:val="00C43097"/>
    <w:rsid w:val="00C436A1"/>
    <w:rsid w:val="00C454CD"/>
    <w:rsid w:val="00C45DB2"/>
    <w:rsid w:val="00C462E6"/>
    <w:rsid w:val="00C46ECA"/>
    <w:rsid w:val="00C50249"/>
    <w:rsid w:val="00C503A9"/>
    <w:rsid w:val="00C50A69"/>
    <w:rsid w:val="00C514C6"/>
    <w:rsid w:val="00C51812"/>
    <w:rsid w:val="00C51F58"/>
    <w:rsid w:val="00C53896"/>
    <w:rsid w:val="00C54B25"/>
    <w:rsid w:val="00C559B8"/>
    <w:rsid w:val="00C56025"/>
    <w:rsid w:val="00C5629D"/>
    <w:rsid w:val="00C56BEC"/>
    <w:rsid w:val="00C572BE"/>
    <w:rsid w:val="00C578E3"/>
    <w:rsid w:val="00C617AA"/>
    <w:rsid w:val="00C61B6E"/>
    <w:rsid w:val="00C62AB9"/>
    <w:rsid w:val="00C6327E"/>
    <w:rsid w:val="00C640E0"/>
    <w:rsid w:val="00C645AC"/>
    <w:rsid w:val="00C64930"/>
    <w:rsid w:val="00C65131"/>
    <w:rsid w:val="00C6513A"/>
    <w:rsid w:val="00C659B5"/>
    <w:rsid w:val="00C65F0D"/>
    <w:rsid w:val="00C66261"/>
    <w:rsid w:val="00C6627E"/>
    <w:rsid w:val="00C66681"/>
    <w:rsid w:val="00C66D7F"/>
    <w:rsid w:val="00C67389"/>
    <w:rsid w:val="00C703B2"/>
    <w:rsid w:val="00C70673"/>
    <w:rsid w:val="00C70F6B"/>
    <w:rsid w:val="00C71B2F"/>
    <w:rsid w:val="00C72A6F"/>
    <w:rsid w:val="00C72FEC"/>
    <w:rsid w:val="00C73339"/>
    <w:rsid w:val="00C75C3D"/>
    <w:rsid w:val="00C766FE"/>
    <w:rsid w:val="00C77487"/>
    <w:rsid w:val="00C77AED"/>
    <w:rsid w:val="00C8013F"/>
    <w:rsid w:val="00C8036B"/>
    <w:rsid w:val="00C80916"/>
    <w:rsid w:val="00C81F1B"/>
    <w:rsid w:val="00C8209D"/>
    <w:rsid w:val="00C836A1"/>
    <w:rsid w:val="00C857C7"/>
    <w:rsid w:val="00C859DD"/>
    <w:rsid w:val="00C85EA7"/>
    <w:rsid w:val="00C86704"/>
    <w:rsid w:val="00C93AE0"/>
    <w:rsid w:val="00C9450D"/>
    <w:rsid w:val="00C95ECD"/>
    <w:rsid w:val="00C962BC"/>
    <w:rsid w:val="00C96937"/>
    <w:rsid w:val="00C9783E"/>
    <w:rsid w:val="00C978B4"/>
    <w:rsid w:val="00C97EDA"/>
    <w:rsid w:val="00CA0234"/>
    <w:rsid w:val="00CA07EB"/>
    <w:rsid w:val="00CA20C2"/>
    <w:rsid w:val="00CA217E"/>
    <w:rsid w:val="00CA2859"/>
    <w:rsid w:val="00CA308C"/>
    <w:rsid w:val="00CA3B76"/>
    <w:rsid w:val="00CA41A1"/>
    <w:rsid w:val="00CA5166"/>
    <w:rsid w:val="00CA624F"/>
    <w:rsid w:val="00CA6B0D"/>
    <w:rsid w:val="00CA7501"/>
    <w:rsid w:val="00CA7803"/>
    <w:rsid w:val="00CA7BA8"/>
    <w:rsid w:val="00CB2445"/>
    <w:rsid w:val="00CB29EE"/>
    <w:rsid w:val="00CB2A36"/>
    <w:rsid w:val="00CB2C29"/>
    <w:rsid w:val="00CB3884"/>
    <w:rsid w:val="00CB4D01"/>
    <w:rsid w:val="00CB5327"/>
    <w:rsid w:val="00CB563E"/>
    <w:rsid w:val="00CB5B82"/>
    <w:rsid w:val="00CB6BA3"/>
    <w:rsid w:val="00CB6EEC"/>
    <w:rsid w:val="00CB7124"/>
    <w:rsid w:val="00CB7DCF"/>
    <w:rsid w:val="00CC0C9F"/>
    <w:rsid w:val="00CC1FCC"/>
    <w:rsid w:val="00CC2B49"/>
    <w:rsid w:val="00CC2D19"/>
    <w:rsid w:val="00CC3453"/>
    <w:rsid w:val="00CC4852"/>
    <w:rsid w:val="00CC5454"/>
    <w:rsid w:val="00CC5889"/>
    <w:rsid w:val="00CC5CF5"/>
    <w:rsid w:val="00CC629B"/>
    <w:rsid w:val="00CC6733"/>
    <w:rsid w:val="00CC7488"/>
    <w:rsid w:val="00CC75C0"/>
    <w:rsid w:val="00CC768F"/>
    <w:rsid w:val="00CC7967"/>
    <w:rsid w:val="00CD0C36"/>
    <w:rsid w:val="00CD335F"/>
    <w:rsid w:val="00CD4173"/>
    <w:rsid w:val="00CD446A"/>
    <w:rsid w:val="00CD5896"/>
    <w:rsid w:val="00CD6248"/>
    <w:rsid w:val="00CD6BB0"/>
    <w:rsid w:val="00CD7DDD"/>
    <w:rsid w:val="00CE1E6F"/>
    <w:rsid w:val="00CE2E92"/>
    <w:rsid w:val="00CE3C94"/>
    <w:rsid w:val="00CE5476"/>
    <w:rsid w:val="00CE56C4"/>
    <w:rsid w:val="00CE59E3"/>
    <w:rsid w:val="00CE5F67"/>
    <w:rsid w:val="00CE60C4"/>
    <w:rsid w:val="00CE6622"/>
    <w:rsid w:val="00CE680A"/>
    <w:rsid w:val="00CF0883"/>
    <w:rsid w:val="00CF29A4"/>
    <w:rsid w:val="00CF38B3"/>
    <w:rsid w:val="00CF3E47"/>
    <w:rsid w:val="00CF4508"/>
    <w:rsid w:val="00CF488C"/>
    <w:rsid w:val="00CF4A62"/>
    <w:rsid w:val="00CF50CA"/>
    <w:rsid w:val="00CF51A9"/>
    <w:rsid w:val="00CF590B"/>
    <w:rsid w:val="00CF5BF6"/>
    <w:rsid w:val="00CF5D42"/>
    <w:rsid w:val="00CF7301"/>
    <w:rsid w:val="00D0020A"/>
    <w:rsid w:val="00D01A8B"/>
    <w:rsid w:val="00D02728"/>
    <w:rsid w:val="00D02E71"/>
    <w:rsid w:val="00D0305C"/>
    <w:rsid w:val="00D04347"/>
    <w:rsid w:val="00D05298"/>
    <w:rsid w:val="00D06D47"/>
    <w:rsid w:val="00D10235"/>
    <w:rsid w:val="00D105B1"/>
    <w:rsid w:val="00D1073D"/>
    <w:rsid w:val="00D12813"/>
    <w:rsid w:val="00D134E8"/>
    <w:rsid w:val="00D134EC"/>
    <w:rsid w:val="00D13D82"/>
    <w:rsid w:val="00D14305"/>
    <w:rsid w:val="00D1485B"/>
    <w:rsid w:val="00D157AB"/>
    <w:rsid w:val="00D1626F"/>
    <w:rsid w:val="00D170CA"/>
    <w:rsid w:val="00D1759A"/>
    <w:rsid w:val="00D203A7"/>
    <w:rsid w:val="00D20558"/>
    <w:rsid w:val="00D21586"/>
    <w:rsid w:val="00D218F6"/>
    <w:rsid w:val="00D21B40"/>
    <w:rsid w:val="00D22A21"/>
    <w:rsid w:val="00D238A8"/>
    <w:rsid w:val="00D25FAB"/>
    <w:rsid w:val="00D261F8"/>
    <w:rsid w:val="00D2648F"/>
    <w:rsid w:val="00D26EAC"/>
    <w:rsid w:val="00D30164"/>
    <w:rsid w:val="00D301BE"/>
    <w:rsid w:val="00D309B6"/>
    <w:rsid w:val="00D30E91"/>
    <w:rsid w:val="00D32179"/>
    <w:rsid w:val="00D3257F"/>
    <w:rsid w:val="00D33D68"/>
    <w:rsid w:val="00D33E73"/>
    <w:rsid w:val="00D33FFA"/>
    <w:rsid w:val="00D34697"/>
    <w:rsid w:val="00D3479F"/>
    <w:rsid w:val="00D349F6"/>
    <w:rsid w:val="00D34B37"/>
    <w:rsid w:val="00D3517C"/>
    <w:rsid w:val="00D35AFB"/>
    <w:rsid w:val="00D35B5C"/>
    <w:rsid w:val="00D368AB"/>
    <w:rsid w:val="00D371AD"/>
    <w:rsid w:val="00D37FF9"/>
    <w:rsid w:val="00D40611"/>
    <w:rsid w:val="00D408FE"/>
    <w:rsid w:val="00D4113D"/>
    <w:rsid w:val="00D413FE"/>
    <w:rsid w:val="00D430A0"/>
    <w:rsid w:val="00D4320E"/>
    <w:rsid w:val="00D433B4"/>
    <w:rsid w:val="00D438B8"/>
    <w:rsid w:val="00D45954"/>
    <w:rsid w:val="00D45A65"/>
    <w:rsid w:val="00D45BAF"/>
    <w:rsid w:val="00D46107"/>
    <w:rsid w:val="00D46180"/>
    <w:rsid w:val="00D46407"/>
    <w:rsid w:val="00D473B1"/>
    <w:rsid w:val="00D50F83"/>
    <w:rsid w:val="00D514C3"/>
    <w:rsid w:val="00D51C6F"/>
    <w:rsid w:val="00D529E0"/>
    <w:rsid w:val="00D5374C"/>
    <w:rsid w:val="00D548B2"/>
    <w:rsid w:val="00D558CB"/>
    <w:rsid w:val="00D56585"/>
    <w:rsid w:val="00D565A0"/>
    <w:rsid w:val="00D5665D"/>
    <w:rsid w:val="00D56F27"/>
    <w:rsid w:val="00D6001A"/>
    <w:rsid w:val="00D6166F"/>
    <w:rsid w:val="00D6177C"/>
    <w:rsid w:val="00D61DD5"/>
    <w:rsid w:val="00D61E51"/>
    <w:rsid w:val="00D6252A"/>
    <w:rsid w:val="00D62B3B"/>
    <w:rsid w:val="00D62D4D"/>
    <w:rsid w:val="00D63728"/>
    <w:rsid w:val="00D643EB"/>
    <w:rsid w:val="00D6442B"/>
    <w:rsid w:val="00D64B8A"/>
    <w:rsid w:val="00D64D7F"/>
    <w:rsid w:val="00D6532E"/>
    <w:rsid w:val="00D6537D"/>
    <w:rsid w:val="00D66252"/>
    <w:rsid w:val="00D675B1"/>
    <w:rsid w:val="00D67D75"/>
    <w:rsid w:val="00D71103"/>
    <w:rsid w:val="00D71A55"/>
    <w:rsid w:val="00D7245C"/>
    <w:rsid w:val="00D726D9"/>
    <w:rsid w:val="00D75DC2"/>
    <w:rsid w:val="00D768DC"/>
    <w:rsid w:val="00D76C58"/>
    <w:rsid w:val="00D80F27"/>
    <w:rsid w:val="00D8144B"/>
    <w:rsid w:val="00D81558"/>
    <w:rsid w:val="00D82DEE"/>
    <w:rsid w:val="00D831D1"/>
    <w:rsid w:val="00D85A2D"/>
    <w:rsid w:val="00D86CFA"/>
    <w:rsid w:val="00D872E4"/>
    <w:rsid w:val="00D87507"/>
    <w:rsid w:val="00D877B9"/>
    <w:rsid w:val="00D90C70"/>
    <w:rsid w:val="00D92631"/>
    <w:rsid w:val="00D926BD"/>
    <w:rsid w:val="00D936EC"/>
    <w:rsid w:val="00D9397D"/>
    <w:rsid w:val="00D93F71"/>
    <w:rsid w:val="00D948FC"/>
    <w:rsid w:val="00D963C7"/>
    <w:rsid w:val="00D972B0"/>
    <w:rsid w:val="00DA064B"/>
    <w:rsid w:val="00DA2037"/>
    <w:rsid w:val="00DA22DE"/>
    <w:rsid w:val="00DA25DC"/>
    <w:rsid w:val="00DA3F78"/>
    <w:rsid w:val="00DA4A45"/>
    <w:rsid w:val="00DA503C"/>
    <w:rsid w:val="00DA54D1"/>
    <w:rsid w:val="00DA588E"/>
    <w:rsid w:val="00DA5C18"/>
    <w:rsid w:val="00DA6770"/>
    <w:rsid w:val="00DA6B70"/>
    <w:rsid w:val="00DA746D"/>
    <w:rsid w:val="00DB0C97"/>
    <w:rsid w:val="00DB124B"/>
    <w:rsid w:val="00DB142B"/>
    <w:rsid w:val="00DB1469"/>
    <w:rsid w:val="00DB1BAA"/>
    <w:rsid w:val="00DB1BD9"/>
    <w:rsid w:val="00DB1D71"/>
    <w:rsid w:val="00DB202E"/>
    <w:rsid w:val="00DB2297"/>
    <w:rsid w:val="00DB2537"/>
    <w:rsid w:val="00DB2818"/>
    <w:rsid w:val="00DB4602"/>
    <w:rsid w:val="00DB5C23"/>
    <w:rsid w:val="00DB7076"/>
    <w:rsid w:val="00DC06D3"/>
    <w:rsid w:val="00DC0997"/>
    <w:rsid w:val="00DC09DE"/>
    <w:rsid w:val="00DC0FEE"/>
    <w:rsid w:val="00DC1225"/>
    <w:rsid w:val="00DC17EC"/>
    <w:rsid w:val="00DC2A2E"/>
    <w:rsid w:val="00DC4F50"/>
    <w:rsid w:val="00DC5077"/>
    <w:rsid w:val="00DC5335"/>
    <w:rsid w:val="00DC6326"/>
    <w:rsid w:val="00DD07C0"/>
    <w:rsid w:val="00DD1500"/>
    <w:rsid w:val="00DD4381"/>
    <w:rsid w:val="00DD4725"/>
    <w:rsid w:val="00DD52BE"/>
    <w:rsid w:val="00DD5B15"/>
    <w:rsid w:val="00DD784F"/>
    <w:rsid w:val="00DE027A"/>
    <w:rsid w:val="00DE0572"/>
    <w:rsid w:val="00DE1C21"/>
    <w:rsid w:val="00DE365E"/>
    <w:rsid w:val="00DE3BF9"/>
    <w:rsid w:val="00DE48B6"/>
    <w:rsid w:val="00DE4945"/>
    <w:rsid w:val="00DE56FA"/>
    <w:rsid w:val="00DE71C9"/>
    <w:rsid w:val="00DE7A36"/>
    <w:rsid w:val="00DE7C04"/>
    <w:rsid w:val="00DE7D8D"/>
    <w:rsid w:val="00DF02E0"/>
    <w:rsid w:val="00DF0F1E"/>
    <w:rsid w:val="00DF124C"/>
    <w:rsid w:val="00DF2B7C"/>
    <w:rsid w:val="00DF389E"/>
    <w:rsid w:val="00DF4154"/>
    <w:rsid w:val="00DF4FD4"/>
    <w:rsid w:val="00DF5CD0"/>
    <w:rsid w:val="00DF6306"/>
    <w:rsid w:val="00DF709A"/>
    <w:rsid w:val="00DF7545"/>
    <w:rsid w:val="00E00D66"/>
    <w:rsid w:val="00E00E95"/>
    <w:rsid w:val="00E01246"/>
    <w:rsid w:val="00E01991"/>
    <w:rsid w:val="00E01D38"/>
    <w:rsid w:val="00E01ED6"/>
    <w:rsid w:val="00E021D1"/>
    <w:rsid w:val="00E02527"/>
    <w:rsid w:val="00E02DDB"/>
    <w:rsid w:val="00E04C38"/>
    <w:rsid w:val="00E05C0A"/>
    <w:rsid w:val="00E0651D"/>
    <w:rsid w:val="00E06560"/>
    <w:rsid w:val="00E067A1"/>
    <w:rsid w:val="00E07D8D"/>
    <w:rsid w:val="00E10964"/>
    <w:rsid w:val="00E10CE1"/>
    <w:rsid w:val="00E115C1"/>
    <w:rsid w:val="00E117CD"/>
    <w:rsid w:val="00E119D9"/>
    <w:rsid w:val="00E13CDC"/>
    <w:rsid w:val="00E143D8"/>
    <w:rsid w:val="00E155A6"/>
    <w:rsid w:val="00E15861"/>
    <w:rsid w:val="00E16176"/>
    <w:rsid w:val="00E1720E"/>
    <w:rsid w:val="00E17985"/>
    <w:rsid w:val="00E17AC7"/>
    <w:rsid w:val="00E201D5"/>
    <w:rsid w:val="00E20DE7"/>
    <w:rsid w:val="00E212DC"/>
    <w:rsid w:val="00E22270"/>
    <w:rsid w:val="00E223EA"/>
    <w:rsid w:val="00E22F2E"/>
    <w:rsid w:val="00E23447"/>
    <w:rsid w:val="00E23F5B"/>
    <w:rsid w:val="00E24358"/>
    <w:rsid w:val="00E24408"/>
    <w:rsid w:val="00E2654F"/>
    <w:rsid w:val="00E26B72"/>
    <w:rsid w:val="00E26CFC"/>
    <w:rsid w:val="00E2726F"/>
    <w:rsid w:val="00E272EC"/>
    <w:rsid w:val="00E302E8"/>
    <w:rsid w:val="00E30697"/>
    <w:rsid w:val="00E313C9"/>
    <w:rsid w:val="00E31AEC"/>
    <w:rsid w:val="00E32516"/>
    <w:rsid w:val="00E32C27"/>
    <w:rsid w:val="00E33C07"/>
    <w:rsid w:val="00E345A0"/>
    <w:rsid w:val="00E357B6"/>
    <w:rsid w:val="00E3611F"/>
    <w:rsid w:val="00E36D1D"/>
    <w:rsid w:val="00E40285"/>
    <w:rsid w:val="00E42002"/>
    <w:rsid w:val="00E4247A"/>
    <w:rsid w:val="00E427DC"/>
    <w:rsid w:val="00E44CE0"/>
    <w:rsid w:val="00E455EA"/>
    <w:rsid w:val="00E45D14"/>
    <w:rsid w:val="00E473A7"/>
    <w:rsid w:val="00E5019E"/>
    <w:rsid w:val="00E509D3"/>
    <w:rsid w:val="00E521C3"/>
    <w:rsid w:val="00E529AD"/>
    <w:rsid w:val="00E52ADB"/>
    <w:rsid w:val="00E53353"/>
    <w:rsid w:val="00E54358"/>
    <w:rsid w:val="00E54FFD"/>
    <w:rsid w:val="00E556C3"/>
    <w:rsid w:val="00E56711"/>
    <w:rsid w:val="00E56BA0"/>
    <w:rsid w:val="00E574F9"/>
    <w:rsid w:val="00E57588"/>
    <w:rsid w:val="00E57983"/>
    <w:rsid w:val="00E608CA"/>
    <w:rsid w:val="00E60AEF"/>
    <w:rsid w:val="00E611E8"/>
    <w:rsid w:val="00E61CAC"/>
    <w:rsid w:val="00E62191"/>
    <w:rsid w:val="00E6297F"/>
    <w:rsid w:val="00E6345F"/>
    <w:rsid w:val="00E63F85"/>
    <w:rsid w:val="00E64AF1"/>
    <w:rsid w:val="00E64D4B"/>
    <w:rsid w:val="00E64EE4"/>
    <w:rsid w:val="00E65A4D"/>
    <w:rsid w:val="00E66B07"/>
    <w:rsid w:val="00E66C3E"/>
    <w:rsid w:val="00E67BF2"/>
    <w:rsid w:val="00E700D2"/>
    <w:rsid w:val="00E70399"/>
    <w:rsid w:val="00E70F3A"/>
    <w:rsid w:val="00E711DD"/>
    <w:rsid w:val="00E72990"/>
    <w:rsid w:val="00E729E2"/>
    <w:rsid w:val="00E74138"/>
    <w:rsid w:val="00E76578"/>
    <w:rsid w:val="00E80324"/>
    <w:rsid w:val="00E80828"/>
    <w:rsid w:val="00E80DDF"/>
    <w:rsid w:val="00E826A2"/>
    <w:rsid w:val="00E8324F"/>
    <w:rsid w:val="00E83AF7"/>
    <w:rsid w:val="00E8460B"/>
    <w:rsid w:val="00E84714"/>
    <w:rsid w:val="00E862AA"/>
    <w:rsid w:val="00E86D08"/>
    <w:rsid w:val="00E90FF8"/>
    <w:rsid w:val="00E91D1C"/>
    <w:rsid w:val="00E92160"/>
    <w:rsid w:val="00E924DE"/>
    <w:rsid w:val="00E92704"/>
    <w:rsid w:val="00E92941"/>
    <w:rsid w:val="00E92A45"/>
    <w:rsid w:val="00E9327F"/>
    <w:rsid w:val="00E94C7A"/>
    <w:rsid w:val="00E969DB"/>
    <w:rsid w:val="00E972A5"/>
    <w:rsid w:val="00E97B1B"/>
    <w:rsid w:val="00EA0171"/>
    <w:rsid w:val="00EA0275"/>
    <w:rsid w:val="00EA0ACD"/>
    <w:rsid w:val="00EA15E3"/>
    <w:rsid w:val="00EA1FAC"/>
    <w:rsid w:val="00EA3EA1"/>
    <w:rsid w:val="00EA4EB8"/>
    <w:rsid w:val="00EA538C"/>
    <w:rsid w:val="00EA5C68"/>
    <w:rsid w:val="00EA6F40"/>
    <w:rsid w:val="00EA7185"/>
    <w:rsid w:val="00EA7E15"/>
    <w:rsid w:val="00EA7E59"/>
    <w:rsid w:val="00EB0472"/>
    <w:rsid w:val="00EB0B6A"/>
    <w:rsid w:val="00EB1F1A"/>
    <w:rsid w:val="00EB1F51"/>
    <w:rsid w:val="00EB1FCD"/>
    <w:rsid w:val="00EB2268"/>
    <w:rsid w:val="00EB24C0"/>
    <w:rsid w:val="00EB26DA"/>
    <w:rsid w:val="00EB4109"/>
    <w:rsid w:val="00EB42DE"/>
    <w:rsid w:val="00EB48A7"/>
    <w:rsid w:val="00EB6AB3"/>
    <w:rsid w:val="00EC15BA"/>
    <w:rsid w:val="00EC3E87"/>
    <w:rsid w:val="00EC4F75"/>
    <w:rsid w:val="00EC5D28"/>
    <w:rsid w:val="00EC6635"/>
    <w:rsid w:val="00EC6A77"/>
    <w:rsid w:val="00EC798F"/>
    <w:rsid w:val="00ED0CFE"/>
    <w:rsid w:val="00ED1443"/>
    <w:rsid w:val="00ED18DF"/>
    <w:rsid w:val="00ED1F04"/>
    <w:rsid w:val="00ED2B30"/>
    <w:rsid w:val="00ED303C"/>
    <w:rsid w:val="00ED431A"/>
    <w:rsid w:val="00ED46E2"/>
    <w:rsid w:val="00ED4E21"/>
    <w:rsid w:val="00ED5683"/>
    <w:rsid w:val="00ED5BEE"/>
    <w:rsid w:val="00ED5F7B"/>
    <w:rsid w:val="00ED758A"/>
    <w:rsid w:val="00ED75A9"/>
    <w:rsid w:val="00ED7C93"/>
    <w:rsid w:val="00EE0164"/>
    <w:rsid w:val="00EE2378"/>
    <w:rsid w:val="00EE390D"/>
    <w:rsid w:val="00EE4B8A"/>
    <w:rsid w:val="00EE5A05"/>
    <w:rsid w:val="00EE5B0E"/>
    <w:rsid w:val="00EE7078"/>
    <w:rsid w:val="00EE7797"/>
    <w:rsid w:val="00EE7870"/>
    <w:rsid w:val="00EE7EFE"/>
    <w:rsid w:val="00EF059C"/>
    <w:rsid w:val="00EF07F4"/>
    <w:rsid w:val="00EF1D7F"/>
    <w:rsid w:val="00EF1E2D"/>
    <w:rsid w:val="00EF1F22"/>
    <w:rsid w:val="00EF20AE"/>
    <w:rsid w:val="00EF2B45"/>
    <w:rsid w:val="00EF355D"/>
    <w:rsid w:val="00EF42E8"/>
    <w:rsid w:val="00EF6080"/>
    <w:rsid w:val="00EF64CB"/>
    <w:rsid w:val="00F00C10"/>
    <w:rsid w:val="00F017F4"/>
    <w:rsid w:val="00F01981"/>
    <w:rsid w:val="00F01FA8"/>
    <w:rsid w:val="00F02E5A"/>
    <w:rsid w:val="00F03E58"/>
    <w:rsid w:val="00F04472"/>
    <w:rsid w:val="00F04827"/>
    <w:rsid w:val="00F06AE7"/>
    <w:rsid w:val="00F07960"/>
    <w:rsid w:val="00F07EC1"/>
    <w:rsid w:val="00F1086E"/>
    <w:rsid w:val="00F108CB"/>
    <w:rsid w:val="00F12267"/>
    <w:rsid w:val="00F12287"/>
    <w:rsid w:val="00F138AA"/>
    <w:rsid w:val="00F139CA"/>
    <w:rsid w:val="00F13C89"/>
    <w:rsid w:val="00F13E9B"/>
    <w:rsid w:val="00F140D4"/>
    <w:rsid w:val="00F14213"/>
    <w:rsid w:val="00F14BA8"/>
    <w:rsid w:val="00F153C5"/>
    <w:rsid w:val="00F153FA"/>
    <w:rsid w:val="00F157F0"/>
    <w:rsid w:val="00F160EC"/>
    <w:rsid w:val="00F207AC"/>
    <w:rsid w:val="00F21A2A"/>
    <w:rsid w:val="00F21DDE"/>
    <w:rsid w:val="00F21E78"/>
    <w:rsid w:val="00F2590F"/>
    <w:rsid w:val="00F25E42"/>
    <w:rsid w:val="00F269A1"/>
    <w:rsid w:val="00F26BCE"/>
    <w:rsid w:val="00F2786A"/>
    <w:rsid w:val="00F27B8A"/>
    <w:rsid w:val="00F31BE3"/>
    <w:rsid w:val="00F3247A"/>
    <w:rsid w:val="00F32B99"/>
    <w:rsid w:val="00F32FE5"/>
    <w:rsid w:val="00F33240"/>
    <w:rsid w:val="00F35A57"/>
    <w:rsid w:val="00F372B0"/>
    <w:rsid w:val="00F37A9C"/>
    <w:rsid w:val="00F406F0"/>
    <w:rsid w:val="00F417E2"/>
    <w:rsid w:val="00F424AE"/>
    <w:rsid w:val="00F4388A"/>
    <w:rsid w:val="00F4789E"/>
    <w:rsid w:val="00F508A6"/>
    <w:rsid w:val="00F5209D"/>
    <w:rsid w:val="00F52D48"/>
    <w:rsid w:val="00F5390D"/>
    <w:rsid w:val="00F554BD"/>
    <w:rsid w:val="00F55BF5"/>
    <w:rsid w:val="00F55DF0"/>
    <w:rsid w:val="00F55E77"/>
    <w:rsid w:val="00F55FEB"/>
    <w:rsid w:val="00F56206"/>
    <w:rsid w:val="00F56B40"/>
    <w:rsid w:val="00F57D2B"/>
    <w:rsid w:val="00F61BB4"/>
    <w:rsid w:val="00F62529"/>
    <w:rsid w:val="00F63CA3"/>
    <w:rsid w:val="00F63F88"/>
    <w:rsid w:val="00F641B4"/>
    <w:rsid w:val="00F647AB"/>
    <w:rsid w:val="00F654C3"/>
    <w:rsid w:val="00F655AF"/>
    <w:rsid w:val="00F65BB4"/>
    <w:rsid w:val="00F65C04"/>
    <w:rsid w:val="00F65D78"/>
    <w:rsid w:val="00F66B1E"/>
    <w:rsid w:val="00F673C3"/>
    <w:rsid w:val="00F7058A"/>
    <w:rsid w:val="00F70EFF"/>
    <w:rsid w:val="00F711A6"/>
    <w:rsid w:val="00F72038"/>
    <w:rsid w:val="00F72A72"/>
    <w:rsid w:val="00F72B2D"/>
    <w:rsid w:val="00F72ECE"/>
    <w:rsid w:val="00F736EA"/>
    <w:rsid w:val="00F7452C"/>
    <w:rsid w:val="00F76043"/>
    <w:rsid w:val="00F8106B"/>
    <w:rsid w:val="00F81DF1"/>
    <w:rsid w:val="00F81F27"/>
    <w:rsid w:val="00F82377"/>
    <w:rsid w:val="00F8293F"/>
    <w:rsid w:val="00F84256"/>
    <w:rsid w:val="00F845A2"/>
    <w:rsid w:val="00F848DB"/>
    <w:rsid w:val="00F858BF"/>
    <w:rsid w:val="00F86249"/>
    <w:rsid w:val="00F8798C"/>
    <w:rsid w:val="00F914BD"/>
    <w:rsid w:val="00F93FC7"/>
    <w:rsid w:val="00F940C1"/>
    <w:rsid w:val="00F94CD1"/>
    <w:rsid w:val="00F94E91"/>
    <w:rsid w:val="00F94F0D"/>
    <w:rsid w:val="00F95ACA"/>
    <w:rsid w:val="00F95B6D"/>
    <w:rsid w:val="00F96053"/>
    <w:rsid w:val="00F972B9"/>
    <w:rsid w:val="00FA10D4"/>
    <w:rsid w:val="00FA1B8E"/>
    <w:rsid w:val="00FA25FC"/>
    <w:rsid w:val="00FA2872"/>
    <w:rsid w:val="00FA32FF"/>
    <w:rsid w:val="00FA36FE"/>
    <w:rsid w:val="00FA3841"/>
    <w:rsid w:val="00FA4680"/>
    <w:rsid w:val="00FA491D"/>
    <w:rsid w:val="00FA56BD"/>
    <w:rsid w:val="00FA733D"/>
    <w:rsid w:val="00FA75A9"/>
    <w:rsid w:val="00FA75ED"/>
    <w:rsid w:val="00FA7E5C"/>
    <w:rsid w:val="00FB0152"/>
    <w:rsid w:val="00FB0B7E"/>
    <w:rsid w:val="00FB0FF8"/>
    <w:rsid w:val="00FB1A94"/>
    <w:rsid w:val="00FB1E37"/>
    <w:rsid w:val="00FB2B50"/>
    <w:rsid w:val="00FB304D"/>
    <w:rsid w:val="00FB305E"/>
    <w:rsid w:val="00FB3751"/>
    <w:rsid w:val="00FB4EF9"/>
    <w:rsid w:val="00FB687E"/>
    <w:rsid w:val="00FB7A3C"/>
    <w:rsid w:val="00FC0BAB"/>
    <w:rsid w:val="00FC1C3E"/>
    <w:rsid w:val="00FC2C95"/>
    <w:rsid w:val="00FC3D34"/>
    <w:rsid w:val="00FC3E1C"/>
    <w:rsid w:val="00FC4095"/>
    <w:rsid w:val="00FC57AD"/>
    <w:rsid w:val="00FC5B80"/>
    <w:rsid w:val="00FC77C5"/>
    <w:rsid w:val="00FD00C5"/>
    <w:rsid w:val="00FD066B"/>
    <w:rsid w:val="00FD2490"/>
    <w:rsid w:val="00FD39B5"/>
    <w:rsid w:val="00FD4A07"/>
    <w:rsid w:val="00FD5626"/>
    <w:rsid w:val="00FD5E31"/>
    <w:rsid w:val="00FD6314"/>
    <w:rsid w:val="00FD7B5B"/>
    <w:rsid w:val="00FD7BF6"/>
    <w:rsid w:val="00FE084A"/>
    <w:rsid w:val="00FE1C08"/>
    <w:rsid w:val="00FE1F9E"/>
    <w:rsid w:val="00FE23ED"/>
    <w:rsid w:val="00FE2981"/>
    <w:rsid w:val="00FE32F7"/>
    <w:rsid w:val="00FE38E0"/>
    <w:rsid w:val="00FE55C1"/>
    <w:rsid w:val="00FE5CC5"/>
    <w:rsid w:val="00FE6B15"/>
    <w:rsid w:val="00FE74A9"/>
    <w:rsid w:val="00FE7740"/>
    <w:rsid w:val="00FE7D0C"/>
    <w:rsid w:val="00FF20C5"/>
    <w:rsid w:val="00FF23B9"/>
    <w:rsid w:val="00FF2406"/>
    <w:rsid w:val="00FF2E49"/>
    <w:rsid w:val="00FF358D"/>
    <w:rsid w:val="00FF4029"/>
    <w:rsid w:val="00FF4404"/>
    <w:rsid w:val="00FF5847"/>
    <w:rsid w:val="00FF5982"/>
    <w:rsid w:val="00FF6D2B"/>
    <w:rsid w:val="00FF6F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774A7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0748"/>
    <w:pPr>
      <w:jc w:val="both"/>
    </w:pPr>
    <w:rPr>
      <w:rFonts w:ascii="Times New Roman" w:hAnsi="Times New Roman" w:cs="Times New Roman"/>
      <w:noProof/>
      <w:sz w:val="24"/>
      <w:szCs w:val="24"/>
      <w:lang w:val="bg-BG"/>
    </w:rPr>
  </w:style>
  <w:style w:type="paragraph" w:styleId="Heading1">
    <w:name w:val="heading 1"/>
    <w:basedOn w:val="Normal"/>
    <w:next w:val="Normal"/>
    <w:link w:val="Heading1Char"/>
    <w:uiPriority w:val="9"/>
    <w:qFormat/>
    <w:rsid w:val="00B60748"/>
    <w:pPr>
      <w:jc w:val="center"/>
      <w:outlineLvl w:val="0"/>
    </w:pPr>
    <w:rPr>
      <w:sz w:val="32"/>
    </w:rPr>
  </w:style>
  <w:style w:type="paragraph" w:styleId="Heading2">
    <w:name w:val="heading 2"/>
    <w:basedOn w:val="Normal"/>
    <w:next w:val="Normal"/>
    <w:link w:val="Heading2Char"/>
    <w:uiPriority w:val="9"/>
    <w:unhideWhenUsed/>
    <w:qFormat/>
    <w:rsid w:val="00E80DDF"/>
    <w:pPr>
      <w:numPr>
        <w:numId w:val="12"/>
      </w:numPr>
      <w:spacing w:after="0"/>
      <w:outlineLvl w:val="1"/>
    </w:pPr>
    <w:rPr>
      <w:rFonts w:ascii="Arial" w:hAnsi="Arial" w:cs="Arial"/>
      <w:b/>
    </w:rPr>
  </w:style>
  <w:style w:type="paragraph" w:styleId="Heading3">
    <w:name w:val="heading 3"/>
    <w:basedOn w:val="Normal"/>
    <w:next w:val="Normal"/>
    <w:link w:val="Heading3Char"/>
    <w:uiPriority w:val="9"/>
    <w:unhideWhenUsed/>
    <w:qFormat/>
    <w:rsid w:val="002F5AAA"/>
    <w:pPr>
      <w:numPr>
        <w:ilvl w:val="1"/>
        <w:numId w:val="1"/>
      </w:numPr>
      <w:spacing w:after="0"/>
      <w:ind w:left="0" w:firstLine="0"/>
      <w:outlineLvl w:val="2"/>
    </w:pPr>
    <w:rPr>
      <w:rFonts w:ascii="Arial" w:hAnsi="Arial" w:cs="Arial"/>
      <w:b/>
      <w:i/>
      <w:sz w:val="22"/>
      <w:szCs w:val="22"/>
      <w:lang w:val="en-US"/>
    </w:rPr>
  </w:style>
  <w:style w:type="paragraph" w:styleId="Heading4">
    <w:name w:val="heading 4"/>
    <w:basedOn w:val="Normal"/>
    <w:next w:val="Normal"/>
    <w:link w:val="Heading4Char"/>
    <w:uiPriority w:val="9"/>
    <w:unhideWhenUsed/>
    <w:qFormat/>
    <w:rsid w:val="00AF15D1"/>
    <w:pPr>
      <w:numPr>
        <w:numId w:val="2"/>
      </w:numPr>
      <w:outlineLvl w:val="3"/>
    </w:pPr>
    <w:rPr>
      <w:u w:val="single"/>
    </w:rPr>
  </w:style>
  <w:style w:type="paragraph" w:styleId="Heading5">
    <w:name w:val="heading 5"/>
    <w:basedOn w:val="Normal"/>
    <w:next w:val="Normal"/>
    <w:link w:val="Heading5Char"/>
    <w:uiPriority w:val="9"/>
    <w:unhideWhenUsed/>
    <w:qFormat/>
    <w:rsid w:val="00B60748"/>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0089"/>
    <w:pPr>
      <w:ind w:left="720"/>
      <w:contextualSpacing/>
    </w:pPr>
  </w:style>
  <w:style w:type="paragraph" w:styleId="Header">
    <w:name w:val="header"/>
    <w:basedOn w:val="Normal"/>
    <w:link w:val="HeaderChar"/>
    <w:uiPriority w:val="99"/>
    <w:unhideWhenUsed/>
    <w:rsid w:val="00452556"/>
    <w:pPr>
      <w:tabs>
        <w:tab w:val="center" w:pos="4703"/>
        <w:tab w:val="right" w:pos="9406"/>
      </w:tabs>
      <w:spacing w:after="0" w:line="240" w:lineRule="auto"/>
    </w:pPr>
  </w:style>
  <w:style w:type="character" w:customStyle="1" w:styleId="HeaderChar">
    <w:name w:val="Header Char"/>
    <w:basedOn w:val="DefaultParagraphFont"/>
    <w:link w:val="Header"/>
    <w:uiPriority w:val="99"/>
    <w:rsid w:val="00452556"/>
    <w:rPr>
      <w:noProof/>
      <w:lang w:val="bg-BG"/>
    </w:rPr>
  </w:style>
  <w:style w:type="paragraph" w:styleId="Footer">
    <w:name w:val="footer"/>
    <w:basedOn w:val="Normal"/>
    <w:link w:val="FooterChar"/>
    <w:uiPriority w:val="99"/>
    <w:unhideWhenUsed/>
    <w:rsid w:val="00452556"/>
    <w:pPr>
      <w:tabs>
        <w:tab w:val="center" w:pos="4703"/>
        <w:tab w:val="right" w:pos="9406"/>
      </w:tabs>
      <w:spacing w:after="0" w:line="240" w:lineRule="auto"/>
    </w:pPr>
  </w:style>
  <w:style w:type="character" w:customStyle="1" w:styleId="FooterChar">
    <w:name w:val="Footer Char"/>
    <w:basedOn w:val="DefaultParagraphFont"/>
    <w:link w:val="Footer"/>
    <w:uiPriority w:val="99"/>
    <w:rsid w:val="00452556"/>
    <w:rPr>
      <w:noProof/>
      <w:lang w:val="bg-BG"/>
    </w:rPr>
  </w:style>
  <w:style w:type="character" w:styleId="CommentReference">
    <w:name w:val="annotation reference"/>
    <w:basedOn w:val="DefaultParagraphFont"/>
    <w:unhideWhenUsed/>
    <w:rsid w:val="00FC77C5"/>
    <w:rPr>
      <w:sz w:val="16"/>
      <w:szCs w:val="16"/>
    </w:rPr>
  </w:style>
  <w:style w:type="paragraph" w:styleId="CommentText">
    <w:name w:val="annotation text"/>
    <w:basedOn w:val="Normal"/>
    <w:link w:val="CommentTextChar"/>
    <w:unhideWhenUsed/>
    <w:rsid w:val="00FC77C5"/>
    <w:pPr>
      <w:spacing w:line="240" w:lineRule="auto"/>
    </w:pPr>
    <w:rPr>
      <w:sz w:val="20"/>
      <w:szCs w:val="20"/>
    </w:rPr>
  </w:style>
  <w:style w:type="character" w:customStyle="1" w:styleId="CommentTextChar">
    <w:name w:val="Comment Text Char"/>
    <w:basedOn w:val="DefaultParagraphFont"/>
    <w:link w:val="CommentText"/>
    <w:rsid w:val="00FC77C5"/>
    <w:rPr>
      <w:noProof/>
      <w:sz w:val="20"/>
      <w:szCs w:val="20"/>
      <w:lang w:val="bg-BG"/>
    </w:rPr>
  </w:style>
  <w:style w:type="paragraph" w:styleId="CommentSubject">
    <w:name w:val="annotation subject"/>
    <w:basedOn w:val="CommentText"/>
    <w:next w:val="CommentText"/>
    <w:link w:val="CommentSubjectChar"/>
    <w:uiPriority w:val="99"/>
    <w:semiHidden/>
    <w:unhideWhenUsed/>
    <w:rsid w:val="00FC77C5"/>
    <w:rPr>
      <w:b/>
      <w:bCs/>
    </w:rPr>
  </w:style>
  <w:style w:type="character" w:customStyle="1" w:styleId="CommentSubjectChar">
    <w:name w:val="Comment Subject Char"/>
    <w:basedOn w:val="CommentTextChar"/>
    <w:link w:val="CommentSubject"/>
    <w:uiPriority w:val="99"/>
    <w:semiHidden/>
    <w:rsid w:val="00FC77C5"/>
    <w:rPr>
      <w:b/>
      <w:bCs/>
      <w:noProof/>
      <w:sz w:val="20"/>
      <w:szCs w:val="20"/>
      <w:lang w:val="bg-BG"/>
    </w:rPr>
  </w:style>
  <w:style w:type="paragraph" w:styleId="BalloonText">
    <w:name w:val="Balloon Text"/>
    <w:basedOn w:val="Normal"/>
    <w:link w:val="BalloonTextChar"/>
    <w:uiPriority w:val="99"/>
    <w:semiHidden/>
    <w:unhideWhenUsed/>
    <w:rsid w:val="00FC77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77C5"/>
    <w:rPr>
      <w:rFonts w:ascii="Tahoma" w:hAnsi="Tahoma" w:cs="Tahoma"/>
      <w:noProof/>
      <w:sz w:val="16"/>
      <w:szCs w:val="16"/>
      <w:lang w:val="bg-BG"/>
    </w:rPr>
  </w:style>
  <w:style w:type="character" w:customStyle="1" w:styleId="Heading1Char">
    <w:name w:val="Heading 1 Char"/>
    <w:basedOn w:val="DefaultParagraphFont"/>
    <w:link w:val="Heading1"/>
    <w:uiPriority w:val="9"/>
    <w:rsid w:val="00B60748"/>
    <w:rPr>
      <w:rFonts w:ascii="Times New Roman" w:hAnsi="Times New Roman" w:cs="Times New Roman"/>
      <w:noProof/>
      <w:sz w:val="32"/>
      <w:szCs w:val="24"/>
      <w:lang w:val="bg-BG"/>
    </w:rPr>
  </w:style>
  <w:style w:type="character" w:customStyle="1" w:styleId="Heading2Char">
    <w:name w:val="Heading 2 Char"/>
    <w:basedOn w:val="DefaultParagraphFont"/>
    <w:link w:val="Heading2"/>
    <w:uiPriority w:val="9"/>
    <w:rsid w:val="00E80DDF"/>
    <w:rPr>
      <w:rFonts w:ascii="Arial" w:hAnsi="Arial" w:cs="Arial"/>
      <w:b/>
      <w:noProof/>
      <w:sz w:val="24"/>
      <w:szCs w:val="24"/>
      <w:lang w:val="bg-BG"/>
    </w:rPr>
  </w:style>
  <w:style w:type="character" w:customStyle="1" w:styleId="Heading3Char">
    <w:name w:val="Heading 3 Char"/>
    <w:basedOn w:val="DefaultParagraphFont"/>
    <w:link w:val="Heading3"/>
    <w:uiPriority w:val="9"/>
    <w:rsid w:val="002F5AAA"/>
    <w:rPr>
      <w:rFonts w:ascii="Arial" w:hAnsi="Arial" w:cs="Arial"/>
      <w:b/>
      <w:i/>
      <w:noProof/>
    </w:rPr>
  </w:style>
  <w:style w:type="character" w:customStyle="1" w:styleId="Heading4Char">
    <w:name w:val="Heading 4 Char"/>
    <w:basedOn w:val="DefaultParagraphFont"/>
    <w:link w:val="Heading4"/>
    <w:uiPriority w:val="9"/>
    <w:rsid w:val="00AF15D1"/>
    <w:rPr>
      <w:rFonts w:ascii="Times New Roman" w:hAnsi="Times New Roman" w:cs="Times New Roman"/>
      <w:noProof/>
      <w:sz w:val="24"/>
      <w:szCs w:val="24"/>
      <w:u w:val="single"/>
      <w:lang w:val="bg-BG"/>
    </w:rPr>
  </w:style>
  <w:style w:type="character" w:customStyle="1" w:styleId="Heading5Char">
    <w:name w:val="Heading 5 Char"/>
    <w:basedOn w:val="DefaultParagraphFont"/>
    <w:link w:val="Heading5"/>
    <w:uiPriority w:val="9"/>
    <w:rsid w:val="00B60748"/>
    <w:rPr>
      <w:rFonts w:ascii="Times New Roman" w:hAnsi="Times New Roman" w:cs="Times New Roman"/>
      <w:noProof/>
      <w:sz w:val="24"/>
      <w:szCs w:val="24"/>
      <w:lang w:val="bg-BG"/>
    </w:rPr>
  </w:style>
  <w:style w:type="paragraph" w:styleId="NormalWeb">
    <w:name w:val="Normal (Web)"/>
    <w:basedOn w:val="Normal"/>
    <w:uiPriority w:val="99"/>
    <w:semiHidden/>
    <w:unhideWhenUsed/>
    <w:rsid w:val="00821977"/>
    <w:pPr>
      <w:spacing w:before="100" w:beforeAutospacing="1" w:after="100" w:afterAutospacing="1" w:line="240" w:lineRule="auto"/>
      <w:jc w:val="left"/>
    </w:pPr>
    <w:rPr>
      <w:noProof w:val="0"/>
      <w:color w:val="000000"/>
      <w:lang w:val="en-US"/>
    </w:rPr>
  </w:style>
  <w:style w:type="paragraph" w:styleId="FootnoteText">
    <w:name w:val="footnote text"/>
    <w:basedOn w:val="Normal"/>
    <w:link w:val="FootnoteTextChar"/>
    <w:uiPriority w:val="99"/>
    <w:semiHidden/>
    <w:unhideWhenUsed/>
    <w:rsid w:val="00202FC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02FC8"/>
    <w:rPr>
      <w:rFonts w:ascii="Times New Roman" w:hAnsi="Times New Roman" w:cs="Times New Roman"/>
      <w:noProof/>
      <w:sz w:val="20"/>
      <w:szCs w:val="20"/>
      <w:lang w:val="bg-BG"/>
    </w:rPr>
  </w:style>
  <w:style w:type="character" w:styleId="FootnoteReference">
    <w:name w:val="footnote reference"/>
    <w:aliases w:val="Footnote symbol,Footnote Reference Superscript,BVI fnr,Footnote call,SUPERS,(Footnote Reference),Footnote,Voetnootverwijzing,Times 10 Point,Exposant 3 Point,Footnote reference number,note TESI,Footnotes refss,number,o"/>
    <w:basedOn w:val="DefaultParagraphFont"/>
    <w:uiPriority w:val="99"/>
    <w:unhideWhenUsed/>
    <w:rsid w:val="00202FC8"/>
    <w:rPr>
      <w:vertAlign w:val="superscript"/>
    </w:rPr>
  </w:style>
  <w:style w:type="character" w:styleId="Hyperlink">
    <w:name w:val="Hyperlink"/>
    <w:basedOn w:val="DefaultParagraphFont"/>
    <w:uiPriority w:val="99"/>
    <w:unhideWhenUsed/>
    <w:rsid w:val="00882D0E"/>
    <w:rPr>
      <w:color w:val="0000FF" w:themeColor="hyperlink"/>
      <w:u w:val="single"/>
    </w:rPr>
  </w:style>
  <w:style w:type="table" w:styleId="TableGrid">
    <w:name w:val="Table Grid"/>
    <w:basedOn w:val="TableNormal"/>
    <w:uiPriority w:val="59"/>
    <w:rsid w:val="00285C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yiv2527353052msolistparagraph">
    <w:name w:val="yiv2527353052msolistparagraph"/>
    <w:basedOn w:val="Normal"/>
    <w:rsid w:val="00663796"/>
    <w:pPr>
      <w:spacing w:before="100" w:beforeAutospacing="1" w:after="100" w:afterAutospacing="1" w:line="240" w:lineRule="auto"/>
      <w:jc w:val="left"/>
    </w:pPr>
    <w:rPr>
      <w:rFonts w:eastAsia="Times New Roman"/>
      <w:noProof w:val="0"/>
      <w:lang w:val="en-US"/>
    </w:rPr>
  </w:style>
  <w:style w:type="paragraph" w:customStyle="1" w:styleId="yiv2527353052msonormal">
    <w:name w:val="yiv2527353052msonormal"/>
    <w:basedOn w:val="Normal"/>
    <w:rsid w:val="00663796"/>
    <w:pPr>
      <w:spacing w:before="100" w:beforeAutospacing="1" w:after="100" w:afterAutospacing="1" w:line="240" w:lineRule="auto"/>
      <w:jc w:val="left"/>
    </w:pPr>
    <w:rPr>
      <w:rFonts w:eastAsia="Times New Roman"/>
      <w:noProof w:val="0"/>
      <w:lang w:val="en-US"/>
    </w:rPr>
  </w:style>
  <w:style w:type="paragraph" w:customStyle="1" w:styleId="yiv2527353052text1">
    <w:name w:val="yiv2527353052text1"/>
    <w:basedOn w:val="Normal"/>
    <w:rsid w:val="00663796"/>
    <w:pPr>
      <w:spacing w:before="100" w:beforeAutospacing="1" w:after="100" w:afterAutospacing="1" w:line="240" w:lineRule="auto"/>
      <w:jc w:val="left"/>
    </w:pPr>
    <w:rPr>
      <w:rFonts w:eastAsia="Times New Roman"/>
      <w:noProof w:val="0"/>
      <w:lang w:val="en-US"/>
    </w:rPr>
  </w:style>
  <w:style w:type="paragraph" w:customStyle="1" w:styleId="Text1">
    <w:name w:val="Text 1"/>
    <w:basedOn w:val="Normal"/>
    <w:link w:val="Text1Char"/>
    <w:rsid w:val="00B5762F"/>
    <w:pPr>
      <w:spacing w:before="120" w:after="120" w:line="240" w:lineRule="auto"/>
      <w:ind w:left="850"/>
    </w:pPr>
    <w:rPr>
      <w:rFonts w:eastAsia="Times New Roman"/>
      <w:noProof w:val="0"/>
      <w:lang w:val="en-GB"/>
    </w:rPr>
  </w:style>
  <w:style w:type="character" w:customStyle="1" w:styleId="Text1Char">
    <w:name w:val="Text 1 Char"/>
    <w:link w:val="Text1"/>
    <w:locked/>
    <w:rsid w:val="00B5762F"/>
    <w:rPr>
      <w:rFonts w:ascii="Times New Roman" w:eastAsia="Times New Roman" w:hAnsi="Times New Roman" w:cs="Times New Roman"/>
      <w:sz w:val="24"/>
      <w:szCs w:val="24"/>
      <w:lang w:val="en-GB"/>
    </w:rPr>
  </w:style>
  <w:style w:type="paragraph" w:styleId="Revision">
    <w:name w:val="Revision"/>
    <w:hidden/>
    <w:uiPriority w:val="99"/>
    <w:semiHidden/>
    <w:rsid w:val="00686E83"/>
    <w:pPr>
      <w:spacing w:after="0" w:line="240" w:lineRule="auto"/>
    </w:pPr>
    <w:rPr>
      <w:rFonts w:ascii="Times New Roman" w:hAnsi="Times New Roman" w:cs="Times New Roman"/>
      <w:noProof/>
      <w:sz w:val="24"/>
      <w:szCs w:val="24"/>
      <w:lang w:val="bg-BG"/>
    </w:rPr>
  </w:style>
  <w:style w:type="character" w:styleId="FollowedHyperlink">
    <w:name w:val="FollowedHyperlink"/>
    <w:basedOn w:val="DefaultParagraphFont"/>
    <w:uiPriority w:val="99"/>
    <w:semiHidden/>
    <w:unhideWhenUsed/>
    <w:rsid w:val="00CE547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0748"/>
    <w:pPr>
      <w:jc w:val="both"/>
    </w:pPr>
    <w:rPr>
      <w:rFonts w:ascii="Times New Roman" w:hAnsi="Times New Roman" w:cs="Times New Roman"/>
      <w:noProof/>
      <w:sz w:val="24"/>
      <w:szCs w:val="24"/>
      <w:lang w:val="bg-BG"/>
    </w:rPr>
  </w:style>
  <w:style w:type="paragraph" w:styleId="Heading1">
    <w:name w:val="heading 1"/>
    <w:basedOn w:val="Normal"/>
    <w:next w:val="Normal"/>
    <w:link w:val="Heading1Char"/>
    <w:uiPriority w:val="9"/>
    <w:qFormat/>
    <w:rsid w:val="00B60748"/>
    <w:pPr>
      <w:jc w:val="center"/>
      <w:outlineLvl w:val="0"/>
    </w:pPr>
    <w:rPr>
      <w:sz w:val="32"/>
    </w:rPr>
  </w:style>
  <w:style w:type="paragraph" w:styleId="Heading2">
    <w:name w:val="heading 2"/>
    <w:basedOn w:val="Normal"/>
    <w:next w:val="Normal"/>
    <w:link w:val="Heading2Char"/>
    <w:uiPriority w:val="9"/>
    <w:unhideWhenUsed/>
    <w:qFormat/>
    <w:rsid w:val="00E80DDF"/>
    <w:pPr>
      <w:numPr>
        <w:numId w:val="12"/>
      </w:numPr>
      <w:spacing w:after="0"/>
      <w:outlineLvl w:val="1"/>
    </w:pPr>
    <w:rPr>
      <w:rFonts w:ascii="Arial" w:hAnsi="Arial" w:cs="Arial"/>
      <w:b/>
    </w:rPr>
  </w:style>
  <w:style w:type="paragraph" w:styleId="Heading3">
    <w:name w:val="heading 3"/>
    <w:basedOn w:val="Normal"/>
    <w:next w:val="Normal"/>
    <w:link w:val="Heading3Char"/>
    <w:uiPriority w:val="9"/>
    <w:unhideWhenUsed/>
    <w:qFormat/>
    <w:rsid w:val="002F5AAA"/>
    <w:pPr>
      <w:numPr>
        <w:ilvl w:val="1"/>
        <w:numId w:val="1"/>
      </w:numPr>
      <w:spacing w:after="0"/>
      <w:ind w:left="0" w:firstLine="0"/>
      <w:outlineLvl w:val="2"/>
    </w:pPr>
    <w:rPr>
      <w:rFonts w:ascii="Arial" w:hAnsi="Arial" w:cs="Arial"/>
      <w:b/>
      <w:i/>
      <w:sz w:val="22"/>
      <w:szCs w:val="22"/>
      <w:lang w:val="en-US"/>
    </w:rPr>
  </w:style>
  <w:style w:type="paragraph" w:styleId="Heading4">
    <w:name w:val="heading 4"/>
    <w:basedOn w:val="Normal"/>
    <w:next w:val="Normal"/>
    <w:link w:val="Heading4Char"/>
    <w:uiPriority w:val="9"/>
    <w:unhideWhenUsed/>
    <w:qFormat/>
    <w:rsid w:val="00AF15D1"/>
    <w:pPr>
      <w:numPr>
        <w:numId w:val="2"/>
      </w:numPr>
      <w:outlineLvl w:val="3"/>
    </w:pPr>
    <w:rPr>
      <w:u w:val="single"/>
    </w:rPr>
  </w:style>
  <w:style w:type="paragraph" w:styleId="Heading5">
    <w:name w:val="heading 5"/>
    <w:basedOn w:val="Normal"/>
    <w:next w:val="Normal"/>
    <w:link w:val="Heading5Char"/>
    <w:uiPriority w:val="9"/>
    <w:unhideWhenUsed/>
    <w:qFormat/>
    <w:rsid w:val="00B60748"/>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0089"/>
    <w:pPr>
      <w:ind w:left="720"/>
      <w:contextualSpacing/>
    </w:pPr>
  </w:style>
  <w:style w:type="paragraph" w:styleId="Header">
    <w:name w:val="header"/>
    <w:basedOn w:val="Normal"/>
    <w:link w:val="HeaderChar"/>
    <w:uiPriority w:val="99"/>
    <w:unhideWhenUsed/>
    <w:rsid w:val="00452556"/>
    <w:pPr>
      <w:tabs>
        <w:tab w:val="center" w:pos="4703"/>
        <w:tab w:val="right" w:pos="9406"/>
      </w:tabs>
      <w:spacing w:after="0" w:line="240" w:lineRule="auto"/>
    </w:pPr>
  </w:style>
  <w:style w:type="character" w:customStyle="1" w:styleId="HeaderChar">
    <w:name w:val="Header Char"/>
    <w:basedOn w:val="DefaultParagraphFont"/>
    <w:link w:val="Header"/>
    <w:uiPriority w:val="99"/>
    <w:rsid w:val="00452556"/>
    <w:rPr>
      <w:noProof/>
      <w:lang w:val="bg-BG"/>
    </w:rPr>
  </w:style>
  <w:style w:type="paragraph" w:styleId="Footer">
    <w:name w:val="footer"/>
    <w:basedOn w:val="Normal"/>
    <w:link w:val="FooterChar"/>
    <w:uiPriority w:val="99"/>
    <w:unhideWhenUsed/>
    <w:rsid w:val="00452556"/>
    <w:pPr>
      <w:tabs>
        <w:tab w:val="center" w:pos="4703"/>
        <w:tab w:val="right" w:pos="9406"/>
      </w:tabs>
      <w:spacing w:after="0" w:line="240" w:lineRule="auto"/>
    </w:pPr>
  </w:style>
  <w:style w:type="character" w:customStyle="1" w:styleId="FooterChar">
    <w:name w:val="Footer Char"/>
    <w:basedOn w:val="DefaultParagraphFont"/>
    <w:link w:val="Footer"/>
    <w:uiPriority w:val="99"/>
    <w:rsid w:val="00452556"/>
    <w:rPr>
      <w:noProof/>
      <w:lang w:val="bg-BG"/>
    </w:rPr>
  </w:style>
  <w:style w:type="character" w:styleId="CommentReference">
    <w:name w:val="annotation reference"/>
    <w:basedOn w:val="DefaultParagraphFont"/>
    <w:unhideWhenUsed/>
    <w:rsid w:val="00FC77C5"/>
    <w:rPr>
      <w:sz w:val="16"/>
      <w:szCs w:val="16"/>
    </w:rPr>
  </w:style>
  <w:style w:type="paragraph" w:styleId="CommentText">
    <w:name w:val="annotation text"/>
    <w:basedOn w:val="Normal"/>
    <w:link w:val="CommentTextChar"/>
    <w:unhideWhenUsed/>
    <w:rsid w:val="00FC77C5"/>
    <w:pPr>
      <w:spacing w:line="240" w:lineRule="auto"/>
    </w:pPr>
    <w:rPr>
      <w:sz w:val="20"/>
      <w:szCs w:val="20"/>
    </w:rPr>
  </w:style>
  <w:style w:type="character" w:customStyle="1" w:styleId="CommentTextChar">
    <w:name w:val="Comment Text Char"/>
    <w:basedOn w:val="DefaultParagraphFont"/>
    <w:link w:val="CommentText"/>
    <w:rsid w:val="00FC77C5"/>
    <w:rPr>
      <w:noProof/>
      <w:sz w:val="20"/>
      <w:szCs w:val="20"/>
      <w:lang w:val="bg-BG"/>
    </w:rPr>
  </w:style>
  <w:style w:type="paragraph" w:styleId="CommentSubject">
    <w:name w:val="annotation subject"/>
    <w:basedOn w:val="CommentText"/>
    <w:next w:val="CommentText"/>
    <w:link w:val="CommentSubjectChar"/>
    <w:uiPriority w:val="99"/>
    <w:semiHidden/>
    <w:unhideWhenUsed/>
    <w:rsid w:val="00FC77C5"/>
    <w:rPr>
      <w:b/>
      <w:bCs/>
    </w:rPr>
  </w:style>
  <w:style w:type="character" w:customStyle="1" w:styleId="CommentSubjectChar">
    <w:name w:val="Comment Subject Char"/>
    <w:basedOn w:val="CommentTextChar"/>
    <w:link w:val="CommentSubject"/>
    <w:uiPriority w:val="99"/>
    <w:semiHidden/>
    <w:rsid w:val="00FC77C5"/>
    <w:rPr>
      <w:b/>
      <w:bCs/>
      <w:noProof/>
      <w:sz w:val="20"/>
      <w:szCs w:val="20"/>
      <w:lang w:val="bg-BG"/>
    </w:rPr>
  </w:style>
  <w:style w:type="paragraph" w:styleId="BalloonText">
    <w:name w:val="Balloon Text"/>
    <w:basedOn w:val="Normal"/>
    <w:link w:val="BalloonTextChar"/>
    <w:uiPriority w:val="99"/>
    <w:semiHidden/>
    <w:unhideWhenUsed/>
    <w:rsid w:val="00FC77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77C5"/>
    <w:rPr>
      <w:rFonts w:ascii="Tahoma" w:hAnsi="Tahoma" w:cs="Tahoma"/>
      <w:noProof/>
      <w:sz w:val="16"/>
      <w:szCs w:val="16"/>
      <w:lang w:val="bg-BG"/>
    </w:rPr>
  </w:style>
  <w:style w:type="character" w:customStyle="1" w:styleId="Heading1Char">
    <w:name w:val="Heading 1 Char"/>
    <w:basedOn w:val="DefaultParagraphFont"/>
    <w:link w:val="Heading1"/>
    <w:uiPriority w:val="9"/>
    <w:rsid w:val="00B60748"/>
    <w:rPr>
      <w:rFonts w:ascii="Times New Roman" w:hAnsi="Times New Roman" w:cs="Times New Roman"/>
      <w:noProof/>
      <w:sz w:val="32"/>
      <w:szCs w:val="24"/>
      <w:lang w:val="bg-BG"/>
    </w:rPr>
  </w:style>
  <w:style w:type="character" w:customStyle="1" w:styleId="Heading2Char">
    <w:name w:val="Heading 2 Char"/>
    <w:basedOn w:val="DefaultParagraphFont"/>
    <w:link w:val="Heading2"/>
    <w:uiPriority w:val="9"/>
    <w:rsid w:val="00E80DDF"/>
    <w:rPr>
      <w:rFonts w:ascii="Arial" w:hAnsi="Arial" w:cs="Arial"/>
      <w:b/>
      <w:noProof/>
      <w:sz w:val="24"/>
      <w:szCs w:val="24"/>
      <w:lang w:val="bg-BG"/>
    </w:rPr>
  </w:style>
  <w:style w:type="character" w:customStyle="1" w:styleId="Heading3Char">
    <w:name w:val="Heading 3 Char"/>
    <w:basedOn w:val="DefaultParagraphFont"/>
    <w:link w:val="Heading3"/>
    <w:uiPriority w:val="9"/>
    <w:rsid w:val="002F5AAA"/>
    <w:rPr>
      <w:rFonts w:ascii="Arial" w:hAnsi="Arial" w:cs="Arial"/>
      <w:b/>
      <w:i/>
      <w:noProof/>
    </w:rPr>
  </w:style>
  <w:style w:type="character" w:customStyle="1" w:styleId="Heading4Char">
    <w:name w:val="Heading 4 Char"/>
    <w:basedOn w:val="DefaultParagraphFont"/>
    <w:link w:val="Heading4"/>
    <w:uiPriority w:val="9"/>
    <w:rsid w:val="00AF15D1"/>
    <w:rPr>
      <w:rFonts w:ascii="Times New Roman" w:hAnsi="Times New Roman" w:cs="Times New Roman"/>
      <w:noProof/>
      <w:sz w:val="24"/>
      <w:szCs w:val="24"/>
      <w:u w:val="single"/>
      <w:lang w:val="bg-BG"/>
    </w:rPr>
  </w:style>
  <w:style w:type="character" w:customStyle="1" w:styleId="Heading5Char">
    <w:name w:val="Heading 5 Char"/>
    <w:basedOn w:val="DefaultParagraphFont"/>
    <w:link w:val="Heading5"/>
    <w:uiPriority w:val="9"/>
    <w:rsid w:val="00B60748"/>
    <w:rPr>
      <w:rFonts w:ascii="Times New Roman" w:hAnsi="Times New Roman" w:cs="Times New Roman"/>
      <w:noProof/>
      <w:sz w:val="24"/>
      <w:szCs w:val="24"/>
      <w:lang w:val="bg-BG"/>
    </w:rPr>
  </w:style>
  <w:style w:type="paragraph" w:styleId="NormalWeb">
    <w:name w:val="Normal (Web)"/>
    <w:basedOn w:val="Normal"/>
    <w:uiPriority w:val="99"/>
    <w:semiHidden/>
    <w:unhideWhenUsed/>
    <w:rsid w:val="00821977"/>
    <w:pPr>
      <w:spacing w:before="100" w:beforeAutospacing="1" w:after="100" w:afterAutospacing="1" w:line="240" w:lineRule="auto"/>
      <w:jc w:val="left"/>
    </w:pPr>
    <w:rPr>
      <w:noProof w:val="0"/>
      <w:color w:val="000000"/>
      <w:lang w:val="en-US"/>
    </w:rPr>
  </w:style>
  <w:style w:type="paragraph" w:styleId="FootnoteText">
    <w:name w:val="footnote text"/>
    <w:basedOn w:val="Normal"/>
    <w:link w:val="FootnoteTextChar"/>
    <w:uiPriority w:val="99"/>
    <w:semiHidden/>
    <w:unhideWhenUsed/>
    <w:rsid w:val="00202FC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02FC8"/>
    <w:rPr>
      <w:rFonts w:ascii="Times New Roman" w:hAnsi="Times New Roman" w:cs="Times New Roman"/>
      <w:noProof/>
      <w:sz w:val="20"/>
      <w:szCs w:val="20"/>
      <w:lang w:val="bg-BG"/>
    </w:rPr>
  </w:style>
  <w:style w:type="character" w:styleId="FootnoteReference">
    <w:name w:val="footnote reference"/>
    <w:aliases w:val="Footnote symbol,Footnote Reference Superscript,BVI fnr,Footnote call,SUPERS,(Footnote Reference),Footnote,Voetnootverwijzing,Times 10 Point,Exposant 3 Point,Footnote reference number,note TESI,Footnotes refss,number,o"/>
    <w:basedOn w:val="DefaultParagraphFont"/>
    <w:uiPriority w:val="99"/>
    <w:unhideWhenUsed/>
    <w:rsid w:val="00202FC8"/>
    <w:rPr>
      <w:vertAlign w:val="superscript"/>
    </w:rPr>
  </w:style>
  <w:style w:type="character" w:styleId="Hyperlink">
    <w:name w:val="Hyperlink"/>
    <w:basedOn w:val="DefaultParagraphFont"/>
    <w:uiPriority w:val="99"/>
    <w:unhideWhenUsed/>
    <w:rsid w:val="00882D0E"/>
    <w:rPr>
      <w:color w:val="0000FF" w:themeColor="hyperlink"/>
      <w:u w:val="single"/>
    </w:rPr>
  </w:style>
  <w:style w:type="table" w:styleId="TableGrid">
    <w:name w:val="Table Grid"/>
    <w:basedOn w:val="TableNormal"/>
    <w:uiPriority w:val="59"/>
    <w:rsid w:val="00285C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yiv2527353052msolistparagraph">
    <w:name w:val="yiv2527353052msolistparagraph"/>
    <w:basedOn w:val="Normal"/>
    <w:rsid w:val="00663796"/>
    <w:pPr>
      <w:spacing w:before="100" w:beforeAutospacing="1" w:after="100" w:afterAutospacing="1" w:line="240" w:lineRule="auto"/>
      <w:jc w:val="left"/>
    </w:pPr>
    <w:rPr>
      <w:rFonts w:eastAsia="Times New Roman"/>
      <w:noProof w:val="0"/>
      <w:lang w:val="en-US"/>
    </w:rPr>
  </w:style>
  <w:style w:type="paragraph" w:customStyle="1" w:styleId="yiv2527353052msonormal">
    <w:name w:val="yiv2527353052msonormal"/>
    <w:basedOn w:val="Normal"/>
    <w:rsid w:val="00663796"/>
    <w:pPr>
      <w:spacing w:before="100" w:beforeAutospacing="1" w:after="100" w:afterAutospacing="1" w:line="240" w:lineRule="auto"/>
      <w:jc w:val="left"/>
    </w:pPr>
    <w:rPr>
      <w:rFonts w:eastAsia="Times New Roman"/>
      <w:noProof w:val="0"/>
      <w:lang w:val="en-US"/>
    </w:rPr>
  </w:style>
  <w:style w:type="paragraph" w:customStyle="1" w:styleId="yiv2527353052text1">
    <w:name w:val="yiv2527353052text1"/>
    <w:basedOn w:val="Normal"/>
    <w:rsid w:val="00663796"/>
    <w:pPr>
      <w:spacing w:before="100" w:beforeAutospacing="1" w:after="100" w:afterAutospacing="1" w:line="240" w:lineRule="auto"/>
      <w:jc w:val="left"/>
    </w:pPr>
    <w:rPr>
      <w:rFonts w:eastAsia="Times New Roman"/>
      <w:noProof w:val="0"/>
      <w:lang w:val="en-US"/>
    </w:rPr>
  </w:style>
  <w:style w:type="paragraph" w:customStyle="1" w:styleId="Text1">
    <w:name w:val="Text 1"/>
    <w:basedOn w:val="Normal"/>
    <w:link w:val="Text1Char"/>
    <w:rsid w:val="00B5762F"/>
    <w:pPr>
      <w:spacing w:before="120" w:after="120" w:line="240" w:lineRule="auto"/>
      <w:ind w:left="850"/>
    </w:pPr>
    <w:rPr>
      <w:rFonts w:eastAsia="Times New Roman"/>
      <w:noProof w:val="0"/>
      <w:lang w:val="en-GB"/>
    </w:rPr>
  </w:style>
  <w:style w:type="character" w:customStyle="1" w:styleId="Text1Char">
    <w:name w:val="Text 1 Char"/>
    <w:link w:val="Text1"/>
    <w:locked/>
    <w:rsid w:val="00B5762F"/>
    <w:rPr>
      <w:rFonts w:ascii="Times New Roman" w:eastAsia="Times New Roman" w:hAnsi="Times New Roman" w:cs="Times New Roman"/>
      <w:sz w:val="24"/>
      <w:szCs w:val="24"/>
      <w:lang w:val="en-GB"/>
    </w:rPr>
  </w:style>
  <w:style w:type="paragraph" w:styleId="Revision">
    <w:name w:val="Revision"/>
    <w:hidden/>
    <w:uiPriority w:val="99"/>
    <w:semiHidden/>
    <w:rsid w:val="00686E83"/>
    <w:pPr>
      <w:spacing w:after="0" w:line="240" w:lineRule="auto"/>
    </w:pPr>
    <w:rPr>
      <w:rFonts w:ascii="Times New Roman" w:hAnsi="Times New Roman" w:cs="Times New Roman"/>
      <w:noProof/>
      <w:sz w:val="24"/>
      <w:szCs w:val="24"/>
      <w:lang w:val="bg-BG"/>
    </w:rPr>
  </w:style>
  <w:style w:type="character" w:styleId="FollowedHyperlink">
    <w:name w:val="FollowedHyperlink"/>
    <w:basedOn w:val="DefaultParagraphFont"/>
    <w:uiPriority w:val="99"/>
    <w:semiHidden/>
    <w:unhideWhenUsed/>
    <w:rsid w:val="00CE547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46261">
      <w:bodyDiv w:val="1"/>
      <w:marLeft w:val="0"/>
      <w:marRight w:val="0"/>
      <w:marTop w:val="0"/>
      <w:marBottom w:val="0"/>
      <w:divBdr>
        <w:top w:val="none" w:sz="0" w:space="0" w:color="auto"/>
        <w:left w:val="none" w:sz="0" w:space="0" w:color="auto"/>
        <w:bottom w:val="none" w:sz="0" w:space="0" w:color="auto"/>
        <w:right w:val="none" w:sz="0" w:space="0" w:color="auto"/>
      </w:divBdr>
    </w:div>
    <w:div w:id="28532936">
      <w:bodyDiv w:val="1"/>
      <w:marLeft w:val="0"/>
      <w:marRight w:val="0"/>
      <w:marTop w:val="0"/>
      <w:marBottom w:val="0"/>
      <w:divBdr>
        <w:top w:val="none" w:sz="0" w:space="0" w:color="auto"/>
        <w:left w:val="none" w:sz="0" w:space="0" w:color="auto"/>
        <w:bottom w:val="none" w:sz="0" w:space="0" w:color="auto"/>
        <w:right w:val="none" w:sz="0" w:space="0" w:color="auto"/>
      </w:divBdr>
    </w:div>
    <w:div w:id="76054315">
      <w:bodyDiv w:val="1"/>
      <w:marLeft w:val="0"/>
      <w:marRight w:val="0"/>
      <w:marTop w:val="0"/>
      <w:marBottom w:val="0"/>
      <w:divBdr>
        <w:top w:val="none" w:sz="0" w:space="0" w:color="auto"/>
        <w:left w:val="none" w:sz="0" w:space="0" w:color="auto"/>
        <w:bottom w:val="none" w:sz="0" w:space="0" w:color="auto"/>
        <w:right w:val="none" w:sz="0" w:space="0" w:color="auto"/>
      </w:divBdr>
    </w:div>
    <w:div w:id="103160112">
      <w:bodyDiv w:val="1"/>
      <w:marLeft w:val="0"/>
      <w:marRight w:val="0"/>
      <w:marTop w:val="0"/>
      <w:marBottom w:val="0"/>
      <w:divBdr>
        <w:top w:val="none" w:sz="0" w:space="0" w:color="auto"/>
        <w:left w:val="none" w:sz="0" w:space="0" w:color="auto"/>
        <w:bottom w:val="none" w:sz="0" w:space="0" w:color="auto"/>
        <w:right w:val="none" w:sz="0" w:space="0" w:color="auto"/>
      </w:divBdr>
    </w:div>
    <w:div w:id="207231843">
      <w:bodyDiv w:val="1"/>
      <w:marLeft w:val="0"/>
      <w:marRight w:val="0"/>
      <w:marTop w:val="0"/>
      <w:marBottom w:val="0"/>
      <w:divBdr>
        <w:top w:val="none" w:sz="0" w:space="0" w:color="auto"/>
        <w:left w:val="none" w:sz="0" w:space="0" w:color="auto"/>
        <w:bottom w:val="none" w:sz="0" w:space="0" w:color="auto"/>
        <w:right w:val="none" w:sz="0" w:space="0" w:color="auto"/>
      </w:divBdr>
    </w:div>
    <w:div w:id="291712068">
      <w:bodyDiv w:val="1"/>
      <w:marLeft w:val="0"/>
      <w:marRight w:val="0"/>
      <w:marTop w:val="0"/>
      <w:marBottom w:val="0"/>
      <w:divBdr>
        <w:top w:val="none" w:sz="0" w:space="0" w:color="auto"/>
        <w:left w:val="none" w:sz="0" w:space="0" w:color="auto"/>
        <w:bottom w:val="none" w:sz="0" w:space="0" w:color="auto"/>
        <w:right w:val="none" w:sz="0" w:space="0" w:color="auto"/>
      </w:divBdr>
    </w:div>
    <w:div w:id="301807862">
      <w:bodyDiv w:val="1"/>
      <w:marLeft w:val="0"/>
      <w:marRight w:val="0"/>
      <w:marTop w:val="0"/>
      <w:marBottom w:val="0"/>
      <w:divBdr>
        <w:top w:val="none" w:sz="0" w:space="0" w:color="auto"/>
        <w:left w:val="none" w:sz="0" w:space="0" w:color="auto"/>
        <w:bottom w:val="none" w:sz="0" w:space="0" w:color="auto"/>
        <w:right w:val="none" w:sz="0" w:space="0" w:color="auto"/>
      </w:divBdr>
    </w:div>
    <w:div w:id="306399879">
      <w:bodyDiv w:val="1"/>
      <w:marLeft w:val="0"/>
      <w:marRight w:val="0"/>
      <w:marTop w:val="0"/>
      <w:marBottom w:val="0"/>
      <w:divBdr>
        <w:top w:val="none" w:sz="0" w:space="0" w:color="auto"/>
        <w:left w:val="none" w:sz="0" w:space="0" w:color="auto"/>
        <w:bottom w:val="none" w:sz="0" w:space="0" w:color="auto"/>
        <w:right w:val="none" w:sz="0" w:space="0" w:color="auto"/>
      </w:divBdr>
    </w:div>
    <w:div w:id="361177127">
      <w:bodyDiv w:val="1"/>
      <w:marLeft w:val="0"/>
      <w:marRight w:val="0"/>
      <w:marTop w:val="0"/>
      <w:marBottom w:val="0"/>
      <w:divBdr>
        <w:top w:val="none" w:sz="0" w:space="0" w:color="auto"/>
        <w:left w:val="none" w:sz="0" w:space="0" w:color="auto"/>
        <w:bottom w:val="none" w:sz="0" w:space="0" w:color="auto"/>
        <w:right w:val="none" w:sz="0" w:space="0" w:color="auto"/>
      </w:divBdr>
      <w:divsChild>
        <w:div w:id="1063715117">
          <w:marLeft w:val="547"/>
          <w:marRight w:val="0"/>
          <w:marTop w:val="0"/>
          <w:marBottom w:val="0"/>
          <w:divBdr>
            <w:top w:val="none" w:sz="0" w:space="0" w:color="auto"/>
            <w:left w:val="none" w:sz="0" w:space="0" w:color="auto"/>
            <w:bottom w:val="none" w:sz="0" w:space="0" w:color="auto"/>
            <w:right w:val="none" w:sz="0" w:space="0" w:color="auto"/>
          </w:divBdr>
        </w:div>
      </w:divsChild>
    </w:div>
    <w:div w:id="530068406">
      <w:bodyDiv w:val="1"/>
      <w:marLeft w:val="0"/>
      <w:marRight w:val="0"/>
      <w:marTop w:val="0"/>
      <w:marBottom w:val="0"/>
      <w:divBdr>
        <w:top w:val="none" w:sz="0" w:space="0" w:color="auto"/>
        <w:left w:val="none" w:sz="0" w:space="0" w:color="auto"/>
        <w:bottom w:val="none" w:sz="0" w:space="0" w:color="auto"/>
        <w:right w:val="none" w:sz="0" w:space="0" w:color="auto"/>
      </w:divBdr>
    </w:div>
    <w:div w:id="576474280">
      <w:bodyDiv w:val="1"/>
      <w:marLeft w:val="0"/>
      <w:marRight w:val="0"/>
      <w:marTop w:val="0"/>
      <w:marBottom w:val="0"/>
      <w:divBdr>
        <w:top w:val="none" w:sz="0" w:space="0" w:color="auto"/>
        <w:left w:val="none" w:sz="0" w:space="0" w:color="auto"/>
        <w:bottom w:val="none" w:sz="0" w:space="0" w:color="auto"/>
        <w:right w:val="none" w:sz="0" w:space="0" w:color="auto"/>
      </w:divBdr>
    </w:div>
    <w:div w:id="601913720">
      <w:bodyDiv w:val="1"/>
      <w:marLeft w:val="0"/>
      <w:marRight w:val="0"/>
      <w:marTop w:val="0"/>
      <w:marBottom w:val="0"/>
      <w:divBdr>
        <w:top w:val="none" w:sz="0" w:space="0" w:color="auto"/>
        <w:left w:val="none" w:sz="0" w:space="0" w:color="auto"/>
        <w:bottom w:val="none" w:sz="0" w:space="0" w:color="auto"/>
        <w:right w:val="none" w:sz="0" w:space="0" w:color="auto"/>
      </w:divBdr>
    </w:div>
    <w:div w:id="653872174">
      <w:bodyDiv w:val="1"/>
      <w:marLeft w:val="0"/>
      <w:marRight w:val="0"/>
      <w:marTop w:val="0"/>
      <w:marBottom w:val="0"/>
      <w:divBdr>
        <w:top w:val="none" w:sz="0" w:space="0" w:color="auto"/>
        <w:left w:val="none" w:sz="0" w:space="0" w:color="auto"/>
        <w:bottom w:val="none" w:sz="0" w:space="0" w:color="auto"/>
        <w:right w:val="none" w:sz="0" w:space="0" w:color="auto"/>
      </w:divBdr>
    </w:div>
    <w:div w:id="684286302">
      <w:bodyDiv w:val="1"/>
      <w:marLeft w:val="0"/>
      <w:marRight w:val="0"/>
      <w:marTop w:val="0"/>
      <w:marBottom w:val="0"/>
      <w:divBdr>
        <w:top w:val="none" w:sz="0" w:space="0" w:color="auto"/>
        <w:left w:val="none" w:sz="0" w:space="0" w:color="auto"/>
        <w:bottom w:val="none" w:sz="0" w:space="0" w:color="auto"/>
        <w:right w:val="none" w:sz="0" w:space="0" w:color="auto"/>
      </w:divBdr>
    </w:div>
    <w:div w:id="738135826">
      <w:bodyDiv w:val="1"/>
      <w:marLeft w:val="0"/>
      <w:marRight w:val="0"/>
      <w:marTop w:val="0"/>
      <w:marBottom w:val="0"/>
      <w:divBdr>
        <w:top w:val="none" w:sz="0" w:space="0" w:color="auto"/>
        <w:left w:val="none" w:sz="0" w:space="0" w:color="auto"/>
        <w:bottom w:val="none" w:sz="0" w:space="0" w:color="auto"/>
        <w:right w:val="none" w:sz="0" w:space="0" w:color="auto"/>
      </w:divBdr>
    </w:div>
    <w:div w:id="768820720">
      <w:bodyDiv w:val="1"/>
      <w:marLeft w:val="0"/>
      <w:marRight w:val="0"/>
      <w:marTop w:val="0"/>
      <w:marBottom w:val="0"/>
      <w:divBdr>
        <w:top w:val="none" w:sz="0" w:space="0" w:color="auto"/>
        <w:left w:val="none" w:sz="0" w:space="0" w:color="auto"/>
        <w:bottom w:val="none" w:sz="0" w:space="0" w:color="auto"/>
        <w:right w:val="none" w:sz="0" w:space="0" w:color="auto"/>
      </w:divBdr>
    </w:div>
    <w:div w:id="778724904">
      <w:bodyDiv w:val="1"/>
      <w:marLeft w:val="0"/>
      <w:marRight w:val="0"/>
      <w:marTop w:val="0"/>
      <w:marBottom w:val="0"/>
      <w:divBdr>
        <w:top w:val="none" w:sz="0" w:space="0" w:color="auto"/>
        <w:left w:val="none" w:sz="0" w:space="0" w:color="auto"/>
        <w:bottom w:val="none" w:sz="0" w:space="0" w:color="auto"/>
        <w:right w:val="none" w:sz="0" w:space="0" w:color="auto"/>
      </w:divBdr>
    </w:div>
    <w:div w:id="877738271">
      <w:bodyDiv w:val="1"/>
      <w:marLeft w:val="0"/>
      <w:marRight w:val="0"/>
      <w:marTop w:val="0"/>
      <w:marBottom w:val="0"/>
      <w:divBdr>
        <w:top w:val="none" w:sz="0" w:space="0" w:color="auto"/>
        <w:left w:val="none" w:sz="0" w:space="0" w:color="auto"/>
        <w:bottom w:val="none" w:sz="0" w:space="0" w:color="auto"/>
        <w:right w:val="none" w:sz="0" w:space="0" w:color="auto"/>
      </w:divBdr>
    </w:div>
    <w:div w:id="921721263">
      <w:bodyDiv w:val="1"/>
      <w:marLeft w:val="0"/>
      <w:marRight w:val="0"/>
      <w:marTop w:val="0"/>
      <w:marBottom w:val="0"/>
      <w:divBdr>
        <w:top w:val="none" w:sz="0" w:space="0" w:color="auto"/>
        <w:left w:val="none" w:sz="0" w:space="0" w:color="auto"/>
        <w:bottom w:val="none" w:sz="0" w:space="0" w:color="auto"/>
        <w:right w:val="none" w:sz="0" w:space="0" w:color="auto"/>
      </w:divBdr>
    </w:div>
    <w:div w:id="1166553518">
      <w:bodyDiv w:val="1"/>
      <w:marLeft w:val="0"/>
      <w:marRight w:val="0"/>
      <w:marTop w:val="0"/>
      <w:marBottom w:val="0"/>
      <w:divBdr>
        <w:top w:val="none" w:sz="0" w:space="0" w:color="auto"/>
        <w:left w:val="none" w:sz="0" w:space="0" w:color="auto"/>
        <w:bottom w:val="none" w:sz="0" w:space="0" w:color="auto"/>
        <w:right w:val="none" w:sz="0" w:space="0" w:color="auto"/>
      </w:divBdr>
    </w:div>
    <w:div w:id="1283465040">
      <w:bodyDiv w:val="1"/>
      <w:marLeft w:val="0"/>
      <w:marRight w:val="0"/>
      <w:marTop w:val="0"/>
      <w:marBottom w:val="0"/>
      <w:divBdr>
        <w:top w:val="none" w:sz="0" w:space="0" w:color="auto"/>
        <w:left w:val="none" w:sz="0" w:space="0" w:color="auto"/>
        <w:bottom w:val="none" w:sz="0" w:space="0" w:color="auto"/>
        <w:right w:val="none" w:sz="0" w:space="0" w:color="auto"/>
      </w:divBdr>
    </w:div>
    <w:div w:id="1300265257">
      <w:bodyDiv w:val="1"/>
      <w:marLeft w:val="0"/>
      <w:marRight w:val="0"/>
      <w:marTop w:val="0"/>
      <w:marBottom w:val="0"/>
      <w:divBdr>
        <w:top w:val="none" w:sz="0" w:space="0" w:color="auto"/>
        <w:left w:val="none" w:sz="0" w:space="0" w:color="auto"/>
        <w:bottom w:val="none" w:sz="0" w:space="0" w:color="auto"/>
        <w:right w:val="none" w:sz="0" w:space="0" w:color="auto"/>
      </w:divBdr>
    </w:div>
    <w:div w:id="1308700567">
      <w:bodyDiv w:val="1"/>
      <w:marLeft w:val="0"/>
      <w:marRight w:val="0"/>
      <w:marTop w:val="0"/>
      <w:marBottom w:val="0"/>
      <w:divBdr>
        <w:top w:val="none" w:sz="0" w:space="0" w:color="auto"/>
        <w:left w:val="none" w:sz="0" w:space="0" w:color="auto"/>
        <w:bottom w:val="none" w:sz="0" w:space="0" w:color="auto"/>
        <w:right w:val="none" w:sz="0" w:space="0" w:color="auto"/>
      </w:divBdr>
    </w:div>
    <w:div w:id="1323898056">
      <w:bodyDiv w:val="1"/>
      <w:marLeft w:val="0"/>
      <w:marRight w:val="0"/>
      <w:marTop w:val="0"/>
      <w:marBottom w:val="0"/>
      <w:divBdr>
        <w:top w:val="none" w:sz="0" w:space="0" w:color="auto"/>
        <w:left w:val="none" w:sz="0" w:space="0" w:color="auto"/>
        <w:bottom w:val="none" w:sz="0" w:space="0" w:color="auto"/>
        <w:right w:val="none" w:sz="0" w:space="0" w:color="auto"/>
      </w:divBdr>
    </w:div>
    <w:div w:id="1411468829">
      <w:bodyDiv w:val="1"/>
      <w:marLeft w:val="0"/>
      <w:marRight w:val="0"/>
      <w:marTop w:val="0"/>
      <w:marBottom w:val="0"/>
      <w:divBdr>
        <w:top w:val="none" w:sz="0" w:space="0" w:color="auto"/>
        <w:left w:val="none" w:sz="0" w:space="0" w:color="auto"/>
        <w:bottom w:val="none" w:sz="0" w:space="0" w:color="auto"/>
        <w:right w:val="none" w:sz="0" w:space="0" w:color="auto"/>
      </w:divBdr>
    </w:div>
    <w:div w:id="1527209488">
      <w:bodyDiv w:val="1"/>
      <w:marLeft w:val="0"/>
      <w:marRight w:val="0"/>
      <w:marTop w:val="0"/>
      <w:marBottom w:val="0"/>
      <w:divBdr>
        <w:top w:val="none" w:sz="0" w:space="0" w:color="auto"/>
        <w:left w:val="none" w:sz="0" w:space="0" w:color="auto"/>
        <w:bottom w:val="none" w:sz="0" w:space="0" w:color="auto"/>
        <w:right w:val="none" w:sz="0" w:space="0" w:color="auto"/>
      </w:divBdr>
    </w:div>
    <w:div w:id="1587684717">
      <w:bodyDiv w:val="1"/>
      <w:marLeft w:val="0"/>
      <w:marRight w:val="0"/>
      <w:marTop w:val="0"/>
      <w:marBottom w:val="0"/>
      <w:divBdr>
        <w:top w:val="none" w:sz="0" w:space="0" w:color="auto"/>
        <w:left w:val="none" w:sz="0" w:space="0" w:color="auto"/>
        <w:bottom w:val="none" w:sz="0" w:space="0" w:color="auto"/>
        <w:right w:val="none" w:sz="0" w:space="0" w:color="auto"/>
      </w:divBdr>
    </w:div>
    <w:div w:id="1736657087">
      <w:bodyDiv w:val="1"/>
      <w:marLeft w:val="0"/>
      <w:marRight w:val="0"/>
      <w:marTop w:val="0"/>
      <w:marBottom w:val="0"/>
      <w:divBdr>
        <w:top w:val="none" w:sz="0" w:space="0" w:color="auto"/>
        <w:left w:val="none" w:sz="0" w:space="0" w:color="auto"/>
        <w:bottom w:val="none" w:sz="0" w:space="0" w:color="auto"/>
        <w:right w:val="none" w:sz="0" w:space="0" w:color="auto"/>
      </w:divBdr>
    </w:div>
    <w:div w:id="2135979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s://eumis2020.government.bg/bg/s/Default/Manual"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fisheries/sites/fisheries/files/fame-working-paper-emff-evaluation-toolbox_en.pdf" TargetMode="External"/><Relationship Id="rId2" Type="http://schemas.openxmlformats.org/officeDocument/2006/relationships/hyperlink" Target="https://www.euronews.com/2020/01/25/bulgaria-residents-in-pernik-protest-about-water-shortages" TargetMode="External"/><Relationship Id="rId1" Type="http://schemas.openxmlformats.org/officeDocument/2006/relationships/hyperlink" Target="https://dnews.bg/vodna-kriza-v-pernik.html" TargetMode="External"/><Relationship Id="rId4" Type="http://schemas.openxmlformats.org/officeDocument/2006/relationships/hyperlink" Target="http://ribniresurs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47AA01-6C1C-4594-9850-9AC49D516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57</Pages>
  <Words>14618</Words>
  <Characters>83327</Characters>
  <Application>Microsoft Office Word</Application>
  <DocSecurity>0</DocSecurity>
  <Lines>694</Lines>
  <Paragraphs>195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Stoimen Yochev</dc:creator>
  <cp:lastModifiedBy>Boryana Vodenicharska</cp:lastModifiedBy>
  <cp:revision>29</cp:revision>
  <cp:lastPrinted>2020-02-04T13:51:00Z</cp:lastPrinted>
  <dcterms:created xsi:type="dcterms:W3CDTF">2020-08-26T07:02:00Z</dcterms:created>
  <dcterms:modified xsi:type="dcterms:W3CDTF">2020-08-27T08:36:00Z</dcterms:modified>
</cp:coreProperties>
</file>