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4BAE" w:rsidRPr="000A5C28" w:rsidRDefault="00D97375" w:rsidP="00C63AE6">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ab/>
      </w:r>
      <w:r>
        <w:rPr>
          <w:rFonts w:ascii="Times New Roman" w:hAnsi="Times New Roman" w:cs="Times New Roman"/>
          <w:b/>
          <w:bCs/>
          <w:snapToGrid w:val="0"/>
          <w:sz w:val="24"/>
          <w:szCs w:val="24"/>
        </w:rPr>
        <w:tab/>
      </w:r>
      <w:r>
        <w:rPr>
          <w:rFonts w:ascii="Times New Roman" w:hAnsi="Times New Roman" w:cs="Times New Roman"/>
          <w:b/>
          <w:bCs/>
          <w:snapToGrid w:val="0"/>
          <w:sz w:val="24"/>
          <w:szCs w:val="24"/>
        </w:rPr>
        <w:tab/>
      </w:r>
      <w:r>
        <w:rPr>
          <w:rFonts w:ascii="Times New Roman" w:hAnsi="Times New Roman" w:cs="Times New Roman"/>
          <w:b/>
          <w:bCs/>
          <w:snapToGrid w:val="0"/>
          <w:sz w:val="24"/>
          <w:szCs w:val="24"/>
        </w:rPr>
        <w:tab/>
      </w:r>
      <w:r w:rsidR="00F14BAE">
        <w:rPr>
          <w:rFonts w:ascii="Times New Roman" w:hAnsi="Times New Roman" w:cs="Times New Roman"/>
          <w:b/>
          <w:bCs/>
          <w:snapToGrid w:val="0"/>
          <w:sz w:val="24"/>
          <w:szCs w:val="24"/>
        </w:rPr>
        <w:t>Приложение № 2</w:t>
      </w:r>
    </w:p>
    <w:p w:rsidR="00F14BAE" w:rsidRDefault="00F14BAE" w:rsidP="00C63AE6">
      <w:pPr>
        <w:spacing w:after="0" w:line="360" w:lineRule="auto"/>
        <w:ind w:left="7080" w:firstLine="708"/>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към Заповед №</w:t>
      </w: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Default="00F14BAE" w:rsidP="004878BB">
      <w:pPr>
        <w:spacing w:after="0" w:line="360" w:lineRule="auto"/>
        <w:jc w:val="both"/>
        <w:rPr>
          <w:rFonts w:ascii="Times New Roman" w:hAnsi="Times New Roman" w:cs="Times New Roman"/>
          <w:b/>
          <w:bCs/>
          <w:snapToGrid w:val="0"/>
          <w:sz w:val="24"/>
          <w:szCs w:val="24"/>
        </w:rPr>
      </w:pPr>
    </w:p>
    <w:p w:rsidR="00F14BAE" w:rsidRPr="00D93C16" w:rsidRDefault="00F14BAE" w:rsidP="005D1C4F">
      <w:pPr>
        <w:spacing w:after="0" w:line="360" w:lineRule="auto"/>
        <w:jc w:val="center"/>
        <w:rPr>
          <w:rFonts w:ascii="Times New Roman" w:hAnsi="Times New Roman" w:cs="Times New Roman"/>
          <w:b/>
          <w:bCs/>
          <w:sz w:val="24"/>
          <w:szCs w:val="24"/>
        </w:rPr>
      </w:pPr>
    </w:p>
    <w:p w:rsidR="00F14BAE" w:rsidRPr="00D93C16" w:rsidRDefault="00F14BAE" w:rsidP="005D1C4F">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4BAE" w:rsidRPr="00D93C16" w:rsidRDefault="00F14BAE" w:rsidP="005D1C4F">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p>
    <w:p w:rsidR="00F14BAE" w:rsidRPr="00D93C16" w:rsidRDefault="00F14BAE" w:rsidP="005D1C4F">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4BAE" w:rsidRPr="00D93C16" w:rsidRDefault="00F14BAE" w:rsidP="005D1C4F">
      <w:pPr>
        <w:spacing w:after="0" w:line="360" w:lineRule="auto"/>
        <w:jc w:val="center"/>
        <w:rPr>
          <w:rFonts w:ascii="Times New Roman" w:hAnsi="Times New Roman" w:cs="Times New Roman"/>
          <w:b/>
          <w:bCs/>
          <w:snapToGrid w:val="0"/>
          <w:sz w:val="24"/>
          <w:szCs w:val="24"/>
        </w:rPr>
      </w:pPr>
    </w:p>
    <w:p w:rsidR="00F14BAE" w:rsidRPr="00235645" w:rsidRDefault="00F14BAE" w:rsidP="005D1C4F">
      <w:pPr>
        <w:spacing w:after="100" w:afterAutospacing="1" w:line="240" w:lineRule="auto"/>
        <w:jc w:val="center"/>
        <w:rPr>
          <w:rFonts w:ascii="Times New Roman" w:hAnsi="Times New Roman" w:cs="Times New Roman"/>
          <w:b/>
          <w:bCs/>
          <w:sz w:val="28"/>
          <w:szCs w:val="28"/>
        </w:rPr>
      </w:pPr>
      <w:r w:rsidRPr="00235645">
        <w:rPr>
          <w:rFonts w:ascii="Times New Roman" w:hAnsi="Times New Roman" w:cs="Times New Roman"/>
          <w:b/>
          <w:bCs/>
          <w:sz w:val="28"/>
          <w:szCs w:val="28"/>
        </w:rPr>
        <w:t>Чрез подхода ВОДЕНО ОТ ОБЩНОСТИТЕ МЕСТНО РАЗВИТИЕ</w:t>
      </w:r>
    </w:p>
    <w:p w:rsidR="00F14BAE" w:rsidRPr="00235645" w:rsidRDefault="00F14BAE" w:rsidP="005D1C4F">
      <w:pPr>
        <w:spacing w:after="100" w:afterAutospacing="1" w:line="240" w:lineRule="auto"/>
        <w:jc w:val="center"/>
        <w:rPr>
          <w:rFonts w:ascii="Times New Roman" w:hAnsi="Times New Roman" w:cs="Times New Roman"/>
          <w:b/>
          <w:bCs/>
          <w:sz w:val="28"/>
          <w:szCs w:val="28"/>
        </w:rPr>
      </w:pPr>
    </w:p>
    <w:p w:rsidR="00F14BAE" w:rsidRPr="00911CF8" w:rsidRDefault="00F14BAE" w:rsidP="00911CF8">
      <w:pPr>
        <w:pStyle w:val="Heading3"/>
        <w:jc w:val="center"/>
        <w:rPr>
          <w:rFonts w:ascii="Times New Roman" w:eastAsia="Times New Roman" w:hAnsi="Times New Roman" w:cs="Times New Roman"/>
          <w:b/>
          <w:sz w:val="28"/>
          <w:szCs w:val="28"/>
        </w:rPr>
      </w:pPr>
    </w:p>
    <w:p w:rsidR="00911CF8" w:rsidRPr="00911CF8" w:rsidRDefault="00911CF8" w:rsidP="00911CF8">
      <w:pPr>
        <w:jc w:val="center"/>
        <w:rPr>
          <w:rFonts w:ascii="Times New Roman" w:hAnsi="Times New Roman" w:cs="Times New Roman"/>
          <w:b/>
          <w:sz w:val="28"/>
          <w:szCs w:val="28"/>
        </w:rPr>
      </w:pPr>
      <w:r w:rsidRPr="00911CF8">
        <w:rPr>
          <w:rFonts w:ascii="Times New Roman" w:hAnsi="Times New Roman" w:cs="Times New Roman"/>
          <w:b/>
          <w:sz w:val="28"/>
          <w:szCs w:val="28"/>
        </w:rPr>
        <w:t>Условия за изпълнение на проекти</w:t>
      </w:r>
    </w:p>
    <w:p w:rsidR="00911CF8" w:rsidRPr="00911CF8" w:rsidRDefault="00911CF8" w:rsidP="00911CF8">
      <w:pPr>
        <w:jc w:val="center"/>
        <w:rPr>
          <w:rFonts w:ascii="Times New Roman" w:hAnsi="Times New Roman" w:cs="Times New Roman"/>
          <w:b/>
          <w:sz w:val="28"/>
          <w:szCs w:val="28"/>
        </w:rPr>
      </w:pPr>
      <w:r w:rsidRPr="00911CF8">
        <w:rPr>
          <w:rFonts w:ascii="Times New Roman" w:hAnsi="Times New Roman" w:cs="Times New Roman"/>
          <w:b/>
          <w:sz w:val="28"/>
          <w:szCs w:val="28"/>
        </w:rPr>
        <w:t>BG14MFOP001-4.096</w:t>
      </w:r>
    </w:p>
    <w:p w:rsidR="00911CF8" w:rsidRPr="00911CF8" w:rsidRDefault="00911CF8" w:rsidP="00911CF8">
      <w:pPr>
        <w:jc w:val="center"/>
        <w:rPr>
          <w:rFonts w:ascii="Times New Roman" w:hAnsi="Times New Roman" w:cs="Times New Roman"/>
          <w:b/>
          <w:sz w:val="28"/>
          <w:szCs w:val="28"/>
        </w:rPr>
      </w:pPr>
      <w:r w:rsidRPr="00911CF8">
        <w:rPr>
          <w:rFonts w:ascii="Times New Roman" w:hAnsi="Times New Roman" w:cs="Times New Roman"/>
          <w:b/>
          <w:sz w:val="28"/>
          <w:szCs w:val="28"/>
        </w:rPr>
        <w:t>МИРГ „НЕСЕБЪР-МЕСЕМВРИЯ“</w:t>
      </w:r>
    </w:p>
    <w:p w:rsidR="00BA59E9" w:rsidRPr="00911CF8" w:rsidRDefault="00911CF8" w:rsidP="00911CF8">
      <w:pPr>
        <w:jc w:val="center"/>
        <w:rPr>
          <w:rFonts w:ascii="Times New Roman" w:hAnsi="Times New Roman" w:cs="Times New Roman"/>
          <w:b/>
          <w:sz w:val="28"/>
          <w:szCs w:val="28"/>
        </w:rPr>
      </w:pPr>
      <w:r w:rsidRPr="00911CF8">
        <w:rPr>
          <w:rFonts w:ascii="Times New Roman" w:hAnsi="Times New Roman" w:cs="Times New Roman"/>
          <w:b/>
          <w:sz w:val="28"/>
          <w:szCs w:val="28"/>
        </w:rPr>
        <w:t>Мярка 3.1 “Развитие на нови туристически продукти и атракции”</w:t>
      </w:r>
    </w:p>
    <w:p w:rsidR="00F14BAE" w:rsidRDefault="00F14BAE" w:rsidP="00BA59E9">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Default="00F14BAE" w:rsidP="00BA59E9">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Pr="00A908A8" w:rsidRDefault="00F14BAE" w:rsidP="004878BB">
      <w:pPr>
        <w:spacing w:after="0" w:line="360" w:lineRule="auto"/>
        <w:jc w:val="both"/>
        <w:rPr>
          <w:rFonts w:ascii="Times New Roman" w:hAnsi="Times New Roman" w:cs="Times New Roman"/>
          <w:b/>
          <w:bCs/>
          <w:sz w:val="24"/>
          <w:szCs w:val="24"/>
        </w:rPr>
      </w:pPr>
    </w:p>
    <w:p w:rsidR="00F14BAE" w:rsidRDefault="00F14BAE" w:rsidP="004878BB">
      <w:pPr>
        <w:pStyle w:val="1"/>
        <w:spacing w:before="0" w:line="360" w:lineRule="auto"/>
        <w:jc w:val="both"/>
        <w:rPr>
          <w:rFonts w:ascii="Times New Roman" w:hAnsi="Times New Roman"/>
          <w:sz w:val="24"/>
          <w:szCs w:val="24"/>
          <w:lang w:val="bg-BG"/>
        </w:rPr>
      </w:pPr>
    </w:p>
    <w:p w:rsidR="00F14BAE" w:rsidRDefault="00F14BAE" w:rsidP="004878BB">
      <w:pPr>
        <w:pStyle w:val="1"/>
        <w:spacing w:before="0" w:line="360" w:lineRule="auto"/>
        <w:jc w:val="both"/>
        <w:rPr>
          <w:rFonts w:ascii="Times New Roman" w:hAnsi="Times New Roman"/>
          <w:sz w:val="24"/>
          <w:szCs w:val="24"/>
          <w:lang w:val="bg-BG"/>
        </w:rPr>
      </w:pPr>
    </w:p>
    <w:p w:rsidR="00F14BAE" w:rsidRPr="00361FE2" w:rsidRDefault="00F14BAE" w:rsidP="004878BB">
      <w:pPr>
        <w:jc w:val="both"/>
      </w:pPr>
    </w:p>
    <w:p w:rsidR="00F14BAE" w:rsidRDefault="00F14BAE" w:rsidP="004878BB">
      <w:pPr>
        <w:pStyle w:val="1"/>
        <w:spacing w:before="0" w:line="360" w:lineRule="auto"/>
        <w:jc w:val="both"/>
        <w:rPr>
          <w:rFonts w:ascii="Times New Roman" w:hAnsi="Times New Roman"/>
          <w:sz w:val="24"/>
          <w:szCs w:val="24"/>
          <w:lang w:val="bg-BG"/>
        </w:rPr>
      </w:pPr>
    </w:p>
    <w:p w:rsidR="00F14BAE" w:rsidRDefault="00F14BAE" w:rsidP="004878BB">
      <w:pPr>
        <w:pStyle w:val="1"/>
        <w:spacing w:before="0" w:line="360" w:lineRule="auto"/>
        <w:jc w:val="both"/>
        <w:rPr>
          <w:rFonts w:ascii="Times New Roman" w:hAnsi="Times New Roman"/>
          <w:sz w:val="24"/>
          <w:szCs w:val="24"/>
          <w:lang w:val="bg-BG"/>
        </w:rPr>
      </w:pPr>
    </w:p>
    <w:p w:rsidR="00F14BAE" w:rsidRDefault="00F14BAE" w:rsidP="004878BB">
      <w:pPr>
        <w:pStyle w:val="1"/>
        <w:spacing w:before="0" w:line="360" w:lineRule="auto"/>
        <w:jc w:val="both"/>
        <w:rPr>
          <w:rFonts w:ascii="Times New Roman" w:hAnsi="Times New Roman"/>
          <w:sz w:val="24"/>
          <w:szCs w:val="24"/>
          <w:lang w:val="bg-BG"/>
        </w:rPr>
      </w:pPr>
    </w:p>
    <w:p w:rsidR="00BA59E9" w:rsidRDefault="00BA59E9" w:rsidP="004878BB">
      <w:pPr>
        <w:jc w:val="both"/>
      </w:pPr>
    </w:p>
    <w:p w:rsidR="00B91182" w:rsidRPr="00D97375" w:rsidRDefault="00B91182"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Съдържание</w:t>
      </w:r>
    </w:p>
    <w:p w:rsidR="00B91182" w:rsidRPr="00D97375" w:rsidRDefault="00B91182" w:rsidP="00C63AE6">
      <w:pPr>
        <w:spacing w:after="120"/>
        <w:jc w:val="both"/>
        <w:rPr>
          <w:rFonts w:ascii="Times New Roman" w:hAnsi="Times New Roman" w:cs="Times New Roman"/>
          <w:sz w:val="24"/>
          <w:szCs w:val="24"/>
        </w:rPr>
      </w:pPr>
    </w:p>
    <w:p w:rsidR="00B91182" w:rsidRPr="00D97375" w:rsidRDefault="00B91182"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1.</w:t>
      </w:r>
      <w:r w:rsidRPr="00D97375">
        <w:rPr>
          <w:rFonts w:ascii="Times New Roman" w:hAnsi="Times New Roman" w:cs="Times New Roman"/>
          <w:sz w:val="24"/>
          <w:szCs w:val="24"/>
        </w:rPr>
        <w:tab/>
        <w:t>Техническо изпълнение на проектите</w:t>
      </w:r>
      <w:r w:rsidRPr="00D97375">
        <w:rPr>
          <w:rFonts w:ascii="Times New Roman" w:hAnsi="Times New Roman" w:cs="Times New Roman"/>
          <w:sz w:val="24"/>
          <w:szCs w:val="24"/>
        </w:rPr>
        <w:tab/>
      </w:r>
      <w:r w:rsidRPr="009E7E8C">
        <w:rPr>
          <w:rFonts w:ascii="Times New Roman" w:hAnsi="Times New Roman" w:cs="Times New Roman"/>
          <w:sz w:val="24"/>
          <w:szCs w:val="24"/>
        </w:rPr>
        <w:tab/>
      </w:r>
      <w:r w:rsidRPr="009E7E8C">
        <w:rPr>
          <w:rFonts w:ascii="Times New Roman" w:hAnsi="Times New Roman" w:cs="Times New Roman"/>
          <w:sz w:val="24"/>
          <w:szCs w:val="24"/>
        </w:rPr>
        <w:tab/>
      </w:r>
      <w:r w:rsidRPr="00D97375">
        <w:rPr>
          <w:rFonts w:ascii="Times New Roman" w:hAnsi="Times New Roman" w:cs="Times New Roman"/>
          <w:sz w:val="24"/>
          <w:szCs w:val="24"/>
        </w:rPr>
        <w:t>3</w:t>
      </w:r>
    </w:p>
    <w:p w:rsidR="00B91182" w:rsidRPr="00D97375" w:rsidRDefault="00B91182"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2.</w:t>
      </w:r>
      <w:r w:rsidRPr="00D97375">
        <w:rPr>
          <w:rFonts w:ascii="Times New Roman" w:hAnsi="Times New Roman" w:cs="Times New Roman"/>
          <w:sz w:val="24"/>
          <w:szCs w:val="24"/>
        </w:rPr>
        <w:tab/>
        <w:t>Финансово изпълнение на проектите и плащане.</w:t>
      </w:r>
      <w:r w:rsidRPr="00D97375">
        <w:rPr>
          <w:rFonts w:ascii="Times New Roman" w:hAnsi="Times New Roman" w:cs="Times New Roman"/>
          <w:sz w:val="24"/>
          <w:szCs w:val="24"/>
        </w:rPr>
        <w:tab/>
        <w:t>10</w:t>
      </w:r>
    </w:p>
    <w:p w:rsidR="00B91182" w:rsidRPr="00D97375" w:rsidRDefault="00B91182"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3.</w:t>
      </w:r>
      <w:r w:rsidRPr="00D97375">
        <w:rPr>
          <w:rFonts w:ascii="Times New Roman" w:hAnsi="Times New Roman" w:cs="Times New Roman"/>
          <w:sz w:val="24"/>
          <w:szCs w:val="24"/>
        </w:rPr>
        <w:tab/>
        <w:t>Мерки за информиране и публичност</w:t>
      </w:r>
      <w:r w:rsidRPr="00D97375">
        <w:rPr>
          <w:rFonts w:ascii="Times New Roman" w:hAnsi="Times New Roman" w:cs="Times New Roman"/>
          <w:sz w:val="24"/>
          <w:szCs w:val="24"/>
        </w:rPr>
        <w:tab/>
      </w:r>
      <w:r w:rsidRPr="009E7E8C">
        <w:rPr>
          <w:rFonts w:ascii="Times New Roman" w:hAnsi="Times New Roman" w:cs="Times New Roman"/>
          <w:sz w:val="24"/>
          <w:szCs w:val="24"/>
        </w:rPr>
        <w:tab/>
      </w:r>
      <w:r w:rsidR="005D1C4F" w:rsidRPr="00D97375">
        <w:rPr>
          <w:rFonts w:ascii="Times New Roman" w:hAnsi="Times New Roman" w:cs="Times New Roman"/>
          <w:sz w:val="24"/>
          <w:szCs w:val="24"/>
        </w:rPr>
        <w:tab/>
      </w:r>
      <w:r w:rsidRPr="00D97375">
        <w:rPr>
          <w:rFonts w:ascii="Times New Roman" w:hAnsi="Times New Roman" w:cs="Times New Roman"/>
          <w:sz w:val="24"/>
          <w:szCs w:val="24"/>
        </w:rPr>
        <w:t>11</w:t>
      </w:r>
    </w:p>
    <w:p w:rsidR="00B91182" w:rsidRPr="00D97375" w:rsidRDefault="00B91182"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4.</w:t>
      </w:r>
      <w:r w:rsidRPr="009E7E8C">
        <w:rPr>
          <w:rFonts w:ascii="Times New Roman" w:hAnsi="Times New Roman" w:cs="Times New Roman"/>
          <w:sz w:val="24"/>
          <w:szCs w:val="24"/>
        </w:rPr>
        <w:tab/>
      </w:r>
      <w:r w:rsidRPr="00D97375">
        <w:rPr>
          <w:rFonts w:ascii="Times New Roman" w:hAnsi="Times New Roman" w:cs="Times New Roman"/>
          <w:sz w:val="24"/>
          <w:szCs w:val="24"/>
        </w:rPr>
        <w:t>Приложения към Условията за изпълнение:</w:t>
      </w:r>
      <w:r w:rsidRPr="00D97375">
        <w:rPr>
          <w:rFonts w:ascii="Times New Roman" w:hAnsi="Times New Roman" w:cs="Times New Roman"/>
          <w:sz w:val="24"/>
          <w:szCs w:val="24"/>
        </w:rPr>
        <w:tab/>
      </w:r>
      <w:r w:rsidRPr="009E7E8C">
        <w:rPr>
          <w:rFonts w:ascii="Times New Roman" w:hAnsi="Times New Roman" w:cs="Times New Roman"/>
          <w:sz w:val="24"/>
          <w:szCs w:val="24"/>
        </w:rPr>
        <w:tab/>
      </w:r>
      <w:r w:rsidR="00131A8D">
        <w:rPr>
          <w:rFonts w:ascii="Times New Roman" w:hAnsi="Times New Roman" w:cs="Times New Roman"/>
          <w:sz w:val="24"/>
          <w:szCs w:val="24"/>
        </w:rPr>
        <w:t>12</w:t>
      </w: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sz w:val="24"/>
          <w:szCs w:val="24"/>
        </w:rPr>
      </w:pPr>
    </w:p>
    <w:p w:rsidR="00BA59E9" w:rsidRPr="00C63AE6" w:rsidRDefault="00BA59E9" w:rsidP="00C63AE6">
      <w:pPr>
        <w:spacing w:after="120"/>
        <w:jc w:val="both"/>
        <w:rPr>
          <w:rFonts w:ascii="Times New Roman" w:hAnsi="Times New Roman" w:cs="Times New Roman"/>
          <w:sz w:val="24"/>
          <w:szCs w:val="24"/>
        </w:rPr>
      </w:pPr>
    </w:p>
    <w:p w:rsidR="00B91182" w:rsidRPr="00C63AE6" w:rsidRDefault="00B91182" w:rsidP="00C63AE6">
      <w:pPr>
        <w:spacing w:after="120"/>
        <w:jc w:val="both"/>
        <w:rPr>
          <w:rFonts w:ascii="Times New Roman" w:hAnsi="Times New Roman" w:cs="Times New Roman"/>
          <w:b/>
          <w:sz w:val="24"/>
          <w:szCs w:val="24"/>
        </w:rPr>
      </w:pPr>
      <w:r w:rsidRPr="00C63AE6">
        <w:rPr>
          <w:rFonts w:ascii="Times New Roman" w:hAnsi="Times New Roman" w:cs="Times New Roman"/>
          <w:b/>
          <w:sz w:val="24"/>
          <w:szCs w:val="24"/>
        </w:rPr>
        <w:t>1.Техническо изпълнение на проектите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lastRenderedPageBreak/>
        <w:t>ВАЖНО!</w:t>
      </w:r>
      <w:r w:rsidRPr="00C63AE6">
        <w:rPr>
          <w:rFonts w:ascii="Times New Roman" w:hAnsi="Times New Roman" w:cs="Times New Roman"/>
          <w:sz w:val="24"/>
          <w:szCs w:val="24"/>
        </w:rPr>
        <w:t xml:space="preserve"> След подписване на административен договор за предоставяне на безвъзмездна финансова помощ бенефициентът следва в срок до 6 месеца да има избран изпълнител и сключен с него договор за предвидените дейности, както и да е започнало изпълнението на проекта.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 Бизнес плана към Условията за кандидатстване и времевия график за изпълнение на проекта във Формуляра за кандидатстване.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срок до 20 работни дни от датата на получаването на документацията по проведения избор, УО на ПМДР извършва последващия контрол за законосъобразност на проведените процедури.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Бенефициентът трябва да представи чрез ИСУН 2020 мотивирано искане до УО на ПМДР за сключване на допълнително споразумение към административния договор за предоставяне на безвъзмездна финансова помощ във връзка с избор на изпълнители.</w:t>
      </w:r>
    </w:p>
    <w:p w:rsidR="00B91182" w:rsidRPr="00C63AE6" w:rsidRDefault="00B91182" w:rsidP="00C63AE6">
      <w:pPr>
        <w:spacing w:after="120"/>
        <w:jc w:val="both"/>
        <w:rPr>
          <w:rFonts w:ascii="Times New Roman" w:hAnsi="Times New Roman" w:cs="Times New Roman"/>
          <w:b/>
          <w:sz w:val="24"/>
          <w:szCs w:val="24"/>
        </w:rPr>
      </w:pPr>
      <w:r w:rsidRPr="00C63AE6">
        <w:rPr>
          <w:rFonts w:ascii="Times New Roman" w:hAnsi="Times New Roman" w:cs="Times New Roman"/>
          <w:b/>
          <w:sz w:val="24"/>
          <w:szCs w:val="24"/>
        </w:rPr>
        <w:t>1.1. Бенефициентите, възложители съгласно Закона за обществените поръчки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Бенефициентите, възложители съгласно Закона за обществените поръчки, са длъжни да провеждат обществени поръчки за избор на изпълнител/и на дейностите по проекта след сключване на административния договор с изключение на обществените поръчки за избор на изпълнител/и за разходи допустими за финансиране, извършени от кандидата преди подаването на формуляра за кандидатстване по програмата, но не по-рано от 01.01.2014 г.,  съгласно раздел 14. от Условията за кандидатстване..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УО осъществява последващ контрол на проведената/ите от бенефициентите процедура/и за възлагане на обществена поръчка на етап сключен от бенефициента договор с избрания изпълнител.</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свързана с провеждането на обществената поръчка, като задължително го уведомява за това чрез модул „Комуникация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предоставена само по искане на УО на ПМДР.</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w:t>
      </w:r>
      <w:r w:rsidRPr="00C63AE6">
        <w:rPr>
          <w:rFonts w:ascii="Times New Roman" w:hAnsi="Times New Roman" w:cs="Times New Roman"/>
          <w:sz w:val="24"/>
          <w:szCs w:val="24"/>
        </w:rPr>
        <w:lastRenderedPageBreak/>
        <w:t>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 случай на установяване на нередности по смисъла на чл. 2, т. 36 и 38 от Регламент (ЕС) № 1303/2013 в проведената процедура, УО на ПМДР налага финансова корекция по реда на чл.</w:t>
      </w:r>
      <w:r w:rsidR="00BA59E9" w:rsidRPr="00C63AE6">
        <w:rPr>
          <w:rFonts w:ascii="Times New Roman" w:hAnsi="Times New Roman" w:cs="Times New Roman"/>
          <w:sz w:val="24"/>
          <w:szCs w:val="24"/>
        </w:rPr>
        <w:t xml:space="preserve"> </w:t>
      </w:r>
      <w:r w:rsidRPr="00C63AE6">
        <w:rPr>
          <w:rFonts w:ascii="Times New Roman" w:hAnsi="Times New Roman" w:cs="Times New Roman"/>
          <w:sz w:val="24"/>
          <w:szCs w:val="24"/>
        </w:rPr>
        <w:t>70 и следващите от ЗУСЕСИФ.</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договори за безвъзмездна финансова помощ (Приложение № 9).</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установени в акта по чл. 69, ал. 6 от ЗУСЕСИФ - Наредбата за администриране на нередности по Европейските структурни и инвестиционни фондове, приета с Постановление № 173 на Министерския съвет от 2016 г. (ДВ, бр. 57 от 2016г.) и съобразно подписаната от него Декларация за нередности по образец.</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1.2. Бенефициентите, възложители съгласно Постановление № 160 на Министерския съвет от 2016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Бенефициентите могат да провеждат процедури за избор на изпълнител по следния ред:</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 xml:space="preserve">А. „Процедура за избор с публична покана“ по реда на Постановление № 160 на Министерския съвет от 2016 г. </w:t>
      </w:r>
      <w:r w:rsidRPr="00C63AE6">
        <w:rPr>
          <w:rFonts w:ascii="Times New Roman" w:hAnsi="Times New Roman" w:cs="Times New Roman"/>
          <w:sz w:val="24"/>
          <w:szCs w:val="24"/>
        </w:rPr>
        <w:t>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 (обн., ДВ, бр. 52 от 2016 г.) (ПМС № 160 от 2016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ВАЖНО!!!</w:t>
      </w:r>
      <w:r w:rsidRPr="00C63AE6">
        <w:rPr>
          <w:rFonts w:ascii="Times New Roman" w:hAnsi="Times New Roman" w:cs="Times New Roman"/>
          <w:sz w:val="24"/>
          <w:szCs w:val="24"/>
        </w:rPr>
        <w:t xml:space="preserve"> При провеждане на процедури за избор на изпълнител бенефициентите следва да прилагат Указание на УО на ПМДР на ПМС 160/2016 г., одобрено с докладна записка 93-3936 от 30.07.2020</w:t>
      </w:r>
      <w:r w:rsidR="009865EE" w:rsidRPr="00C63AE6">
        <w:rPr>
          <w:rFonts w:ascii="Times New Roman" w:hAnsi="Times New Roman" w:cs="Times New Roman"/>
          <w:sz w:val="24"/>
          <w:szCs w:val="24"/>
        </w:rPr>
        <w:t xml:space="preserve"> г</w:t>
      </w:r>
      <w:r w:rsidRPr="00C63AE6">
        <w:rPr>
          <w:rFonts w:ascii="Times New Roman" w:hAnsi="Times New Roman" w:cs="Times New Roman"/>
          <w:sz w:val="24"/>
          <w:szCs w:val="24"/>
        </w:rPr>
        <w:t xml:space="preserve">.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Същото може да бъде намерено на следния интернет адрес: </w:t>
      </w:r>
      <w:hyperlink r:id="rId8" w:history="1">
        <w:r w:rsidR="009865EE" w:rsidRPr="00C63AE6">
          <w:rPr>
            <w:rStyle w:val="Hyperlink"/>
            <w:rFonts w:ascii="Times New Roman" w:hAnsi="Times New Roman"/>
            <w:sz w:val="24"/>
            <w:szCs w:val="24"/>
          </w:rPr>
          <w:t>https://www.eufunds.bg/bg/pmdr/node/5313</w:t>
        </w:r>
      </w:hyperlink>
      <w:r w:rsidR="009865EE" w:rsidRPr="00C63AE6">
        <w:rPr>
          <w:rFonts w:ascii="Times New Roman" w:hAnsi="Times New Roman" w:cs="Times New Roman"/>
          <w:sz w:val="24"/>
          <w:szCs w:val="24"/>
        </w:rPr>
        <w:t xml:space="preserve"> </w:t>
      </w:r>
      <w:r w:rsidRPr="00C63AE6">
        <w:rPr>
          <w:rFonts w:ascii="Times New Roman" w:hAnsi="Times New Roman" w:cs="Times New Roman"/>
          <w:sz w:val="24"/>
          <w:szCs w:val="24"/>
        </w:rPr>
        <w:t>.</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 Когато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Съгласно чл. 50, ал. 2 и 3 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 и когато прогнозната стойност за: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строителство, в т. ч. съфинансирането от страна на бенефициента, без данък върху добавената стойност, е равна или по-висока от 50 000 лв.;</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доставки или услуги, в т. ч. съфинансирането от страна на бенефициента, без данък върху добавената стойност, е равна или по-висока от 30 000 лв.</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Кандидатите, за изпълнители на дейностите, посочени в публичната покана следва да отговарят на следните две кумулативни изисквания:</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 </w:t>
      </w:r>
      <w:r w:rsidR="00935F73" w:rsidRPr="00C63AE6">
        <w:rPr>
          <w:rFonts w:ascii="Times New Roman" w:hAnsi="Times New Roman" w:cs="Times New Roman"/>
          <w:sz w:val="24"/>
          <w:szCs w:val="24"/>
        </w:rPr>
        <w:t>наличие на опит в осъществяването на дейност,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съгласно чл. 3 от ПМС № 160 от 2016 г. Списъкът следва да съдържа минимум следната информация: дата, страни, предмет, стойност на договора/ите, да е придружен от препоръки/референции за добро изпълнение и подпис на лицето, което е законен представител на кандидата;</w:t>
      </w:r>
    </w:p>
    <w:p w:rsidR="00637BAF" w:rsidRPr="009E7E8C"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общият оборот и/или за оборота, който се отнася до предмета на поръчката да е най-много за последните 3 приключили финансови години, в зависимост от датата, на която кандидатът е учреден или е започнал дейността си, при спазване разпоредбите на чл. 3 от ПМС № 160 от 01.07.2016 г. Изискването за специфичен оборот се доказва от оферента със справка-декларация, подписана от законния представител на кандидата. Справката трябва да е придружена от Отчет за приходите и разходите за съответните приключили финансови години, в зависимост от датата на която кандидатът е учреден или започнал дейността си</w:t>
      </w:r>
      <w:r w:rsidR="00935F73" w:rsidRPr="00C63AE6">
        <w:rPr>
          <w:rFonts w:ascii="Times New Roman" w:hAnsi="Times New Roman" w:cs="Times New Roman"/>
          <w:sz w:val="24"/>
          <w:szCs w:val="24"/>
        </w:rPr>
        <w:t>.</w:t>
      </w:r>
      <w:r w:rsidRPr="00C63AE6">
        <w:rPr>
          <w:rFonts w:ascii="Times New Roman" w:hAnsi="Times New Roman" w:cs="Times New Roman"/>
          <w:sz w:val="24"/>
          <w:szCs w:val="24"/>
        </w:rPr>
        <w:t xml:space="preserve"> Ако отчетите за приходите и разходите са публично обявени, се извършва справка в съответния регистър. </w:t>
      </w:r>
    </w:p>
    <w:p w:rsidR="00B91182" w:rsidRPr="009E7E8C" w:rsidRDefault="00637BAF"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Тези изисквания са кумулативни и кандидатите за изпълнители, трябва да отговарят задължително на тях.</w:t>
      </w:r>
      <w:bookmarkStart w:id="0" w:name="_GoBack"/>
    </w:p>
    <w:bookmarkEnd w:id="0"/>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5D0041"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w:t>
      </w:r>
      <w:r w:rsidR="00072469">
        <w:rPr>
          <w:rFonts w:ascii="Times New Roman" w:hAnsi="Times New Roman" w:cs="Times New Roman"/>
          <w:sz w:val="24"/>
          <w:szCs w:val="24"/>
        </w:rPr>
        <w:t>и не може да бъде</w:t>
      </w:r>
      <w:r w:rsidRPr="00C63AE6">
        <w:rPr>
          <w:rFonts w:ascii="Times New Roman" w:hAnsi="Times New Roman" w:cs="Times New Roman"/>
          <w:sz w:val="24"/>
          <w:szCs w:val="24"/>
        </w:rPr>
        <w:t xml:space="preserve"> по-кратък от 21 дни от публикуването на поканата</w:t>
      </w:r>
      <w:r w:rsidR="00072469">
        <w:rPr>
          <w:rFonts w:ascii="Times New Roman" w:hAnsi="Times New Roman" w:cs="Times New Roman"/>
          <w:sz w:val="24"/>
          <w:szCs w:val="24"/>
        </w:rPr>
        <w:t xml:space="preserve"> – за </w:t>
      </w:r>
      <w:proofErr w:type="spellStart"/>
      <w:r w:rsidR="00072469">
        <w:rPr>
          <w:rFonts w:ascii="Times New Roman" w:hAnsi="Times New Roman" w:cs="Times New Roman"/>
          <w:sz w:val="24"/>
          <w:szCs w:val="24"/>
        </w:rPr>
        <w:t>стоително</w:t>
      </w:r>
      <w:proofErr w:type="spellEnd"/>
      <w:r w:rsidR="00072469">
        <w:rPr>
          <w:rFonts w:ascii="Times New Roman" w:hAnsi="Times New Roman" w:cs="Times New Roman"/>
          <w:sz w:val="24"/>
          <w:szCs w:val="24"/>
        </w:rPr>
        <w:t xml:space="preserve">-монтажни работи и разходи за закупуване на </w:t>
      </w:r>
      <w:r w:rsidR="00072469">
        <w:rPr>
          <w:rFonts w:ascii="Times New Roman" w:hAnsi="Times New Roman" w:cs="Times New Roman"/>
          <w:sz w:val="24"/>
          <w:szCs w:val="24"/>
        </w:rPr>
        <w:lastRenderedPageBreak/>
        <w:t>оборудване по индивидуално технологично/техническо задание. За всички останали разходи за доставки и услуги</w:t>
      </w:r>
      <w:r w:rsidR="005D0041">
        <w:rPr>
          <w:rFonts w:ascii="Times New Roman" w:hAnsi="Times New Roman" w:cs="Times New Roman"/>
          <w:sz w:val="24"/>
          <w:szCs w:val="24"/>
        </w:rPr>
        <w:t>,</w:t>
      </w:r>
      <w:r w:rsidR="00072469">
        <w:rPr>
          <w:rFonts w:ascii="Times New Roman" w:hAnsi="Times New Roman" w:cs="Times New Roman"/>
          <w:sz w:val="24"/>
          <w:szCs w:val="24"/>
        </w:rPr>
        <w:t xml:space="preserve"> к</w:t>
      </w:r>
      <w:r w:rsidR="00072469" w:rsidRPr="00072469">
        <w:rPr>
          <w:rFonts w:ascii="Times New Roman" w:hAnsi="Times New Roman" w:cs="Times New Roman"/>
          <w:sz w:val="24"/>
          <w:szCs w:val="24"/>
        </w:rPr>
        <w:t>райният срок за подаване на офертите в процедурата не може да бъде по-кратък от 7 дни от публикуването на поканата.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с публична покана. Задължително се представят посочените документи в Приложение № 16 „Документи за осъществяване на последващ контрол на проведена процедура „Избор с публична покана“ по чл. 50, ал. 1 от ЗУСЕСИФ и ПМС № 160 от 2016 г.“.</w:t>
      </w:r>
      <w:r w:rsidRPr="00C63AE6">
        <w:rPr>
          <w:rFonts w:ascii="Times New Roman" w:hAnsi="Times New Roman" w:cs="Times New Roman"/>
          <w:sz w:val="24"/>
          <w:szCs w:val="24"/>
        </w:rPr>
        <w:tab/>
      </w:r>
    </w:p>
    <w:p w:rsidR="00B91182" w:rsidRPr="00C63AE6" w:rsidRDefault="00B91182" w:rsidP="00C63AE6">
      <w:pPr>
        <w:spacing w:after="120"/>
        <w:jc w:val="both"/>
        <w:rPr>
          <w:rFonts w:ascii="Times New Roman" w:hAnsi="Times New Roman" w:cs="Times New Roman"/>
          <w:b/>
          <w:sz w:val="24"/>
          <w:szCs w:val="24"/>
        </w:rPr>
      </w:pPr>
      <w:r w:rsidRPr="00C63AE6">
        <w:rPr>
          <w:rFonts w:ascii="Times New Roman" w:hAnsi="Times New Roman" w:cs="Times New Roman"/>
          <w:b/>
          <w:sz w:val="24"/>
          <w:szCs w:val="24"/>
        </w:rPr>
        <w:t xml:space="preserve">Б. Избор на изпълнител „Чрез представяне на поне две съпоставими, независими и конкурентни оферти“: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когато прогнозната стойност е за: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строителство, в т. ч. съфинансирането от страна на бенефициента, без данък върху добавената стойност, е по-малка от 50 000 лв.;</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BD362E"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този случай Бенефициентите предоставят поне две съпоставими, независими и конкурентни оферти, към които могат да бъдат прилагани официални каталози от производители/оторизирани доставчици, съдържащи цена, характеристика/функционал-ност/описание, които не противоречат на заложените в одобрения проект.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регистърът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ВАЖНО: „Независими оферти“</w:t>
      </w:r>
      <w:r w:rsidRPr="00C63AE6">
        <w:rPr>
          <w:rFonts w:ascii="Times New Roman" w:hAnsi="Times New Roman" w:cs="Times New Roman"/>
          <w:sz w:val="24"/>
          <w:szCs w:val="24"/>
        </w:rPr>
        <w:t xml:space="preserve"> са 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w:t>
      </w:r>
      <w:r w:rsidRPr="00C63AE6">
        <w:rPr>
          <w:rFonts w:ascii="Times New Roman" w:hAnsi="Times New Roman" w:cs="Times New Roman"/>
          <w:sz w:val="24"/>
          <w:szCs w:val="24"/>
        </w:rPr>
        <w:lastRenderedPageBreak/>
        <w:t>офертата на друг кандидат, не може да представя самостоятелна оферта. Едно физическо или юридическо лице може да участва само в едно обединение.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„Официален каталог“</w:t>
      </w:r>
      <w:r w:rsidRPr="00C63AE6">
        <w:rPr>
          <w:rFonts w:ascii="Times New Roman" w:hAnsi="Times New Roman" w:cs="Times New Roman"/>
          <w:sz w:val="24"/>
          <w:szCs w:val="24"/>
        </w:rPr>
        <w:t xml:space="preserve"> е продуктов каталог издаден от производител, официален представител на производителя или от официален вносител, който е публичен и общо приложим към всички партньори/клиенти, т.е. не е създаден за целите на конкретната подадена оферта.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Оферентите следва да отговарят на следните две кумулативни условия:</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 </w:t>
      </w:r>
      <w:r w:rsidR="00404295" w:rsidRPr="00C63AE6">
        <w:rPr>
          <w:rFonts w:ascii="Times New Roman" w:hAnsi="Times New Roman" w:cs="Times New Roman"/>
          <w:sz w:val="24"/>
          <w:szCs w:val="24"/>
        </w:rPr>
        <w:t xml:space="preserve">- </w:t>
      </w:r>
      <w:r w:rsidRPr="00C63AE6">
        <w:rPr>
          <w:rFonts w:ascii="Times New Roman" w:hAnsi="Times New Roman" w:cs="Times New Roman"/>
          <w:sz w:val="24"/>
          <w:szCs w:val="24"/>
        </w:rPr>
        <w:t>предметът на дейност на оферента да е идентичен или сходен с посочената в офертата доставка</w:t>
      </w:r>
      <w:r w:rsidR="00404295" w:rsidRPr="00C63AE6">
        <w:rPr>
          <w:rFonts w:ascii="Times New Roman" w:hAnsi="Times New Roman" w:cs="Times New Roman"/>
          <w:sz w:val="24"/>
          <w:szCs w:val="24"/>
        </w:rPr>
        <w:t>,</w:t>
      </w:r>
      <w:r w:rsidRPr="00C63AE6">
        <w:rPr>
          <w:rFonts w:ascii="Times New Roman" w:hAnsi="Times New Roman" w:cs="Times New Roman"/>
          <w:sz w:val="24"/>
          <w:szCs w:val="24"/>
        </w:rPr>
        <w:t xml:space="preserve"> услуга</w:t>
      </w:r>
      <w:r w:rsidR="00404295" w:rsidRPr="00C63AE6">
        <w:rPr>
          <w:rFonts w:ascii="Times New Roman" w:hAnsi="Times New Roman" w:cs="Times New Roman"/>
          <w:sz w:val="24"/>
          <w:szCs w:val="24"/>
        </w:rPr>
        <w:t xml:space="preserve"> или строителство</w:t>
      </w:r>
      <w:r w:rsidRPr="00C63AE6">
        <w:rPr>
          <w:rFonts w:ascii="Times New Roman" w:hAnsi="Times New Roman" w:cs="Times New Roman"/>
          <w:sz w:val="24"/>
          <w:szCs w:val="24"/>
        </w:rPr>
        <w:t>. Това изискване се доказва от оферента със списък на договорите с предмет идентичен или сходен с посочената в офертата доставка</w:t>
      </w:r>
      <w:r w:rsidR="00BD362E" w:rsidRPr="00C63AE6">
        <w:rPr>
          <w:rFonts w:ascii="Times New Roman" w:hAnsi="Times New Roman" w:cs="Times New Roman"/>
          <w:sz w:val="24"/>
          <w:szCs w:val="24"/>
        </w:rPr>
        <w:t xml:space="preserve">, </w:t>
      </w:r>
      <w:r w:rsidRPr="00C63AE6">
        <w:rPr>
          <w:rFonts w:ascii="Times New Roman" w:hAnsi="Times New Roman" w:cs="Times New Roman"/>
          <w:sz w:val="24"/>
          <w:szCs w:val="24"/>
        </w:rPr>
        <w:t>услуга</w:t>
      </w:r>
      <w:r w:rsidR="00404295" w:rsidRPr="00C63AE6">
        <w:rPr>
          <w:rFonts w:ascii="Times New Roman" w:hAnsi="Times New Roman" w:cs="Times New Roman"/>
          <w:sz w:val="24"/>
          <w:szCs w:val="24"/>
        </w:rPr>
        <w:t xml:space="preserve"> или строителство</w:t>
      </w:r>
      <w:r w:rsidRPr="00C63AE6">
        <w:rPr>
          <w:rFonts w:ascii="Times New Roman" w:hAnsi="Times New Roman" w:cs="Times New Roman"/>
          <w:sz w:val="24"/>
          <w:szCs w:val="24"/>
        </w:rPr>
        <w:t xml:space="preserve">,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w:t>
      </w:r>
      <w:r w:rsidR="00404295" w:rsidRPr="00C63AE6">
        <w:rPr>
          <w:rFonts w:ascii="Times New Roman" w:hAnsi="Times New Roman" w:cs="Times New Roman"/>
          <w:sz w:val="24"/>
          <w:szCs w:val="24"/>
        </w:rPr>
        <w:t xml:space="preserve">. </w:t>
      </w:r>
      <w:r w:rsidRPr="00C63AE6">
        <w:rPr>
          <w:rFonts w:ascii="Times New Roman" w:hAnsi="Times New Roman" w:cs="Times New Roman"/>
          <w:sz w:val="24"/>
          <w:szCs w:val="24"/>
        </w:rPr>
        <w:t>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Ако отчетите за приходите и разходите са публично обявени, се извършва справка в съответния регистър.</w:t>
      </w:r>
    </w:p>
    <w:p w:rsidR="00D04782" w:rsidRPr="00C63AE6" w:rsidRDefault="00D04782" w:rsidP="00C63AE6">
      <w:pPr>
        <w:spacing w:after="120" w:line="259" w:lineRule="auto"/>
        <w:jc w:val="both"/>
        <w:rPr>
          <w:rFonts w:ascii="Times New Roman" w:hAnsi="Times New Roman" w:cs="Times New Roman"/>
          <w:color w:val="000000" w:themeColor="text1"/>
          <w:sz w:val="24"/>
          <w:szCs w:val="24"/>
        </w:rPr>
      </w:pPr>
      <w:r w:rsidRPr="00C63AE6">
        <w:rPr>
          <w:rFonts w:ascii="Times New Roman" w:hAnsi="Times New Roman" w:cs="Times New Roman"/>
          <w:color w:val="000000" w:themeColor="text1"/>
          <w:sz w:val="24"/>
          <w:szCs w:val="24"/>
        </w:rPr>
        <w:t xml:space="preserve">Тези изисквания са кумулативни и кандидатите за изпълнители, трябва да отговарят задължително на тях. В случай, че 2-те </w:t>
      </w:r>
      <w:proofErr w:type="spellStart"/>
      <w:r w:rsidRPr="00C63AE6">
        <w:rPr>
          <w:rFonts w:ascii="Times New Roman" w:hAnsi="Times New Roman" w:cs="Times New Roman"/>
          <w:color w:val="000000" w:themeColor="text1"/>
          <w:sz w:val="24"/>
          <w:szCs w:val="24"/>
        </w:rPr>
        <w:t>комулативни</w:t>
      </w:r>
      <w:proofErr w:type="spellEnd"/>
      <w:r w:rsidRPr="00C63AE6">
        <w:rPr>
          <w:rFonts w:ascii="Times New Roman" w:hAnsi="Times New Roman" w:cs="Times New Roman"/>
          <w:color w:val="000000" w:themeColor="text1"/>
          <w:sz w:val="24"/>
          <w:szCs w:val="24"/>
        </w:rPr>
        <w:t xml:space="preserve"> условия не са изпълнени Управляващият орган на ПМДР няма да одобри БФП за съответния разход.</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 строителство, оферентите следва да имат право да извършват такава дейност и да са вписани в съответните регистри на държавата, в която са регистрирани/установени.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на изпълнител „Чрез представяне на поне две съпоставими независими оферти“ като задължително го уведомява за това чрез модул „Кореспонденция“. В този случай бенефициентът представя на УО на ПМДР, чрез ИСУН 2020, минимум следните документи: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 xml:space="preserve">- събраните поне 2 оферти;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 обосновка в свободен текст за направения избор на база на събраните оферти;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документите доказващи, че оферентът отговаря на кумулативните изисквания, посочени по-горе.;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сключен договор, предметът и параметрите на който трябва да съответстват на избраната оферта.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случай на необходимост, УО на ПМДР изисква от бенефициента допълнителни документи/информация и разяснения във връзка с представената документация, по процедурите по букви А и Б. Искането за разяснение се изпраща чрез ИСУН 2020 посредством електронния профил на бенефициента.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 и документи могат да бъдат предоставени само по искане на УО на ПМДР.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Когато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ще се произнесе на база на наличната представена документация от проведения избор за изпълнител/и.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случай на установена нередност по смисъла на чл. 2, т. 36 и 38 от Регламент (ЕС) № 1303/2013 в проведената процедура, УО на ПМДР налага финансова корекция по реда на чл.70 и следващите от ЗУСЕСИФ.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8) и Общите условия към финансираните по процедурата административни договори за предоставяне на безвъзмездна финансова помощ (Приложение № 9).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На основание чл. 69, ал. 6 от ЗУСЕСИФ, във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 на Наредбата за администриране на нередности по Европейските структурни и инвестиционни фондове, приета с Постановление № 173 на Министерския съвет от 2016 г. (обн., ДВ, бр. 57 от 2016г.) и съобразно подписаната от него Декларация за нередности по образец.</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w:t>
      </w:r>
      <w:r w:rsidR="000701A5" w:rsidRPr="00C63AE6">
        <w:rPr>
          <w:rFonts w:ascii="Times New Roman" w:hAnsi="Times New Roman" w:cs="Times New Roman"/>
          <w:sz w:val="24"/>
          <w:szCs w:val="24"/>
        </w:rPr>
        <w:t xml:space="preserve"> и раздел VIII от Общите условия.</w:t>
      </w:r>
      <w:r w:rsidRPr="00C63AE6">
        <w:rPr>
          <w:rFonts w:ascii="Times New Roman" w:hAnsi="Times New Roman" w:cs="Times New Roman"/>
          <w:sz w:val="24"/>
          <w:szCs w:val="24"/>
        </w:rPr>
        <w:t xml:space="preserve">. </w:t>
      </w:r>
      <w:r w:rsidRPr="00C63AE6">
        <w:rPr>
          <w:rFonts w:ascii="Times New Roman" w:hAnsi="Times New Roman" w:cs="Times New Roman"/>
          <w:sz w:val="24"/>
          <w:szCs w:val="24"/>
        </w:rPr>
        <w:lastRenderedPageBreak/>
        <w:t xml:space="preserve">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Съгласно правилата на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 от 20 декември 2013г.) (Регламент (ЕС) № 1303/2013) и Споразумението за делегиране на функции от УО на ПМДР на Междинното звено /МЗ/ - Държавен фонд „Земеделие“ – Разплащателна агенция (ДФЗ-РА), последното следва да извърши проверки за удостоверяване на административните, финансовите, техническите и физическите аспекти от изпълнението на одобрените проекти. Проверките могат да бъдат както административни – проверка на документи, така и проверки на място за изпълнение на дейностите, заложени по одобрения проект.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Бенефициентът следва в срок от 10 дни преди провеждане на информационна кампания да уведоми УО на ПМДР, за да бъде планирано посещение на място.</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Управляващият орган на ПМДР извършва задължителни проверки преди подписване на договори и мониторингови проверки на изпълнените проекти на база извадка (проверките са административни и проверки на място).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Междинното звено – ДФЗ-РА извършва административни проверки и проверки на място преди плащане по реда установен в Общите условия към административните договори за предоставяне на безвъзмездна финансова помощ. МИРГ извършва мониторинг на изпълнението на стратегията за ВОМР и предоставя на УО на ПМДР данните за резултатите от извършените проверки. УО (чрез ДФЗ-РА, съгласно делегираните функции) по своя преценка и на база оценка на риска може да извършва допълнителни проверки на изпълнението на проектните приложения по съответния прием.</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 подаване на искане за междинно/окончателно плащане бенефициентът предоставя чрез ИСУН 2020 и междинен/финален отчет за изпълнението на проекта, ДФЗ-РА ще извършва задължителни проверки. В случай че бъдат констатирани несъответствия, разходите за съответните дейности няма да бъдат признати, като ще бъдат прилагани съответни европейски и национални норми.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и проверяващи институции с цел извършването на проверка на място на резултатите от изпълнението на проекта.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 xml:space="preserve">Бенефициентът е задължен да докладва и отчита изпълнението на проекта в съответните отчетни форми и документи чрез ИСУН 2020.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 случай на неизпълнение на индикаторите за резултати, заложени в проектното предложение, на бенефициента могат да бъдат наложени финансови корекции съгласно разпоредбите на Наредбата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приета с ПМС № 57 от 28 март 2017г.  (обн., ДВ, бр. 57 от 2017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2.</w:t>
      </w:r>
      <w:r w:rsidRPr="00C63AE6">
        <w:rPr>
          <w:rFonts w:ascii="Times New Roman" w:hAnsi="Times New Roman" w:cs="Times New Roman"/>
          <w:sz w:val="24"/>
          <w:szCs w:val="24"/>
        </w:rPr>
        <w:tab/>
        <w:t>Финансово изпълнение на проектите и плащане.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  – т.е. разходите не могат да бъдат заявявани и за тях не може да бъде предоставена безвъзмездна финансова помощ, вкл. по други проекти и по други програми.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Бенефициентът е задължен да поддържа отделни счетоводни аналитични сметка/подсметка или отделна счетоводна система за допустимите разходи по проекта/ите и използването на средствата от безвъзмездната финансова помощ, съгласно изискванията на чл. 57, ал. 1, т.5 от ЗУСЕСИФ.</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Максималният размер на безвъзмездната финансова помощ задължително се посочва в административния договор за предоставяне на безвъзмездна финансова помощ. Този размер се основава на бюджета, формиран на база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максимален,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Кандидатите следва да вземат под внимание Указание на УО на ПМДР за регламентиране и отчитане на възнагражденията на екипите за изпълнение на проекти, което е публикувано и може да бъде намерено на следния интернет адрес: </w:t>
      </w:r>
      <w:hyperlink r:id="rId9" w:history="1">
        <w:r w:rsidR="000701A5" w:rsidRPr="00C63AE6">
          <w:rPr>
            <w:rStyle w:val="Hyperlink"/>
            <w:rFonts w:ascii="Times New Roman" w:hAnsi="Times New Roman"/>
            <w:sz w:val="24"/>
            <w:szCs w:val="24"/>
          </w:rPr>
          <w:t>https://www.eufunds.bg/bg/pmdr/node/5279</w:t>
        </w:r>
      </w:hyperlink>
      <w:r w:rsidR="000701A5" w:rsidRPr="00C63AE6">
        <w:rPr>
          <w:rFonts w:ascii="Times New Roman" w:hAnsi="Times New Roman" w:cs="Times New Roman"/>
          <w:sz w:val="24"/>
          <w:szCs w:val="24"/>
        </w:rPr>
        <w:t>.</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Недопустими са промени в бюджета на одобрения проект, водещи до увеличаване на първоначално договорения процент и размер на безвъзмездната финансова помощ по договора.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Във връзка с разпоредбите на чл. 4, т. 3 от Регламент (ЕО, ЕВРАТОМ) No 2988/95 на Съвета от 18 декември 1995 година относно защитата на финансовите интереси на Европейските общности, безвъзмездната финансов помощ не се изплаща, а изплатената финансова помощ подлежи на възстановяване от бенефициент, за който е установено, че е създал изкуствено условията, необходими за получаване на помощта, с цел осъществяване на предимство в противоречие с целите на мярката.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тяхното извършване са определени в административния договор и Общите условия към него.</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ВАЖНО:</w:t>
      </w:r>
      <w:r w:rsidRPr="00C63AE6">
        <w:rPr>
          <w:rFonts w:ascii="Times New Roman" w:hAnsi="Times New Roman" w:cs="Times New Roman"/>
          <w:sz w:val="24"/>
          <w:szCs w:val="24"/>
        </w:rPr>
        <w:t xml:space="preserve"> Бенефициентите общини имат право да им бъдат възстановени разходи за ДДС съгласно разпоредбите на ПМС № 344 от 21 декември 2018 г. за изпълнението на държавния бюджет на Република България за 2019 г.</w:t>
      </w:r>
    </w:p>
    <w:p w:rsidR="00B91182" w:rsidRPr="00C63AE6" w:rsidRDefault="00B91182" w:rsidP="00C63AE6">
      <w:pPr>
        <w:spacing w:after="120"/>
        <w:jc w:val="both"/>
        <w:rPr>
          <w:rFonts w:ascii="Times New Roman" w:hAnsi="Times New Roman" w:cs="Times New Roman"/>
          <w:b/>
          <w:sz w:val="24"/>
          <w:szCs w:val="24"/>
        </w:rPr>
      </w:pPr>
      <w:r w:rsidRPr="00C63AE6">
        <w:rPr>
          <w:rFonts w:ascii="Times New Roman" w:hAnsi="Times New Roman" w:cs="Times New Roman"/>
          <w:b/>
          <w:sz w:val="24"/>
          <w:szCs w:val="24"/>
        </w:rPr>
        <w:t>3.</w:t>
      </w:r>
      <w:r w:rsidRPr="00C63AE6">
        <w:rPr>
          <w:rFonts w:ascii="Times New Roman" w:hAnsi="Times New Roman" w:cs="Times New Roman"/>
          <w:b/>
          <w:sz w:val="24"/>
          <w:szCs w:val="24"/>
        </w:rPr>
        <w:tab/>
        <w:t>Мерки за информиране и публичност</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Всички бенефициенти трябва да прилагат подходящи мерки за публичност и информираност съгласно правилата на Приложение XII от Регламент (ЕС) № 1303/2013.</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По време на изпълнението на даден проект бенефициентът информира обществеността за получената от ЕФМДР подкрепа като:</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Плакатът следва да съдържа следната текстова и визуална информация:</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емблемата на ЕС и упоменаването „Европейски съюз“;</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наименованието на съфинансиращия фонд - Европейски фонд за морско дело и рибарство;</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общото лого за програмен период 2014-2020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наименованието на Програмата за  морско дело и рибарство 2014-2020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наименованието на проекта;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 общата стойност на проекта, както и размера на европейското и националното съфинансиране, представени в български лева;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начална и крайна дата на изпълнение на проекта.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 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p>
    <w:p w:rsidR="00B91182" w:rsidRPr="00C63AE6" w:rsidRDefault="009E7E8C" w:rsidP="00C63AE6">
      <w:pPr>
        <w:spacing w:after="120"/>
        <w:jc w:val="both"/>
        <w:rPr>
          <w:rFonts w:ascii="Times New Roman" w:hAnsi="Times New Roman" w:cs="Times New Roman"/>
          <w:sz w:val="24"/>
          <w:szCs w:val="24"/>
        </w:rPr>
      </w:pPr>
      <w:hyperlink r:id="rId10" w:history="1">
        <w:r w:rsidR="000701A5" w:rsidRPr="00C63AE6">
          <w:rPr>
            <w:rStyle w:val="Hyperlink"/>
            <w:rFonts w:ascii="Times New Roman" w:hAnsi="Times New Roman"/>
            <w:sz w:val="24"/>
            <w:szCs w:val="24"/>
          </w:rPr>
          <w:t>https://www.eufunds.bg/bg/taxonomy/term/609</w:t>
        </w:r>
      </w:hyperlink>
      <w:r w:rsidR="000701A5" w:rsidRPr="00C63AE6">
        <w:rPr>
          <w:rFonts w:ascii="Times New Roman" w:hAnsi="Times New Roman" w:cs="Times New Roman"/>
          <w:sz w:val="24"/>
          <w:szCs w:val="24"/>
        </w:rPr>
        <w:t>.</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На същата страница могат да бъдат намерени и векторните варианти на логото на ПМДР.</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 xml:space="preserve">ВАЖНО! </w:t>
      </w:r>
      <w:r w:rsidRPr="00C63AE6">
        <w:rPr>
          <w:rFonts w:ascii="Times New Roman" w:hAnsi="Times New Roman" w:cs="Times New Roman"/>
          <w:sz w:val="24"/>
          <w:szCs w:val="24"/>
        </w:rPr>
        <w:t>Неспазването на правилата за информиране и публичност (визуализация) от страна на бенефициента може да доведе до непризнаване на част или на цялата стойност на извършените по проекта разходи.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b/>
          <w:sz w:val="24"/>
          <w:szCs w:val="24"/>
        </w:rPr>
        <w:t>4. Приложения към Условията за изпълнение: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1А - Таблица за одобрени инвестиционни разходи;</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7 - Декларация за упражняване правото на данъчен кредит;</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8 - Aдминистративен договор за безвъзмездна финансова помощ по Програма за морско дело и рибарство 2014-2020 г.;</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9 - Общи условия към финансираните по Програма за морско дело и рибарство 2014-2020 г. административни договори за предоставяне на безвъзмездна финансова помощ;</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10 - Банкова гаранция;</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11 - Заявление за профил за достъп на ръководител на бенефициента до ИСУН 2020;</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lastRenderedPageBreak/>
        <w:t>Приложение № 12 - Заявление за профил за достъп на упълномощени от бенефициента лица до ИСУН 2020;</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13 - Списък с изискуеми документи към Искане за авансово плащане;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14 - Списък с изискуеми документи към Искане за междинно/окончателно плащане;</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15 – Декларация за втора употреба;</w:t>
      </w:r>
    </w:p>
    <w:p w:rsidR="00B91182" w:rsidRPr="00C63AE6"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16 – Документи за осъществяване на последващ контрол на проведена процедура „Избор с публична покана“ по чл. 50, ал. 1 от ЗУСЕСИФ и ПМС 160/01.07.2016 г.;</w:t>
      </w:r>
    </w:p>
    <w:p w:rsidR="00F14BAE" w:rsidRPr="00D97375" w:rsidRDefault="00B91182" w:rsidP="00C63AE6">
      <w:pPr>
        <w:spacing w:after="120"/>
        <w:jc w:val="both"/>
        <w:rPr>
          <w:rFonts w:ascii="Times New Roman" w:hAnsi="Times New Roman" w:cs="Times New Roman"/>
          <w:sz w:val="24"/>
          <w:szCs w:val="24"/>
        </w:rPr>
      </w:pPr>
      <w:r w:rsidRPr="00C63AE6">
        <w:rPr>
          <w:rFonts w:ascii="Times New Roman" w:hAnsi="Times New Roman" w:cs="Times New Roman"/>
          <w:sz w:val="24"/>
          <w:szCs w:val="24"/>
        </w:rPr>
        <w:t>Приложение № 18 - Методика за размера на финансовите корекции;</w:t>
      </w:r>
    </w:p>
    <w:p w:rsidR="00453780" w:rsidRPr="00D97375" w:rsidRDefault="001473D5"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Декларация № 1 за МСП</w:t>
      </w:r>
    </w:p>
    <w:p w:rsidR="001473D5" w:rsidRPr="00C63AE6" w:rsidRDefault="001473D5" w:rsidP="00C63AE6">
      <w:pPr>
        <w:spacing w:after="120"/>
        <w:jc w:val="both"/>
        <w:rPr>
          <w:rFonts w:ascii="Times New Roman" w:hAnsi="Times New Roman" w:cs="Times New Roman"/>
          <w:sz w:val="24"/>
          <w:szCs w:val="24"/>
        </w:rPr>
      </w:pPr>
      <w:r w:rsidRPr="00D97375">
        <w:rPr>
          <w:rFonts w:ascii="Times New Roman" w:hAnsi="Times New Roman" w:cs="Times New Roman"/>
          <w:sz w:val="24"/>
          <w:szCs w:val="24"/>
        </w:rPr>
        <w:t>Декларация № 7 липса на промяна в обстоятелствата</w:t>
      </w:r>
    </w:p>
    <w:p w:rsidR="00D22E3D" w:rsidRPr="005D1C4F" w:rsidRDefault="00D22E3D" w:rsidP="00BA59E9">
      <w:pPr>
        <w:jc w:val="both"/>
        <w:rPr>
          <w:rFonts w:ascii="Times New Roman" w:hAnsi="Times New Roman" w:cs="Times New Roman"/>
          <w:sz w:val="24"/>
          <w:szCs w:val="24"/>
        </w:rPr>
      </w:pPr>
    </w:p>
    <w:sectPr w:rsidR="00D22E3D" w:rsidRPr="005D1C4F" w:rsidSect="00E93C67">
      <w:headerReference w:type="default" r:id="rId11"/>
      <w:footerReference w:type="default" r:id="rId12"/>
      <w:headerReference w:type="first" r:id="rId13"/>
      <w:footerReference w:type="first" r:id="rId14"/>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C406C" w:rsidRDefault="005C406C" w:rsidP="002D4DC8">
      <w:pPr>
        <w:spacing w:after="0" w:line="240" w:lineRule="auto"/>
      </w:pPr>
      <w:r>
        <w:separator/>
      </w:r>
    </w:p>
  </w:endnote>
  <w:endnote w:type="continuationSeparator" w:id="0">
    <w:p w:rsidR="005C406C" w:rsidRDefault="005C406C"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7E6D" w:rsidRDefault="00B97E6D"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4423" w:rsidRDefault="00B24423"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C406C" w:rsidRDefault="005C406C" w:rsidP="002D4DC8">
      <w:pPr>
        <w:spacing w:after="0" w:line="240" w:lineRule="auto"/>
      </w:pPr>
      <w:r>
        <w:separator/>
      </w:r>
    </w:p>
  </w:footnote>
  <w:footnote w:type="continuationSeparator" w:id="0">
    <w:p w:rsidR="005C406C" w:rsidRDefault="005C406C" w:rsidP="002D4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2934345"/>
    <w:multiLevelType w:val="hybridMultilevel"/>
    <w:tmpl w:val="414E99E6"/>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1"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9"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4"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5"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7"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2"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7"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8"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9"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0"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1"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2"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8"/>
  </w:num>
  <w:num w:numId="3">
    <w:abstractNumId w:val="18"/>
  </w:num>
  <w:num w:numId="4">
    <w:abstractNumId w:val="30"/>
  </w:num>
  <w:num w:numId="5">
    <w:abstractNumId w:val="3"/>
  </w:num>
  <w:num w:numId="6">
    <w:abstractNumId w:val="41"/>
  </w:num>
  <w:num w:numId="7">
    <w:abstractNumId w:val="15"/>
  </w:num>
  <w:num w:numId="8">
    <w:abstractNumId w:val="63"/>
  </w:num>
  <w:num w:numId="9">
    <w:abstractNumId w:val="57"/>
  </w:num>
  <w:num w:numId="10">
    <w:abstractNumId w:val="43"/>
  </w:num>
  <w:num w:numId="11">
    <w:abstractNumId w:val="39"/>
  </w:num>
  <w:num w:numId="12">
    <w:abstractNumId w:val="54"/>
  </w:num>
  <w:num w:numId="13">
    <w:abstractNumId w:val="17"/>
  </w:num>
  <w:num w:numId="14">
    <w:abstractNumId w:val="28"/>
  </w:num>
  <w:num w:numId="15">
    <w:abstractNumId w:val="49"/>
  </w:num>
  <w:num w:numId="16">
    <w:abstractNumId w:val="7"/>
  </w:num>
  <w:num w:numId="17">
    <w:abstractNumId w:val="20"/>
  </w:num>
  <w:num w:numId="18">
    <w:abstractNumId w:val="56"/>
  </w:num>
  <w:num w:numId="19">
    <w:abstractNumId w:val="6"/>
  </w:num>
  <w:num w:numId="20">
    <w:abstractNumId w:val="16"/>
  </w:num>
  <w:num w:numId="21">
    <w:abstractNumId w:val="72"/>
  </w:num>
  <w:num w:numId="22">
    <w:abstractNumId w:val="46"/>
  </w:num>
  <w:num w:numId="23">
    <w:abstractNumId w:val="51"/>
  </w:num>
  <w:num w:numId="24">
    <w:abstractNumId w:val="44"/>
  </w:num>
  <w:num w:numId="25">
    <w:abstractNumId w:val="37"/>
  </w:num>
  <w:num w:numId="26">
    <w:abstractNumId w:val="22"/>
  </w:num>
  <w:num w:numId="27">
    <w:abstractNumId w:val="32"/>
  </w:num>
  <w:num w:numId="28">
    <w:abstractNumId w:val="29"/>
  </w:num>
  <w:num w:numId="29">
    <w:abstractNumId w:val="26"/>
  </w:num>
  <w:num w:numId="30">
    <w:abstractNumId w:val="40"/>
  </w:num>
  <w:num w:numId="31">
    <w:abstractNumId w:val="42"/>
  </w:num>
  <w:num w:numId="32">
    <w:abstractNumId w:val="19"/>
  </w:num>
  <w:num w:numId="33">
    <w:abstractNumId w:val="2"/>
  </w:num>
  <w:num w:numId="34">
    <w:abstractNumId w:val="55"/>
  </w:num>
  <w:num w:numId="35">
    <w:abstractNumId w:val="14"/>
  </w:num>
  <w:num w:numId="36">
    <w:abstractNumId w:val="48"/>
  </w:num>
  <w:num w:numId="37">
    <w:abstractNumId w:val="9"/>
  </w:num>
  <w:num w:numId="38">
    <w:abstractNumId w:val="5"/>
  </w:num>
  <w:num w:numId="39">
    <w:abstractNumId w:val="61"/>
  </w:num>
  <w:num w:numId="40">
    <w:abstractNumId w:val="11"/>
  </w:num>
  <w:num w:numId="41">
    <w:abstractNumId w:val="1"/>
  </w:num>
  <w:num w:numId="42">
    <w:abstractNumId w:val="12"/>
  </w:num>
  <w:num w:numId="43">
    <w:abstractNumId w:val="52"/>
  </w:num>
  <w:num w:numId="44">
    <w:abstractNumId w:val="0"/>
  </w:num>
  <w:num w:numId="45">
    <w:abstractNumId w:val="50"/>
  </w:num>
  <w:num w:numId="46">
    <w:abstractNumId w:val="33"/>
  </w:num>
  <w:num w:numId="47">
    <w:abstractNumId w:val="4"/>
  </w:num>
  <w:num w:numId="48">
    <w:abstractNumId w:val="65"/>
  </w:num>
  <w:num w:numId="49">
    <w:abstractNumId w:val="66"/>
  </w:num>
  <w:num w:numId="50">
    <w:abstractNumId w:val="53"/>
  </w:num>
  <w:num w:numId="51">
    <w:abstractNumId w:val="68"/>
  </w:num>
  <w:num w:numId="52">
    <w:abstractNumId w:val="8"/>
  </w:num>
  <w:num w:numId="53">
    <w:abstractNumId w:val="58"/>
  </w:num>
  <w:num w:numId="54">
    <w:abstractNumId w:val="60"/>
  </w:num>
  <w:num w:numId="55">
    <w:abstractNumId w:val="47"/>
  </w:num>
  <w:num w:numId="56">
    <w:abstractNumId w:val="70"/>
  </w:num>
  <w:num w:numId="57">
    <w:abstractNumId w:val="13"/>
  </w:num>
  <w:num w:numId="58">
    <w:abstractNumId w:val="27"/>
  </w:num>
  <w:num w:numId="59">
    <w:abstractNumId w:val="36"/>
  </w:num>
  <w:num w:numId="60">
    <w:abstractNumId w:val="24"/>
  </w:num>
  <w:num w:numId="61">
    <w:abstractNumId w:val="23"/>
  </w:num>
  <w:num w:numId="62">
    <w:abstractNumId w:val="10"/>
  </w:num>
  <w:num w:numId="63">
    <w:abstractNumId w:val="64"/>
  </w:num>
  <w:num w:numId="64">
    <w:abstractNumId w:val="71"/>
  </w:num>
  <w:num w:numId="65">
    <w:abstractNumId w:val="31"/>
  </w:num>
  <w:num w:numId="66">
    <w:abstractNumId w:val="59"/>
  </w:num>
  <w:num w:numId="67">
    <w:abstractNumId w:val="21"/>
  </w:num>
  <w:num w:numId="68">
    <w:abstractNumId w:val="69"/>
  </w:num>
  <w:num w:numId="69">
    <w:abstractNumId w:val="25"/>
  </w:num>
  <w:num w:numId="70">
    <w:abstractNumId w:val="62"/>
  </w:num>
  <w:num w:numId="71">
    <w:abstractNumId w:val="45"/>
  </w:num>
  <w:num w:numId="72">
    <w:abstractNumId w:val="6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56BC8"/>
    <w:rsid w:val="00064E35"/>
    <w:rsid w:val="00067372"/>
    <w:rsid w:val="0006755D"/>
    <w:rsid w:val="000701A5"/>
    <w:rsid w:val="00070F95"/>
    <w:rsid w:val="000723F0"/>
    <w:rsid w:val="00072469"/>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D74D6"/>
    <w:rsid w:val="000E2628"/>
    <w:rsid w:val="000F24C0"/>
    <w:rsid w:val="001011FE"/>
    <w:rsid w:val="001021AD"/>
    <w:rsid w:val="00103349"/>
    <w:rsid w:val="00112A0E"/>
    <w:rsid w:val="001276B0"/>
    <w:rsid w:val="00127C63"/>
    <w:rsid w:val="00131A8D"/>
    <w:rsid w:val="00132752"/>
    <w:rsid w:val="00135E4B"/>
    <w:rsid w:val="00145434"/>
    <w:rsid w:val="00146BDF"/>
    <w:rsid w:val="001473D5"/>
    <w:rsid w:val="0015403E"/>
    <w:rsid w:val="001609C4"/>
    <w:rsid w:val="00177580"/>
    <w:rsid w:val="00180513"/>
    <w:rsid w:val="00181D8B"/>
    <w:rsid w:val="00182E02"/>
    <w:rsid w:val="00184982"/>
    <w:rsid w:val="0018750E"/>
    <w:rsid w:val="001A1BF1"/>
    <w:rsid w:val="001B25E6"/>
    <w:rsid w:val="001C1C49"/>
    <w:rsid w:val="001C64B8"/>
    <w:rsid w:val="001D5FAA"/>
    <w:rsid w:val="001E0CCA"/>
    <w:rsid w:val="001E0CF0"/>
    <w:rsid w:val="001E5ED0"/>
    <w:rsid w:val="001F00C4"/>
    <w:rsid w:val="00205AE9"/>
    <w:rsid w:val="0021140A"/>
    <w:rsid w:val="00213B7C"/>
    <w:rsid w:val="002224C6"/>
    <w:rsid w:val="0022546B"/>
    <w:rsid w:val="00235645"/>
    <w:rsid w:val="0026076D"/>
    <w:rsid w:val="00264904"/>
    <w:rsid w:val="00270755"/>
    <w:rsid w:val="002726D1"/>
    <w:rsid w:val="00275643"/>
    <w:rsid w:val="00292C3F"/>
    <w:rsid w:val="002976A3"/>
    <w:rsid w:val="002A3D2D"/>
    <w:rsid w:val="002B0F0B"/>
    <w:rsid w:val="002B631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43B9C"/>
    <w:rsid w:val="00352A56"/>
    <w:rsid w:val="003541EA"/>
    <w:rsid w:val="003545E3"/>
    <w:rsid w:val="0035500C"/>
    <w:rsid w:val="00355F16"/>
    <w:rsid w:val="003725AD"/>
    <w:rsid w:val="003911B6"/>
    <w:rsid w:val="003D19FB"/>
    <w:rsid w:val="003D2198"/>
    <w:rsid w:val="003D4297"/>
    <w:rsid w:val="003D5454"/>
    <w:rsid w:val="003E5270"/>
    <w:rsid w:val="003E537B"/>
    <w:rsid w:val="003F51FD"/>
    <w:rsid w:val="003F6F50"/>
    <w:rsid w:val="00404295"/>
    <w:rsid w:val="00407D10"/>
    <w:rsid w:val="00410A31"/>
    <w:rsid w:val="004121B1"/>
    <w:rsid w:val="004123CC"/>
    <w:rsid w:val="0041283E"/>
    <w:rsid w:val="00412D72"/>
    <w:rsid w:val="00430BD1"/>
    <w:rsid w:val="0043669C"/>
    <w:rsid w:val="00436F3E"/>
    <w:rsid w:val="00447FFB"/>
    <w:rsid w:val="0045221D"/>
    <w:rsid w:val="00453780"/>
    <w:rsid w:val="00460463"/>
    <w:rsid w:val="004878BB"/>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2C71"/>
    <w:rsid w:val="0059537C"/>
    <w:rsid w:val="005A127A"/>
    <w:rsid w:val="005A6FA7"/>
    <w:rsid w:val="005B125F"/>
    <w:rsid w:val="005B6039"/>
    <w:rsid w:val="005B70B1"/>
    <w:rsid w:val="005C16D5"/>
    <w:rsid w:val="005C28F6"/>
    <w:rsid w:val="005C406C"/>
    <w:rsid w:val="005D0041"/>
    <w:rsid w:val="005D1C4F"/>
    <w:rsid w:val="005F32D6"/>
    <w:rsid w:val="005F5C28"/>
    <w:rsid w:val="00617552"/>
    <w:rsid w:val="006217CC"/>
    <w:rsid w:val="00621CD8"/>
    <w:rsid w:val="006230FF"/>
    <w:rsid w:val="006247EB"/>
    <w:rsid w:val="00625311"/>
    <w:rsid w:val="00637BAF"/>
    <w:rsid w:val="00641D67"/>
    <w:rsid w:val="00650504"/>
    <w:rsid w:val="0065644E"/>
    <w:rsid w:val="00664CAC"/>
    <w:rsid w:val="00673B5A"/>
    <w:rsid w:val="006823D9"/>
    <w:rsid w:val="00686592"/>
    <w:rsid w:val="00693A38"/>
    <w:rsid w:val="00693CB6"/>
    <w:rsid w:val="006A49AC"/>
    <w:rsid w:val="006A68AA"/>
    <w:rsid w:val="006A77C9"/>
    <w:rsid w:val="006B03E9"/>
    <w:rsid w:val="006D3F30"/>
    <w:rsid w:val="006E01C0"/>
    <w:rsid w:val="006E173D"/>
    <w:rsid w:val="006E2CF9"/>
    <w:rsid w:val="006F1BE0"/>
    <w:rsid w:val="006F7994"/>
    <w:rsid w:val="00712140"/>
    <w:rsid w:val="00724492"/>
    <w:rsid w:val="00734B7F"/>
    <w:rsid w:val="007379BB"/>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679"/>
    <w:rsid w:val="00811DA6"/>
    <w:rsid w:val="00821BE3"/>
    <w:rsid w:val="00824D57"/>
    <w:rsid w:val="00825907"/>
    <w:rsid w:val="008277B1"/>
    <w:rsid w:val="008437C9"/>
    <w:rsid w:val="0084550B"/>
    <w:rsid w:val="00855D52"/>
    <w:rsid w:val="008617B2"/>
    <w:rsid w:val="0086321A"/>
    <w:rsid w:val="00867372"/>
    <w:rsid w:val="00882BFF"/>
    <w:rsid w:val="008951D0"/>
    <w:rsid w:val="008A0133"/>
    <w:rsid w:val="008A1198"/>
    <w:rsid w:val="008A7618"/>
    <w:rsid w:val="008A7DC7"/>
    <w:rsid w:val="008B0ED7"/>
    <w:rsid w:val="008B1FA9"/>
    <w:rsid w:val="008B4944"/>
    <w:rsid w:val="008C0FE3"/>
    <w:rsid w:val="008C21D0"/>
    <w:rsid w:val="008C3843"/>
    <w:rsid w:val="008E1211"/>
    <w:rsid w:val="008E61AA"/>
    <w:rsid w:val="008F0C95"/>
    <w:rsid w:val="008F3F9C"/>
    <w:rsid w:val="008F6FCF"/>
    <w:rsid w:val="0090598C"/>
    <w:rsid w:val="00905EF4"/>
    <w:rsid w:val="00911CF8"/>
    <w:rsid w:val="00913FD8"/>
    <w:rsid w:val="00922F92"/>
    <w:rsid w:val="009258DA"/>
    <w:rsid w:val="00931E83"/>
    <w:rsid w:val="009355B1"/>
    <w:rsid w:val="00935F73"/>
    <w:rsid w:val="009507F4"/>
    <w:rsid w:val="00963B75"/>
    <w:rsid w:val="00963DA3"/>
    <w:rsid w:val="0096511C"/>
    <w:rsid w:val="009865EE"/>
    <w:rsid w:val="00990C1A"/>
    <w:rsid w:val="00991B8E"/>
    <w:rsid w:val="009928CC"/>
    <w:rsid w:val="009A15DF"/>
    <w:rsid w:val="009A277B"/>
    <w:rsid w:val="009A63F6"/>
    <w:rsid w:val="009B1704"/>
    <w:rsid w:val="009B2FAC"/>
    <w:rsid w:val="009C4BDE"/>
    <w:rsid w:val="009C4C97"/>
    <w:rsid w:val="009E194D"/>
    <w:rsid w:val="009E7E8C"/>
    <w:rsid w:val="009F1387"/>
    <w:rsid w:val="009F283A"/>
    <w:rsid w:val="009F5161"/>
    <w:rsid w:val="009F6F8A"/>
    <w:rsid w:val="00A0546C"/>
    <w:rsid w:val="00A15F06"/>
    <w:rsid w:val="00A23F1A"/>
    <w:rsid w:val="00A33197"/>
    <w:rsid w:val="00A33BAC"/>
    <w:rsid w:val="00A3459D"/>
    <w:rsid w:val="00A46C3F"/>
    <w:rsid w:val="00A5367B"/>
    <w:rsid w:val="00A53EA7"/>
    <w:rsid w:val="00A56134"/>
    <w:rsid w:val="00A56E79"/>
    <w:rsid w:val="00A60DBD"/>
    <w:rsid w:val="00A632D9"/>
    <w:rsid w:val="00A7407F"/>
    <w:rsid w:val="00A8185A"/>
    <w:rsid w:val="00A824EA"/>
    <w:rsid w:val="00A84E62"/>
    <w:rsid w:val="00A90DC1"/>
    <w:rsid w:val="00A96BBC"/>
    <w:rsid w:val="00AA28F8"/>
    <w:rsid w:val="00AA2B1D"/>
    <w:rsid w:val="00AA5943"/>
    <w:rsid w:val="00AB5CE9"/>
    <w:rsid w:val="00AC260D"/>
    <w:rsid w:val="00AC745D"/>
    <w:rsid w:val="00AE058E"/>
    <w:rsid w:val="00AE2C86"/>
    <w:rsid w:val="00AE371B"/>
    <w:rsid w:val="00AE4ADD"/>
    <w:rsid w:val="00B23BB7"/>
    <w:rsid w:val="00B24423"/>
    <w:rsid w:val="00B364F1"/>
    <w:rsid w:val="00B50447"/>
    <w:rsid w:val="00B52DE6"/>
    <w:rsid w:val="00B55EA5"/>
    <w:rsid w:val="00B65727"/>
    <w:rsid w:val="00B6700F"/>
    <w:rsid w:val="00B74E5D"/>
    <w:rsid w:val="00B7676F"/>
    <w:rsid w:val="00B8283E"/>
    <w:rsid w:val="00B87514"/>
    <w:rsid w:val="00B87C26"/>
    <w:rsid w:val="00B9074C"/>
    <w:rsid w:val="00B910B0"/>
    <w:rsid w:val="00B91182"/>
    <w:rsid w:val="00B97833"/>
    <w:rsid w:val="00B97E6D"/>
    <w:rsid w:val="00BA4162"/>
    <w:rsid w:val="00BA59E9"/>
    <w:rsid w:val="00BA696A"/>
    <w:rsid w:val="00BB1C73"/>
    <w:rsid w:val="00BB3003"/>
    <w:rsid w:val="00BB3D36"/>
    <w:rsid w:val="00BB60C5"/>
    <w:rsid w:val="00BC2E39"/>
    <w:rsid w:val="00BC3365"/>
    <w:rsid w:val="00BD2919"/>
    <w:rsid w:val="00BD362E"/>
    <w:rsid w:val="00BD47B0"/>
    <w:rsid w:val="00BD59DB"/>
    <w:rsid w:val="00BE4416"/>
    <w:rsid w:val="00BF18A6"/>
    <w:rsid w:val="00BF6015"/>
    <w:rsid w:val="00BF75DA"/>
    <w:rsid w:val="00C50409"/>
    <w:rsid w:val="00C50D9E"/>
    <w:rsid w:val="00C54CDC"/>
    <w:rsid w:val="00C55CF8"/>
    <w:rsid w:val="00C63AE6"/>
    <w:rsid w:val="00C801DA"/>
    <w:rsid w:val="00C815DD"/>
    <w:rsid w:val="00C91135"/>
    <w:rsid w:val="00CB3DE3"/>
    <w:rsid w:val="00CC000B"/>
    <w:rsid w:val="00CC08E0"/>
    <w:rsid w:val="00CC41E1"/>
    <w:rsid w:val="00CC7DF2"/>
    <w:rsid w:val="00CD3DC5"/>
    <w:rsid w:val="00CE0532"/>
    <w:rsid w:val="00CF2384"/>
    <w:rsid w:val="00D02745"/>
    <w:rsid w:val="00D04782"/>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834"/>
    <w:rsid w:val="00D93E7F"/>
    <w:rsid w:val="00D97375"/>
    <w:rsid w:val="00DA4935"/>
    <w:rsid w:val="00DB024E"/>
    <w:rsid w:val="00DB227F"/>
    <w:rsid w:val="00DB4043"/>
    <w:rsid w:val="00DC622D"/>
    <w:rsid w:val="00DC79DF"/>
    <w:rsid w:val="00DD0FB5"/>
    <w:rsid w:val="00DD3CA6"/>
    <w:rsid w:val="00DD5253"/>
    <w:rsid w:val="00DF728A"/>
    <w:rsid w:val="00DF7E4A"/>
    <w:rsid w:val="00E03997"/>
    <w:rsid w:val="00E129B4"/>
    <w:rsid w:val="00E169E8"/>
    <w:rsid w:val="00E2005B"/>
    <w:rsid w:val="00E303A5"/>
    <w:rsid w:val="00E316C4"/>
    <w:rsid w:val="00E33996"/>
    <w:rsid w:val="00E339D2"/>
    <w:rsid w:val="00E37E0B"/>
    <w:rsid w:val="00E4115C"/>
    <w:rsid w:val="00E42C6F"/>
    <w:rsid w:val="00E43839"/>
    <w:rsid w:val="00E439DD"/>
    <w:rsid w:val="00E47AF8"/>
    <w:rsid w:val="00E5559F"/>
    <w:rsid w:val="00E809AC"/>
    <w:rsid w:val="00E8692B"/>
    <w:rsid w:val="00E90013"/>
    <w:rsid w:val="00E93C67"/>
    <w:rsid w:val="00EA3229"/>
    <w:rsid w:val="00EB1A9D"/>
    <w:rsid w:val="00EB4DBB"/>
    <w:rsid w:val="00EC2C08"/>
    <w:rsid w:val="00EC306D"/>
    <w:rsid w:val="00EC5590"/>
    <w:rsid w:val="00ED2591"/>
    <w:rsid w:val="00EE60D0"/>
    <w:rsid w:val="00EF2796"/>
    <w:rsid w:val="00F07FBF"/>
    <w:rsid w:val="00F12F79"/>
    <w:rsid w:val="00F135D9"/>
    <w:rsid w:val="00F14BAE"/>
    <w:rsid w:val="00F15BB3"/>
    <w:rsid w:val="00F21464"/>
    <w:rsid w:val="00F24D7F"/>
    <w:rsid w:val="00F255A6"/>
    <w:rsid w:val="00F36DCF"/>
    <w:rsid w:val="00F45131"/>
    <w:rsid w:val="00F45C9C"/>
    <w:rsid w:val="00F45CF4"/>
    <w:rsid w:val="00F4694F"/>
    <w:rsid w:val="00F508B9"/>
    <w:rsid w:val="00F56BC6"/>
    <w:rsid w:val="00F61DD6"/>
    <w:rsid w:val="00F62325"/>
    <w:rsid w:val="00F62372"/>
    <w:rsid w:val="00F62506"/>
    <w:rsid w:val="00F72216"/>
    <w:rsid w:val="00F80789"/>
    <w:rsid w:val="00F85654"/>
    <w:rsid w:val="00F96D60"/>
    <w:rsid w:val="00F9733B"/>
    <w:rsid w:val="00FA494B"/>
    <w:rsid w:val="00FA58AC"/>
    <w:rsid w:val="00FB1843"/>
    <w:rsid w:val="00FB451F"/>
    <w:rsid w:val="00FB6B8E"/>
    <w:rsid w:val="00FC0497"/>
    <w:rsid w:val="00FC6AB6"/>
    <w:rsid w:val="00FD5FFF"/>
    <w:rsid w:val="00FD7FEC"/>
    <w:rsid w:val="00FE3191"/>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98C7C366-4D13-4EB0-9C92-057A37123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34"/>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DefaultParagraphFont"/>
    <w:uiPriority w:val="99"/>
    <w:rsid w:val="00F14BAE"/>
  </w:style>
  <w:style w:type="character" w:styleId="CommentReference">
    <w:name w:val="annotation reference"/>
    <w:basedOn w:val="DefaultParagraphFont"/>
    <w:uiPriority w:val="99"/>
    <w:semiHidden/>
    <w:unhideWhenUsed/>
    <w:rsid w:val="007379BB"/>
    <w:rPr>
      <w:sz w:val="16"/>
      <w:szCs w:val="16"/>
    </w:rPr>
  </w:style>
  <w:style w:type="paragraph" w:styleId="CommentText">
    <w:name w:val="annotation text"/>
    <w:basedOn w:val="Normal"/>
    <w:link w:val="CommentTextChar"/>
    <w:uiPriority w:val="99"/>
    <w:semiHidden/>
    <w:unhideWhenUsed/>
    <w:rsid w:val="007379BB"/>
    <w:pPr>
      <w:spacing w:line="240" w:lineRule="auto"/>
    </w:pPr>
    <w:rPr>
      <w:sz w:val="20"/>
      <w:szCs w:val="20"/>
    </w:rPr>
  </w:style>
  <w:style w:type="character" w:customStyle="1" w:styleId="CommentTextChar">
    <w:name w:val="Comment Text Char"/>
    <w:basedOn w:val="DefaultParagraphFont"/>
    <w:link w:val="CommentText"/>
    <w:uiPriority w:val="99"/>
    <w:semiHidden/>
    <w:rsid w:val="007379BB"/>
    <w:rPr>
      <w:sz w:val="20"/>
      <w:szCs w:val="20"/>
    </w:rPr>
  </w:style>
  <w:style w:type="paragraph" w:styleId="CommentSubject">
    <w:name w:val="annotation subject"/>
    <w:basedOn w:val="CommentText"/>
    <w:next w:val="CommentText"/>
    <w:link w:val="CommentSubjectChar"/>
    <w:uiPriority w:val="99"/>
    <w:semiHidden/>
    <w:unhideWhenUsed/>
    <w:rsid w:val="007379BB"/>
    <w:rPr>
      <w:b/>
      <w:bCs/>
    </w:rPr>
  </w:style>
  <w:style w:type="character" w:customStyle="1" w:styleId="CommentSubjectChar">
    <w:name w:val="Comment Subject Char"/>
    <w:basedOn w:val="CommentTextChar"/>
    <w:link w:val="CommentSubject"/>
    <w:uiPriority w:val="99"/>
    <w:semiHidden/>
    <w:rsid w:val="007379B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704358352">
      <w:bodyDiv w:val="1"/>
      <w:marLeft w:val="0"/>
      <w:marRight w:val="0"/>
      <w:marTop w:val="0"/>
      <w:marBottom w:val="0"/>
      <w:divBdr>
        <w:top w:val="none" w:sz="0" w:space="0" w:color="auto"/>
        <w:left w:val="none" w:sz="0" w:space="0" w:color="auto"/>
        <w:bottom w:val="none" w:sz="0" w:space="0" w:color="auto"/>
        <w:right w:val="none" w:sz="0" w:space="0" w:color="auto"/>
      </w:divBdr>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5313"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eufunds.bg/bg/taxonomy/term/609" TargetMode="External"/><Relationship Id="rId4" Type="http://schemas.openxmlformats.org/officeDocument/2006/relationships/settings" Target="settings.xml"/><Relationship Id="rId9" Type="http://schemas.openxmlformats.org/officeDocument/2006/relationships/hyperlink" Target="https://www.eufunds.bg/bg/pmdr/node/5279"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D83E06-6402-4D8D-A3F6-0E5EFDD1C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1621</TotalTime>
  <Pages>13</Pages>
  <Words>4183</Words>
  <Characters>23844</Characters>
  <Application>Microsoft Office Word</Application>
  <DocSecurity>0</DocSecurity>
  <Lines>198</Lines>
  <Paragraphs>55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27972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Antoaneta Grigorova</dc:creator>
  <cp:lastModifiedBy>Stanislava Aleksandrova</cp:lastModifiedBy>
  <cp:revision>32</cp:revision>
  <cp:lastPrinted>2018-11-22T10:50:00Z</cp:lastPrinted>
  <dcterms:created xsi:type="dcterms:W3CDTF">2020-05-06T09:00:00Z</dcterms:created>
  <dcterms:modified xsi:type="dcterms:W3CDTF">2021-09-01T11:08:00Z</dcterms:modified>
</cp:coreProperties>
</file>