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DCCF9F" w14:textId="77777777" w:rsidR="0006532B" w:rsidRPr="00097CFE" w:rsidRDefault="0006532B" w:rsidP="003E11B4">
      <w:pPr>
        <w:jc w:val="center"/>
        <w:rPr>
          <w:rFonts w:ascii="Times New Roman Bold" w:hAnsi="Times New Roman Bold" w:cs="Times New Roman Bold"/>
          <w:b/>
          <w:bCs/>
          <w:caps/>
          <w:sz w:val="36"/>
          <w:szCs w:val="36"/>
          <w:lang w:eastAsia="bg-BG"/>
        </w:rPr>
      </w:pPr>
      <w:bookmarkStart w:id="0" w:name="_GoBack"/>
      <w:bookmarkEnd w:id="0"/>
      <w:r w:rsidRPr="00097CFE">
        <w:rPr>
          <w:rFonts w:ascii="Times New Roman" w:hAnsi="Times New Roman" w:cs="Times New Roman"/>
          <w:b/>
          <w:bCs/>
          <w:caps/>
          <w:sz w:val="36"/>
          <w:szCs w:val="36"/>
          <w:lang w:eastAsia="bg-BG"/>
        </w:rPr>
        <w:t xml:space="preserve">Условия </w:t>
      </w:r>
      <w:r w:rsidRPr="00097CFE">
        <w:rPr>
          <w:rFonts w:ascii="Times New Roman Bold" w:hAnsi="Times New Roman Bold" w:cs="Times New Roman Bold"/>
          <w:b/>
          <w:bCs/>
          <w:caps/>
          <w:sz w:val="36"/>
          <w:szCs w:val="36"/>
          <w:lang w:eastAsia="bg-BG"/>
        </w:rPr>
        <w:t>ЗА КАНДИДАТСТВАНЕ</w:t>
      </w:r>
    </w:p>
    <w:p w14:paraId="5F15B54A" w14:textId="77777777" w:rsidR="0006532B" w:rsidRPr="00097CFE" w:rsidRDefault="0006532B" w:rsidP="003E11B4">
      <w:pPr>
        <w:spacing w:after="0" w:line="240" w:lineRule="auto"/>
        <w:jc w:val="center"/>
        <w:rPr>
          <w:b/>
          <w:bCs/>
          <w:caps/>
          <w:sz w:val="24"/>
          <w:szCs w:val="24"/>
          <w:lang w:eastAsia="bg-BG"/>
        </w:rPr>
      </w:pPr>
      <w:r w:rsidRPr="00097CFE">
        <w:rPr>
          <w:rFonts w:ascii="Times New Roman Bold" w:hAnsi="Times New Roman Bold" w:cs="Times New Roman Bold"/>
          <w:b/>
          <w:bCs/>
          <w:caps/>
          <w:sz w:val="24"/>
          <w:szCs w:val="24"/>
          <w:lang w:eastAsia="bg-BG"/>
        </w:rPr>
        <w:t>за директно предоставяне на безвъзмездна</w:t>
      </w:r>
    </w:p>
    <w:p w14:paraId="5ED8D05E" w14:textId="77777777" w:rsidR="0006532B" w:rsidRPr="00097CFE" w:rsidRDefault="0006532B" w:rsidP="003E11B4">
      <w:pPr>
        <w:spacing w:after="0" w:line="240" w:lineRule="auto"/>
        <w:jc w:val="center"/>
        <w:rPr>
          <w:b/>
          <w:bCs/>
          <w:caps/>
          <w:sz w:val="24"/>
          <w:szCs w:val="24"/>
          <w:lang w:eastAsia="bg-BG"/>
        </w:rPr>
      </w:pPr>
      <w:r w:rsidRPr="00097CFE">
        <w:rPr>
          <w:rFonts w:ascii="Times New Roman Bold" w:hAnsi="Times New Roman Bold" w:cs="Times New Roman Bold"/>
          <w:b/>
          <w:bCs/>
          <w:caps/>
          <w:sz w:val="24"/>
          <w:szCs w:val="24"/>
          <w:lang w:eastAsia="bg-BG"/>
        </w:rPr>
        <w:t>финансова помощ чрез Бюджетна линия</w:t>
      </w:r>
    </w:p>
    <w:p w14:paraId="3EBE82FC" w14:textId="25B00F0D" w:rsidR="0006532B" w:rsidRPr="00097CFE" w:rsidRDefault="0006532B" w:rsidP="003E11B4">
      <w:pPr>
        <w:spacing w:after="0" w:line="240" w:lineRule="auto"/>
        <w:jc w:val="center"/>
        <w:rPr>
          <w:rFonts w:ascii="Times New Roman" w:hAnsi="Times New Roman" w:cs="Times New Roman"/>
          <w:b/>
          <w:bCs/>
          <w:caps/>
          <w:sz w:val="24"/>
          <w:szCs w:val="24"/>
          <w:lang w:eastAsia="bg-BG"/>
        </w:rPr>
      </w:pPr>
      <w:r w:rsidRPr="00097CFE">
        <w:rPr>
          <w:rFonts w:ascii="Times New Roman Bold" w:hAnsi="Times New Roman Bold" w:cs="Times New Roman Bold"/>
          <w:b/>
          <w:bCs/>
          <w:caps/>
          <w:sz w:val="24"/>
          <w:szCs w:val="24"/>
          <w:lang w:eastAsia="bg-BG"/>
        </w:rPr>
        <w:t xml:space="preserve">по процедура </w:t>
      </w:r>
      <w:r w:rsidRPr="00097CFE">
        <w:rPr>
          <w:rFonts w:ascii="Times New Roman" w:hAnsi="Times New Roman" w:cs="Times New Roman"/>
          <w:b/>
          <w:bCs/>
          <w:caps/>
          <w:sz w:val="24"/>
          <w:szCs w:val="24"/>
          <w:lang w:eastAsia="bg-BG"/>
        </w:rPr>
        <w:t>BG14</w:t>
      </w:r>
      <w:r w:rsidRPr="00097CFE">
        <w:rPr>
          <w:rFonts w:ascii="Times New Roman" w:hAnsi="Times New Roman" w:cs="Times New Roman"/>
          <w:b/>
          <w:bCs/>
          <w:caps/>
          <w:sz w:val="24"/>
          <w:szCs w:val="24"/>
          <w:lang w:val="en-US" w:eastAsia="bg-BG"/>
        </w:rPr>
        <w:t>mf</w:t>
      </w:r>
      <w:r w:rsidRPr="00097CFE">
        <w:rPr>
          <w:rFonts w:ascii="Times New Roman" w:hAnsi="Times New Roman" w:cs="Times New Roman"/>
          <w:b/>
          <w:bCs/>
          <w:caps/>
          <w:sz w:val="24"/>
          <w:szCs w:val="24"/>
          <w:lang w:eastAsia="bg-BG"/>
        </w:rPr>
        <w:t>OP001-</w:t>
      </w:r>
      <w:r w:rsidRPr="00097CFE">
        <w:rPr>
          <w:rFonts w:ascii="Times New Roman" w:hAnsi="Times New Roman" w:cs="Times New Roman"/>
          <w:b/>
          <w:bCs/>
          <w:caps/>
          <w:sz w:val="24"/>
          <w:szCs w:val="24"/>
          <w:lang w:val="ru-RU" w:eastAsia="bg-BG"/>
        </w:rPr>
        <w:t>7</w:t>
      </w:r>
      <w:r w:rsidRPr="00097CFE">
        <w:rPr>
          <w:rFonts w:ascii="Times New Roman" w:hAnsi="Times New Roman" w:cs="Times New Roman"/>
          <w:b/>
          <w:bCs/>
          <w:caps/>
          <w:sz w:val="24"/>
          <w:szCs w:val="24"/>
          <w:lang w:eastAsia="bg-BG"/>
        </w:rPr>
        <w:t>.</w:t>
      </w:r>
      <w:r w:rsidR="004F7805" w:rsidRPr="00097CFE">
        <w:rPr>
          <w:rFonts w:ascii="Times New Roman" w:hAnsi="Times New Roman" w:cs="Times New Roman"/>
          <w:b/>
          <w:bCs/>
          <w:caps/>
          <w:sz w:val="24"/>
          <w:szCs w:val="24"/>
          <w:lang w:eastAsia="bg-BG"/>
        </w:rPr>
        <w:t>00</w:t>
      </w:r>
      <w:r w:rsidR="003F207B">
        <w:rPr>
          <w:rFonts w:ascii="Times New Roman" w:hAnsi="Times New Roman" w:cs="Times New Roman"/>
          <w:b/>
          <w:bCs/>
          <w:caps/>
          <w:sz w:val="24"/>
          <w:szCs w:val="24"/>
          <w:lang w:eastAsia="bg-BG"/>
        </w:rPr>
        <w:t>3</w:t>
      </w:r>
      <w:r w:rsidR="004F7805" w:rsidRPr="00097CFE">
        <w:rPr>
          <w:rFonts w:ascii="Times New Roman" w:hAnsi="Times New Roman" w:cs="Times New Roman"/>
          <w:sz w:val="24"/>
          <w:szCs w:val="24"/>
          <w:lang w:val="ru-RU" w:eastAsia="en-GB"/>
        </w:rPr>
        <w:t xml:space="preserve"> </w:t>
      </w:r>
      <w:r w:rsidRPr="00097CFE">
        <w:rPr>
          <w:rFonts w:ascii="Times New Roman" w:hAnsi="Times New Roman" w:cs="Times New Roman"/>
          <w:sz w:val="24"/>
          <w:szCs w:val="24"/>
          <w:lang w:eastAsia="en-GB"/>
        </w:rPr>
        <w:t>„</w:t>
      </w:r>
      <w:r w:rsidRPr="00097CFE">
        <w:rPr>
          <w:rFonts w:ascii="Times New Roman" w:hAnsi="Times New Roman" w:cs="Times New Roman"/>
          <w:b/>
          <w:bCs/>
          <w:caps/>
          <w:sz w:val="24"/>
          <w:szCs w:val="24"/>
          <w:lang w:eastAsia="bg-BG"/>
        </w:rPr>
        <w:t>техническа помощ”</w:t>
      </w:r>
    </w:p>
    <w:p w14:paraId="2DB3D969" w14:textId="77777777" w:rsidR="0006532B" w:rsidRPr="00097CFE" w:rsidRDefault="0006532B" w:rsidP="003E11B4">
      <w:pPr>
        <w:jc w:val="center"/>
        <w:rPr>
          <w:rFonts w:ascii="Times New Roman" w:hAnsi="Times New Roman" w:cs="Times New Roman"/>
          <w:b/>
          <w:bCs/>
          <w:caps/>
          <w:sz w:val="24"/>
          <w:szCs w:val="24"/>
          <w:lang w:eastAsia="bg-BG"/>
        </w:rPr>
      </w:pPr>
    </w:p>
    <w:p w14:paraId="67A85F25" w14:textId="77777777" w:rsidR="0006532B" w:rsidRPr="00097CFE" w:rsidRDefault="0006532B" w:rsidP="003E11B4">
      <w:pPr>
        <w:jc w:val="center"/>
        <w:rPr>
          <w:rFonts w:ascii="Times New Roman" w:hAnsi="Times New Roman" w:cs="Times New Roman"/>
          <w:b/>
          <w:bCs/>
          <w:caps/>
          <w:sz w:val="24"/>
          <w:szCs w:val="24"/>
          <w:lang w:eastAsia="bg-BG"/>
        </w:rPr>
      </w:pPr>
      <w:r w:rsidRPr="00097CFE">
        <w:rPr>
          <w:rFonts w:ascii="Times New Roman" w:hAnsi="Times New Roman" w:cs="Times New Roman"/>
          <w:b/>
          <w:bCs/>
          <w:caps/>
          <w:sz w:val="24"/>
          <w:szCs w:val="24"/>
          <w:lang w:eastAsia="bg-BG"/>
        </w:rPr>
        <w:t>ОБОБЩЕНИЕ НА ПАРАМЕТРИТЕ НА ПРОЦЕДУРАТА</w:t>
      </w:r>
    </w:p>
    <w:tbl>
      <w:tblPr>
        <w:tblW w:w="8904" w:type="dxa"/>
        <w:jc w:val="center"/>
        <w:tblBorders>
          <w:top w:val="double" w:sz="6" w:space="0" w:color="0033CC"/>
          <w:left w:val="double" w:sz="6" w:space="0" w:color="0033CC"/>
          <w:bottom w:val="double" w:sz="6" w:space="0" w:color="0033CC"/>
          <w:right w:val="double" w:sz="6" w:space="0" w:color="0033CC"/>
          <w:insideH w:val="single" w:sz="4" w:space="0" w:color="0033CC"/>
          <w:insideV w:val="single" w:sz="4" w:space="0" w:color="0033CC"/>
        </w:tblBorders>
        <w:tblLook w:val="01E0" w:firstRow="1" w:lastRow="1" w:firstColumn="1" w:lastColumn="1" w:noHBand="0" w:noVBand="0"/>
      </w:tblPr>
      <w:tblGrid>
        <w:gridCol w:w="3245"/>
        <w:gridCol w:w="5659"/>
      </w:tblGrid>
      <w:tr w:rsidR="00097CFE" w:rsidRPr="00097CFE" w14:paraId="64A6B27C" w14:textId="77777777" w:rsidTr="00BF0696">
        <w:trPr>
          <w:cantSplit/>
          <w:trHeight w:hRule="exact" w:val="1003"/>
          <w:jc w:val="center"/>
        </w:trPr>
        <w:tc>
          <w:tcPr>
            <w:tcW w:w="3245" w:type="dxa"/>
            <w:tcBorders>
              <w:top w:val="double" w:sz="6" w:space="0" w:color="0033CC"/>
              <w:right w:val="double" w:sz="6" w:space="0" w:color="0033CC"/>
            </w:tcBorders>
            <w:shd w:val="clear" w:color="auto" w:fill="D9D9D9"/>
            <w:vAlign w:val="center"/>
          </w:tcPr>
          <w:p w14:paraId="4156EBA7" w14:textId="77777777" w:rsidR="0006532B" w:rsidRPr="00097CFE" w:rsidRDefault="0006532B" w:rsidP="0069625D">
            <w:pPr>
              <w:pStyle w:val="Title"/>
              <w:spacing w:before="60" w:after="60"/>
              <w:ind w:right="-198"/>
              <w:jc w:val="both"/>
              <w:rPr>
                <w:sz w:val="24"/>
                <w:szCs w:val="24"/>
              </w:rPr>
            </w:pPr>
            <w:r w:rsidRPr="00097CFE">
              <w:rPr>
                <w:sz w:val="24"/>
                <w:szCs w:val="24"/>
              </w:rPr>
              <w:br w:type="page"/>
              <w:t>Програма</w:t>
            </w:r>
          </w:p>
        </w:tc>
        <w:tc>
          <w:tcPr>
            <w:tcW w:w="5659" w:type="dxa"/>
            <w:tcBorders>
              <w:top w:val="double" w:sz="6" w:space="0" w:color="0033CC"/>
              <w:left w:val="double" w:sz="6" w:space="0" w:color="0033CC"/>
            </w:tcBorders>
            <w:vAlign w:val="center"/>
          </w:tcPr>
          <w:p w14:paraId="3E9B3E02" w14:textId="77777777" w:rsidR="0006532B" w:rsidRPr="00BF0696" w:rsidRDefault="0006532B" w:rsidP="0069625D">
            <w:pPr>
              <w:spacing w:before="240" w:line="240" w:lineRule="auto"/>
              <w:jc w:val="both"/>
              <w:rPr>
                <w:rFonts w:ascii="Times New Roman" w:hAnsi="Times New Roman" w:cs="Times New Roman"/>
                <w:sz w:val="24"/>
                <w:szCs w:val="24"/>
                <w:lang w:val="en-US" w:eastAsia="bg-BG"/>
              </w:rPr>
            </w:pPr>
            <w:r w:rsidRPr="00097CFE">
              <w:rPr>
                <w:rFonts w:ascii="Times New Roman" w:hAnsi="Times New Roman" w:cs="Times New Roman"/>
                <w:sz w:val="24"/>
                <w:szCs w:val="24"/>
                <w:lang w:eastAsia="bg-BG"/>
              </w:rPr>
              <w:t>Програма за морско дело и рибарство</w:t>
            </w:r>
            <w:r w:rsidR="003A5D90">
              <w:rPr>
                <w:rFonts w:ascii="Times New Roman" w:hAnsi="Times New Roman" w:cs="Times New Roman"/>
                <w:sz w:val="24"/>
                <w:szCs w:val="24"/>
                <w:lang w:val="en-US" w:eastAsia="bg-BG"/>
              </w:rPr>
              <w:t xml:space="preserve"> 2014-2020 </w:t>
            </w:r>
            <w:r w:rsidR="003A5D90">
              <w:rPr>
                <w:rFonts w:ascii="Times New Roman" w:hAnsi="Times New Roman" w:cs="Times New Roman"/>
                <w:sz w:val="24"/>
                <w:szCs w:val="24"/>
                <w:lang w:eastAsia="bg-BG"/>
              </w:rPr>
              <w:t>г</w:t>
            </w:r>
            <w:r w:rsidR="003A5D90">
              <w:rPr>
                <w:rFonts w:ascii="Times New Roman" w:hAnsi="Times New Roman" w:cs="Times New Roman"/>
                <w:sz w:val="24"/>
                <w:szCs w:val="24"/>
                <w:lang w:val="en-US" w:eastAsia="bg-BG"/>
              </w:rPr>
              <w:t xml:space="preserve">. </w:t>
            </w:r>
            <w:r w:rsidR="003A5D90">
              <w:rPr>
                <w:rFonts w:ascii="Times New Roman" w:hAnsi="Times New Roman" w:cs="Times New Roman"/>
                <w:sz w:val="24"/>
                <w:szCs w:val="24"/>
                <w:lang w:eastAsia="bg-BG"/>
              </w:rPr>
              <w:t xml:space="preserve">(ПМДР) </w:t>
            </w:r>
          </w:p>
        </w:tc>
      </w:tr>
      <w:tr w:rsidR="00097CFE" w:rsidRPr="00097CFE" w14:paraId="104FA274" w14:textId="77777777" w:rsidTr="00375DFD">
        <w:trPr>
          <w:cantSplit/>
          <w:trHeight w:hRule="exact" w:val="1256"/>
          <w:jc w:val="center"/>
        </w:trPr>
        <w:tc>
          <w:tcPr>
            <w:tcW w:w="3245" w:type="dxa"/>
            <w:tcBorders>
              <w:top w:val="double" w:sz="6" w:space="0" w:color="0033CC"/>
              <w:right w:val="double" w:sz="6" w:space="0" w:color="0033CC"/>
            </w:tcBorders>
            <w:shd w:val="clear" w:color="auto" w:fill="D9D9D9"/>
            <w:vAlign w:val="center"/>
          </w:tcPr>
          <w:p w14:paraId="6A1A1E21" w14:textId="77777777" w:rsidR="0006532B" w:rsidRPr="00097CFE" w:rsidRDefault="0006532B" w:rsidP="00C50692">
            <w:pPr>
              <w:pStyle w:val="Title"/>
              <w:spacing w:before="60" w:after="60"/>
              <w:ind w:right="-198"/>
              <w:jc w:val="both"/>
              <w:rPr>
                <w:sz w:val="22"/>
                <w:szCs w:val="22"/>
              </w:rPr>
            </w:pPr>
            <w:r w:rsidRPr="00097CFE">
              <w:rPr>
                <w:sz w:val="22"/>
                <w:szCs w:val="22"/>
                <w:lang w:eastAsia="bg-BG"/>
              </w:rPr>
              <w:t>Наименование на процедурата</w:t>
            </w:r>
          </w:p>
        </w:tc>
        <w:tc>
          <w:tcPr>
            <w:tcW w:w="5659" w:type="dxa"/>
            <w:tcBorders>
              <w:left w:val="double" w:sz="6" w:space="0" w:color="0033CC"/>
            </w:tcBorders>
            <w:vAlign w:val="center"/>
          </w:tcPr>
          <w:p w14:paraId="0702C516" w14:textId="77777777" w:rsidR="0006532B" w:rsidRPr="00097CFE" w:rsidRDefault="0006532B" w:rsidP="0069625D">
            <w:pPr>
              <w:spacing w:before="240" w:line="240" w:lineRule="auto"/>
              <w:ind w:left="14"/>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„Техническа помощ“</w:t>
            </w:r>
          </w:p>
        </w:tc>
      </w:tr>
      <w:tr w:rsidR="00097CFE" w:rsidRPr="00097CFE" w14:paraId="6E8B8DA4" w14:textId="77777777" w:rsidTr="00375DFD">
        <w:trPr>
          <w:cantSplit/>
          <w:trHeight w:hRule="exact" w:val="8077"/>
          <w:jc w:val="center"/>
        </w:trPr>
        <w:tc>
          <w:tcPr>
            <w:tcW w:w="3245" w:type="dxa"/>
            <w:tcBorders>
              <w:top w:val="double" w:sz="6" w:space="0" w:color="0033CC"/>
              <w:right w:val="double" w:sz="6" w:space="0" w:color="0033CC"/>
            </w:tcBorders>
            <w:shd w:val="clear" w:color="auto" w:fill="D9D9D9"/>
            <w:vAlign w:val="center"/>
          </w:tcPr>
          <w:p w14:paraId="5A17FE3A" w14:textId="77777777" w:rsidR="0006532B" w:rsidRPr="00097CFE" w:rsidRDefault="0006532B" w:rsidP="0069625D">
            <w:pPr>
              <w:spacing w:before="240" w:line="240" w:lineRule="auto"/>
              <w:ind w:left="14"/>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Цели на процедурата</w:t>
            </w:r>
          </w:p>
        </w:tc>
        <w:tc>
          <w:tcPr>
            <w:tcW w:w="5659" w:type="dxa"/>
            <w:tcBorders>
              <w:left w:val="double" w:sz="6" w:space="0" w:color="0033CC"/>
            </w:tcBorders>
            <w:vAlign w:val="center"/>
          </w:tcPr>
          <w:p w14:paraId="6580D8DA" w14:textId="77777777" w:rsidR="00E312CF" w:rsidRPr="00097CFE" w:rsidRDefault="0006532B" w:rsidP="000D16B8">
            <w:pPr>
              <w:pStyle w:val="ListParagraph"/>
              <w:numPr>
                <w:ilvl w:val="0"/>
                <w:numId w:val="9"/>
              </w:numPr>
              <w:spacing w:before="240" w:after="0" w:line="255" w:lineRule="atLeast"/>
              <w:jc w:val="both"/>
              <w:rPr>
                <w:rFonts w:ascii="Times New Roman" w:hAnsi="Times New Roman" w:cs="Times New Roman"/>
                <w:sz w:val="24"/>
                <w:szCs w:val="24"/>
              </w:rPr>
            </w:pPr>
            <w:r w:rsidRPr="0056797B">
              <w:rPr>
                <w:rFonts w:ascii="Times New Roman" w:hAnsi="Times New Roman" w:cs="Times New Roman"/>
                <w:sz w:val="24"/>
                <w:szCs w:val="24"/>
              </w:rPr>
              <w:t xml:space="preserve">да осигури дейностите по програмиране, изпълнение, мониторинг, контрол и оценка на ПМДР 2014-2020, </w:t>
            </w:r>
            <w:r w:rsidR="00FD642F">
              <w:rPr>
                <w:rFonts w:ascii="Times New Roman" w:hAnsi="Times New Roman" w:cs="Times New Roman"/>
                <w:sz w:val="24"/>
                <w:szCs w:val="24"/>
              </w:rPr>
              <w:t>в</w:t>
            </w:r>
            <w:r w:rsidRPr="00097CFE">
              <w:rPr>
                <w:rFonts w:ascii="Times New Roman" w:hAnsi="Times New Roman" w:cs="Times New Roman"/>
                <w:sz w:val="24"/>
                <w:szCs w:val="24"/>
              </w:rPr>
              <w:t>ключително материално-техническо им обезпечаване;</w:t>
            </w:r>
          </w:p>
          <w:p w14:paraId="1B0BFE9C" w14:textId="77777777" w:rsidR="00FD642F" w:rsidRDefault="00FD642F" w:rsidP="00060471">
            <w:pPr>
              <w:pStyle w:val="ListParagraph"/>
              <w:numPr>
                <w:ilvl w:val="0"/>
                <w:numId w:val="9"/>
              </w:numPr>
              <w:spacing w:before="240" w:after="0" w:line="255" w:lineRule="atLeast"/>
              <w:jc w:val="both"/>
              <w:rPr>
                <w:rFonts w:ascii="Times New Roman" w:hAnsi="Times New Roman" w:cs="Times New Roman"/>
                <w:sz w:val="24"/>
                <w:szCs w:val="24"/>
                <w:lang w:val="ru-RU"/>
              </w:rPr>
            </w:pPr>
            <w:r w:rsidRPr="00060471">
              <w:rPr>
                <w:rFonts w:ascii="Times New Roman" w:hAnsi="Times New Roman" w:cs="Times New Roman"/>
                <w:sz w:val="24"/>
                <w:szCs w:val="24"/>
                <w:lang w:val="ru-RU"/>
              </w:rPr>
              <w:t xml:space="preserve">да повиши административния капацитет на органите, ангажирани с прилагането  и извършването на одитна дейност по  ПМДР 2014-2020 за ефективно и ефикасно управление </w:t>
            </w:r>
            <w:proofErr w:type="gramStart"/>
            <w:r w:rsidRPr="00060471">
              <w:rPr>
                <w:rFonts w:ascii="Times New Roman" w:hAnsi="Times New Roman" w:cs="Times New Roman"/>
                <w:sz w:val="24"/>
                <w:szCs w:val="24"/>
                <w:lang w:val="ru-RU"/>
              </w:rPr>
              <w:t>на</w:t>
            </w:r>
            <w:proofErr w:type="gramEnd"/>
            <w:r w:rsidRPr="00060471">
              <w:rPr>
                <w:rFonts w:ascii="Times New Roman" w:hAnsi="Times New Roman" w:cs="Times New Roman"/>
                <w:sz w:val="24"/>
                <w:szCs w:val="24"/>
                <w:lang w:val="ru-RU"/>
              </w:rPr>
              <w:t xml:space="preserve"> Програмата;</w:t>
            </w:r>
          </w:p>
          <w:p w14:paraId="3633713A" w14:textId="77777777" w:rsidR="00FD642F" w:rsidRDefault="00FD642F" w:rsidP="00060471"/>
        </w:tc>
      </w:tr>
      <w:tr w:rsidR="00097CFE" w:rsidRPr="00097CFE" w14:paraId="000C30E9" w14:textId="77777777" w:rsidTr="00F66C37">
        <w:trPr>
          <w:cantSplit/>
          <w:trHeight w:hRule="exact" w:val="6340"/>
          <w:jc w:val="center"/>
        </w:trPr>
        <w:tc>
          <w:tcPr>
            <w:tcW w:w="3245" w:type="dxa"/>
            <w:tcBorders>
              <w:top w:val="double" w:sz="6" w:space="0" w:color="0033CC"/>
              <w:right w:val="double" w:sz="6" w:space="0" w:color="0033CC"/>
            </w:tcBorders>
            <w:shd w:val="clear" w:color="auto" w:fill="D9D9D9"/>
            <w:vAlign w:val="center"/>
          </w:tcPr>
          <w:p w14:paraId="7AC5C908" w14:textId="77777777" w:rsidR="0006532B" w:rsidRPr="00097CFE" w:rsidRDefault="0006532B" w:rsidP="0069625D">
            <w:pPr>
              <w:pStyle w:val="Title"/>
              <w:spacing w:before="60" w:after="60"/>
              <w:ind w:right="-198"/>
              <w:jc w:val="both"/>
              <w:rPr>
                <w:sz w:val="24"/>
                <w:szCs w:val="24"/>
              </w:rPr>
            </w:pPr>
            <w:r w:rsidRPr="00097CFE">
              <w:rPr>
                <w:sz w:val="24"/>
                <w:szCs w:val="24"/>
              </w:rPr>
              <w:lastRenderedPageBreak/>
              <w:t>Допустими кандидати</w:t>
            </w:r>
          </w:p>
        </w:tc>
        <w:tc>
          <w:tcPr>
            <w:tcW w:w="5659" w:type="dxa"/>
            <w:tcBorders>
              <w:left w:val="double" w:sz="6" w:space="0" w:color="0033CC"/>
            </w:tcBorders>
            <w:vAlign w:val="center"/>
          </w:tcPr>
          <w:p w14:paraId="10BE2CDF" w14:textId="77777777" w:rsidR="0006532B" w:rsidRPr="00097CFE" w:rsidRDefault="0006532B" w:rsidP="0069625D">
            <w:pPr>
              <w:pStyle w:val="Text2"/>
              <w:numPr>
                <w:ilvl w:val="0"/>
                <w:numId w:val="10"/>
              </w:numPr>
              <w:spacing w:after="0"/>
              <w:rPr>
                <w:i/>
                <w:iCs/>
              </w:rPr>
            </w:pPr>
            <w:bookmarkStart w:id="1" w:name="_Hlk37836094"/>
            <w:r w:rsidRPr="00097CFE">
              <w:rPr>
                <w:i/>
                <w:iCs/>
              </w:rPr>
              <w:t xml:space="preserve">Дирекция </w:t>
            </w:r>
            <w:r w:rsidRPr="00097CFE">
              <w:t>„</w:t>
            </w:r>
            <w:r w:rsidRPr="00097CFE">
              <w:rPr>
                <w:i/>
                <w:iCs/>
              </w:rPr>
              <w:t>Морско дело и рибарство</w:t>
            </w:r>
            <w:r w:rsidRPr="00097CFE">
              <w:t>”</w:t>
            </w:r>
            <w:r w:rsidRPr="00097CFE">
              <w:rPr>
                <w:i/>
                <w:iCs/>
              </w:rPr>
              <w:t>, Министерство на земеделието</w:t>
            </w:r>
            <w:r w:rsidR="00BC439A">
              <w:rPr>
                <w:i/>
                <w:iCs/>
              </w:rPr>
              <w:t>,</w:t>
            </w:r>
            <w:r w:rsidRPr="00097CFE">
              <w:rPr>
                <w:i/>
                <w:iCs/>
              </w:rPr>
              <w:t xml:space="preserve"> храните</w:t>
            </w:r>
            <w:r w:rsidR="00BC439A">
              <w:rPr>
                <w:i/>
                <w:iCs/>
              </w:rPr>
              <w:t xml:space="preserve"> и горите</w:t>
            </w:r>
            <w:r w:rsidRPr="00097CFE">
              <w:rPr>
                <w:i/>
                <w:iCs/>
              </w:rPr>
              <w:t>, Управляващ орган /УО/</w:t>
            </w:r>
          </w:p>
          <w:p w14:paraId="6ACC2F51" w14:textId="77777777" w:rsidR="0006532B" w:rsidRPr="00097CFE" w:rsidRDefault="0006532B" w:rsidP="0069625D">
            <w:pPr>
              <w:pStyle w:val="Text2"/>
              <w:spacing w:after="0"/>
              <w:ind w:left="0"/>
              <w:rPr>
                <w:i/>
                <w:iCs/>
                <w:lang w:val="ru-RU"/>
              </w:rPr>
            </w:pPr>
          </w:p>
          <w:p w14:paraId="36401B21" w14:textId="77777777" w:rsidR="0006532B" w:rsidRPr="00097CFE" w:rsidRDefault="0006532B" w:rsidP="0069625D">
            <w:pPr>
              <w:pStyle w:val="Text2"/>
              <w:spacing w:after="0"/>
              <w:ind w:left="0"/>
              <w:rPr>
                <w:i/>
                <w:iCs/>
              </w:rPr>
            </w:pPr>
          </w:p>
          <w:p w14:paraId="545D9F9F" w14:textId="77777777" w:rsidR="0006532B" w:rsidRPr="00097CFE" w:rsidRDefault="0006532B" w:rsidP="0069625D">
            <w:pPr>
              <w:pStyle w:val="Text2"/>
              <w:numPr>
                <w:ilvl w:val="0"/>
                <w:numId w:val="10"/>
              </w:numPr>
              <w:spacing w:after="0"/>
              <w:rPr>
                <w:i/>
                <w:iCs/>
              </w:rPr>
            </w:pPr>
            <w:r w:rsidRPr="00097CFE">
              <w:rPr>
                <w:i/>
                <w:iCs/>
              </w:rPr>
              <w:t xml:space="preserve">Дирекция „Рибарство и аквакултури”, Държавен фонд </w:t>
            </w:r>
            <w:r w:rsidRPr="00097CFE">
              <w:t>„</w:t>
            </w:r>
            <w:r w:rsidRPr="00097CFE">
              <w:rPr>
                <w:i/>
                <w:iCs/>
              </w:rPr>
              <w:t>Земеделие</w:t>
            </w:r>
            <w:r w:rsidRPr="00097CFE">
              <w:t xml:space="preserve">“ </w:t>
            </w:r>
            <w:r w:rsidRPr="00097CFE">
              <w:rPr>
                <w:i/>
                <w:iCs/>
              </w:rPr>
              <w:t>– РА</w:t>
            </w:r>
          </w:p>
          <w:p w14:paraId="26C1806A" w14:textId="77777777" w:rsidR="0006532B" w:rsidRPr="00097CFE" w:rsidRDefault="0006532B" w:rsidP="0069625D">
            <w:pPr>
              <w:pStyle w:val="Text2"/>
              <w:spacing w:after="0"/>
              <w:ind w:left="0"/>
              <w:rPr>
                <w:i/>
                <w:iCs/>
                <w:lang w:val="ru-RU"/>
              </w:rPr>
            </w:pPr>
          </w:p>
          <w:p w14:paraId="68681A54" w14:textId="77777777" w:rsidR="0006532B" w:rsidRPr="00763E3F" w:rsidRDefault="0006532B" w:rsidP="00552D81">
            <w:pPr>
              <w:pStyle w:val="Text2"/>
              <w:numPr>
                <w:ilvl w:val="0"/>
                <w:numId w:val="10"/>
              </w:numPr>
              <w:spacing w:after="0"/>
              <w:rPr>
                <w:i/>
                <w:iCs/>
                <w:lang w:val="ru-RU"/>
              </w:rPr>
            </w:pPr>
            <w:r w:rsidRPr="00097CFE">
              <w:rPr>
                <w:i/>
                <w:iCs/>
              </w:rPr>
              <w:t xml:space="preserve">Звено </w:t>
            </w:r>
            <w:r w:rsidRPr="00097CFE">
              <w:t>„</w:t>
            </w:r>
            <w:r w:rsidRPr="00097CFE">
              <w:rPr>
                <w:i/>
                <w:iCs/>
              </w:rPr>
              <w:t>Сертификация на разходите по ОПРСР</w:t>
            </w:r>
            <w:r w:rsidRPr="00097CFE">
              <w:t xml:space="preserve">“ </w:t>
            </w:r>
            <w:r w:rsidRPr="00097CFE">
              <w:rPr>
                <w:i/>
                <w:iCs/>
              </w:rPr>
              <w:t xml:space="preserve">в Държавен Фонд </w:t>
            </w:r>
            <w:r w:rsidRPr="00097CFE">
              <w:t>„</w:t>
            </w:r>
            <w:r w:rsidRPr="00097CFE">
              <w:rPr>
                <w:i/>
                <w:iCs/>
              </w:rPr>
              <w:t>Земеделие</w:t>
            </w:r>
            <w:r w:rsidRPr="00097CFE">
              <w:t>“</w:t>
            </w:r>
          </w:p>
          <w:p w14:paraId="7CC6EEB7" w14:textId="77777777" w:rsidR="00DC5080" w:rsidRDefault="00DC5080" w:rsidP="00DC5080">
            <w:pPr>
              <w:pStyle w:val="ListParagraph"/>
              <w:rPr>
                <w:i/>
                <w:iCs/>
                <w:lang w:val="ru-RU"/>
              </w:rPr>
            </w:pPr>
          </w:p>
          <w:p w14:paraId="76C0D963" w14:textId="77777777" w:rsidR="00DC5080" w:rsidRDefault="00DC5080" w:rsidP="00552D81">
            <w:pPr>
              <w:pStyle w:val="Text2"/>
              <w:numPr>
                <w:ilvl w:val="0"/>
                <w:numId w:val="10"/>
              </w:numPr>
              <w:spacing w:after="0"/>
              <w:rPr>
                <w:i/>
                <w:iCs/>
              </w:rPr>
            </w:pPr>
            <w:r w:rsidRPr="00D44902">
              <w:rPr>
                <w:i/>
                <w:iCs/>
              </w:rPr>
              <w:t xml:space="preserve">Изпълнителна агенция „Сертификационен одит на средствата от европейските земеделски фондове“ </w:t>
            </w:r>
          </w:p>
          <w:p w14:paraId="5F60B55B" w14:textId="77777777" w:rsidR="000D35EB" w:rsidRDefault="000D35EB" w:rsidP="00F66C37">
            <w:pPr>
              <w:pStyle w:val="ListParagraph"/>
              <w:rPr>
                <w:i/>
                <w:iCs/>
              </w:rPr>
            </w:pPr>
          </w:p>
          <w:p w14:paraId="1C1A50C8" w14:textId="77777777" w:rsidR="000D35EB" w:rsidRPr="00763E3F" w:rsidRDefault="00246034" w:rsidP="00552D81">
            <w:pPr>
              <w:pStyle w:val="Text2"/>
              <w:numPr>
                <w:ilvl w:val="0"/>
                <w:numId w:val="10"/>
              </w:numPr>
              <w:spacing w:after="0"/>
              <w:rPr>
                <w:i/>
                <w:iCs/>
              </w:rPr>
            </w:pPr>
            <w:r w:rsidRPr="00097CFE">
              <w:rPr>
                <w:i/>
                <w:iCs/>
              </w:rPr>
              <w:t xml:space="preserve">Дирекция </w:t>
            </w:r>
            <w:r w:rsidR="000D35EB">
              <w:rPr>
                <w:i/>
                <w:iCs/>
              </w:rPr>
              <w:t>„Вътрешен одит“, Министерство на земеделието, храните и горите</w:t>
            </w:r>
          </w:p>
          <w:bookmarkEnd w:id="1"/>
          <w:p w14:paraId="3899D1A3" w14:textId="77777777" w:rsidR="005B157D" w:rsidRPr="00097CFE" w:rsidRDefault="005B157D" w:rsidP="0069625D">
            <w:pPr>
              <w:spacing w:after="120" w:line="240" w:lineRule="auto"/>
              <w:ind w:left="14"/>
              <w:jc w:val="both"/>
              <w:rPr>
                <w:rFonts w:ascii="Times New Roman" w:hAnsi="Times New Roman" w:cs="Times New Roman"/>
                <w:sz w:val="24"/>
                <w:szCs w:val="24"/>
              </w:rPr>
            </w:pPr>
          </w:p>
        </w:tc>
      </w:tr>
      <w:tr w:rsidR="00097CFE" w:rsidRPr="00097CFE" w14:paraId="57A722F6" w14:textId="77777777" w:rsidTr="00C40D99">
        <w:trPr>
          <w:cantSplit/>
          <w:trHeight w:hRule="exact" w:val="1429"/>
          <w:jc w:val="center"/>
        </w:trPr>
        <w:tc>
          <w:tcPr>
            <w:tcW w:w="3245" w:type="dxa"/>
            <w:tcBorders>
              <w:right w:val="double" w:sz="6" w:space="0" w:color="0033CC"/>
            </w:tcBorders>
            <w:shd w:val="clear" w:color="auto" w:fill="D9D9D9"/>
            <w:vAlign w:val="center"/>
          </w:tcPr>
          <w:p w14:paraId="6EBD1430" w14:textId="77777777" w:rsidR="0006532B" w:rsidRPr="00097CFE" w:rsidRDefault="001B2BC7" w:rsidP="0069625D">
            <w:pPr>
              <w:pStyle w:val="Title"/>
              <w:spacing w:before="60" w:after="60"/>
              <w:ind w:right="138"/>
              <w:jc w:val="both"/>
              <w:rPr>
                <w:sz w:val="24"/>
                <w:szCs w:val="24"/>
              </w:rPr>
            </w:pPr>
            <w:r>
              <w:rPr>
                <w:sz w:val="24"/>
                <w:szCs w:val="24"/>
              </w:rPr>
              <w:t>Общ размер на безвъзмездната финансова помощ (БФП) по процедурата</w:t>
            </w:r>
          </w:p>
        </w:tc>
        <w:tc>
          <w:tcPr>
            <w:tcW w:w="5659" w:type="dxa"/>
            <w:tcBorders>
              <w:left w:val="double" w:sz="6" w:space="0" w:color="0033CC"/>
            </w:tcBorders>
            <w:vAlign w:val="center"/>
          </w:tcPr>
          <w:p w14:paraId="66BC6275" w14:textId="77777777" w:rsidR="00C5082F" w:rsidRDefault="00C5082F" w:rsidP="007660B9">
            <w:pPr>
              <w:pStyle w:val="Title"/>
              <w:spacing w:before="120" w:after="120" w:line="360" w:lineRule="auto"/>
              <w:ind w:left="113" w:right="113"/>
              <w:jc w:val="both"/>
              <w:rPr>
                <w:sz w:val="24"/>
                <w:szCs w:val="24"/>
              </w:rPr>
            </w:pPr>
          </w:p>
          <w:p w14:paraId="641A1511" w14:textId="2B5D016A" w:rsidR="00DC5080" w:rsidRPr="00763E3F" w:rsidRDefault="003F207B" w:rsidP="00B21ADF">
            <w:pPr>
              <w:pStyle w:val="Text2"/>
              <w:numPr>
                <w:ilvl w:val="0"/>
                <w:numId w:val="10"/>
              </w:numPr>
              <w:spacing w:after="0"/>
              <w:rPr>
                <w:rFonts w:ascii="Calibri" w:eastAsia="Calibri" w:hAnsi="Calibri" w:cs="Calibri"/>
                <w:b/>
                <w:bCs/>
                <w:sz w:val="22"/>
                <w:szCs w:val="22"/>
              </w:rPr>
            </w:pPr>
            <w:r>
              <w:rPr>
                <w:i/>
                <w:iCs/>
              </w:rPr>
              <w:t xml:space="preserve">2 821 544,36 </w:t>
            </w:r>
            <w:r w:rsidR="00B21ADF" w:rsidRPr="00B21ADF" w:rsidDel="00B21ADF">
              <w:rPr>
                <w:i/>
                <w:iCs/>
              </w:rPr>
              <w:t xml:space="preserve"> </w:t>
            </w:r>
            <w:r w:rsidR="00FD642F" w:rsidRPr="00060471">
              <w:rPr>
                <w:i/>
                <w:iCs/>
              </w:rPr>
              <w:t>лв.</w:t>
            </w:r>
            <w:r w:rsidR="00DC5080">
              <w:rPr>
                <w:b/>
                <w:bCs/>
                <w:u w:val="single"/>
              </w:rPr>
              <w:t xml:space="preserve"> </w:t>
            </w:r>
          </w:p>
        </w:tc>
      </w:tr>
      <w:tr w:rsidR="00097CFE" w:rsidRPr="00097CFE" w14:paraId="50685A4F" w14:textId="77777777" w:rsidTr="00C40D99">
        <w:trPr>
          <w:cantSplit/>
          <w:trHeight w:hRule="exact" w:val="1102"/>
          <w:jc w:val="center"/>
        </w:trPr>
        <w:tc>
          <w:tcPr>
            <w:tcW w:w="3245" w:type="dxa"/>
            <w:tcBorders>
              <w:right w:val="double" w:sz="6" w:space="0" w:color="0033CC"/>
            </w:tcBorders>
            <w:shd w:val="clear" w:color="auto" w:fill="D9D9D9"/>
            <w:vAlign w:val="center"/>
          </w:tcPr>
          <w:p w14:paraId="41F525E3" w14:textId="77777777" w:rsidR="0006532B" w:rsidRPr="00097CFE" w:rsidRDefault="0006532B" w:rsidP="0069625D">
            <w:pPr>
              <w:pStyle w:val="Title"/>
              <w:spacing w:before="60" w:after="60"/>
              <w:ind w:right="-27"/>
              <w:jc w:val="left"/>
              <w:rPr>
                <w:sz w:val="24"/>
                <w:szCs w:val="24"/>
              </w:rPr>
            </w:pPr>
            <w:r w:rsidRPr="00097CFE">
              <w:rPr>
                <w:sz w:val="24"/>
                <w:szCs w:val="24"/>
              </w:rPr>
              <w:t>Максимални размери на БФП по отделните финансови планове</w:t>
            </w:r>
          </w:p>
        </w:tc>
        <w:tc>
          <w:tcPr>
            <w:tcW w:w="5659" w:type="dxa"/>
            <w:tcBorders>
              <w:left w:val="double" w:sz="6" w:space="0" w:color="0033CC"/>
            </w:tcBorders>
            <w:vAlign w:val="center"/>
          </w:tcPr>
          <w:p w14:paraId="74BB4C3B" w14:textId="77777777" w:rsidR="0006532B" w:rsidRPr="00097CFE" w:rsidRDefault="0006532B" w:rsidP="0069625D">
            <w:pPr>
              <w:pStyle w:val="Title"/>
              <w:spacing w:before="120" w:after="120" w:line="360" w:lineRule="auto"/>
              <w:ind w:left="113" w:right="113"/>
              <w:jc w:val="both"/>
              <w:rPr>
                <w:sz w:val="24"/>
                <w:szCs w:val="24"/>
              </w:rPr>
            </w:pPr>
            <w:r w:rsidRPr="00097CFE">
              <w:rPr>
                <w:sz w:val="24"/>
                <w:szCs w:val="24"/>
              </w:rPr>
              <w:t xml:space="preserve">Съгласно т. </w:t>
            </w:r>
            <w:r w:rsidRPr="00097CFE">
              <w:rPr>
                <w:sz w:val="24"/>
                <w:szCs w:val="24"/>
                <w:lang w:val="ru-RU"/>
              </w:rPr>
              <w:t>6</w:t>
            </w:r>
            <w:r w:rsidRPr="00097CFE">
              <w:rPr>
                <w:sz w:val="24"/>
                <w:szCs w:val="24"/>
              </w:rPr>
              <w:t xml:space="preserve"> от Условията за кандидатстване</w:t>
            </w:r>
          </w:p>
        </w:tc>
      </w:tr>
      <w:tr w:rsidR="00097CFE" w:rsidRPr="00097CFE" w14:paraId="1CF14155" w14:textId="77777777" w:rsidTr="00C40D99">
        <w:trPr>
          <w:cantSplit/>
          <w:trHeight w:hRule="exact" w:val="2031"/>
          <w:jc w:val="center"/>
        </w:trPr>
        <w:tc>
          <w:tcPr>
            <w:tcW w:w="3245" w:type="dxa"/>
            <w:tcBorders>
              <w:right w:val="double" w:sz="6" w:space="0" w:color="0033CC"/>
            </w:tcBorders>
            <w:shd w:val="clear" w:color="auto" w:fill="D9D9D9"/>
            <w:vAlign w:val="center"/>
          </w:tcPr>
          <w:p w14:paraId="4E5D71AC" w14:textId="77777777" w:rsidR="0006532B" w:rsidRPr="00097CFE" w:rsidRDefault="0006532B" w:rsidP="0069625D">
            <w:pPr>
              <w:spacing w:before="60" w:after="60"/>
              <w:rPr>
                <w:rFonts w:ascii="Times New Roman" w:hAnsi="Times New Roman" w:cs="Times New Roman"/>
                <w:b/>
                <w:bCs/>
                <w:sz w:val="24"/>
                <w:szCs w:val="24"/>
              </w:rPr>
            </w:pPr>
            <w:r w:rsidRPr="00097CFE">
              <w:rPr>
                <w:rFonts w:ascii="Times New Roman" w:hAnsi="Times New Roman" w:cs="Times New Roman"/>
                <w:b/>
                <w:bCs/>
                <w:sz w:val="24"/>
                <w:szCs w:val="24"/>
              </w:rPr>
              <w:t xml:space="preserve">Период </w:t>
            </w:r>
            <w:r w:rsidRPr="00097CFE">
              <w:rPr>
                <w:rFonts w:ascii="Times New Roman" w:hAnsi="Times New Roman" w:cs="Times New Roman"/>
                <w:b/>
                <w:bCs/>
                <w:sz w:val="24"/>
                <w:szCs w:val="24"/>
              </w:rPr>
              <w:br/>
              <w:t>за изпълнение на финансовите планове за бюджетна линия</w:t>
            </w:r>
          </w:p>
        </w:tc>
        <w:tc>
          <w:tcPr>
            <w:tcW w:w="5659" w:type="dxa"/>
            <w:tcBorders>
              <w:left w:val="double" w:sz="6" w:space="0" w:color="0033CC"/>
            </w:tcBorders>
            <w:vAlign w:val="center"/>
          </w:tcPr>
          <w:p w14:paraId="71DEBFAE" w14:textId="24D037AA" w:rsidR="0058752E" w:rsidRDefault="0058752E" w:rsidP="0058752E">
            <w:pPr>
              <w:rPr>
                <w:rFonts w:ascii="Times New Roman" w:hAnsi="Times New Roman" w:cs="Times New Roman"/>
                <w:b/>
                <w:bCs/>
                <w:sz w:val="24"/>
                <w:szCs w:val="24"/>
              </w:rPr>
            </w:pPr>
            <w:r>
              <w:rPr>
                <w:rFonts w:ascii="Times New Roman" w:hAnsi="Times New Roman" w:cs="Times New Roman"/>
                <w:b/>
                <w:bCs/>
                <w:sz w:val="24"/>
                <w:szCs w:val="24"/>
                <w:lang w:val="en-US"/>
              </w:rPr>
              <w:t>01.01.20</w:t>
            </w:r>
            <w:r>
              <w:rPr>
                <w:rFonts w:ascii="Times New Roman" w:hAnsi="Times New Roman" w:cs="Times New Roman"/>
                <w:b/>
                <w:bCs/>
                <w:sz w:val="24"/>
                <w:szCs w:val="24"/>
              </w:rPr>
              <w:t>2</w:t>
            </w:r>
            <w:r w:rsidR="003F207B">
              <w:rPr>
                <w:rFonts w:ascii="Times New Roman" w:hAnsi="Times New Roman" w:cs="Times New Roman"/>
                <w:b/>
                <w:bCs/>
                <w:sz w:val="24"/>
                <w:szCs w:val="24"/>
              </w:rPr>
              <w:t>1</w:t>
            </w:r>
            <w:r>
              <w:rPr>
                <w:rFonts w:ascii="Times New Roman" w:hAnsi="Times New Roman" w:cs="Times New Roman"/>
                <w:b/>
                <w:bCs/>
                <w:sz w:val="24"/>
                <w:szCs w:val="24"/>
                <w:lang w:val="en-US"/>
              </w:rPr>
              <w:t xml:space="preserve"> – 31.12.20</w:t>
            </w:r>
            <w:r w:rsidR="003F207B">
              <w:rPr>
                <w:rFonts w:ascii="Times New Roman" w:hAnsi="Times New Roman" w:cs="Times New Roman"/>
                <w:b/>
                <w:bCs/>
                <w:sz w:val="24"/>
                <w:szCs w:val="24"/>
              </w:rPr>
              <w:t xml:space="preserve">21 </w:t>
            </w:r>
            <w:r>
              <w:rPr>
                <w:rFonts w:ascii="Times New Roman" w:hAnsi="Times New Roman" w:cs="Times New Roman"/>
                <w:b/>
                <w:bCs/>
                <w:sz w:val="24"/>
                <w:szCs w:val="24"/>
              </w:rPr>
              <w:t>г.</w:t>
            </w:r>
          </w:p>
          <w:p w14:paraId="096C5B25" w14:textId="77777777" w:rsidR="0058752E" w:rsidRPr="00330519" w:rsidRDefault="0058752E" w:rsidP="00855F77"/>
        </w:tc>
      </w:tr>
      <w:tr w:rsidR="00097CFE" w:rsidRPr="00097CFE" w14:paraId="7E5FB732" w14:textId="77777777" w:rsidTr="00C40D99">
        <w:trPr>
          <w:cantSplit/>
          <w:trHeight w:hRule="exact" w:val="1741"/>
          <w:jc w:val="center"/>
        </w:trPr>
        <w:tc>
          <w:tcPr>
            <w:tcW w:w="3245" w:type="dxa"/>
            <w:tcBorders>
              <w:right w:val="double" w:sz="6" w:space="0" w:color="0033CC"/>
            </w:tcBorders>
            <w:shd w:val="clear" w:color="auto" w:fill="D9D9D9"/>
            <w:vAlign w:val="center"/>
          </w:tcPr>
          <w:p w14:paraId="6E6417C4" w14:textId="77777777" w:rsidR="0006532B" w:rsidRPr="00097CFE" w:rsidRDefault="0006532B" w:rsidP="0069625D">
            <w:pPr>
              <w:spacing w:before="60" w:after="60"/>
              <w:ind w:right="138"/>
              <w:rPr>
                <w:rFonts w:ascii="Times New Roman" w:hAnsi="Times New Roman" w:cs="Times New Roman"/>
                <w:b/>
                <w:bCs/>
                <w:sz w:val="24"/>
                <w:szCs w:val="24"/>
              </w:rPr>
            </w:pPr>
            <w:r w:rsidRPr="00097CFE">
              <w:rPr>
                <w:rFonts w:ascii="Times New Roman" w:hAnsi="Times New Roman" w:cs="Times New Roman"/>
                <w:b/>
                <w:bCs/>
                <w:sz w:val="24"/>
                <w:szCs w:val="24"/>
              </w:rPr>
              <w:t xml:space="preserve">Краен срок за подаване </w:t>
            </w:r>
            <w:r w:rsidRPr="00097CFE">
              <w:rPr>
                <w:rFonts w:ascii="Times New Roman" w:hAnsi="Times New Roman" w:cs="Times New Roman"/>
                <w:b/>
                <w:bCs/>
                <w:sz w:val="24"/>
                <w:szCs w:val="24"/>
              </w:rPr>
              <w:br/>
              <w:t>на документите за кандидатстване</w:t>
            </w:r>
          </w:p>
        </w:tc>
        <w:tc>
          <w:tcPr>
            <w:tcW w:w="5659" w:type="dxa"/>
            <w:tcBorders>
              <w:left w:val="double" w:sz="6" w:space="0" w:color="0033CC"/>
            </w:tcBorders>
            <w:vAlign w:val="center"/>
          </w:tcPr>
          <w:p w14:paraId="10F0BBC2" w14:textId="23EF0D2F" w:rsidR="0006532B" w:rsidRPr="007660B9" w:rsidRDefault="0095104E">
            <w:pPr>
              <w:pStyle w:val="Title"/>
              <w:spacing w:before="60" w:after="60"/>
              <w:ind w:right="113"/>
              <w:jc w:val="both"/>
              <w:rPr>
                <w:b w:val="0"/>
                <w:bCs w:val="0"/>
                <w:sz w:val="24"/>
                <w:szCs w:val="24"/>
                <w:lang w:val="en-US" w:eastAsia="bg-BG"/>
              </w:rPr>
            </w:pPr>
            <w:r w:rsidRPr="00423708">
              <w:rPr>
                <w:sz w:val="24"/>
                <w:szCs w:val="24"/>
                <w:lang w:val="en-US"/>
              </w:rPr>
              <w:t>01</w:t>
            </w:r>
            <w:r w:rsidR="0006532B" w:rsidRPr="00423708">
              <w:rPr>
                <w:sz w:val="24"/>
                <w:szCs w:val="24"/>
              </w:rPr>
              <w:t>.</w:t>
            </w:r>
            <w:r w:rsidRPr="00423708">
              <w:rPr>
                <w:sz w:val="24"/>
                <w:szCs w:val="24"/>
                <w:lang w:val="en-US"/>
              </w:rPr>
              <w:t>12.</w:t>
            </w:r>
            <w:r w:rsidR="004F7805" w:rsidRPr="00423708">
              <w:rPr>
                <w:sz w:val="24"/>
                <w:szCs w:val="24"/>
                <w:lang w:val="en-US"/>
              </w:rPr>
              <w:t>20</w:t>
            </w:r>
            <w:r w:rsidR="004F7805">
              <w:rPr>
                <w:sz w:val="24"/>
                <w:szCs w:val="24"/>
                <w:lang w:val="en-US"/>
              </w:rPr>
              <w:t>2</w:t>
            </w:r>
            <w:r w:rsidR="00F85AAA">
              <w:rPr>
                <w:sz w:val="24"/>
                <w:szCs w:val="24"/>
              </w:rPr>
              <w:t>1</w:t>
            </w:r>
            <w:r w:rsidR="004F7805" w:rsidRPr="00423708">
              <w:rPr>
                <w:sz w:val="24"/>
                <w:szCs w:val="24"/>
                <w:lang w:val="en-US"/>
              </w:rPr>
              <w:t xml:space="preserve"> </w:t>
            </w:r>
            <w:proofErr w:type="gramStart"/>
            <w:r w:rsidRPr="00423708">
              <w:rPr>
                <w:sz w:val="24"/>
                <w:szCs w:val="24"/>
              </w:rPr>
              <w:t>г.</w:t>
            </w:r>
            <w:r w:rsidR="00375DFD">
              <w:rPr>
                <w:sz w:val="24"/>
                <w:szCs w:val="24"/>
              </w:rPr>
              <w:t>,</w:t>
            </w:r>
            <w:proofErr w:type="gramEnd"/>
            <w:r w:rsidR="0006532B" w:rsidRPr="00423708">
              <w:rPr>
                <w:sz w:val="24"/>
                <w:szCs w:val="24"/>
              </w:rPr>
              <w:t xml:space="preserve"> 17:30 ч.</w:t>
            </w:r>
            <w:r w:rsidR="00330519">
              <w:rPr>
                <w:sz w:val="24"/>
                <w:szCs w:val="24"/>
                <w:lang w:val="en-US"/>
              </w:rPr>
              <w:t>*</w:t>
            </w:r>
          </w:p>
        </w:tc>
      </w:tr>
      <w:tr w:rsidR="00097CFE" w:rsidRPr="00A85714" w14:paraId="0B77CA74" w14:textId="77777777" w:rsidTr="00C40D99">
        <w:trPr>
          <w:cantSplit/>
          <w:trHeight w:hRule="exact" w:val="1056"/>
          <w:jc w:val="center"/>
        </w:trPr>
        <w:tc>
          <w:tcPr>
            <w:tcW w:w="3245" w:type="dxa"/>
            <w:tcBorders>
              <w:bottom w:val="double" w:sz="6" w:space="0" w:color="0033CC"/>
              <w:right w:val="double" w:sz="6" w:space="0" w:color="0033CC"/>
            </w:tcBorders>
            <w:shd w:val="clear" w:color="auto" w:fill="D9D9D9"/>
            <w:vAlign w:val="center"/>
          </w:tcPr>
          <w:p w14:paraId="3904026F" w14:textId="77777777" w:rsidR="0006532B" w:rsidRPr="00097CFE" w:rsidRDefault="0006532B" w:rsidP="0069625D">
            <w:pPr>
              <w:jc w:val="both"/>
              <w:rPr>
                <w:rFonts w:ascii="Times New Roman" w:hAnsi="Times New Roman" w:cs="Times New Roman"/>
                <w:b/>
                <w:bCs/>
                <w:sz w:val="24"/>
                <w:szCs w:val="24"/>
              </w:rPr>
            </w:pPr>
            <w:r w:rsidRPr="00097CFE">
              <w:rPr>
                <w:rFonts w:ascii="Times New Roman" w:hAnsi="Times New Roman" w:cs="Times New Roman"/>
                <w:b/>
                <w:bCs/>
                <w:sz w:val="24"/>
                <w:szCs w:val="24"/>
              </w:rPr>
              <w:t>Териториален обхват</w:t>
            </w:r>
          </w:p>
        </w:tc>
        <w:tc>
          <w:tcPr>
            <w:tcW w:w="5659" w:type="dxa"/>
            <w:tcBorders>
              <w:left w:val="double" w:sz="6" w:space="0" w:color="0033CC"/>
              <w:bottom w:val="double" w:sz="6" w:space="0" w:color="0033CC"/>
            </w:tcBorders>
            <w:vAlign w:val="center"/>
          </w:tcPr>
          <w:p w14:paraId="69DE2D2B" w14:textId="77777777" w:rsidR="0006532B" w:rsidRPr="00097CFE" w:rsidRDefault="0006532B" w:rsidP="0069625D">
            <w:pPr>
              <w:pStyle w:val="Title"/>
              <w:spacing w:after="0"/>
              <w:ind w:left="113" w:right="113"/>
              <w:jc w:val="both"/>
              <w:rPr>
                <w:sz w:val="24"/>
                <w:szCs w:val="24"/>
                <w:lang w:eastAsia="bg-BG"/>
              </w:rPr>
            </w:pPr>
            <w:r w:rsidRPr="00097CFE">
              <w:rPr>
                <w:sz w:val="24"/>
                <w:szCs w:val="24"/>
                <w:lang w:eastAsia="bg-BG"/>
              </w:rPr>
              <w:t xml:space="preserve">Територията на Република България и останалите държави-членки на Европейския съюз </w:t>
            </w:r>
          </w:p>
        </w:tc>
      </w:tr>
    </w:tbl>
    <w:p w14:paraId="0D9E72F9" w14:textId="77777777" w:rsidR="0006532B" w:rsidRPr="00097CFE" w:rsidRDefault="0006532B" w:rsidP="003E11B4">
      <w:pPr>
        <w:jc w:val="both"/>
        <w:rPr>
          <w:rFonts w:ascii="Times New Roman" w:hAnsi="Times New Roman" w:cs="Times New Roman"/>
          <w:sz w:val="24"/>
          <w:szCs w:val="24"/>
          <w:lang w:eastAsia="bg-BG"/>
        </w:rPr>
      </w:pPr>
    </w:p>
    <w:p w14:paraId="12AD8217" w14:textId="10ED4FCE" w:rsidR="0058752E" w:rsidRPr="007660B9" w:rsidRDefault="0058752E" w:rsidP="0058752E">
      <w:pPr>
        <w:jc w:val="both"/>
        <w:rPr>
          <w:rFonts w:ascii="Times New Roman" w:hAnsi="Times New Roman" w:cs="Times New Roman"/>
          <w:i/>
          <w:iCs/>
          <w:sz w:val="24"/>
          <w:szCs w:val="24"/>
        </w:rPr>
      </w:pPr>
      <w:r w:rsidRPr="007660B9">
        <w:rPr>
          <w:rFonts w:ascii="Times New Roman" w:hAnsi="Times New Roman" w:cs="Times New Roman"/>
          <w:i/>
          <w:iCs/>
          <w:sz w:val="24"/>
          <w:szCs w:val="24"/>
        </w:rPr>
        <w:lastRenderedPageBreak/>
        <w:t xml:space="preserve">*Крайният срок за подаване на проектни предложения </w:t>
      </w:r>
      <w:r>
        <w:rPr>
          <w:rFonts w:ascii="Times New Roman" w:hAnsi="Times New Roman" w:cs="Times New Roman"/>
          <w:i/>
          <w:iCs/>
          <w:sz w:val="24"/>
          <w:szCs w:val="24"/>
        </w:rPr>
        <w:t>по БЛ за 202</w:t>
      </w:r>
      <w:r w:rsidR="006603AC">
        <w:rPr>
          <w:rFonts w:ascii="Times New Roman" w:hAnsi="Times New Roman" w:cs="Times New Roman"/>
          <w:i/>
          <w:iCs/>
          <w:sz w:val="24"/>
          <w:szCs w:val="24"/>
        </w:rPr>
        <w:t>1</w:t>
      </w:r>
      <w:r>
        <w:rPr>
          <w:rFonts w:ascii="Times New Roman" w:hAnsi="Times New Roman" w:cs="Times New Roman"/>
          <w:i/>
          <w:iCs/>
          <w:sz w:val="24"/>
          <w:szCs w:val="24"/>
        </w:rPr>
        <w:t xml:space="preserve"> г. </w:t>
      </w:r>
      <w:r w:rsidRPr="007660B9">
        <w:rPr>
          <w:rFonts w:ascii="Times New Roman" w:hAnsi="Times New Roman" w:cs="Times New Roman"/>
          <w:i/>
          <w:iCs/>
          <w:sz w:val="24"/>
          <w:szCs w:val="24"/>
        </w:rPr>
        <w:t>за възнаграждения на служителите е 17: 30 ч. на 01.12.20</w:t>
      </w:r>
      <w:r>
        <w:rPr>
          <w:rFonts w:ascii="Times New Roman" w:hAnsi="Times New Roman" w:cs="Times New Roman"/>
          <w:i/>
          <w:iCs/>
          <w:sz w:val="24"/>
          <w:szCs w:val="24"/>
        </w:rPr>
        <w:t>2</w:t>
      </w:r>
      <w:r w:rsidR="006603AC">
        <w:rPr>
          <w:rFonts w:ascii="Times New Roman" w:hAnsi="Times New Roman" w:cs="Times New Roman"/>
          <w:i/>
          <w:iCs/>
          <w:sz w:val="24"/>
          <w:szCs w:val="24"/>
        </w:rPr>
        <w:t>1</w:t>
      </w:r>
      <w:r w:rsidRPr="007660B9">
        <w:rPr>
          <w:rFonts w:ascii="Times New Roman" w:hAnsi="Times New Roman" w:cs="Times New Roman"/>
          <w:i/>
          <w:iCs/>
          <w:sz w:val="24"/>
          <w:szCs w:val="24"/>
        </w:rPr>
        <w:t xml:space="preserve"> г.</w:t>
      </w:r>
    </w:p>
    <w:p w14:paraId="256478B6" w14:textId="77777777" w:rsidR="0058752E" w:rsidRPr="007660B9" w:rsidRDefault="0058752E" w:rsidP="007660B9">
      <w:pPr>
        <w:jc w:val="both"/>
        <w:rPr>
          <w:rFonts w:ascii="Times New Roman" w:hAnsi="Times New Roman" w:cs="Times New Roman"/>
          <w:i/>
          <w:iCs/>
          <w:sz w:val="24"/>
          <w:szCs w:val="24"/>
        </w:rPr>
      </w:pPr>
    </w:p>
    <w:p w14:paraId="1A77951E" w14:textId="77777777" w:rsidR="0006532B" w:rsidRPr="00097CFE" w:rsidRDefault="0006532B" w:rsidP="00BE3710">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s="Times New Roman"/>
          <w:b/>
          <w:bCs/>
          <w:caps/>
          <w:sz w:val="24"/>
          <w:szCs w:val="24"/>
        </w:rPr>
      </w:pPr>
      <w:r w:rsidRPr="00097CFE">
        <w:rPr>
          <w:rFonts w:ascii="Times New Roman" w:hAnsi="Times New Roman" w:cs="Times New Roman"/>
          <w:sz w:val="24"/>
          <w:szCs w:val="24"/>
        </w:rPr>
        <w:br w:type="page"/>
      </w:r>
      <w:r w:rsidRPr="00097CFE">
        <w:rPr>
          <w:rFonts w:ascii="Times New Roman" w:hAnsi="Times New Roman" w:cs="Times New Roman"/>
          <w:b/>
          <w:bCs/>
          <w:caps/>
          <w:sz w:val="24"/>
          <w:szCs w:val="24"/>
        </w:rPr>
        <w:lastRenderedPageBreak/>
        <w:t>Измерения по кодове:</w:t>
      </w:r>
    </w:p>
    <w:p w14:paraId="78A05FCF" w14:textId="77777777" w:rsidR="0006532B" w:rsidRPr="00097CFE" w:rsidRDefault="0006532B" w:rsidP="003E11B4">
      <w:pPr>
        <w:pStyle w:val="ListParagraph"/>
        <w:ind w:left="786"/>
        <w:jc w:val="both"/>
        <w:rPr>
          <w:rFonts w:ascii="Times New Roman" w:hAnsi="Times New Roman" w:cs="Times New Roman"/>
          <w:b/>
          <w:bCs/>
          <w:caps/>
          <w:sz w:val="24"/>
          <w:szCs w:val="24"/>
        </w:rPr>
      </w:pPr>
    </w:p>
    <w:p w14:paraId="3B888614" w14:textId="77777777" w:rsidR="0006532B" w:rsidRPr="00097CFE" w:rsidRDefault="0006532B" w:rsidP="003E11B4">
      <w:pPr>
        <w:pStyle w:val="ListParagraph"/>
        <w:spacing w:after="360" w:line="240" w:lineRule="auto"/>
        <w:ind w:left="786"/>
        <w:jc w:val="both"/>
        <w:rPr>
          <w:rFonts w:ascii="Times New Roman" w:hAnsi="Times New Roman" w:cs="Times New Roman"/>
          <w:b/>
          <w:bCs/>
          <w:sz w:val="24"/>
          <w:szCs w:val="24"/>
        </w:rPr>
      </w:pPr>
      <w:r w:rsidRPr="00097CFE">
        <w:rPr>
          <w:rFonts w:ascii="Times New Roman" w:hAnsi="Times New Roman" w:cs="Times New Roman"/>
          <w:b/>
          <w:bCs/>
          <w:sz w:val="24"/>
          <w:szCs w:val="24"/>
        </w:rPr>
        <w:t>Измерение 1 – Област на интервенция:</w:t>
      </w:r>
    </w:p>
    <w:p w14:paraId="7F8C8D18" w14:textId="77777777" w:rsidR="0006532B" w:rsidRPr="00097CFE" w:rsidRDefault="0006532B" w:rsidP="003E11B4">
      <w:pPr>
        <w:pStyle w:val="ListParagraph"/>
        <w:spacing w:after="360" w:line="240" w:lineRule="auto"/>
        <w:ind w:left="786"/>
        <w:jc w:val="both"/>
        <w:rPr>
          <w:rFonts w:ascii="Times New Roman" w:hAnsi="Times New Roman" w:cs="Times New Roman"/>
          <w:sz w:val="24"/>
          <w:szCs w:val="24"/>
        </w:rPr>
      </w:pPr>
      <w:r w:rsidRPr="00097CFE">
        <w:rPr>
          <w:rFonts w:ascii="Times New Roman" w:hAnsi="Times New Roman" w:cs="Times New Roman"/>
          <w:sz w:val="24"/>
          <w:szCs w:val="24"/>
        </w:rPr>
        <w:t>121. Подготовка, изпълнение, наблюдение и контрол</w:t>
      </w:r>
    </w:p>
    <w:p w14:paraId="4E0DDE22" w14:textId="77777777" w:rsidR="0006532B" w:rsidRPr="00097CFE" w:rsidRDefault="0006532B" w:rsidP="003E11B4">
      <w:pPr>
        <w:pStyle w:val="ListParagraph"/>
        <w:spacing w:after="360" w:line="240" w:lineRule="auto"/>
        <w:ind w:left="786"/>
        <w:jc w:val="both"/>
        <w:rPr>
          <w:rFonts w:ascii="Times New Roman" w:hAnsi="Times New Roman" w:cs="Times New Roman"/>
          <w:b/>
          <w:bCs/>
          <w:sz w:val="24"/>
          <w:szCs w:val="24"/>
        </w:rPr>
      </w:pPr>
      <w:r w:rsidRPr="00097CFE">
        <w:rPr>
          <w:rFonts w:ascii="Times New Roman" w:hAnsi="Times New Roman" w:cs="Times New Roman"/>
          <w:b/>
          <w:bCs/>
          <w:sz w:val="24"/>
          <w:szCs w:val="24"/>
        </w:rPr>
        <w:t>Измерение 2 – Форма на финансиране:</w:t>
      </w:r>
    </w:p>
    <w:p w14:paraId="050FA77B" w14:textId="77777777" w:rsidR="0006532B" w:rsidRPr="00097CFE" w:rsidRDefault="0006532B" w:rsidP="003E11B4">
      <w:pPr>
        <w:pStyle w:val="ListParagraph"/>
        <w:spacing w:after="360" w:line="240" w:lineRule="auto"/>
        <w:ind w:left="786"/>
        <w:jc w:val="both"/>
        <w:rPr>
          <w:rFonts w:ascii="Times New Roman" w:hAnsi="Times New Roman" w:cs="Times New Roman"/>
          <w:sz w:val="24"/>
          <w:szCs w:val="24"/>
        </w:rPr>
      </w:pPr>
      <w:r w:rsidRPr="00097CFE">
        <w:rPr>
          <w:rFonts w:ascii="Times New Roman" w:hAnsi="Times New Roman" w:cs="Times New Roman"/>
          <w:sz w:val="24"/>
          <w:szCs w:val="24"/>
        </w:rPr>
        <w:t>01 Безвъзмездни средства.</w:t>
      </w:r>
    </w:p>
    <w:p w14:paraId="4498C717" w14:textId="77777777" w:rsidR="0006532B" w:rsidRPr="00097CFE" w:rsidRDefault="0006532B" w:rsidP="003E11B4">
      <w:pPr>
        <w:pStyle w:val="ListParagraph"/>
        <w:spacing w:after="360" w:line="240" w:lineRule="auto"/>
        <w:ind w:left="786"/>
        <w:jc w:val="both"/>
        <w:rPr>
          <w:rFonts w:ascii="Times New Roman" w:hAnsi="Times New Roman" w:cs="Times New Roman"/>
          <w:b/>
          <w:bCs/>
          <w:sz w:val="24"/>
          <w:szCs w:val="24"/>
        </w:rPr>
      </w:pPr>
      <w:r w:rsidRPr="00097CFE">
        <w:rPr>
          <w:rFonts w:ascii="Times New Roman" w:hAnsi="Times New Roman" w:cs="Times New Roman"/>
          <w:b/>
          <w:bCs/>
          <w:sz w:val="24"/>
          <w:szCs w:val="24"/>
        </w:rPr>
        <w:t>Измерение 3 – Тип на територията:</w:t>
      </w:r>
    </w:p>
    <w:p w14:paraId="341A9A0B" w14:textId="77777777" w:rsidR="0006532B" w:rsidRPr="00097CFE" w:rsidRDefault="0006532B" w:rsidP="003E11B4">
      <w:pPr>
        <w:pStyle w:val="ListParagraph"/>
        <w:spacing w:after="360" w:line="240" w:lineRule="auto"/>
        <w:ind w:left="786"/>
        <w:jc w:val="both"/>
        <w:rPr>
          <w:rFonts w:ascii="Times New Roman" w:hAnsi="Times New Roman" w:cs="Times New Roman"/>
          <w:sz w:val="24"/>
          <w:szCs w:val="24"/>
          <w:lang w:val="en-US"/>
        </w:rPr>
      </w:pPr>
      <w:r w:rsidRPr="00097CFE">
        <w:rPr>
          <w:rFonts w:ascii="Times New Roman" w:hAnsi="Times New Roman" w:cs="Times New Roman"/>
          <w:sz w:val="24"/>
          <w:szCs w:val="24"/>
        </w:rPr>
        <w:t>07 Не се прилага.</w:t>
      </w:r>
    </w:p>
    <w:p w14:paraId="7B9465EB" w14:textId="77777777" w:rsidR="0006532B" w:rsidRPr="00097CFE" w:rsidRDefault="0006532B" w:rsidP="00BE3710">
      <w:pPr>
        <w:pStyle w:val="ListParagraph"/>
        <w:numPr>
          <w:ilvl w:val="0"/>
          <w:numId w:val="1"/>
        </w:numPr>
        <w:pBdr>
          <w:top w:val="single" w:sz="4" w:space="1" w:color="auto"/>
          <w:left w:val="single" w:sz="4" w:space="4" w:color="auto"/>
          <w:bottom w:val="single" w:sz="4" w:space="0" w:color="auto"/>
          <w:right w:val="single" w:sz="4" w:space="4" w:color="auto"/>
        </w:pBdr>
        <w:shd w:val="clear" w:color="auto" w:fill="95B3D7"/>
        <w:jc w:val="both"/>
        <w:rPr>
          <w:rFonts w:ascii="Times New Roman" w:hAnsi="Times New Roman" w:cs="Times New Roman"/>
          <w:b/>
          <w:bCs/>
          <w:caps/>
          <w:sz w:val="24"/>
          <w:szCs w:val="24"/>
        </w:rPr>
      </w:pPr>
      <w:r w:rsidRPr="00097CFE">
        <w:rPr>
          <w:rFonts w:ascii="Times New Roman" w:hAnsi="Times New Roman" w:cs="Times New Roman"/>
          <w:b/>
          <w:bCs/>
          <w:caps/>
          <w:sz w:val="24"/>
          <w:szCs w:val="24"/>
        </w:rPr>
        <w:t>ТЕРИТОРИАЛЕН ОБХВАТ</w:t>
      </w:r>
    </w:p>
    <w:p w14:paraId="0716E4FB" w14:textId="77777777" w:rsidR="0006532B" w:rsidRPr="00097CFE" w:rsidRDefault="0006532B" w:rsidP="003E11B4">
      <w:pPr>
        <w:spacing w:line="240" w:lineRule="auto"/>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Територията на Република България и останалите държави-членки на Европейския съюз.</w:t>
      </w:r>
    </w:p>
    <w:p w14:paraId="145B275C" w14:textId="77777777" w:rsidR="0006532B" w:rsidRPr="00097CFE" w:rsidRDefault="0006532B" w:rsidP="00BE3710">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s="Times New Roman"/>
          <w:b/>
          <w:bCs/>
          <w:caps/>
          <w:sz w:val="24"/>
          <w:szCs w:val="24"/>
        </w:rPr>
      </w:pPr>
      <w:r w:rsidRPr="00097CFE">
        <w:rPr>
          <w:rFonts w:ascii="Times New Roman" w:hAnsi="Times New Roman" w:cs="Times New Roman"/>
          <w:b/>
          <w:bCs/>
          <w:caps/>
          <w:sz w:val="24"/>
          <w:szCs w:val="24"/>
        </w:rPr>
        <w:t>Цели на прОЦЕДУРАТА</w:t>
      </w:r>
    </w:p>
    <w:p w14:paraId="0801B46A" w14:textId="77777777" w:rsidR="001C310E" w:rsidRDefault="0006532B" w:rsidP="003E11B4">
      <w:pPr>
        <w:spacing w:before="90" w:after="0" w:line="255"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 xml:space="preserve">„Техническа помощ” има за цел да осигури ефикасното използване на ресурсите и качествено </w:t>
      </w:r>
      <w:r w:rsidR="0056797B">
        <w:rPr>
          <w:rFonts w:ascii="Times New Roman" w:hAnsi="Times New Roman" w:cs="Times New Roman"/>
          <w:sz w:val="24"/>
          <w:szCs w:val="24"/>
          <w:lang w:eastAsia="bg-BG"/>
        </w:rPr>
        <w:t xml:space="preserve">изпълнение на ПМДР и </w:t>
      </w:r>
      <w:r w:rsidRPr="00097CFE">
        <w:rPr>
          <w:rFonts w:ascii="Times New Roman" w:hAnsi="Times New Roman" w:cs="Times New Roman"/>
          <w:sz w:val="24"/>
          <w:szCs w:val="24"/>
          <w:lang w:eastAsia="bg-BG"/>
        </w:rPr>
        <w:t xml:space="preserve">изпълнение на проектите по ПМДР. За служителите, ангажирани с прилагането </w:t>
      </w:r>
      <w:r w:rsidR="00BC6F11" w:rsidRPr="00D44902">
        <w:rPr>
          <w:rFonts w:ascii="Times New Roman" w:hAnsi="Times New Roman" w:cs="Times New Roman"/>
          <w:sz w:val="24"/>
          <w:szCs w:val="24"/>
          <w:lang w:eastAsia="bg-BG"/>
        </w:rPr>
        <w:t xml:space="preserve">и извършването на одитна дейност по </w:t>
      </w:r>
      <w:r w:rsidRPr="00097CFE">
        <w:rPr>
          <w:rFonts w:ascii="Times New Roman" w:hAnsi="Times New Roman" w:cs="Times New Roman"/>
          <w:sz w:val="24"/>
          <w:szCs w:val="24"/>
          <w:lang w:eastAsia="bg-BG"/>
        </w:rPr>
        <w:t xml:space="preserve"> ПМДР дейностите, свързани с изграждането и подобряването на капацитет са ключов елемент за осигуряване на успешно управление и изпълнение на програмата, в допълнение към акцента, който се поставя върху развитието на човешките ресурси. </w:t>
      </w:r>
    </w:p>
    <w:p w14:paraId="4472FEA1" w14:textId="77777777" w:rsidR="006807AB" w:rsidRDefault="000310D9" w:rsidP="003E11B4">
      <w:pPr>
        <w:spacing w:before="90" w:after="0" w:line="255" w:lineRule="atLeast"/>
        <w:jc w:val="both"/>
        <w:rPr>
          <w:rFonts w:ascii="Times New Roman" w:hAnsi="Times New Roman"/>
          <w:sz w:val="24"/>
        </w:rPr>
      </w:pPr>
      <w:r w:rsidRPr="000310D9">
        <w:rPr>
          <w:rFonts w:ascii="Times New Roman" w:hAnsi="Times New Roman"/>
          <w:sz w:val="24"/>
        </w:rPr>
        <w:t>За обезпечаване на дейности, свързани с осъществяване на контрол по законосъобразността на процедури за избор на изпълнител, проведени от УО на ПМДР, ще са допустими разходи  за допълнителни възнаграждения и осигурителни вноски от работодател за щатния персонал</w:t>
      </w:r>
      <w:r>
        <w:rPr>
          <w:rFonts w:ascii="Times New Roman" w:hAnsi="Times New Roman"/>
          <w:sz w:val="24"/>
        </w:rPr>
        <w:t xml:space="preserve"> на дирекция „Вътрешен одит“</w:t>
      </w:r>
      <w:r w:rsidRPr="000310D9">
        <w:rPr>
          <w:rFonts w:ascii="Times New Roman" w:hAnsi="Times New Roman"/>
          <w:sz w:val="24"/>
        </w:rPr>
        <w:t>, работещ на непълно работно време, при минимум 50% заетост на персонала свързана с ПМДР.</w:t>
      </w:r>
    </w:p>
    <w:p w14:paraId="0A9F4234" w14:textId="77777777" w:rsidR="0006532B" w:rsidRPr="00097CFE" w:rsidRDefault="0006532B" w:rsidP="003E11B4">
      <w:pPr>
        <w:spacing w:before="90" w:after="0" w:line="255" w:lineRule="atLeast"/>
        <w:jc w:val="both"/>
        <w:rPr>
          <w:rFonts w:ascii="Times New Roman" w:hAnsi="Times New Roman" w:cs="Times New Roman"/>
          <w:sz w:val="24"/>
          <w:szCs w:val="24"/>
          <w:lang w:eastAsia="bg-BG"/>
        </w:rPr>
      </w:pPr>
      <w:r w:rsidRPr="00097CFE">
        <w:rPr>
          <w:rFonts w:ascii="Times New Roman" w:hAnsi="Times New Roman" w:cs="Times New Roman"/>
          <w:b/>
          <w:bCs/>
          <w:sz w:val="24"/>
          <w:szCs w:val="24"/>
          <w:lang w:eastAsia="bg-BG"/>
        </w:rPr>
        <w:t>Специфични цели на предоставяната безвъзмездна финансова помощ:</w:t>
      </w:r>
    </w:p>
    <w:p w14:paraId="1ABB84F5" w14:textId="77777777" w:rsidR="00044432" w:rsidRDefault="0006532B" w:rsidP="00060471">
      <w:pPr>
        <w:pStyle w:val="ListParagraph"/>
        <w:numPr>
          <w:ilvl w:val="0"/>
          <w:numId w:val="9"/>
        </w:numPr>
        <w:spacing w:before="240" w:after="0" w:line="240" w:lineRule="auto"/>
        <w:ind w:left="360" w:firstLine="0"/>
        <w:jc w:val="both"/>
        <w:rPr>
          <w:rFonts w:ascii="Times New Roman" w:hAnsi="Times New Roman" w:cs="Times New Roman"/>
          <w:sz w:val="24"/>
          <w:szCs w:val="24"/>
        </w:rPr>
      </w:pPr>
      <w:r w:rsidRPr="0056797B">
        <w:rPr>
          <w:rFonts w:ascii="Times New Roman" w:hAnsi="Times New Roman" w:cs="Times New Roman"/>
          <w:sz w:val="24"/>
          <w:szCs w:val="24"/>
        </w:rPr>
        <w:t xml:space="preserve">да осигури дейностите по програмиране, изпълнение, мониторинг, контрол и оценка на ПМДР, </w:t>
      </w:r>
      <w:r w:rsidR="00FD642F">
        <w:rPr>
          <w:rFonts w:ascii="Times New Roman" w:hAnsi="Times New Roman" w:cs="Times New Roman"/>
          <w:sz w:val="24"/>
          <w:szCs w:val="24"/>
        </w:rPr>
        <w:t>включително материално-техническото им обезпечаване;</w:t>
      </w:r>
    </w:p>
    <w:p w14:paraId="26E86A18" w14:textId="77777777" w:rsidR="0006532B" w:rsidRPr="000D16B8" w:rsidRDefault="00FD642F" w:rsidP="00375DFD">
      <w:pPr>
        <w:pStyle w:val="ListParagraph"/>
        <w:numPr>
          <w:ilvl w:val="0"/>
          <w:numId w:val="9"/>
        </w:numPr>
        <w:spacing w:line="240" w:lineRule="auto"/>
        <w:ind w:left="360" w:firstLine="0"/>
        <w:jc w:val="both"/>
        <w:rPr>
          <w:rFonts w:ascii="Times New Roman" w:hAnsi="Times New Roman" w:cs="Times New Roman"/>
          <w:sz w:val="24"/>
          <w:szCs w:val="24"/>
        </w:rPr>
      </w:pPr>
      <w:r>
        <w:rPr>
          <w:rFonts w:ascii="Times New Roman" w:hAnsi="Times New Roman" w:cs="Times New Roman"/>
          <w:sz w:val="24"/>
          <w:szCs w:val="24"/>
        </w:rPr>
        <w:t>да повиши административния капацитет на органите, ангажирани с прилагането  и извършването на одитна дей</w:t>
      </w:r>
      <w:r w:rsidR="006807AB">
        <w:rPr>
          <w:rFonts w:ascii="Times New Roman" w:hAnsi="Times New Roman" w:cs="Times New Roman"/>
          <w:sz w:val="24"/>
          <w:szCs w:val="24"/>
        </w:rPr>
        <w:t xml:space="preserve">ност по  ПМДР </w:t>
      </w:r>
      <w:r w:rsidR="0006532B" w:rsidRPr="000D16B8">
        <w:rPr>
          <w:rFonts w:ascii="Times New Roman" w:hAnsi="Times New Roman" w:cs="Times New Roman"/>
          <w:sz w:val="24"/>
          <w:szCs w:val="24"/>
        </w:rPr>
        <w:t>за ефективно и ефикасно управление на Програмата;</w:t>
      </w:r>
    </w:p>
    <w:p w14:paraId="3D3AF24F" w14:textId="77777777" w:rsidR="00D75EEA" w:rsidRPr="00D75EEA" w:rsidRDefault="00D75EEA" w:rsidP="00D75EEA">
      <w:pPr>
        <w:pStyle w:val="ListParagraph"/>
        <w:spacing w:after="0" w:line="240" w:lineRule="auto"/>
        <w:ind w:left="643"/>
        <w:contextualSpacing/>
        <w:jc w:val="both"/>
        <w:rPr>
          <w:rFonts w:ascii="Times New Roman" w:hAnsi="Times New Roman" w:cs="Times New Roman"/>
          <w:sz w:val="24"/>
          <w:szCs w:val="24"/>
        </w:rPr>
      </w:pPr>
    </w:p>
    <w:p w14:paraId="196EA781" w14:textId="77777777" w:rsidR="0006532B" w:rsidRPr="00097CFE" w:rsidRDefault="0006532B" w:rsidP="00BE3710">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s="Times New Roman"/>
          <w:b/>
          <w:bCs/>
          <w:caps/>
          <w:sz w:val="24"/>
          <w:szCs w:val="24"/>
        </w:rPr>
      </w:pPr>
      <w:r w:rsidRPr="00097CFE">
        <w:rPr>
          <w:rFonts w:ascii="Times New Roman" w:hAnsi="Times New Roman" w:cs="Times New Roman"/>
          <w:b/>
          <w:bCs/>
          <w:caps/>
          <w:sz w:val="24"/>
          <w:szCs w:val="24"/>
        </w:rPr>
        <w:t>ФИНАНСОВИ ПЛАНОВЕ ПО ПРОЦЕДУРАТА:</w:t>
      </w:r>
    </w:p>
    <w:p w14:paraId="451CBB6E" w14:textId="77777777" w:rsidR="0006532B" w:rsidRPr="00097CFE" w:rsidRDefault="0006532B" w:rsidP="003E11B4">
      <w:pPr>
        <w:spacing w:line="240" w:lineRule="auto"/>
        <w:ind w:left="284"/>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 xml:space="preserve">Всеки </w:t>
      </w:r>
      <w:r w:rsidR="002041B2" w:rsidRPr="00097CFE">
        <w:rPr>
          <w:rFonts w:ascii="Times New Roman" w:hAnsi="Times New Roman" w:cs="Times New Roman"/>
          <w:sz w:val="24"/>
          <w:szCs w:val="24"/>
          <w:lang w:eastAsia="bg-BG"/>
        </w:rPr>
        <w:t>к</w:t>
      </w:r>
      <w:r w:rsidRPr="00097CFE">
        <w:rPr>
          <w:rFonts w:ascii="Times New Roman" w:hAnsi="Times New Roman" w:cs="Times New Roman"/>
          <w:sz w:val="24"/>
          <w:szCs w:val="24"/>
          <w:lang w:eastAsia="bg-BG"/>
        </w:rPr>
        <w:t xml:space="preserve">андидат по тази процедура следва да кандидатства за предоставянето на БФП </w:t>
      </w:r>
      <w:r w:rsidRPr="00097CFE">
        <w:rPr>
          <w:rFonts w:ascii="Times New Roman" w:hAnsi="Times New Roman" w:cs="Times New Roman"/>
          <w:b/>
          <w:bCs/>
          <w:sz w:val="24"/>
          <w:szCs w:val="24"/>
          <w:lang w:eastAsia="bg-BG"/>
        </w:rPr>
        <w:t>чрез отделни бюджетни линии</w:t>
      </w:r>
      <w:r w:rsidR="00375DFD">
        <w:rPr>
          <w:rFonts w:ascii="Times New Roman" w:hAnsi="Times New Roman" w:cs="Times New Roman"/>
          <w:b/>
          <w:bCs/>
          <w:sz w:val="24"/>
          <w:szCs w:val="24"/>
          <w:lang w:eastAsia="bg-BG"/>
        </w:rPr>
        <w:t>,</w:t>
      </w:r>
      <w:r w:rsidRPr="00097CFE">
        <w:rPr>
          <w:rFonts w:ascii="Times New Roman" w:hAnsi="Times New Roman" w:cs="Times New Roman"/>
          <w:sz w:val="24"/>
          <w:szCs w:val="24"/>
          <w:lang w:eastAsia="bg-BG"/>
        </w:rPr>
        <w:t xml:space="preserve"> както следва:</w:t>
      </w:r>
    </w:p>
    <w:p w14:paraId="7A4F544F" w14:textId="77777777" w:rsidR="0006532B" w:rsidRPr="00097CFE" w:rsidRDefault="0006532B" w:rsidP="003E11B4">
      <w:pPr>
        <w:pStyle w:val="ListParagraph"/>
        <w:numPr>
          <w:ilvl w:val="0"/>
          <w:numId w:val="3"/>
        </w:numPr>
        <w:ind w:left="1134" w:hanging="425"/>
        <w:jc w:val="both"/>
        <w:rPr>
          <w:rFonts w:ascii="Times New Roman" w:hAnsi="Times New Roman" w:cs="Times New Roman"/>
          <w:sz w:val="24"/>
          <w:szCs w:val="24"/>
        </w:rPr>
      </w:pPr>
      <w:r w:rsidRPr="00097CFE">
        <w:rPr>
          <w:rFonts w:ascii="Times New Roman" w:hAnsi="Times New Roman" w:cs="Times New Roman"/>
          <w:sz w:val="24"/>
          <w:szCs w:val="24"/>
        </w:rPr>
        <w:lastRenderedPageBreak/>
        <w:t xml:space="preserve">С формуляр за кандидатстване и финансов план (по образец - </w:t>
      </w:r>
      <w:r w:rsidRPr="00097CFE">
        <w:rPr>
          <w:rFonts w:ascii="Times New Roman" w:hAnsi="Times New Roman" w:cs="Times New Roman"/>
          <w:b/>
          <w:bCs/>
          <w:i/>
          <w:iCs/>
          <w:sz w:val="24"/>
          <w:szCs w:val="24"/>
        </w:rPr>
        <w:t>Приложение № 1</w:t>
      </w:r>
      <w:r w:rsidRPr="00097CFE">
        <w:rPr>
          <w:rFonts w:ascii="Times New Roman" w:hAnsi="Times New Roman" w:cs="Times New Roman"/>
          <w:i/>
          <w:iCs/>
          <w:sz w:val="24"/>
          <w:szCs w:val="24"/>
        </w:rPr>
        <w:t xml:space="preserve"> </w:t>
      </w:r>
      <w:r w:rsidRPr="00097CFE">
        <w:rPr>
          <w:rFonts w:ascii="Times New Roman" w:hAnsi="Times New Roman" w:cs="Times New Roman"/>
          <w:sz w:val="24"/>
          <w:szCs w:val="24"/>
        </w:rPr>
        <w:t xml:space="preserve">към Условията за кандидатстване) </w:t>
      </w:r>
      <w:r w:rsidRPr="00097CFE">
        <w:rPr>
          <w:rFonts w:ascii="Times New Roman" w:hAnsi="Times New Roman" w:cs="Times New Roman"/>
          <w:b/>
          <w:bCs/>
          <w:sz w:val="24"/>
          <w:szCs w:val="24"/>
        </w:rPr>
        <w:t>за финансиране на възнаграждения</w:t>
      </w:r>
      <w:r w:rsidRPr="00097CFE">
        <w:rPr>
          <w:rFonts w:ascii="Times New Roman" w:hAnsi="Times New Roman" w:cs="Times New Roman"/>
          <w:sz w:val="24"/>
          <w:szCs w:val="24"/>
        </w:rPr>
        <w:t>;</w:t>
      </w:r>
    </w:p>
    <w:p w14:paraId="50624360" w14:textId="62ACF0C9" w:rsidR="001C310E" w:rsidRPr="006807AB" w:rsidRDefault="0006532B" w:rsidP="00C21B5B">
      <w:pPr>
        <w:pStyle w:val="Text2"/>
        <w:numPr>
          <w:ilvl w:val="0"/>
          <w:numId w:val="10"/>
        </w:numPr>
        <w:spacing w:after="0"/>
        <w:rPr>
          <w:iCs/>
          <w:lang w:val="ru-RU"/>
        </w:rPr>
      </w:pPr>
      <w:r w:rsidRPr="00097CFE">
        <w:t xml:space="preserve">С отделен формуляр за кандидатстване и финансов план </w:t>
      </w:r>
      <w:r w:rsidRPr="00097CFE">
        <w:rPr>
          <w:b/>
          <w:bCs/>
        </w:rPr>
        <w:t>за финансиране на всички други дейности</w:t>
      </w:r>
      <w:r w:rsidRPr="00097CFE">
        <w:t xml:space="preserve"> (по образец - </w:t>
      </w:r>
      <w:r w:rsidRPr="00097CFE">
        <w:rPr>
          <w:b/>
          <w:bCs/>
          <w:i/>
          <w:iCs/>
        </w:rPr>
        <w:t>Приложение № 1</w:t>
      </w:r>
      <w:r w:rsidRPr="00097CFE">
        <w:t xml:space="preserve"> към Условията за кандидатстване</w:t>
      </w:r>
      <w:r w:rsidR="0008648D">
        <w:rPr>
          <w:lang w:val="en-US"/>
        </w:rPr>
        <w:t xml:space="preserve"> (</w:t>
      </w:r>
      <w:r w:rsidR="0008648D">
        <w:t>генерира се електронно в ИСУН 2020</w:t>
      </w:r>
      <w:r w:rsidR="0008648D">
        <w:rPr>
          <w:lang w:val="en-US"/>
        </w:rPr>
        <w:t>)</w:t>
      </w:r>
      <w:r w:rsidR="006603AC">
        <w:t xml:space="preserve"> -</w:t>
      </w:r>
      <w:r w:rsidR="001C310E" w:rsidRPr="001C310E">
        <w:t xml:space="preserve"> </w:t>
      </w:r>
      <w:r w:rsidR="001C310E" w:rsidRPr="00097CFE">
        <w:t xml:space="preserve">само </w:t>
      </w:r>
      <w:r w:rsidR="001C310E" w:rsidRPr="000823CD">
        <w:t>Дирекция „Рибарство и аквакултури”, Държавен фонд „Земеделие“ – РА</w:t>
      </w:r>
      <w:r w:rsidR="001C310E">
        <w:rPr>
          <w:lang w:val="en-US"/>
        </w:rPr>
        <w:t xml:space="preserve">  </w:t>
      </w:r>
      <w:r w:rsidR="001C310E">
        <w:t xml:space="preserve">и </w:t>
      </w:r>
      <w:r w:rsidR="001C310E" w:rsidRPr="006807AB">
        <w:rPr>
          <w:iCs/>
        </w:rPr>
        <w:t xml:space="preserve">Звено </w:t>
      </w:r>
      <w:r w:rsidR="001C310E" w:rsidRPr="006807AB">
        <w:t>„</w:t>
      </w:r>
      <w:r w:rsidR="001C310E" w:rsidRPr="006807AB">
        <w:rPr>
          <w:iCs/>
        </w:rPr>
        <w:t>Сертификация на разходите по ОПРСР</w:t>
      </w:r>
      <w:r w:rsidR="001C310E" w:rsidRPr="006807AB">
        <w:t xml:space="preserve">“ </w:t>
      </w:r>
      <w:r w:rsidR="001C310E" w:rsidRPr="006807AB">
        <w:rPr>
          <w:iCs/>
        </w:rPr>
        <w:t xml:space="preserve">в Държавен Фонд </w:t>
      </w:r>
      <w:r w:rsidR="001C310E" w:rsidRPr="006807AB">
        <w:t>„</w:t>
      </w:r>
      <w:r w:rsidR="001C310E" w:rsidRPr="006807AB">
        <w:rPr>
          <w:iCs/>
        </w:rPr>
        <w:t>Земеделие</w:t>
      </w:r>
      <w:r w:rsidR="001C310E" w:rsidRPr="006807AB">
        <w:t>“.</w:t>
      </w:r>
    </w:p>
    <w:p w14:paraId="64BF8A45" w14:textId="77777777" w:rsidR="0006532B" w:rsidRPr="00097CFE" w:rsidRDefault="0006532B" w:rsidP="00C21B5B">
      <w:pPr>
        <w:pStyle w:val="ListParagraph"/>
        <w:ind w:left="1134"/>
        <w:jc w:val="both"/>
        <w:rPr>
          <w:rFonts w:ascii="Times New Roman" w:hAnsi="Times New Roman" w:cs="Times New Roman"/>
          <w:sz w:val="24"/>
          <w:szCs w:val="24"/>
        </w:rPr>
      </w:pPr>
    </w:p>
    <w:p w14:paraId="23287573" w14:textId="77777777" w:rsidR="0006532B" w:rsidRPr="00097CFE" w:rsidRDefault="0006532B" w:rsidP="00BE3710">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s="Times New Roman"/>
          <w:b/>
          <w:bCs/>
          <w:caps/>
          <w:sz w:val="24"/>
          <w:szCs w:val="24"/>
        </w:rPr>
      </w:pPr>
      <w:r w:rsidRPr="00097CFE">
        <w:rPr>
          <w:rFonts w:ascii="Times New Roman" w:hAnsi="Times New Roman" w:cs="Times New Roman"/>
          <w:b/>
          <w:bCs/>
          <w:caps/>
          <w:sz w:val="24"/>
          <w:szCs w:val="24"/>
        </w:rPr>
        <w:t>индикатори  ПО ПРОЦЕДУРАТА: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8"/>
      </w:tblGrid>
      <w:tr w:rsidR="00097CFE" w:rsidRPr="00097CFE" w14:paraId="2D979CA1" w14:textId="77777777">
        <w:trPr>
          <w:trHeight w:val="567"/>
        </w:trPr>
        <w:tc>
          <w:tcPr>
            <w:tcW w:w="5000" w:type="pct"/>
            <w:vAlign w:val="center"/>
          </w:tcPr>
          <w:p w14:paraId="622E8455" w14:textId="77777777" w:rsidR="0006532B" w:rsidRPr="00097CFE" w:rsidRDefault="0006532B" w:rsidP="002041B2">
            <w:pPr>
              <w:pStyle w:val="Text2"/>
              <w:spacing w:after="0"/>
              <w:ind w:left="0"/>
              <w:rPr>
                <w:b/>
                <w:bCs/>
              </w:rPr>
            </w:pPr>
            <w:r w:rsidRPr="00097CFE">
              <w:rPr>
                <w:b/>
                <w:bCs/>
              </w:rPr>
              <w:t>Индикатори за изпълнение</w:t>
            </w:r>
          </w:p>
        </w:tc>
      </w:tr>
      <w:tr w:rsidR="00C42B9F" w:rsidRPr="00097CFE" w14:paraId="0E3F2B37" w14:textId="77777777">
        <w:trPr>
          <w:trHeight w:val="416"/>
        </w:trPr>
        <w:tc>
          <w:tcPr>
            <w:tcW w:w="5000" w:type="pct"/>
            <w:vAlign w:val="center"/>
          </w:tcPr>
          <w:p w14:paraId="2C60879C" w14:textId="77777777" w:rsidR="00C42B9F" w:rsidRPr="00097CFE" w:rsidRDefault="00C42B9F" w:rsidP="00C42B9F">
            <w:pPr>
              <w:pStyle w:val="Text2"/>
              <w:spacing w:after="0"/>
              <w:ind w:left="0"/>
              <w:rPr>
                <w:i/>
                <w:iCs/>
              </w:rPr>
            </w:pPr>
            <w:r>
              <w:rPr>
                <w:i/>
                <w:iCs/>
              </w:rPr>
              <w:t>Брой изплатени възнаграждения</w:t>
            </w:r>
          </w:p>
        </w:tc>
      </w:tr>
      <w:tr w:rsidR="00E64C6F" w:rsidRPr="00097CFE" w14:paraId="7505A81B" w14:textId="77777777" w:rsidTr="00060471">
        <w:trPr>
          <w:trHeight w:val="416"/>
        </w:trPr>
        <w:tc>
          <w:tcPr>
            <w:tcW w:w="5000" w:type="pct"/>
          </w:tcPr>
          <w:p w14:paraId="286991A8" w14:textId="77777777" w:rsidR="00E64C6F" w:rsidRDefault="00E64C6F" w:rsidP="00E64C6F">
            <w:pPr>
              <w:pStyle w:val="Text2"/>
              <w:spacing w:after="0"/>
              <w:ind w:left="0"/>
              <w:rPr>
                <w:i/>
                <w:iCs/>
              </w:rPr>
            </w:pPr>
            <w:r w:rsidRPr="007248A5">
              <w:rPr>
                <w:i/>
                <w:iCs/>
              </w:rPr>
              <w:t>Брой служители, преминали обучение</w:t>
            </w:r>
          </w:p>
        </w:tc>
      </w:tr>
    </w:tbl>
    <w:p w14:paraId="750EF7FC" w14:textId="77777777" w:rsidR="0006532B" w:rsidRPr="00097CFE" w:rsidRDefault="0006532B" w:rsidP="003E11B4">
      <w:pPr>
        <w:rPr>
          <w:b/>
          <w:bCs/>
          <w:caps/>
          <w:sz w:val="20"/>
          <w:szCs w:val="20"/>
          <w:lang w:eastAsia="bg-BG"/>
        </w:rPr>
      </w:pPr>
    </w:p>
    <w:p w14:paraId="5A4C7934" w14:textId="77777777" w:rsidR="0006532B" w:rsidRDefault="0006532B" w:rsidP="00FC7A1A">
      <w:pPr>
        <w:jc w:val="both"/>
        <w:rPr>
          <w:rFonts w:ascii="Times New Roman" w:hAnsi="Times New Roman" w:cs="Times New Roman"/>
          <w:b/>
          <w:bCs/>
          <w:sz w:val="24"/>
          <w:szCs w:val="24"/>
          <w:lang w:eastAsia="bg-BG"/>
        </w:rPr>
      </w:pPr>
      <w:r w:rsidRPr="00097CFE">
        <w:rPr>
          <w:rFonts w:ascii="Times New Roman" w:hAnsi="Times New Roman" w:cs="Times New Roman"/>
          <w:b/>
          <w:bCs/>
          <w:caps/>
          <w:sz w:val="24"/>
          <w:szCs w:val="24"/>
          <w:lang w:eastAsia="bg-BG"/>
        </w:rPr>
        <w:t xml:space="preserve">ВАЖНО! </w:t>
      </w:r>
      <w:r w:rsidRPr="00097CFE">
        <w:rPr>
          <w:rFonts w:ascii="Times New Roman" w:hAnsi="Times New Roman" w:cs="Times New Roman"/>
          <w:b/>
          <w:bCs/>
          <w:sz w:val="24"/>
          <w:szCs w:val="24"/>
          <w:lang w:eastAsia="bg-BG"/>
        </w:rPr>
        <w:t>При кандидатстване, всеки кандидат отбелязва индикатора за изпълнение, съответстващ на конкретния финансов план.</w:t>
      </w:r>
    </w:p>
    <w:p w14:paraId="42D2A711" w14:textId="77777777" w:rsidR="006807AB" w:rsidRPr="00097CFE" w:rsidRDefault="006807AB" w:rsidP="00FC7A1A">
      <w:pPr>
        <w:jc w:val="both"/>
        <w:rPr>
          <w:rFonts w:ascii="Times New Roman" w:hAnsi="Times New Roman" w:cs="Times New Roman"/>
          <w:b/>
          <w:bCs/>
          <w:sz w:val="24"/>
          <w:szCs w:val="24"/>
          <w:lang w:eastAsia="bg-BG"/>
        </w:rPr>
      </w:pPr>
    </w:p>
    <w:p w14:paraId="26601596" w14:textId="77777777" w:rsidR="0006532B" w:rsidRPr="00097CFE" w:rsidRDefault="0006532B" w:rsidP="002A5F9B">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jc w:val="both"/>
        <w:rPr>
          <w:rFonts w:ascii="Times New Roman" w:hAnsi="Times New Roman" w:cs="Times New Roman"/>
          <w:sz w:val="24"/>
          <w:szCs w:val="24"/>
        </w:rPr>
      </w:pPr>
      <w:r w:rsidRPr="00097CFE">
        <w:rPr>
          <w:rFonts w:ascii="Times New Roman" w:hAnsi="Times New Roman" w:cs="Times New Roman"/>
          <w:b/>
          <w:bCs/>
          <w:caps/>
          <w:sz w:val="24"/>
          <w:szCs w:val="24"/>
        </w:rPr>
        <w:t xml:space="preserve">Обща Стойност на БеЗВЪЗМЕЗДНАТА ФИНАНСОВА ПОМОЩ по процедуРАТА и максимални стойности на бфп за отделните кандидати по процедурата: </w:t>
      </w:r>
    </w:p>
    <w:p w14:paraId="4F28F03C" w14:textId="77777777" w:rsidR="0006532B" w:rsidRPr="00097CFE" w:rsidRDefault="0006532B" w:rsidP="003E11B4">
      <w:pPr>
        <w:spacing w:before="195" w:line="270"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Общият бюджет по настоящата процедура за предоставяне на безвъзмездна финансова помощ е разпределен</w:t>
      </w:r>
      <w:r w:rsidR="0091397C">
        <w:rPr>
          <w:rFonts w:ascii="Times New Roman" w:hAnsi="Times New Roman" w:cs="Times New Roman"/>
          <w:sz w:val="24"/>
          <w:szCs w:val="24"/>
          <w:lang w:eastAsia="bg-BG"/>
        </w:rPr>
        <w:t>,</w:t>
      </w:r>
      <w:r w:rsidRPr="00097CFE">
        <w:rPr>
          <w:rFonts w:ascii="Times New Roman" w:hAnsi="Times New Roman" w:cs="Times New Roman"/>
          <w:sz w:val="24"/>
          <w:szCs w:val="24"/>
          <w:lang w:eastAsia="bg-BG"/>
        </w:rPr>
        <w:t xml:space="preserve"> както следва: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
        <w:gridCol w:w="60"/>
        <w:gridCol w:w="2051"/>
        <w:gridCol w:w="3088"/>
        <w:gridCol w:w="1283"/>
        <w:gridCol w:w="104"/>
        <w:gridCol w:w="31"/>
        <w:gridCol w:w="75"/>
        <w:gridCol w:w="75"/>
        <w:gridCol w:w="1437"/>
        <w:gridCol w:w="955"/>
        <w:gridCol w:w="122"/>
      </w:tblGrid>
      <w:tr w:rsidR="00097CFE" w:rsidRPr="00097CFE" w14:paraId="59F870FA" w14:textId="77777777">
        <w:trPr>
          <w:gridAfter w:val="2"/>
          <w:wAfter w:w="1177" w:type="dxa"/>
        </w:trPr>
        <w:tc>
          <w:tcPr>
            <w:tcW w:w="2288" w:type="dxa"/>
            <w:gridSpan w:val="3"/>
          </w:tcPr>
          <w:p w14:paraId="70951858" w14:textId="77777777" w:rsidR="0006532B" w:rsidRPr="00097CFE" w:rsidRDefault="0006532B" w:rsidP="00D325D2">
            <w:pPr>
              <w:spacing w:before="195" w:after="0" w:line="270" w:lineRule="atLeast"/>
              <w:jc w:val="center"/>
              <w:rPr>
                <w:b/>
                <w:bCs/>
                <w:sz w:val="24"/>
                <w:szCs w:val="24"/>
                <w:lang w:eastAsia="bg-BG"/>
              </w:rPr>
            </w:pPr>
            <w:r w:rsidRPr="00097CFE">
              <w:rPr>
                <w:b/>
                <w:bCs/>
                <w:sz w:val="24"/>
                <w:szCs w:val="24"/>
                <w:lang w:eastAsia="bg-BG"/>
              </w:rPr>
              <w:t>Общ размер</w:t>
            </w:r>
          </w:p>
          <w:p w14:paraId="22D3CD0D" w14:textId="77777777" w:rsidR="0006532B" w:rsidRPr="00097CFE" w:rsidRDefault="0006532B" w:rsidP="00D325D2">
            <w:pPr>
              <w:spacing w:before="195" w:after="0" w:line="270" w:lineRule="atLeast"/>
              <w:jc w:val="center"/>
              <w:rPr>
                <w:b/>
                <w:bCs/>
                <w:sz w:val="24"/>
                <w:szCs w:val="24"/>
                <w:lang w:eastAsia="bg-BG"/>
              </w:rPr>
            </w:pPr>
            <w:r w:rsidRPr="00097CFE">
              <w:rPr>
                <w:b/>
                <w:bCs/>
                <w:sz w:val="24"/>
                <w:szCs w:val="24"/>
                <w:lang w:eastAsia="bg-BG"/>
              </w:rPr>
              <w:t>финансови средства</w:t>
            </w:r>
          </w:p>
          <w:p w14:paraId="326E208C" w14:textId="77777777" w:rsidR="0006532B" w:rsidRPr="00097CFE" w:rsidRDefault="0006532B" w:rsidP="00D325D2">
            <w:pPr>
              <w:spacing w:before="195" w:after="0" w:line="270" w:lineRule="atLeast"/>
              <w:jc w:val="center"/>
              <w:rPr>
                <w:sz w:val="24"/>
                <w:szCs w:val="24"/>
                <w:u w:val="single"/>
                <w:lang w:eastAsia="bg-BG"/>
              </w:rPr>
            </w:pPr>
            <w:r w:rsidRPr="00097CFE">
              <w:rPr>
                <w:b/>
                <w:bCs/>
                <w:sz w:val="24"/>
                <w:szCs w:val="24"/>
                <w:lang w:eastAsia="bg-BG"/>
              </w:rPr>
              <w:t>(100%</w:t>
            </w:r>
            <w:r w:rsidR="003F4D35" w:rsidRPr="00097CFE">
              <w:rPr>
                <w:b/>
                <w:bCs/>
                <w:sz w:val="24"/>
                <w:szCs w:val="24"/>
                <w:lang w:eastAsia="bg-BG"/>
              </w:rPr>
              <w:t xml:space="preserve"> </w:t>
            </w:r>
            <w:r w:rsidRPr="00097CFE">
              <w:rPr>
                <w:b/>
                <w:bCs/>
                <w:sz w:val="24"/>
                <w:szCs w:val="24"/>
                <w:lang w:eastAsia="bg-BG"/>
              </w:rPr>
              <w:t>БФП)</w:t>
            </w:r>
          </w:p>
        </w:tc>
        <w:tc>
          <w:tcPr>
            <w:tcW w:w="3207" w:type="dxa"/>
          </w:tcPr>
          <w:p w14:paraId="45E376DF" w14:textId="77777777" w:rsidR="0006532B" w:rsidRPr="00097CFE" w:rsidRDefault="0006532B" w:rsidP="00D325D2">
            <w:pPr>
              <w:spacing w:before="195" w:after="0" w:line="270" w:lineRule="atLeast"/>
              <w:jc w:val="center"/>
              <w:rPr>
                <w:b/>
                <w:bCs/>
                <w:sz w:val="24"/>
                <w:szCs w:val="24"/>
                <w:lang w:eastAsia="bg-BG"/>
              </w:rPr>
            </w:pPr>
            <w:r w:rsidRPr="00097CFE">
              <w:rPr>
                <w:b/>
                <w:bCs/>
                <w:sz w:val="24"/>
                <w:szCs w:val="24"/>
                <w:lang w:eastAsia="bg-BG"/>
              </w:rPr>
              <w:t>Съфинансиране от ЕФМДР</w:t>
            </w:r>
          </w:p>
          <w:p w14:paraId="425424F3" w14:textId="77777777" w:rsidR="0006532B" w:rsidRPr="00097CFE" w:rsidRDefault="0006532B" w:rsidP="00D325D2">
            <w:pPr>
              <w:spacing w:before="195" w:after="0" w:line="270" w:lineRule="atLeast"/>
              <w:jc w:val="center"/>
              <w:rPr>
                <w:sz w:val="24"/>
                <w:szCs w:val="24"/>
                <w:lang w:eastAsia="bg-BG"/>
              </w:rPr>
            </w:pPr>
            <w:r w:rsidRPr="00097CFE">
              <w:rPr>
                <w:b/>
                <w:bCs/>
                <w:sz w:val="24"/>
                <w:szCs w:val="24"/>
                <w:lang w:eastAsia="bg-BG"/>
              </w:rPr>
              <w:t>(75%)</w:t>
            </w:r>
          </w:p>
        </w:tc>
        <w:tc>
          <w:tcPr>
            <w:tcW w:w="3118" w:type="dxa"/>
            <w:gridSpan w:val="6"/>
          </w:tcPr>
          <w:p w14:paraId="311A533F" w14:textId="77777777" w:rsidR="0006532B" w:rsidRPr="00097CFE" w:rsidRDefault="0006532B" w:rsidP="00D325D2">
            <w:pPr>
              <w:spacing w:before="195" w:after="0" w:line="270" w:lineRule="atLeast"/>
              <w:jc w:val="center"/>
              <w:rPr>
                <w:b/>
                <w:bCs/>
                <w:sz w:val="24"/>
                <w:szCs w:val="24"/>
                <w:lang w:eastAsia="bg-BG"/>
              </w:rPr>
            </w:pPr>
            <w:r w:rsidRPr="00097CFE">
              <w:rPr>
                <w:b/>
                <w:bCs/>
                <w:sz w:val="24"/>
                <w:szCs w:val="24"/>
                <w:lang w:eastAsia="bg-BG"/>
              </w:rPr>
              <w:t>Национално съфинансиране (25%)</w:t>
            </w:r>
          </w:p>
        </w:tc>
      </w:tr>
      <w:tr w:rsidR="00097CFE" w:rsidRPr="00097CFE" w14:paraId="7864C40F" w14:textId="77777777">
        <w:trPr>
          <w:gridAfter w:val="2"/>
          <w:wAfter w:w="1177" w:type="dxa"/>
        </w:trPr>
        <w:tc>
          <w:tcPr>
            <w:tcW w:w="2288" w:type="dxa"/>
            <w:gridSpan w:val="3"/>
          </w:tcPr>
          <w:p w14:paraId="2B12FF89" w14:textId="5F73728D" w:rsidR="009977AA" w:rsidRPr="00805E9B" w:rsidRDefault="00980EA8" w:rsidP="00BD197A">
            <w:pPr>
              <w:spacing w:before="195" w:line="270" w:lineRule="atLeast"/>
              <w:jc w:val="center"/>
              <w:rPr>
                <w:rFonts w:ascii="Times New Roman" w:hAnsi="Times New Roman" w:cs="Times New Roman"/>
                <w:sz w:val="24"/>
                <w:szCs w:val="24"/>
                <w:lang w:eastAsia="bg-BG"/>
              </w:rPr>
            </w:pPr>
            <w:r>
              <w:rPr>
                <w:rFonts w:ascii="Times New Roman" w:hAnsi="Times New Roman" w:cs="Times New Roman"/>
                <w:sz w:val="24"/>
                <w:szCs w:val="24"/>
                <w:lang w:eastAsia="bg-BG"/>
              </w:rPr>
              <w:t xml:space="preserve">2 821 </w:t>
            </w:r>
            <w:r w:rsidRPr="00980EA8">
              <w:rPr>
                <w:rFonts w:ascii="Times New Roman" w:hAnsi="Times New Roman" w:cs="Times New Roman"/>
                <w:sz w:val="24"/>
                <w:szCs w:val="24"/>
                <w:lang w:eastAsia="bg-BG"/>
              </w:rPr>
              <w:t xml:space="preserve">544,36  </w:t>
            </w:r>
            <w:r w:rsidR="009977AA" w:rsidRPr="00E312CF">
              <w:rPr>
                <w:rFonts w:ascii="Times New Roman" w:hAnsi="Times New Roman" w:cs="Times New Roman"/>
                <w:sz w:val="24"/>
                <w:szCs w:val="24"/>
                <w:lang w:eastAsia="bg-BG"/>
              </w:rPr>
              <w:t>лв.</w:t>
            </w:r>
          </w:p>
          <w:p w14:paraId="12E20702" w14:textId="77777777" w:rsidR="0006532B" w:rsidRPr="00805E9B" w:rsidRDefault="0006532B">
            <w:pPr>
              <w:spacing w:before="195" w:line="270" w:lineRule="atLeast"/>
              <w:jc w:val="center"/>
              <w:rPr>
                <w:sz w:val="24"/>
                <w:szCs w:val="24"/>
                <w:lang w:eastAsia="bg-BG"/>
              </w:rPr>
            </w:pPr>
          </w:p>
        </w:tc>
        <w:tc>
          <w:tcPr>
            <w:tcW w:w="3207" w:type="dxa"/>
          </w:tcPr>
          <w:p w14:paraId="0433A236" w14:textId="6AFE7B17" w:rsidR="009977AA" w:rsidRPr="00805E9B" w:rsidRDefault="00980EA8" w:rsidP="00430537">
            <w:pPr>
              <w:spacing w:before="195" w:line="270" w:lineRule="atLeast"/>
              <w:jc w:val="center"/>
              <w:rPr>
                <w:rFonts w:ascii="Times New Roman" w:hAnsi="Times New Roman" w:cs="Times New Roman"/>
                <w:sz w:val="24"/>
                <w:szCs w:val="24"/>
                <w:lang w:eastAsia="bg-BG"/>
              </w:rPr>
            </w:pPr>
            <w:r>
              <w:rPr>
                <w:rFonts w:ascii="Times New Roman" w:hAnsi="Times New Roman" w:cs="Times New Roman"/>
                <w:sz w:val="24"/>
                <w:szCs w:val="24"/>
                <w:lang w:eastAsia="bg-BG"/>
              </w:rPr>
              <w:t xml:space="preserve">2 116 </w:t>
            </w:r>
            <w:r w:rsidRPr="00980EA8">
              <w:rPr>
                <w:rFonts w:ascii="Times New Roman" w:hAnsi="Times New Roman" w:cs="Times New Roman"/>
                <w:sz w:val="24"/>
                <w:szCs w:val="24"/>
                <w:lang w:eastAsia="bg-BG"/>
              </w:rPr>
              <w:t>158.27</w:t>
            </w:r>
            <w:r>
              <w:rPr>
                <w:rFonts w:ascii="Times New Roman" w:hAnsi="Times New Roman" w:cs="Times New Roman"/>
                <w:sz w:val="24"/>
                <w:szCs w:val="24"/>
                <w:lang w:eastAsia="bg-BG"/>
              </w:rPr>
              <w:t xml:space="preserve"> </w:t>
            </w:r>
            <w:r w:rsidR="00F36C91" w:rsidRPr="00805E9B">
              <w:rPr>
                <w:rFonts w:ascii="Times New Roman" w:hAnsi="Times New Roman" w:cs="Times New Roman"/>
                <w:sz w:val="24"/>
                <w:szCs w:val="24"/>
                <w:lang w:eastAsia="bg-BG"/>
              </w:rPr>
              <w:t xml:space="preserve">лв. </w:t>
            </w:r>
          </w:p>
          <w:p w14:paraId="4BE293DC" w14:textId="77777777" w:rsidR="00430537" w:rsidRPr="00805E9B" w:rsidRDefault="00430537" w:rsidP="00430537">
            <w:pPr>
              <w:spacing w:before="195" w:line="270" w:lineRule="atLeast"/>
              <w:jc w:val="center"/>
              <w:rPr>
                <w:sz w:val="24"/>
                <w:szCs w:val="24"/>
                <w:lang w:eastAsia="bg-BG"/>
              </w:rPr>
            </w:pPr>
          </w:p>
          <w:p w14:paraId="4E4F3923" w14:textId="77777777" w:rsidR="00F36C91" w:rsidRPr="00805E9B" w:rsidRDefault="00F36C91" w:rsidP="00430537">
            <w:pPr>
              <w:spacing w:before="195" w:line="270" w:lineRule="atLeast"/>
              <w:jc w:val="center"/>
              <w:rPr>
                <w:sz w:val="24"/>
                <w:szCs w:val="24"/>
                <w:lang w:eastAsia="bg-BG"/>
              </w:rPr>
            </w:pPr>
          </w:p>
          <w:p w14:paraId="504FC1DD" w14:textId="77777777" w:rsidR="0006532B" w:rsidRPr="00805E9B" w:rsidRDefault="0006532B">
            <w:pPr>
              <w:spacing w:before="195" w:line="270" w:lineRule="atLeast"/>
              <w:jc w:val="center"/>
              <w:rPr>
                <w:sz w:val="24"/>
                <w:szCs w:val="24"/>
                <w:lang w:eastAsia="bg-BG"/>
              </w:rPr>
            </w:pPr>
          </w:p>
        </w:tc>
        <w:tc>
          <w:tcPr>
            <w:tcW w:w="3118" w:type="dxa"/>
            <w:gridSpan w:val="6"/>
          </w:tcPr>
          <w:p w14:paraId="1ECD266F" w14:textId="1B65973F" w:rsidR="009977AA" w:rsidRPr="00805E9B" w:rsidRDefault="00980EA8" w:rsidP="00BD197A">
            <w:pPr>
              <w:spacing w:before="195" w:line="270" w:lineRule="atLeast"/>
              <w:jc w:val="center"/>
              <w:rPr>
                <w:rFonts w:ascii="Times New Roman" w:hAnsi="Times New Roman" w:cs="Times New Roman"/>
                <w:sz w:val="24"/>
                <w:szCs w:val="24"/>
                <w:lang w:eastAsia="bg-BG"/>
              </w:rPr>
            </w:pPr>
            <w:r>
              <w:rPr>
                <w:rFonts w:ascii="Times New Roman" w:hAnsi="Times New Roman" w:cs="Times New Roman"/>
                <w:sz w:val="24"/>
                <w:szCs w:val="24"/>
                <w:lang w:eastAsia="bg-BG"/>
              </w:rPr>
              <w:t xml:space="preserve">705 </w:t>
            </w:r>
            <w:r w:rsidRPr="00980EA8">
              <w:rPr>
                <w:rFonts w:ascii="Times New Roman" w:hAnsi="Times New Roman" w:cs="Times New Roman"/>
                <w:sz w:val="24"/>
                <w:szCs w:val="24"/>
                <w:lang w:eastAsia="bg-BG"/>
              </w:rPr>
              <w:t>386.09</w:t>
            </w:r>
            <w:r w:rsidR="00F36C91" w:rsidRPr="00805E9B">
              <w:rPr>
                <w:rFonts w:ascii="Times New Roman" w:hAnsi="Times New Roman" w:cs="Times New Roman"/>
                <w:sz w:val="24"/>
                <w:szCs w:val="24"/>
                <w:lang w:eastAsia="bg-BG"/>
              </w:rPr>
              <w:t xml:space="preserve">лв. </w:t>
            </w:r>
          </w:p>
          <w:p w14:paraId="3F48406C" w14:textId="77777777" w:rsidR="00430537" w:rsidRPr="00805E9B" w:rsidRDefault="00430537" w:rsidP="00BD197A">
            <w:pPr>
              <w:spacing w:before="195" w:line="270" w:lineRule="atLeast"/>
              <w:jc w:val="center"/>
              <w:rPr>
                <w:sz w:val="24"/>
                <w:szCs w:val="24"/>
                <w:lang w:val="en-US" w:eastAsia="bg-BG"/>
              </w:rPr>
            </w:pPr>
          </w:p>
          <w:p w14:paraId="51DC4FBE" w14:textId="77777777" w:rsidR="00F36C91" w:rsidRPr="00805E9B" w:rsidRDefault="00F36C91" w:rsidP="00BD197A">
            <w:pPr>
              <w:spacing w:before="195" w:line="270" w:lineRule="atLeast"/>
              <w:jc w:val="center"/>
              <w:rPr>
                <w:sz w:val="24"/>
                <w:szCs w:val="24"/>
                <w:lang w:eastAsia="bg-BG"/>
              </w:rPr>
            </w:pPr>
          </w:p>
          <w:p w14:paraId="0BEC0411" w14:textId="77777777" w:rsidR="0006532B" w:rsidRPr="00805E9B" w:rsidRDefault="0006532B" w:rsidP="00BD197A">
            <w:pPr>
              <w:spacing w:before="195" w:line="270" w:lineRule="atLeast"/>
              <w:jc w:val="center"/>
              <w:rPr>
                <w:sz w:val="24"/>
                <w:szCs w:val="24"/>
                <w:lang w:eastAsia="bg-BG"/>
              </w:rPr>
            </w:pPr>
          </w:p>
        </w:tc>
      </w:tr>
      <w:tr w:rsidR="00097CFE" w:rsidRPr="00097CFE" w14:paraId="0AEDC8D5" w14:textId="77777777">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5"/>
          <w:tblCellSpacing w:w="0" w:type="dxa"/>
        </w:trPr>
        <w:tc>
          <w:tcPr>
            <w:tcW w:w="113" w:type="dxa"/>
            <w:vAlign w:val="bottom"/>
          </w:tcPr>
          <w:p w14:paraId="4CC26304" w14:textId="77777777" w:rsidR="0006532B" w:rsidRPr="00097CFE" w:rsidRDefault="0006532B" w:rsidP="0069625D">
            <w:pPr>
              <w:spacing w:after="0" w:line="15" w:lineRule="atLeast"/>
              <w:rPr>
                <w:rFonts w:ascii="Times New Roman" w:hAnsi="Times New Roman" w:cs="Times New Roman"/>
                <w:sz w:val="24"/>
                <w:szCs w:val="24"/>
                <w:lang w:eastAsia="bg-BG"/>
              </w:rPr>
            </w:pPr>
          </w:p>
          <w:p w14:paraId="585D7C20" w14:textId="77777777" w:rsidR="0006532B" w:rsidRPr="00097CFE" w:rsidRDefault="0006532B" w:rsidP="0069625D">
            <w:pPr>
              <w:spacing w:after="0" w:line="15" w:lineRule="atLeast"/>
              <w:rPr>
                <w:rFonts w:ascii="Times New Roman" w:hAnsi="Times New Roman" w:cs="Times New Roman"/>
                <w:sz w:val="24"/>
                <w:szCs w:val="24"/>
                <w:lang w:eastAsia="bg-BG"/>
              </w:rPr>
            </w:pPr>
          </w:p>
          <w:p w14:paraId="156FB224" w14:textId="77777777" w:rsidR="0006532B" w:rsidRPr="00097CFE" w:rsidRDefault="0006532B" w:rsidP="0069625D">
            <w:pPr>
              <w:spacing w:after="0" w:line="15" w:lineRule="atLeast"/>
              <w:rPr>
                <w:rFonts w:ascii="Times New Roman" w:hAnsi="Times New Roman" w:cs="Times New Roman"/>
                <w:sz w:val="24"/>
                <w:szCs w:val="24"/>
                <w:lang w:eastAsia="bg-BG"/>
              </w:rPr>
            </w:pPr>
          </w:p>
          <w:p w14:paraId="7911D2BC" w14:textId="77777777" w:rsidR="0006532B" w:rsidRPr="00097CFE" w:rsidRDefault="0006532B" w:rsidP="0069625D">
            <w:pPr>
              <w:spacing w:after="0" w:line="1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 </w:t>
            </w:r>
          </w:p>
        </w:tc>
        <w:tc>
          <w:tcPr>
            <w:tcW w:w="39" w:type="dxa"/>
            <w:vAlign w:val="bottom"/>
          </w:tcPr>
          <w:p w14:paraId="3BCE7753" w14:textId="77777777" w:rsidR="0006532B" w:rsidRPr="00097CFE" w:rsidRDefault="0006532B" w:rsidP="0069625D">
            <w:pPr>
              <w:spacing w:after="0" w:line="1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 </w:t>
            </w:r>
          </w:p>
        </w:tc>
        <w:tc>
          <w:tcPr>
            <w:tcW w:w="6660" w:type="dxa"/>
            <w:gridSpan w:val="3"/>
            <w:vAlign w:val="bottom"/>
          </w:tcPr>
          <w:p w14:paraId="7AC47CE5" w14:textId="77777777" w:rsidR="0006532B" w:rsidRPr="00097CFE" w:rsidRDefault="0006532B" w:rsidP="00760731">
            <w:pPr>
              <w:spacing w:after="0" w:line="15"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 </w:t>
            </w:r>
          </w:p>
          <w:p w14:paraId="5EF863E9" w14:textId="77777777" w:rsidR="0006532B" w:rsidRPr="00097CFE" w:rsidRDefault="0006532B" w:rsidP="00C437E6">
            <w:pPr>
              <w:spacing w:after="0" w:line="15" w:lineRule="atLeast"/>
              <w:jc w:val="both"/>
              <w:rPr>
                <w:rFonts w:ascii="Times New Roman" w:hAnsi="Times New Roman" w:cs="Times New Roman"/>
                <w:sz w:val="24"/>
                <w:szCs w:val="24"/>
                <w:lang w:eastAsia="bg-BG"/>
              </w:rPr>
            </w:pPr>
          </w:p>
        </w:tc>
        <w:tc>
          <w:tcPr>
            <w:tcW w:w="104" w:type="dxa"/>
            <w:vAlign w:val="bottom"/>
          </w:tcPr>
          <w:p w14:paraId="7A1DD242" w14:textId="77777777" w:rsidR="0006532B" w:rsidRPr="00097CFE" w:rsidRDefault="0006532B" w:rsidP="00760731">
            <w:pPr>
              <w:spacing w:after="0" w:line="15" w:lineRule="atLeast"/>
              <w:jc w:val="both"/>
              <w:rPr>
                <w:rFonts w:ascii="Times New Roman" w:hAnsi="Times New Roman" w:cs="Times New Roman"/>
                <w:sz w:val="24"/>
                <w:szCs w:val="24"/>
                <w:lang w:eastAsia="bg-BG"/>
              </w:rPr>
            </w:pPr>
          </w:p>
        </w:tc>
        <w:tc>
          <w:tcPr>
            <w:tcW w:w="31" w:type="dxa"/>
            <w:vAlign w:val="bottom"/>
          </w:tcPr>
          <w:p w14:paraId="65182E67" w14:textId="77777777" w:rsidR="0006532B" w:rsidRPr="00097CFE" w:rsidRDefault="0006532B" w:rsidP="0069625D">
            <w:pPr>
              <w:spacing w:after="0" w:line="15" w:lineRule="atLeast"/>
              <w:rPr>
                <w:rFonts w:ascii="Times New Roman" w:hAnsi="Times New Roman" w:cs="Times New Roman"/>
                <w:sz w:val="24"/>
                <w:szCs w:val="24"/>
                <w:lang w:eastAsia="bg-BG"/>
              </w:rPr>
            </w:pPr>
          </w:p>
        </w:tc>
        <w:tc>
          <w:tcPr>
            <w:tcW w:w="75" w:type="dxa"/>
            <w:vAlign w:val="bottom"/>
          </w:tcPr>
          <w:p w14:paraId="6BB90C24" w14:textId="77777777" w:rsidR="0006532B" w:rsidRPr="00097CFE" w:rsidRDefault="0006532B" w:rsidP="0069625D">
            <w:pPr>
              <w:spacing w:after="0" w:line="15" w:lineRule="atLeast"/>
              <w:rPr>
                <w:rFonts w:ascii="Times New Roman" w:hAnsi="Times New Roman" w:cs="Times New Roman"/>
                <w:sz w:val="24"/>
                <w:szCs w:val="24"/>
                <w:lang w:eastAsia="bg-BG"/>
              </w:rPr>
            </w:pPr>
          </w:p>
        </w:tc>
        <w:tc>
          <w:tcPr>
            <w:tcW w:w="75" w:type="dxa"/>
            <w:vAlign w:val="bottom"/>
          </w:tcPr>
          <w:p w14:paraId="3513C268" w14:textId="77777777" w:rsidR="0006532B" w:rsidRPr="00097CFE" w:rsidRDefault="0006532B" w:rsidP="0069625D">
            <w:pPr>
              <w:spacing w:after="0" w:line="15" w:lineRule="atLeast"/>
              <w:rPr>
                <w:rFonts w:ascii="Times New Roman" w:hAnsi="Times New Roman" w:cs="Times New Roman"/>
                <w:sz w:val="24"/>
                <w:szCs w:val="24"/>
                <w:lang w:eastAsia="bg-BG"/>
              </w:rPr>
            </w:pPr>
          </w:p>
        </w:tc>
        <w:tc>
          <w:tcPr>
            <w:tcW w:w="2565" w:type="dxa"/>
            <w:gridSpan w:val="2"/>
            <w:vAlign w:val="bottom"/>
          </w:tcPr>
          <w:p w14:paraId="5215D70A" w14:textId="77777777" w:rsidR="0006532B" w:rsidRPr="00097CFE" w:rsidRDefault="0006532B" w:rsidP="0069625D">
            <w:pPr>
              <w:spacing w:after="0" w:line="15" w:lineRule="atLeast"/>
              <w:rPr>
                <w:rFonts w:ascii="Times New Roman" w:hAnsi="Times New Roman" w:cs="Times New Roman"/>
                <w:sz w:val="24"/>
                <w:szCs w:val="24"/>
                <w:lang w:eastAsia="bg-BG"/>
              </w:rPr>
            </w:pPr>
          </w:p>
        </w:tc>
        <w:tc>
          <w:tcPr>
            <w:tcW w:w="20" w:type="dxa"/>
            <w:vAlign w:val="bottom"/>
          </w:tcPr>
          <w:p w14:paraId="2AE76A82" w14:textId="77777777" w:rsidR="0006532B" w:rsidRPr="00097CFE" w:rsidRDefault="0006532B" w:rsidP="0069625D">
            <w:pPr>
              <w:spacing w:after="0" w:line="1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 </w:t>
            </w:r>
          </w:p>
        </w:tc>
      </w:tr>
    </w:tbl>
    <w:p w14:paraId="5F3E516B" w14:textId="77777777" w:rsidR="0006532B" w:rsidRPr="00097CFE" w:rsidRDefault="0006532B" w:rsidP="003E11B4">
      <w:pPr>
        <w:spacing w:after="0" w:line="255" w:lineRule="atLeast"/>
        <w:rPr>
          <w:rFonts w:ascii="Times New Roman" w:hAnsi="Times New Roman" w:cs="Times New Roman"/>
          <w:sz w:val="24"/>
          <w:szCs w:val="24"/>
          <w:lang w:eastAsia="bg-BG"/>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4"/>
        <w:gridCol w:w="4700"/>
      </w:tblGrid>
      <w:tr w:rsidR="00097CFE" w:rsidRPr="00097CFE" w14:paraId="4A99CF78" w14:textId="77777777" w:rsidTr="00060471">
        <w:tc>
          <w:tcPr>
            <w:tcW w:w="4694" w:type="dxa"/>
          </w:tcPr>
          <w:p w14:paraId="74C65EFE" w14:textId="77777777" w:rsidR="0006532B" w:rsidRPr="00097CFE" w:rsidRDefault="0006532B" w:rsidP="00D325D2">
            <w:pPr>
              <w:spacing w:after="0" w:line="255" w:lineRule="atLeast"/>
              <w:jc w:val="center"/>
              <w:rPr>
                <w:rFonts w:ascii="Times New Roman" w:hAnsi="Times New Roman" w:cs="Times New Roman"/>
                <w:sz w:val="24"/>
                <w:szCs w:val="24"/>
                <w:lang w:eastAsia="bg-BG"/>
              </w:rPr>
            </w:pPr>
          </w:p>
          <w:p w14:paraId="79373067" w14:textId="77777777" w:rsidR="0006532B" w:rsidRPr="00097CFE" w:rsidRDefault="0006532B" w:rsidP="00D325D2">
            <w:pPr>
              <w:spacing w:after="0" w:line="255" w:lineRule="atLeast"/>
              <w:jc w:val="center"/>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lastRenderedPageBreak/>
              <w:t>Разпределение на ресурса по Кодове</w:t>
            </w:r>
          </w:p>
        </w:tc>
        <w:tc>
          <w:tcPr>
            <w:tcW w:w="4700" w:type="dxa"/>
          </w:tcPr>
          <w:p w14:paraId="5548E29E" w14:textId="77777777" w:rsidR="0006532B" w:rsidRPr="00097CFE" w:rsidRDefault="0006532B" w:rsidP="00D325D2">
            <w:pPr>
              <w:spacing w:after="0" w:line="255" w:lineRule="atLeast"/>
              <w:jc w:val="center"/>
              <w:rPr>
                <w:rFonts w:ascii="Times New Roman" w:hAnsi="Times New Roman" w:cs="Times New Roman"/>
                <w:b/>
                <w:bCs/>
                <w:sz w:val="24"/>
                <w:szCs w:val="24"/>
                <w:lang w:eastAsia="bg-BG"/>
              </w:rPr>
            </w:pPr>
          </w:p>
          <w:p w14:paraId="682AA355" w14:textId="77777777" w:rsidR="0006532B" w:rsidRPr="00097CFE" w:rsidRDefault="0006532B" w:rsidP="00D325D2">
            <w:pPr>
              <w:spacing w:after="0" w:line="255" w:lineRule="atLeast"/>
              <w:jc w:val="center"/>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lastRenderedPageBreak/>
              <w:t>Финансов ресурс, в лева</w:t>
            </w:r>
          </w:p>
          <w:p w14:paraId="46C8EF36" w14:textId="77777777" w:rsidR="0006532B" w:rsidRPr="00097CFE" w:rsidRDefault="0006532B" w:rsidP="00D325D2">
            <w:pPr>
              <w:spacing w:after="0" w:line="255" w:lineRule="atLeast"/>
              <w:jc w:val="center"/>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(европейско и национално съфинансиране)</w:t>
            </w:r>
          </w:p>
          <w:p w14:paraId="258DC3B5" w14:textId="77777777" w:rsidR="0006532B" w:rsidRPr="00097CFE" w:rsidRDefault="0006532B" w:rsidP="00D325D2">
            <w:pPr>
              <w:spacing w:after="0" w:line="255" w:lineRule="atLeast"/>
              <w:rPr>
                <w:rFonts w:ascii="Times New Roman" w:hAnsi="Times New Roman" w:cs="Times New Roman"/>
                <w:b/>
                <w:bCs/>
                <w:sz w:val="24"/>
                <w:szCs w:val="24"/>
                <w:lang w:eastAsia="bg-BG"/>
              </w:rPr>
            </w:pPr>
          </w:p>
        </w:tc>
      </w:tr>
      <w:tr w:rsidR="00097CFE" w:rsidRPr="00097CFE" w14:paraId="51F45B87" w14:textId="77777777" w:rsidTr="00060471">
        <w:tc>
          <w:tcPr>
            <w:tcW w:w="4694" w:type="dxa"/>
          </w:tcPr>
          <w:p w14:paraId="09B90AD6" w14:textId="77777777" w:rsidR="0006532B" w:rsidRPr="00097CFE" w:rsidRDefault="0006532B" w:rsidP="00D325D2">
            <w:pPr>
              <w:spacing w:after="0" w:line="25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lastRenderedPageBreak/>
              <w:t>121. Изготвяне, изпълнение, наблюдение и контрол</w:t>
            </w:r>
          </w:p>
        </w:tc>
        <w:tc>
          <w:tcPr>
            <w:tcW w:w="4700" w:type="dxa"/>
          </w:tcPr>
          <w:p w14:paraId="1AE157DC" w14:textId="108CB640" w:rsidR="0006532B" w:rsidRPr="007660B9" w:rsidRDefault="00905B8F">
            <w:pPr>
              <w:pStyle w:val="Title"/>
              <w:spacing w:before="120" w:after="120" w:line="360" w:lineRule="auto"/>
              <w:ind w:left="113" w:right="113"/>
              <w:jc w:val="both"/>
              <w:rPr>
                <w:sz w:val="24"/>
                <w:szCs w:val="24"/>
                <w:lang w:eastAsia="bg-BG"/>
              </w:rPr>
            </w:pPr>
            <w:r>
              <w:rPr>
                <w:sz w:val="24"/>
                <w:szCs w:val="24"/>
                <w:lang w:eastAsia="bg-BG"/>
              </w:rPr>
              <w:t xml:space="preserve">2 821 </w:t>
            </w:r>
            <w:r w:rsidRPr="00980EA8">
              <w:rPr>
                <w:sz w:val="24"/>
                <w:szCs w:val="24"/>
                <w:lang w:eastAsia="bg-BG"/>
              </w:rPr>
              <w:t xml:space="preserve">544,36  </w:t>
            </w:r>
            <w:r w:rsidR="0004404B" w:rsidRPr="0004404B">
              <w:rPr>
                <w:sz w:val="24"/>
                <w:szCs w:val="24"/>
                <w:lang w:val="en-US" w:eastAsia="bg-BG"/>
              </w:rPr>
              <w:t>лв.</w:t>
            </w:r>
            <w:r w:rsidR="00F10FB5" w:rsidRPr="00763E3F">
              <w:rPr>
                <w:sz w:val="24"/>
                <w:szCs w:val="24"/>
                <w:lang w:val="en-US" w:eastAsia="bg-BG"/>
              </w:rPr>
              <w:t xml:space="preserve"> </w:t>
            </w:r>
          </w:p>
        </w:tc>
      </w:tr>
    </w:tbl>
    <w:p w14:paraId="26682442" w14:textId="77777777" w:rsidR="0006532B" w:rsidRPr="00097CFE" w:rsidRDefault="0006532B" w:rsidP="003E11B4">
      <w:pPr>
        <w:spacing w:after="0" w:line="255" w:lineRule="atLeast"/>
        <w:rPr>
          <w:rFonts w:ascii="Times New Roman" w:hAnsi="Times New Roman" w:cs="Times New Roman"/>
          <w:sz w:val="24"/>
          <w:szCs w:val="24"/>
          <w:lang w:eastAsia="bg-BG"/>
        </w:rPr>
      </w:pPr>
    </w:p>
    <w:p w14:paraId="0443C621" w14:textId="77777777" w:rsidR="0006532B" w:rsidRPr="00097CFE" w:rsidRDefault="0006532B" w:rsidP="003E11B4">
      <w:pPr>
        <w:spacing w:after="0" w:line="255" w:lineRule="atLeast"/>
        <w:rPr>
          <w:rFonts w:ascii="Times New Roman" w:hAnsi="Times New Roman" w:cs="Times New Roman"/>
          <w:b/>
          <w:bCs/>
          <w:sz w:val="24"/>
          <w:szCs w:val="24"/>
          <w:lang w:eastAsia="bg-BG"/>
        </w:rPr>
      </w:pPr>
    </w:p>
    <w:p w14:paraId="3714A4C6" w14:textId="77777777" w:rsidR="0006532B" w:rsidRPr="00097CFE" w:rsidRDefault="0006532B" w:rsidP="003E11B4">
      <w:pPr>
        <w:spacing w:after="0" w:line="255" w:lineRule="atLeast"/>
        <w:rPr>
          <w:rFonts w:ascii="Times New Roman" w:hAnsi="Times New Roman" w:cs="Times New Roman"/>
          <w:sz w:val="24"/>
          <w:szCs w:val="24"/>
          <w:lang w:eastAsia="bg-BG"/>
        </w:rPr>
      </w:pPr>
      <w:r w:rsidRPr="00097CFE">
        <w:rPr>
          <w:rFonts w:ascii="Times New Roman" w:hAnsi="Times New Roman" w:cs="Times New Roman"/>
          <w:b/>
          <w:bCs/>
          <w:i/>
          <w:iCs/>
          <w:sz w:val="24"/>
          <w:szCs w:val="24"/>
          <w:lang w:eastAsia="bg-BG"/>
        </w:rPr>
        <w:t xml:space="preserve">Размер на </w:t>
      </w:r>
      <w:r w:rsidR="00740DE3">
        <w:rPr>
          <w:rFonts w:ascii="Times New Roman" w:hAnsi="Times New Roman" w:cs="Times New Roman"/>
          <w:b/>
          <w:bCs/>
          <w:i/>
          <w:iCs/>
          <w:sz w:val="24"/>
          <w:szCs w:val="24"/>
          <w:lang w:eastAsia="bg-BG"/>
        </w:rPr>
        <w:t>БФП</w:t>
      </w:r>
      <w:r w:rsidRPr="00097CFE">
        <w:rPr>
          <w:rFonts w:ascii="Times New Roman" w:hAnsi="Times New Roman" w:cs="Times New Roman"/>
          <w:b/>
          <w:bCs/>
          <w:i/>
          <w:iCs/>
          <w:sz w:val="24"/>
          <w:szCs w:val="24"/>
          <w:lang w:eastAsia="bg-BG"/>
        </w:rPr>
        <w:t xml:space="preserve"> за отделните бюджетни линии:</w:t>
      </w:r>
    </w:p>
    <w:p w14:paraId="2E021008" w14:textId="77777777" w:rsidR="0006532B" w:rsidRPr="00097CFE" w:rsidRDefault="0006532B" w:rsidP="003E11B4">
      <w:pPr>
        <w:spacing w:before="75" w:after="0" w:line="25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Минимален размер на безвъзмездната финансова помощ на отделните бюджетни линии (в лева): </w:t>
      </w:r>
      <w:r w:rsidRPr="00097CFE">
        <w:rPr>
          <w:rFonts w:ascii="Times New Roman" w:hAnsi="Times New Roman" w:cs="Times New Roman"/>
          <w:b/>
          <w:bCs/>
          <w:sz w:val="24"/>
          <w:szCs w:val="24"/>
          <w:lang w:eastAsia="bg-BG"/>
        </w:rPr>
        <w:t>Неприложимо</w:t>
      </w:r>
    </w:p>
    <w:p w14:paraId="202DBD0E" w14:textId="77777777" w:rsidR="0006532B" w:rsidRPr="00097CFE" w:rsidRDefault="0006532B" w:rsidP="003E11B4">
      <w:pPr>
        <w:spacing w:before="105" w:after="0" w:line="270"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Максимален размер на безвъзмездната финансова помощ на отделните бюджетни линии (в лева):</w:t>
      </w:r>
    </w:p>
    <w:p w14:paraId="15BA73C4" w14:textId="77777777" w:rsidR="0006532B" w:rsidRPr="00097CFE" w:rsidRDefault="0006532B" w:rsidP="003E11B4">
      <w:pPr>
        <w:spacing w:before="75" w:line="270" w:lineRule="atLeast"/>
        <w:jc w:val="both"/>
        <w:rPr>
          <w:rFonts w:ascii="Times New Roman" w:hAnsi="Times New Roman" w:cs="Times New Roman"/>
          <w:b/>
          <w:bCs/>
          <w:sz w:val="24"/>
          <w:szCs w:val="24"/>
          <w:lang w:val="ru-RU" w:eastAsia="bg-BG"/>
        </w:rPr>
      </w:pPr>
      <w:r w:rsidRPr="00097CFE">
        <w:rPr>
          <w:rFonts w:ascii="Times New Roman" w:hAnsi="Times New Roman" w:cs="Times New Roman"/>
          <w:b/>
          <w:bCs/>
          <w:sz w:val="24"/>
          <w:szCs w:val="24"/>
          <w:lang w:eastAsia="bg-BG"/>
        </w:rPr>
        <w:t xml:space="preserve">За конкретните бенефициенти  са определени следните максимални индикативни стойности на </w:t>
      </w:r>
      <w:r w:rsidR="00740DE3">
        <w:rPr>
          <w:rFonts w:ascii="Times New Roman" w:hAnsi="Times New Roman" w:cs="Times New Roman"/>
          <w:b/>
          <w:bCs/>
          <w:sz w:val="24"/>
          <w:szCs w:val="24"/>
          <w:lang w:eastAsia="bg-BG"/>
        </w:rPr>
        <w:t>БФП</w:t>
      </w:r>
      <w:r w:rsidRPr="00097CFE">
        <w:rPr>
          <w:rFonts w:ascii="Times New Roman" w:hAnsi="Times New Roman" w:cs="Times New Roman"/>
          <w:b/>
          <w:bCs/>
          <w:sz w:val="24"/>
          <w:szCs w:val="24"/>
          <w:lang w:eastAsia="bg-BG"/>
        </w:rPr>
        <w:t>, която може да им бъде предоставена под формата на бюджетна линия:</w:t>
      </w:r>
    </w:p>
    <w:tbl>
      <w:tblPr>
        <w:tblW w:w="85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4036"/>
        <w:gridCol w:w="4150"/>
      </w:tblGrid>
      <w:tr w:rsidR="00097CFE" w:rsidRPr="00097CFE" w14:paraId="146B7F9B" w14:textId="77777777" w:rsidTr="000E11E0">
        <w:trPr>
          <w:trHeight w:val="579"/>
        </w:trPr>
        <w:tc>
          <w:tcPr>
            <w:tcW w:w="392" w:type="dxa"/>
          </w:tcPr>
          <w:p w14:paraId="2CF7EA17" w14:textId="77777777" w:rsidR="000B3DF5" w:rsidRPr="00097CFE" w:rsidRDefault="000B3DF5" w:rsidP="00D325D2">
            <w:pPr>
              <w:spacing w:after="0" w:line="240" w:lineRule="auto"/>
              <w:rPr>
                <w:rFonts w:ascii="Times New Roman" w:hAnsi="Times New Roman" w:cs="Times New Roman"/>
                <w:sz w:val="24"/>
                <w:szCs w:val="24"/>
                <w:lang w:eastAsia="bg-BG"/>
              </w:rPr>
            </w:pPr>
          </w:p>
        </w:tc>
        <w:tc>
          <w:tcPr>
            <w:tcW w:w="4036" w:type="dxa"/>
          </w:tcPr>
          <w:p w14:paraId="3DDC3D90" w14:textId="77777777" w:rsidR="000B3DF5" w:rsidRPr="00097CFE" w:rsidRDefault="000B3DF5" w:rsidP="00D325D2">
            <w:pPr>
              <w:spacing w:after="0" w:line="240" w:lineRule="auto"/>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Конкретен бенефициент</w:t>
            </w:r>
          </w:p>
        </w:tc>
        <w:tc>
          <w:tcPr>
            <w:tcW w:w="4150" w:type="dxa"/>
          </w:tcPr>
          <w:p w14:paraId="4532828C" w14:textId="77777777" w:rsidR="00E22898" w:rsidRDefault="000B3DF5" w:rsidP="00D325D2">
            <w:pPr>
              <w:spacing w:after="0" w:line="240" w:lineRule="auto"/>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Максимална стойност на БФП</w:t>
            </w:r>
            <w:r w:rsidR="002B603D">
              <w:rPr>
                <w:rFonts w:ascii="Times New Roman" w:hAnsi="Times New Roman" w:cs="Times New Roman"/>
                <w:b/>
                <w:bCs/>
                <w:sz w:val="24"/>
                <w:szCs w:val="24"/>
                <w:lang w:eastAsia="bg-BG"/>
              </w:rPr>
              <w:t>*</w:t>
            </w:r>
            <w:r w:rsidR="00E22898">
              <w:rPr>
                <w:rFonts w:ascii="Times New Roman" w:hAnsi="Times New Roman" w:cs="Times New Roman"/>
                <w:b/>
                <w:bCs/>
                <w:sz w:val="24"/>
                <w:szCs w:val="24"/>
                <w:lang w:val="en-US" w:eastAsia="bg-BG"/>
              </w:rPr>
              <w:t xml:space="preserve"> </w:t>
            </w:r>
          </w:p>
          <w:p w14:paraId="3DC70868" w14:textId="77777777" w:rsidR="000B3DF5" w:rsidRPr="00E22898" w:rsidRDefault="00E22898" w:rsidP="00E22898">
            <w:pPr>
              <w:spacing w:after="0" w:line="240" w:lineRule="auto"/>
              <w:jc w:val="center"/>
              <w:rPr>
                <w:rFonts w:ascii="Times New Roman" w:hAnsi="Times New Roman" w:cs="Times New Roman"/>
                <w:b/>
                <w:bCs/>
                <w:sz w:val="24"/>
                <w:szCs w:val="24"/>
                <w:lang w:eastAsia="bg-BG"/>
              </w:rPr>
            </w:pPr>
            <w:r>
              <w:rPr>
                <w:rFonts w:ascii="Times New Roman" w:hAnsi="Times New Roman" w:cs="Times New Roman"/>
                <w:b/>
                <w:bCs/>
                <w:sz w:val="24"/>
                <w:szCs w:val="24"/>
                <w:lang w:val="en-US" w:eastAsia="bg-BG"/>
              </w:rPr>
              <w:t>(</w:t>
            </w:r>
            <w:proofErr w:type="gramStart"/>
            <w:r>
              <w:rPr>
                <w:rFonts w:ascii="Times New Roman" w:hAnsi="Times New Roman" w:cs="Times New Roman"/>
                <w:b/>
                <w:bCs/>
                <w:sz w:val="24"/>
                <w:szCs w:val="24"/>
                <w:lang w:eastAsia="bg-BG"/>
              </w:rPr>
              <w:t>в</w:t>
            </w:r>
            <w:proofErr w:type="gramEnd"/>
            <w:r>
              <w:rPr>
                <w:rFonts w:ascii="Times New Roman" w:hAnsi="Times New Roman" w:cs="Times New Roman"/>
                <w:b/>
                <w:bCs/>
                <w:sz w:val="24"/>
                <w:szCs w:val="24"/>
                <w:lang w:eastAsia="bg-BG"/>
              </w:rPr>
              <w:t xml:space="preserve"> лв.)</w:t>
            </w:r>
          </w:p>
          <w:p w14:paraId="179A4591" w14:textId="77777777" w:rsidR="000B3DF5" w:rsidRPr="00097CFE" w:rsidRDefault="000B3DF5" w:rsidP="00D325D2">
            <w:pPr>
              <w:spacing w:after="0" w:line="240" w:lineRule="auto"/>
              <w:rPr>
                <w:rFonts w:ascii="Times New Roman" w:hAnsi="Times New Roman" w:cs="Times New Roman"/>
                <w:b/>
                <w:bCs/>
                <w:sz w:val="24"/>
                <w:szCs w:val="24"/>
                <w:lang w:eastAsia="bg-BG"/>
              </w:rPr>
            </w:pPr>
          </w:p>
        </w:tc>
      </w:tr>
      <w:tr w:rsidR="00097CFE" w:rsidRPr="00097CFE" w14:paraId="4010439B" w14:textId="77777777" w:rsidTr="00375DFD">
        <w:trPr>
          <w:trHeight w:val="1371"/>
        </w:trPr>
        <w:tc>
          <w:tcPr>
            <w:tcW w:w="392" w:type="dxa"/>
          </w:tcPr>
          <w:p w14:paraId="7B0B0C10" w14:textId="77777777" w:rsidR="000B3DF5" w:rsidRPr="00430537" w:rsidRDefault="000B3DF5" w:rsidP="00D325D2">
            <w:pPr>
              <w:spacing w:after="0" w:line="240" w:lineRule="auto"/>
              <w:rPr>
                <w:rFonts w:ascii="Times New Roman" w:hAnsi="Times New Roman" w:cs="Times New Roman"/>
                <w:sz w:val="24"/>
                <w:szCs w:val="24"/>
                <w:lang w:eastAsia="bg-BG"/>
              </w:rPr>
            </w:pPr>
            <w:r w:rsidRPr="00097CFE">
              <w:rPr>
                <w:rFonts w:ascii="Times New Roman" w:hAnsi="Times New Roman" w:cs="Times New Roman"/>
                <w:sz w:val="24"/>
                <w:szCs w:val="24"/>
                <w:lang w:val="en-US" w:eastAsia="bg-BG"/>
              </w:rPr>
              <w:t>1</w:t>
            </w:r>
          </w:p>
        </w:tc>
        <w:tc>
          <w:tcPr>
            <w:tcW w:w="4036" w:type="dxa"/>
          </w:tcPr>
          <w:p w14:paraId="71DAA8D6" w14:textId="77777777" w:rsidR="000B3DF5" w:rsidRPr="00097CFE" w:rsidRDefault="000B3DF5" w:rsidP="00D325D2">
            <w:pPr>
              <w:pStyle w:val="Text2"/>
              <w:spacing w:after="0"/>
              <w:ind w:left="0"/>
              <w:rPr>
                <w:i/>
                <w:iCs/>
                <w:lang w:val="ru-RU"/>
              </w:rPr>
            </w:pPr>
            <w:r w:rsidRPr="00097CFE">
              <w:rPr>
                <w:i/>
                <w:iCs/>
              </w:rPr>
              <w:t xml:space="preserve">Дирекция </w:t>
            </w:r>
            <w:r w:rsidRPr="00097CFE">
              <w:t>„</w:t>
            </w:r>
            <w:r w:rsidRPr="00097CFE">
              <w:rPr>
                <w:i/>
                <w:iCs/>
              </w:rPr>
              <w:t>Морско дело и рибарство</w:t>
            </w:r>
            <w:r w:rsidRPr="00097CFE">
              <w:t>”</w:t>
            </w:r>
            <w:r w:rsidRPr="00097CFE">
              <w:rPr>
                <w:i/>
                <w:iCs/>
              </w:rPr>
              <w:t>, Министерство на земеделието</w:t>
            </w:r>
            <w:r w:rsidR="00BC439A">
              <w:rPr>
                <w:i/>
                <w:iCs/>
              </w:rPr>
              <w:t>,</w:t>
            </w:r>
            <w:r w:rsidRPr="00097CFE">
              <w:rPr>
                <w:i/>
                <w:iCs/>
              </w:rPr>
              <w:t xml:space="preserve"> храните</w:t>
            </w:r>
            <w:r w:rsidR="00BC439A">
              <w:rPr>
                <w:i/>
                <w:iCs/>
              </w:rPr>
              <w:t xml:space="preserve"> и горите</w:t>
            </w:r>
            <w:r w:rsidRPr="00097CFE">
              <w:rPr>
                <w:i/>
                <w:iCs/>
              </w:rPr>
              <w:t xml:space="preserve"> –Управляващ орган на ПМДР 2014-2020 /УО/</w:t>
            </w:r>
          </w:p>
        </w:tc>
        <w:tc>
          <w:tcPr>
            <w:tcW w:w="4150" w:type="dxa"/>
          </w:tcPr>
          <w:p w14:paraId="6C8C10A7" w14:textId="77777777" w:rsidR="000B3DF5" w:rsidRPr="001D37CB" w:rsidRDefault="000B3DF5" w:rsidP="00D325D2">
            <w:pPr>
              <w:spacing w:after="0" w:line="240" w:lineRule="auto"/>
              <w:jc w:val="center"/>
              <w:rPr>
                <w:rFonts w:ascii="Times New Roman" w:hAnsi="Times New Roman" w:cs="Times New Roman"/>
                <w:sz w:val="24"/>
                <w:szCs w:val="24"/>
                <w:lang w:eastAsia="bg-BG"/>
              </w:rPr>
            </w:pPr>
          </w:p>
          <w:p w14:paraId="5467BAB2" w14:textId="77777777" w:rsidR="000B3DF5" w:rsidRPr="001D37CB" w:rsidRDefault="000B3DF5" w:rsidP="000E11E0">
            <w:pPr>
              <w:spacing w:after="0" w:line="240" w:lineRule="auto"/>
              <w:rPr>
                <w:rFonts w:ascii="Times New Roman" w:hAnsi="Times New Roman" w:cs="Times New Roman"/>
                <w:sz w:val="24"/>
                <w:szCs w:val="24"/>
                <w:lang w:val="en-US" w:eastAsia="bg-BG"/>
              </w:rPr>
            </w:pPr>
          </w:p>
          <w:p w14:paraId="2A722B63" w14:textId="77777777" w:rsidR="00805E9B" w:rsidRPr="00060471" w:rsidRDefault="00430537" w:rsidP="00A64B92">
            <w:pPr>
              <w:spacing w:after="0" w:line="240" w:lineRule="auto"/>
              <w:jc w:val="center"/>
              <w:rPr>
                <w:rFonts w:ascii="Times New Roman" w:hAnsi="Times New Roman" w:cs="Times New Roman"/>
                <w:sz w:val="24"/>
                <w:szCs w:val="24"/>
                <w:lang w:eastAsia="bg-BG"/>
              </w:rPr>
            </w:pPr>
            <w:r w:rsidRPr="001D37CB">
              <w:rPr>
                <w:rFonts w:ascii="Times New Roman" w:hAnsi="Times New Roman" w:cs="Times New Roman"/>
                <w:sz w:val="24"/>
                <w:szCs w:val="24"/>
                <w:lang w:eastAsia="bg-BG"/>
              </w:rPr>
              <w:t xml:space="preserve"> </w:t>
            </w:r>
          </w:p>
          <w:p w14:paraId="78F73DF1" w14:textId="1A312D42" w:rsidR="000B3DF5" w:rsidRPr="00F42175" w:rsidRDefault="00905B8F" w:rsidP="00A64B92">
            <w:pPr>
              <w:spacing w:after="0" w:line="240" w:lineRule="auto"/>
              <w:jc w:val="center"/>
              <w:rPr>
                <w:rFonts w:ascii="Times New Roman" w:hAnsi="Times New Roman" w:cs="Times New Roman"/>
                <w:sz w:val="24"/>
                <w:szCs w:val="24"/>
                <w:lang w:eastAsia="bg-BG"/>
              </w:rPr>
            </w:pPr>
            <w:r w:rsidRPr="00905B8F">
              <w:rPr>
                <w:rFonts w:ascii="Times New Roman" w:hAnsi="Times New Roman" w:cs="Times New Roman"/>
                <w:sz w:val="24"/>
                <w:szCs w:val="24"/>
              </w:rPr>
              <w:t>1</w:t>
            </w:r>
            <w:r>
              <w:rPr>
                <w:rFonts w:ascii="Times New Roman" w:hAnsi="Times New Roman" w:cs="Times New Roman"/>
                <w:sz w:val="24"/>
                <w:szCs w:val="24"/>
              </w:rPr>
              <w:t xml:space="preserve"> </w:t>
            </w:r>
            <w:r w:rsidRPr="00905B8F">
              <w:rPr>
                <w:rFonts w:ascii="Times New Roman" w:hAnsi="Times New Roman" w:cs="Times New Roman"/>
                <w:sz w:val="24"/>
                <w:szCs w:val="24"/>
              </w:rPr>
              <w:t>766</w:t>
            </w:r>
            <w:r>
              <w:rPr>
                <w:rFonts w:ascii="Times New Roman" w:hAnsi="Times New Roman" w:cs="Times New Roman"/>
                <w:sz w:val="24"/>
                <w:szCs w:val="24"/>
              </w:rPr>
              <w:t xml:space="preserve"> </w:t>
            </w:r>
            <w:r w:rsidRPr="00905B8F">
              <w:rPr>
                <w:rFonts w:ascii="Times New Roman" w:hAnsi="Times New Roman" w:cs="Times New Roman"/>
                <w:sz w:val="24"/>
                <w:szCs w:val="24"/>
              </w:rPr>
              <w:t>628.36</w:t>
            </w:r>
          </w:p>
        </w:tc>
      </w:tr>
      <w:tr w:rsidR="00097CFE" w:rsidRPr="00097CFE" w14:paraId="151DEBA0" w14:textId="77777777" w:rsidTr="000E11E0">
        <w:tc>
          <w:tcPr>
            <w:tcW w:w="392" w:type="dxa"/>
          </w:tcPr>
          <w:p w14:paraId="4AFE714B" w14:textId="77777777" w:rsidR="000B3DF5" w:rsidRPr="00060471" w:rsidRDefault="00E312CF" w:rsidP="00D325D2">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2</w:t>
            </w:r>
          </w:p>
        </w:tc>
        <w:tc>
          <w:tcPr>
            <w:tcW w:w="4036" w:type="dxa"/>
          </w:tcPr>
          <w:p w14:paraId="1E4D17E0" w14:textId="77777777" w:rsidR="000B3DF5" w:rsidRPr="00097CFE" w:rsidRDefault="000B3DF5" w:rsidP="00D325D2">
            <w:pPr>
              <w:pStyle w:val="Text2"/>
              <w:spacing w:after="0"/>
              <w:ind w:left="0"/>
              <w:rPr>
                <w:i/>
                <w:iCs/>
                <w:lang w:val="ru-RU"/>
              </w:rPr>
            </w:pPr>
            <w:r w:rsidRPr="00097CFE">
              <w:rPr>
                <w:i/>
                <w:iCs/>
              </w:rPr>
              <w:t xml:space="preserve">Дирекция „Рибарство и аквакултури”, Държавен фонд </w:t>
            </w:r>
            <w:r w:rsidRPr="00097CFE">
              <w:t>„</w:t>
            </w:r>
            <w:r w:rsidRPr="00097CFE">
              <w:rPr>
                <w:i/>
                <w:iCs/>
              </w:rPr>
              <w:t>Земеделие</w:t>
            </w:r>
            <w:r w:rsidRPr="00097CFE">
              <w:t xml:space="preserve">“ </w:t>
            </w:r>
            <w:r w:rsidRPr="00097CFE">
              <w:rPr>
                <w:i/>
                <w:iCs/>
              </w:rPr>
              <w:t>– РА</w:t>
            </w:r>
          </w:p>
          <w:p w14:paraId="0E99A6BF" w14:textId="77777777" w:rsidR="000B3DF5" w:rsidRPr="00097CFE" w:rsidRDefault="000B3DF5" w:rsidP="00D325D2">
            <w:pPr>
              <w:spacing w:after="0" w:line="240" w:lineRule="auto"/>
              <w:jc w:val="both"/>
              <w:rPr>
                <w:rFonts w:ascii="Times New Roman" w:hAnsi="Times New Roman" w:cs="Times New Roman"/>
                <w:i/>
                <w:iCs/>
                <w:sz w:val="24"/>
                <w:szCs w:val="24"/>
                <w:lang w:eastAsia="bg-BG"/>
              </w:rPr>
            </w:pPr>
          </w:p>
        </w:tc>
        <w:tc>
          <w:tcPr>
            <w:tcW w:w="4150" w:type="dxa"/>
          </w:tcPr>
          <w:p w14:paraId="379EB3F8" w14:textId="77777777" w:rsidR="00FD642F" w:rsidRPr="00060471" w:rsidRDefault="00FD642F" w:rsidP="00060471">
            <w:pPr>
              <w:jc w:val="center"/>
              <w:rPr>
                <w:rFonts w:ascii="Times New Roman" w:hAnsi="Times New Roman" w:cs="Times New Roman"/>
                <w:sz w:val="24"/>
                <w:szCs w:val="24"/>
              </w:rPr>
            </w:pPr>
          </w:p>
          <w:p w14:paraId="5E6B0EFA" w14:textId="77777777" w:rsidR="00FD642F" w:rsidRPr="00060471" w:rsidRDefault="00FD642F" w:rsidP="00060471">
            <w:pPr>
              <w:jc w:val="center"/>
              <w:rPr>
                <w:rFonts w:ascii="Times New Roman" w:hAnsi="Times New Roman" w:cs="Times New Roman"/>
                <w:sz w:val="24"/>
                <w:szCs w:val="24"/>
              </w:rPr>
            </w:pPr>
          </w:p>
          <w:p w14:paraId="4C2A7D83" w14:textId="437347AF" w:rsidR="00FD642F" w:rsidRPr="00F161CB" w:rsidRDefault="00905B8F" w:rsidP="00060471">
            <w:pPr>
              <w:jc w:val="center"/>
              <w:rPr>
                <w:rFonts w:ascii="Times New Roman" w:hAnsi="Times New Roman" w:cs="Times New Roman"/>
                <w:sz w:val="24"/>
                <w:szCs w:val="24"/>
                <w:lang w:val="en-US"/>
              </w:rPr>
            </w:pPr>
            <w:r w:rsidRPr="00905B8F">
              <w:rPr>
                <w:rFonts w:ascii="Times New Roman" w:hAnsi="Times New Roman" w:cs="Times New Roman"/>
                <w:sz w:val="24"/>
                <w:szCs w:val="24"/>
              </w:rPr>
              <w:t>499</w:t>
            </w:r>
            <w:r>
              <w:rPr>
                <w:rFonts w:ascii="Times New Roman" w:hAnsi="Times New Roman" w:cs="Times New Roman"/>
                <w:sz w:val="24"/>
                <w:szCs w:val="24"/>
              </w:rPr>
              <w:t xml:space="preserve"> </w:t>
            </w:r>
            <w:r w:rsidRPr="00905B8F">
              <w:rPr>
                <w:rFonts w:ascii="Times New Roman" w:hAnsi="Times New Roman" w:cs="Times New Roman"/>
                <w:sz w:val="24"/>
                <w:szCs w:val="24"/>
              </w:rPr>
              <w:t>916</w:t>
            </w:r>
            <w:r w:rsidR="00F161CB">
              <w:rPr>
                <w:rFonts w:ascii="Times New Roman" w:hAnsi="Times New Roman" w:cs="Times New Roman"/>
                <w:sz w:val="24"/>
                <w:szCs w:val="24"/>
                <w:lang w:val="en-US"/>
              </w:rPr>
              <w:t>.00</w:t>
            </w:r>
          </w:p>
        </w:tc>
      </w:tr>
      <w:tr w:rsidR="00097CFE" w:rsidRPr="00097CFE" w14:paraId="49C874CA" w14:textId="77777777" w:rsidTr="000E11E0">
        <w:tc>
          <w:tcPr>
            <w:tcW w:w="392" w:type="dxa"/>
          </w:tcPr>
          <w:p w14:paraId="37E51538" w14:textId="77777777" w:rsidR="000B3DF5" w:rsidRPr="00060471" w:rsidRDefault="00E312CF" w:rsidP="00D325D2">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3</w:t>
            </w:r>
          </w:p>
        </w:tc>
        <w:tc>
          <w:tcPr>
            <w:tcW w:w="4036" w:type="dxa"/>
          </w:tcPr>
          <w:p w14:paraId="6A6BD2BE" w14:textId="77777777" w:rsidR="000B3DF5" w:rsidRPr="00097CFE" w:rsidRDefault="000B3DF5" w:rsidP="00D325D2">
            <w:pPr>
              <w:pStyle w:val="Text2"/>
              <w:spacing w:after="0"/>
              <w:ind w:left="0"/>
              <w:rPr>
                <w:i/>
                <w:iCs/>
                <w:lang w:val="ru-RU"/>
              </w:rPr>
            </w:pPr>
            <w:r w:rsidRPr="00097CFE">
              <w:rPr>
                <w:i/>
                <w:iCs/>
              </w:rPr>
              <w:t xml:space="preserve">Звено </w:t>
            </w:r>
            <w:r w:rsidRPr="00097CFE">
              <w:t>„</w:t>
            </w:r>
            <w:r w:rsidRPr="00097CFE">
              <w:rPr>
                <w:i/>
                <w:iCs/>
              </w:rPr>
              <w:t>Сертификация на разходите по ОПРСР</w:t>
            </w:r>
            <w:r w:rsidRPr="00097CFE">
              <w:t xml:space="preserve">“ </w:t>
            </w:r>
            <w:r w:rsidRPr="00097CFE">
              <w:rPr>
                <w:i/>
                <w:iCs/>
              </w:rPr>
              <w:t xml:space="preserve">в Държавен Фонд </w:t>
            </w:r>
            <w:r w:rsidRPr="00097CFE">
              <w:t>„</w:t>
            </w:r>
            <w:r w:rsidRPr="00097CFE">
              <w:rPr>
                <w:i/>
                <w:iCs/>
              </w:rPr>
              <w:t>Земеделие</w:t>
            </w:r>
            <w:r w:rsidRPr="00097CFE">
              <w:t>“</w:t>
            </w:r>
          </w:p>
          <w:p w14:paraId="4580B537" w14:textId="77777777" w:rsidR="000B3DF5" w:rsidRPr="00097CFE" w:rsidRDefault="000B3DF5" w:rsidP="00D325D2">
            <w:pPr>
              <w:spacing w:after="0" w:line="240" w:lineRule="auto"/>
              <w:jc w:val="both"/>
              <w:rPr>
                <w:rFonts w:ascii="Times New Roman" w:hAnsi="Times New Roman" w:cs="Times New Roman"/>
                <w:i/>
                <w:iCs/>
                <w:sz w:val="24"/>
                <w:szCs w:val="24"/>
                <w:lang w:eastAsia="bg-BG"/>
              </w:rPr>
            </w:pPr>
          </w:p>
        </w:tc>
        <w:tc>
          <w:tcPr>
            <w:tcW w:w="4150" w:type="dxa"/>
          </w:tcPr>
          <w:p w14:paraId="75B4D1EC" w14:textId="77777777" w:rsidR="00FD642F" w:rsidRPr="00060471" w:rsidRDefault="00FD642F" w:rsidP="00060471">
            <w:pPr>
              <w:jc w:val="center"/>
              <w:rPr>
                <w:rFonts w:ascii="Times New Roman" w:hAnsi="Times New Roman" w:cs="Times New Roman"/>
                <w:sz w:val="24"/>
                <w:szCs w:val="24"/>
              </w:rPr>
            </w:pPr>
          </w:p>
          <w:p w14:paraId="34E64DDC" w14:textId="77777777" w:rsidR="00FD642F" w:rsidRPr="00060471" w:rsidRDefault="00FD642F" w:rsidP="00060471">
            <w:pPr>
              <w:jc w:val="center"/>
              <w:rPr>
                <w:rFonts w:ascii="Times New Roman" w:hAnsi="Times New Roman" w:cs="Times New Roman"/>
                <w:sz w:val="24"/>
                <w:szCs w:val="24"/>
              </w:rPr>
            </w:pPr>
          </w:p>
          <w:p w14:paraId="0245C5F8" w14:textId="2437E2A6" w:rsidR="00FD642F" w:rsidRPr="00F161CB" w:rsidRDefault="00905B8F" w:rsidP="00060471">
            <w:pPr>
              <w:jc w:val="center"/>
              <w:rPr>
                <w:rFonts w:ascii="Times New Roman" w:hAnsi="Times New Roman" w:cs="Times New Roman"/>
                <w:sz w:val="24"/>
                <w:szCs w:val="24"/>
                <w:lang w:val="en-US"/>
              </w:rPr>
            </w:pPr>
            <w:r w:rsidRPr="00905B8F">
              <w:rPr>
                <w:rFonts w:ascii="Times New Roman" w:hAnsi="Times New Roman" w:cs="Times New Roman"/>
                <w:sz w:val="24"/>
                <w:szCs w:val="24"/>
              </w:rPr>
              <w:t>195</w:t>
            </w:r>
            <w:r>
              <w:rPr>
                <w:rFonts w:ascii="Times New Roman" w:hAnsi="Times New Roman" w:cs="Times New Roman"/>
                <w:sz w:val="24"/>
                <w:szCs w:val="24"/>
              </w:rPr>
              <w:t xml:space="preserve"> </w:t>
            </w:r>
            <w:r w:rsidRPr="00905B8F">
              <w:rPr>
                <w:rFonts w:ascii="Times New Roman" w:hAnsi="Times New Roman" w:cs="Times New Roman"/>
                <w:sz w:val="24"/>
                <w:szCs w:val="24"/>
              </w:rPr>
              <w:t>000</w:t>
            </w:r>
            <w:r w:rsidR="00F161CB">
              <w:rPr>
                <w:rFonts w:ascii="Times New Roman" w:hAnsi="Times New Roman" w:cs="Times New Roman"/>
                <w:sz w:val="24"/>
                <w:szCs w:val="24"/>
                <w:lang w:val="en-US"/>
              </w:rPr>
              <w:t>.00</w:t>
            </w:r>
          </w:p>
        </w:tc>
      </w:tr>
      <w:tr w:rsidR="00F10FB5" w:rsidRPr="00097CFE" w14:paraId="040569BB" w14:textId="77777777" w:rsidTr="000E11E0">
        <w:tc>
          <w:tcPr>
            <w:tcW w:w="392" w:type="dxa"/>
          </w:tcPr>
          <w:p w14:paraId="2A353DFB" w14:textId="77777777" w:rsidR="00F10FB5" w:rsidRPr="00060471" w:rsidRDefault="00E312CF" w:rsidP="00D44902">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4</w:t>
            </w:r>
          </w:p>
        </w:tc>
        <w:tc>
          <w:tcPr>
            <w:tcW w:w="4036" w:type="dxa"/>
          </w:tcPr>
          <w:p w14:paraId="5797936F" w14:textId="77777777" w:rsidR="00F10FB5" w:rsidRPr="00763E3F" w:rsidRDefault="00F10FB5" w:rsidP="00763E3F">
            <w:pPr>
              <w:pStyle w:val="Text2"/>
              <w:spacing w:after="0"/>
              <w:ind w:left="0"/>
              <w:jc w:val="left"/>
              <w:rPr>
                <w:i/>
                <w:iCs/>
              </w:rPr>
            </w:pPr>
            <w:r w:rsidRPr="00763E3F">
              <w:rPr>
                <w:i/>
                <w:iCs/>
              </w:rPr>
              <w:t xml:space="preserve">Изпълнителна агенция „Сертификационен одит на средствата от европейските земеделски фондове“ </w:t>
            </w:r>
          </w:p>
          <w:p w14:paraId="6CFFED93" w14:textId="77777777" w:rsidR="00F10FB5" w:rsidRPr="00763E3F" w:rsidRDefault="00F10FB5" w:rsidP="00763E3F">
            <w:pPr>
              <w:pStyle w:val="Text2"/>
              <w:spacing w:after="0"/>
              <w:ind w:left="0"/>
              <w:jc w:val="left"/>
              <w:rPr>
                <w:rFonts w:eastAsia="Calibri"/>
                <w:lang w:val="en-US"/>
              </w:rPr>
            </w:pPr>
          </w:p>
        </w:tc>
        <w:tc>
          <w:tcPr>
            <w:tcW w:w="4150" w:type="dxa"/>
          </w:tcPr>
          <w:p w14:paraId="314A21F4" w14:textId="6CC6B96E" w:rsidR="00F10FB5" w:rsidRPr="00F161CB" w:rsidRDefault="00905B8F" w:rsidP="00D325D2">
            <w:pPr>
              <w:spacing w:after="0" w:line="240" w:lineRule="auto"/>
              <w:jc w:val="center"/>
              <w:rPr>
                <w:rFonts w:ascii="Times New Roman" w:hAnsi="Times New Roman" w:cs="Times New Roman"/>
                <w:sz w:val="24"/>
                <w:szCs w:val="24"/>
                <w:lang w:val="en-US"/>
              </w:rPr>
            </w:pPr>
            <w:r w:rsidRPr="00905B8F">
              <w:rPr>
                <w:rFonts w:ascii="Times New Roman" w:hAnsi="Times New Roman" w:cs="Times New Roman"/>
                <w:sz w:val="24"/>
                <w:szCs w:val="24"/>
              </w:rPr>
              <w:t>345</w:t>
            </w:r>
            <w:r>
              <w:rPr>
                <w:rFonts w:ascii="Times New Roman" w:hAnsi="Times New Roman" w:cs="Times New Roman"/>
                <w:sz w:val="24"/>
                <w:szCs w:val="24"/>
              </w:rPr>
              <w:t xml:space="preserve"> </w:t>
            </w:r>
            <w:r w:rsidRPr="00905B8F">
              <w:rPr>
                <w:rFonts w:ascii="Times New Roman" w:hAnsi="Times New Roman" w:cs="Times New Roman"/>
                <w:sz w:val="24"/>
                <w:szCs w:val="24"/>
              </w:rPr>
              <w:t>000</w:t>
            </w:r>
            <w:r w:rsidR="00F161CB">
              <w:rPr>
                <w:rFonts w:ascii="Times New Roman" w:hAnsi="Times New Roman" w:cs="Times New Roman"/>
                <w:sz w:val="24"/>
                <w:szCs w:val="24"/>
                <w:lang w:val="en-US"/>
              </w:rPr>
              <w:t>.00</w:t>
            </w:r>
          </w:p>
        </w:tc>
      </w:tr>
      <w:tr w:rsidR="00202BBB" w:rsidRPr="00097CFE" w14:paraId="11198430" w14:textId="77777777" w:rsidTr="000E11E0">
        <w:tc>
          <w:tcPr>
            <w:tcW w:w="392" w:type="dxa"/>
          </w:tcPr>
          <w:p w14:paraId="5EB5E779" w14:textId="77777777" w:rsidR="00202BBB" w:rsidRPr="00F66C37" w:rsidRDefault="00E312CF" w:rsidP="00D44902">
            <w:pPr>
              <w:spacing w:after="0" w:line="240" w:lineRule="auto"/>
              <w:rPr>
                <w:rFonts w:ascii="Times New Roman" w:hAnsi="Times New Roman" w:cs="Times New Roman"/>
                <w:sz w:val="24"/>
                <w:szCs w:val="24"/>
                <w:lang w:eastAsia="bg-BG"/>
              </w:rPr>
            </w:pPr>
            <w:r>
              <w:rPr>
                <w:rFonts w:ascii="Times New Roman" w:hAnsi="Times New Roman" w:cs="Times New Roman"/>
                <w:sz w:val="24"/>
                <w:szCs w:val="24"/>
                <w:lang w:eastAsia="bg-BG"/>
              </w:rPr>
              <w:t>5</w:t>
            </w:r>
          </w:p>
        </w:tc>
        <w:tc>
          <w:tcPr>
            <w:tcW w:w="4036" w:type="dxa"/>
          </w:tcPr>
          <w:p w14:paraId="037E042C" w14:textId="77777777" w:rsidR="00202BBB" w:rsidRPr="00763E3F" w:rsidRDefault="00246034" w:rsidP="00763E3F">
            <w:pPr>
              <w:pStyle w:val="Text2"/>
              <w:spacing w:after="0"/>
              <w:ind w:left="0"/>
              <w:jc w:val="left"/>
              <w:rPr>
                <w:i/>
                <w:iCs/>
              </w:rPr>
            </w:pPr>
            <w:r w:rsidRPr="00097CFE">
              <w:rPr>
                <w:i/>
                <w:iCs/>
              </w:rPr>
              <w:t xml:space="preserve">Дирекция </w:t>
            </w:r>
            <w:r w:rsidR="00202BBB">
              <w:rPr>
                <w:i/>
                <w:iCs/>
              </w:rPr>
              <w:t xml:space="preserve">„Вътрешен одит“ към </w:t>
            </w:r>
            <w:r w:rsidR="00202BBB" w:rsidRPr="00097CFE">
              <w:rPr>
                <w:i/>
                <w:iCs/>
              </w:rPr>
              <w:t>Министерство на земеделието</w:t>
            </w:r>
            <w:r w:rsidR="00202BBB">
              <w:rPr>
                <w:i/>
                <w:iCs/>
              </w:rPr>
              <w:t>,</w:t>
            </w:r>
            <w:r w:rsidR="00202BBB" w:rsidRPr="00097CFE">
              <w:rPr>
                <w:i/>
                <w:iCs/>
              </w:rPr>
              <w:t xml:space="preserve"> храните</w:t>
            </w:r>
            <w:r w:rsidR="00202BBB">
              <w:rPr>
                <w:i/>
                <w:iCs/>
              </w:rPr>
              <w:t xml:space="preserve"> и горите</w:t>
            </w:r>
          </w:p>
        </w:tc>
        <w:tc>
          <w:tcPr>
            <w:tcW w:w="4150" w:type="dxa"/>
          </w:tcPr>
          <w:p w14:paraId="1472BF17" w14:textId="633588BB" w:rsidR="00202BBB" w:rsidRPr="00F161CB" w:rsidRDefault="00905B8F" w:rsidP="00D325D2">
            <w:pPr>
              <w:spacing w:after="0" w:line="240" w:lineRule="auto"/>
              <w:jc w:val="center"/>
              <w:rPr>
                <w:rFonts w:ascii="Times New Roman" w:hAnsi="Times New Roman" w:cs="Times New Roman"/>
                <w:sz w:val="24"/>
                <w:szCs w:val="24"/>
                <w:lang w:val="en-US"/>
              </w:rPr>
            </w:pPr>
            <w:r w:rsidRPr="00905B8F">
              <w:rPr>
                <w:rFonts w:ascii="Times New Roman" w:hAnsi="Times New Roman" w:cs="Times New Roman"/>
                <w:sz w:val="24"/>
                <w:szCs w:val="24"/>
              </w:rPr>
              <w:t>15</w:t>
            </w:r>
            <w:r>
              <w:rPr>
                <w:rFonts w:ascii="Times New Roman" w:hAnsi="Times New Roman" w:cs="Times New Roman"/>
                <w:sz w:val="24"/>
                <w:szCs w:val="24"/>
              </w:rPr>
              <w:t xml:space="preserve"> </w:t>
            </w:r>
            <w:r w:rsidRPr="00905B8F">
              <w:rPr>
                <w:rFonts w:ascii="Times New Roman" w:hAnsi="Times New Roman" w:cs="Times New Roman"/>
                <w:sz w:val="24"/>
                <w:szCs w:val="24"/>
              </w:rPr>
              <w:t>000</w:t>
            </w:r>
            <w:r w:rsidR="00F161CB">
              <w:rPr>
                <w:rFonts w:ascii="Times New Roman" w:hAnsi="Times New Roman" w:cs="Times New Roman"/>
                <w:sz w:val="24"/>
                <w:szCs w:val="24"/>
                <w:lang w:val="en-US"/>
              </w:rPr>
              <w:t>.00</w:t>
            </w:r>
          </w:p>
        </w:tc>
      </w:tr>
    </w:tbl>
    <w:p w14:paraId="1AF0ED12" w14:textId="77777777" w:rsidR="004255B8" w:rsidRPr="004255B8" w:rsidRDefault="0006532B" w:rsidP="004255B8">
      <w:pPr>
        <w:spacing w:before="855" w:after="0" w:line="255" w:lineRule="atLeast"/>
        <w:jc w:val="both"/>
        <w:rPr>
          <w:rFonts w:ascii="Times New Roman" w:hAnsi="Times New Roman" w:cs="Times New Roman"/>
          <w:b/>
          <w:bCs/>
          <w:i/>
          <w:iCs/>
          <w:sz w:val="24"/>
          <w:szCs w:val="24"/>
          <w:u w:val="single"/>
          <w:lang w:eastAsia="bg-BG"/>
        </w:rPr>
      </w:pPr>
      <w:r w:rsidRPr="00097CFE">
        <w:rPr>
          <w:rFonts w:ascii="Times New Roman" w:hAnsi="Times New Roman" w:cs="Times New Roman"/>
          <w:b/>
          <w:bCs/>
          <w:i/>
          <w:iCs/>
          <w:sz w:val="24"/>
          <w:szCs w:val="24"/>
          <w:u w:val="single"/>
          <w:lang w:eastAsia="bg-BG"/>
        </w:rPr>
        <w:t>ВАЖНО!!!</w:t>
      </w:r>
      <w:r w:rsidR="004255B8" w:rsidRPr="004255B8">
        <w:t xml:space="preserve"> </w:t>
      </w:r>
    </w:p>
    <w:p w14:paraId="27C397E5" w14:textId="77777777" w:rsidR="0006532B" w:rsidRPr="00097CFE" w:rsidRDefault="0006532B" w:rsidP="003E11B4">
      <w:pPr>
        <w:spacing w:before="120"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Бенефициентът следва да разработи финансов план за бюджетна линия за възнаграждения и всички други дейности, съобразно нуждите му от финансиране.</w:t>
      </w:r>
    </w:p>
    <w:p w14:paraId="15A6E331" w14:textId="52CF4A6D" w:rsidR="0006532B" w:rsidRPr="00097CFE" w:rsidRDefault="0006532B" w:rsidP="003E11B4">
      <w:pPr>
        <w:spacing w:before="60"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lastRenderedPageBreak/>
        <w:t xml:space="preserve">Препоръчително е към момента на подаване на финансов план за бюджетната линия бенефициентът да включи всички планирани дейности, от които има нужда, и за които реалистично може да определи размера на финансирането. </w:t>
      </w:r>
    </w:p>
    <w:p w14:paraId="3E668EB7" w14:textId="77777777" w:rsidR="0006532B" w:rsidRPr="00097CFE" w:rsidRDefault="0006532B" w:rsidP="003E11B4">
      <w:pPr>
        <w:spacing w:before="45"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Максималният общ размер на финансовите планове за бюджетните линии по бенефициенти ще бъде определен след оценка на финансовите планове съобразно заявените прогнозни стойности по отделните дейности. Управляващият орган си запазва правото да не предостави изцяло горепосочената сума, в случай че предвидените за изпълнение дейности изискват по-малък финансов ресурс.</w:t>
      </w:r>
    </w:p>
    <w:p w14:paraId="7F7DD9FE" w14:textId="77777777" w:rsidR="0006532B" w:rsidRPr="00097CFE" w:rsidRDefault="0006532B" w:rsidP="003E11B4">
      <w:pPr>
        <w:spacing w:after="0" w:line="270" w:lineRule="atLeast"/>
        <w:jc w:val="both"/>
        <w:rPr>
          <w:rFonts w:ascii="Times New Roman" w:hAnsi="Times New Roman" w:cs="Times New Roman"/>
          <w:b/>
          <w:bCs/>
          <w:sz w:val="24"/>
          <w:szCs w:val="24"/>
          <w:lang w:val="ru-RU" w:eastAsia="bg-BG"/>
        </w:rPr>
      </w:pPr>
    </w:p>
    <w:p w14:paraId="1A20EB79" w14:textId="77777777" w:rsidR="0006532B" w:rsidRPr="00097CFE" w:rsidRDefault="0006532B" w:rsidP="003E11B4">
      <w:pPr>
        <w:spacing w:after="0" w:line="255" w:lineRule="atLeast"/>
        <w:rPr>
          <w:rFonts w:ascii="Times New Roman" w:hAnsi="Times New Roman" w:cs="Times New Roman"/>
          <w:b/>
          <w:bCs/>
          <w:i/>
          <w:iCs/>
          <w:sz w:val="24"/>
          <w:szCs w:val="24"/>
          <w:u w:val="single"/>
          <w:lang w:eastAsia="bg-BG"/>
        </w:rPr>
      </w:pPr>
      <w:r w:rsidRPr="00097CFE">
        <w:rPr>
          <w:rFonts w:ascii="Times New Roman" w:hAnsi="Times New Roman" w:cs="Times New Roman"/>
          <w:b/>
          <w:bCs/>
          <w:i/>
          <w:iCs/>
          <w:sz w:val="24"/>
          <w:szCs w:val="24"/>
          <w:u w:val="single"/>
          <w:lang w:eastAsia="bg-BG"/>
        </w:rPr>
        <w:t>ВАЖНО!!!</w:t>
      </w:r>
    </w:p>
    <w:p w14:paraId="7BF640B8" w14:textId="77777777" w:rsidR="0006532B" w:rsidRPr="00097CFE" w:rsidRDefault="0006532B" w:rsidP="006D4055">
      <w:pPr>
        <w:spacing w:after="0" w:line="270" w:lineRule="atLeast"/>
        <w:jc w:val="both"/>
        <w:rPr>
          <w:b/>
          <w:bCs/>
          <w:caps/>
          <w:sz w:val="24"/>
          <w:szCs w:val="24"/>
          <w:lang w:eastAsia="bg-BG"/>
        </w:rPr>
      </w:pPr>
      <w:r w:rsidRPr="00097CFE">
        <w:rPr>
          <w:rFonts w:ascii="Times New Roman" w:hAnsi="Times New Roman" w:cs="Times New Roman"/>
          <w:b/>
          <w:bCs/>
          <w:sz w:val="24"/>
          <w:szCs w:val="24"/>
          <w:lang w:eastAsia="bg-BG"/>
        </w:rPr>
        <w:t xml:space="preserve">ПО НАСТОЯЩАТА ПРОЦЕДУРА ЗА ПРЕДСТАВЯНЕ НА БЕЗВЪЗМЕЗДНА ФИНАНСОВА ПОМОЩ ЧРЕЗ БЮДЖЕТНА ЛИНИЯ НЕ СЕ ИЗИСКВА СЪФИНАНСИРАНЕ ОТ КОНКРЕТНИЯ БЕНЕФИЦИЕНТ </w:t>
      </w:r>
    </w:p>
    <w:p w14:paraId="311DC2CA" w14:textId="77777777" w:rsidR="0006532B" w:rsidRPr="00097CFE" w:rsidRDefault="0006532B" w:rsidP="006D4055">
      <w:pPr>
        <w:spacing w:after="0" w:line="270" w:lineRule="atLeast"/>
        <w:jc w:val="both"/>
        <w:rPr>
          <w:b/>
          <w:bCs/>
          <w:caps/>
          <w:sz w:val="24"/>
          <w:szCs w:val="24"/>
          <w:lang w:eastAsia="bg-BG"/>
        </w:rPr>
      </w:pPr>
    </w:p>
    <w:p w14:paraId="5DC6813E" w14:textId="77777777" w:rsidR="0006532B" w:rsidRPr="00097CFE" w:rsidRDefault="0006532B" w:rsidP="00375DFD">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spacing w:after="0" w:line="270" w:lineRule="atLeast"/>
        <w:ind w:hanging="786"/>
        <w:jc w:val="both"/>
        <w:rPr>
          <w:rFonts w:ascii="Times New Roman" w:hAnsi="Times New Roman" w:cs="Times New Roman"/>
          <w:sz w:val="24"/>
          <w:szCs w:val="24"/>
        </w:rPr>
      </w:pPr>
      <w:r w:rsidRPr="00097CFE">
        <w:rPr>
          <w:rFonts w:ascii="Times New Roman Bold" w:hAnsi="Times New Roman Bold" w:cs="Times New Roman Bold"/>
          <w:b/>
          <w:bCs/>
          <w:caps/>
          <w:sz w:val="24"/>
          <w:szCs w:val="24"/>
        </w:rPr>
        <w:t>ДопустимИ кандидати:</w:t>
      </w:r>
    </w:p>
    <w:p w14:paraId="23591AC4" w14:textId="77777777" w:rsidR="0006532B" w:rsidRPr="00097CFE" w:rsidRDefault="0006532B" w:rsidP="003E11B4">
      <w:pPr>
        <w:spacing w:before="240" w:after="0" w:line="255"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В</w:t>
      </w:r>
      <w:r w:rsidRPr="00097CFE">
        <w:rPr>
          <w:rFonts w:ascii="Times New Roman" w:hAnsi="Times New Roman" w:cs="Times New Roman"/>
          <w:sz w:val="24"/>
          <w:szCs w:val="24"/>
          <w:lang w:val="ru-RU" w:eastAsia="bg-BG"/>
        </w:rPr>
        <w:t xml:space="preserve"> </w:t>
      </w:r>
      <w:r w:rsidRPr="00097CFE">
        <w:rPr>
          <w:rFonts w:ascii="Times New Roman" w:hAnsi="Times New Roman" w:cs="Times New Roman"/>
          <w:sz w:val="24"/>
          <w:szCs w:val="24"/>
          <w:lang w:eastAsia="bg-BG"/>
        </w:rPr>
        <w:t>настоящата процедура на предоставяне на безвъзмездна финансова помощ чрез бюджетна линия може да участват следните кандидати:</w:t>
      </w:r>
    </w:p>
    <w:p w14:paraId="2C64929E" w14:textId="77777777" w:rsidR="0006532B" w:rsidRPr="00097CFE" w:rsidRDefault="0006532B" w:rsidP="003E11B4">
      <w:pPr>
        <w:spacing w:before="240" w:after="0" w:line="255" w:lineRule="atLeast"/>
        <w:jc w:val="both"/>
        <w:rPr>
          <w:rFonts w:ascii="Times New Roman" w:hAnsi="Times New Roman" w:cs="Times New Roman"/>
          <w:sz w:val="24"/>
          <w:szCs w:val="24"/>
          <w:lang w:eastAsia="bg-BG"/>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3"/>
        <w:gridCol w:w="6435"/>
      </w:tblGrid>
      <w:tr w:rsidR="00097CFE" w:rsidRPr="00097CFE" w14:paraId="3E6B2EB0" w14:textId="77777777">
        <w:tc>
          <w:tcPr>
            <w:tcW w:w="1536" w:type="pct"/>
            <w:vAlign w:val="center"/>
          </w:tcPr>
          <w:p w14:paraId="295980D4" w14:textId="77777777" w:rsidR="0006532B" w:rsidRPr="00097CFE" w:rsidRDefault="0006532B" w:rsidP="0069625D">
            <w:pPr>
              <w:pStyle w:val="Text2"/>
              <w:spacing w:after="0"/>
              <w:ind w:left="0"/>
              <w:rPr>
                <w:b/>
                <w:bCs/>
              </w:rPr>
            </w:pPr>
            <w:r w:rsidRPr="00097CFE">
              <w:rPr>
                <w:b/>
                <w:bCs/>
                <w:lang w:val="ru-RU"/>
              </w:rPr>
              <w:t xml:space="preserve">    </w:t>
            </w:r>
            <w:r w:rsidRPr="00097CFE">
              <w:rPr>
                <w:b/>
                <w:bCs/>
              </w:rPr>
              <w:t>Орган/Организация</w:t>
            </w:r>
          </w:p>
        </w:tc>
        <w:tc>
          <w:tcPr>
            <w:tcW w:w="3464" w:type="pct"/>
            <w:vAlign w:val="center"/>
          </w:tcPr>
          <w:p w14:paraId="69B01F27" w14:textId="77777777" w:rsidR="0006532B" w:rsidRPr="00097CFE" w:rsidRDefault="0006532B" w:rsidP="0069625D">
            <w:pPr>
              <w:pStyle w:val="Text2"/>
              <w:spacing w:after="0"/>
              <w:ind w:left="0"/>
              <w:jc w:val="center"/>
              <w:rPr>
                <w:b/>
                <w:bCs/>
                <w:lang w:val="en-US"/>
              </w:rPr>
            </w:pPr>
          </w:p>
          <w:p w14:paraId="24A808B7" w14:textId="77777777" w:rsidR="0006532B" w:rsidRPr="00097CFE" w:rsidRDefault="0006532B" w:rsidP="0069625D">
            <w:pPr>
              <w:pStyle w:val="Text2"/>
              <w:spacing w:after="0"/>
              <w:ind w:left="0"/>
              <w:jc w:val="center"/>
              <w:rPr>
                <w:b/>
                <w:bCs/>
                <w:lang w:val="en-US"/>
              </w:rPr>
            </w:pPr>
            <w:r w:rsidRPr="00097CFE">
              <w:rPr>
                <w:b/>
                <w:bCs/>
              </w:rPr>
              <w:t>Наименование на органа/организацията</w:t>
            </w:r>
          </w:p>
          <w:p w14:paraId="5D631D62" w14:textId="77777777" w:rsidR="0006532B" w:rsidRPr="00097CFE" w:rsidRDefault="0006532B" w:rsidP="0069625D">
            <w:pPr>
              <w:pStyle w:val="Text2"/>
              <w:spacing w:after="0"/>
              <w:ind w:left="0"/>
              <w:rPr>
                <w:b/>
                <w:bCs/>
                <w:lang w:val="en-US"/>
              </w:rPr>
            </w:pPr>
          </w:p>
        </w:tc>
      </w:tr>
      <w:tr w:rsidR="00097CFE" w:rsidRPr="00097CFE" w14:paraId="206D8B59" w14:textId="77777777">
        <w:tc>
          <w:tcPr>
            <w:tcW w:w="1536" w:type="pct"/>
            <w:vAlign w:val="center"/>
          </w:tcPr>
          <w:p w14:paraId="30EAF9F8" w14:textId="77777777" w:rsidR="0006532B" w:rsidRPr="00097CFE" w:rsidRDefault="0006532B" w:rsidP="0069625D">
            <w:pPr>
              <w:pStyle w:val="Text2"/>
              <w:spacing w:after="0"/>
              <w:ind w:left="0"/>
              <w:jc w:val="center"/>
              <w:rPr>
                <w:b/>
                <w:bCs/>
                <w:spacing w:val="-1"/>
                <w:lang w:val="en-US"/>
              </w:rPr>
            </w:pPr>
          </w:p>
          <w:p w14:paraId="41846560" w14:textId="77777777" w:rsidR="0006532B" w:rsidRDefault="00740DE3" w:rsidP="00740DE3">
            <w:pPr>
              <w:pStyle w:val="Text2"/>
              <w:spacing w:after="0"/>
              <w:ind w:left="0"/>
              <w:jc w:val="center"/>
              <w:rPr>
                <w:b/>
                <w:bCs/>
                <w:spacing w:val="-1"/>
              </w:rPr>
            </w:pPr>
            <w:r>
              <w:rPr>
                <w:b/>
                <w:bCs/>
                <w:spacing w:val="-1"/>
              </w:rPr>
              <w:t>Управляващ орган на ПМДР</w:t>
            </w:r>
          </w:p>
          <w:p w14:paraId="0F31FC41" w14:textId="77777777" w:rsidR="00740DE3" w:rsidRPr="00097CFE" w:rsidRDefault="00740DE3" w:rsidP="00740DE3">
            <w:pPr>
              <w:pStyle w:val="Text2"/>
              <w:spacing w:after="0"/>
              <w:ind w:left="0"/>
              <w:jc w:val="center"/>
              <w:rPr>
                <w:b/>
                <w:bCs/>
              </w:rPr>
            </w:pPr>
            <w:r>
              <w:rPr>
                <w:b/>
                <w:bCs/>
                <w:spacing w:val="-1"/>
              </w:rPr>
              <w:t>(УО)</w:t>
            </w:r>
          </w:p>
        </w:tc>
        <w:tc>
          <w:tcPr>
            <w:tcW w:w="3464" w:type="pct"/>
            <w:vAlign w:val="center"/>
          </w:tcPr>
          <w:p w14:paraId="0BA6FE11" w14:textId="77777777" w:rsidR="0006532B" w:rsidRPr="00097CFE" w:rsidRDefault="0006532B" w:rsidP="00BC439A">
            <w:pPr>
              <w:pStyle w:val="Text2"/>
              <w:spacing w:after="0"/>
              <w:ind w:left="0"/>
              <w:jc w:val="center"/>
              <w:rPr>
                <w:dstrike/>
              </w:rPr>
            </w:pPr>
            <w:r w:rsidRPr="00097CFE">
              <w:t>Дирекция „Морско дело и рибарство”, Министерство на земеделието</w:t>
            </w:r>
            <w:r w:rsidR="00BC439A">
              <w:t>,</w:t>
            </w:r>
            <w:r w:rsidRPr="00097CFE">
              <w:t xml:space="preserve"> храните</w:t>
            </w:r>
            <w:r w:rsidR="00BC439A">
              <w:t xml:space="preserve"> и горите</w:t>
            </w:r>
            <w:r w:rsidRPr="00097CFE">
              <w:t>, Управляващ орган /УО/</w:t>
            </w:r>
          </w:p>
        </w:tc>
      </w:tr>
      <w:tr w:rsidR="00097CFE" w:rsidRPr="00097CFE" w14:paraId="0D633B31" w14:textId="77777777">
        <w:tc>
          <w:tcPr>
            <w:tcW w:w="1536" w:type="pct"/>
            <w:vAlign w:val="center"/>
          </w:tcPr>
          <w:p w14:paraId="25879F83" w14:textId="77777777" w:rsidR="0006532B" w:rsidRPr="00097CFE" w:rsidRDefault="0006532B" w:rsidP="00961AC6">
            <w:pPr>
              <w:pStyle w:val="Text2"/>
              <w:spacing w:after="0"/>
              <w:ind w:left="0"/>
              <w:rPr>
                <w:b/>
                <w:bCs/>
              </w:rPr>
            </w:pPr>
          </w:p>
          <w:p w14:paraId="5EFF37AF" w14:textId="77777777" w:rsidR="0006532B" w:rsidRPr="00097CFE" w:rsidRDefault="0006532B" w:rsidP="00A956E8">
            <w:pPr>
              <w:pStyle w:val="Text2"/>
              <w:spacing w:after="0"/>
              <w:ind w:left="0"/>
              <w:jc w:val="center"/>
              <w:rPr>
                <w:b/>
                <w:bCs/>
              </w:rPr>
            </w:pPr>
          </w:p>
          <w:p w14:paraId="00081F47" w14:textId="77777777" w:rsidR="0006532B" w:rsidRDefault="0006532B" w:rsidP="00F10FB5">
            <w:pPr>
              <w:pStyle w:val="Text2"/>
              <w:spacing w:after="0"/>
              <w:ind w:left="0"/>
              <w:jc w:val="center"/>
              <w:rPr>
                <w:b/>
                <w:bCs/>
              </w:rPr>
            </w:pPr>
            <w:r w:rsidRPr="00097CFE">
              <w:rPr>
                <w:b/>
                <w:bCs/>
              </w:rPr>
              <w:t xml:space="preserve">Междинно звено </w:t>
            </w:r>
            <w:r w:rsidR="00F10FB5">
              <w:rPr>
                <w:b/>
                <w:bCs/>
              </w:rPr>
              <w:t xml:space="preserve">на ПМДР </w:t>
            </w:r>
          </w:p>
          <w:p w14:paraId="52A48D15" w14:textId="77777777" w:rsidR="00740DE3" w:rsidRPr="00097CFE" w:rsidRDefault="00740DE3" w:rsidP="00F10FB5">
            <w:pPr>
              <w:pStyle w:val="Text2"/>
              <w:spacing w:after="0"/>
              <w:ind w:left="0"/>
              <w:jc w:val="center"/>
              <w:rPr>
                <w:b/>
                <w:bCs/>
              </w:rPr>
            </w:pPr>
            <w:r>
              <w:rPr>
                <w:b/>
                <w:bCs/>
              </w:rPr>
              <w:t>(МЗ)</w:t>
            </w:r>
          </w:p>
        </w:tc>
        <w:tc>
          <w:tcPr>
            <w:tcW w:w="3464" w:type="pct"/>
            <w:vAlign w:val="center"/>
          </w:tcPr>
          <w:p w14:paraId="0DC53181" w14:textId="77777777" w:rsidR="0006532B" w:rsidRPr="00097CFE" w:rsidRDefault="0006532B" w:rsidP="00DB16BF">
            <w:pPr>
              <w:pStyle w:val="Text2"/>
              <w:spacing w:after="0"/>
              <w:ind w:left="0"/>
              <w:rPr>
                <w:highlight w:val="yellow"/>
              </w:rPr>
            </w:pPr>
          </w:p>
          <w:p w14:paraId="6108DEEE" w14:textId="77777777" w:rsidR="0006532B" w:rsidRPr="00097CFE" w:rsidRDefault="0006532B" w:rsidP="006D4055">
            <w:pPr>
              <w:pStyle w:val="Text2"/>
              <w:spacing w:after="0"/>
              <w:ind w:left="0"/>
              <w:jc w:val="center"/>
              <w:rPr>
                <w:lang w:val="ru-RU"/>
              </w:rPr>
            </w:pPr>
            <w:r w:rsidRPr="00097CFE">
              <w:t>Дирекция „Рибарство и аквакултури”, Държавен фонд „Земеделие“ – РА</w:t>
            </w:r>
          </w:p>
          <w:p w14:paraId="2C5D2BBA" w14:textId="77777777" w:rsidR="0006532B" w:rsidRPr="00097CFE" w:rsidRDefault="0006532B" w:rsidP="0069625D">
            <w:pPr>
              <w:pStyle w:val="Text2"/>
              <w:spacing w:after="0"/>
              <w:ind w:left="0"/>
              <w:jc w:val="center"/>
              <w:rPr>
                <w:lang w:val="ru-RU"/>
              </w:rPr>
            </w:pPr>
          </w:p>
        </w:tc>
      </w:tr>
      <w:tr w:rsidR="00097CFE" w:rsidRPr="00097CFE" w14:paraId="2BD5FCC7" w14:textId="77777777">
        <w:tc>
          <w:tcPr>
            <w:tcW w:w="1536" w:type="pct"/>
            <w:vAlign w:val="center"/>
          </w:tcPr>
          <w:p w14:paraId="32E27841" w14:textId="77777777" w:rsidR="0006532B" w:rsidRPr="00097CFE" w:rsidRDefault="0006532B" w:rsidP="0069625D">
            <w:pPr>
              <w:pStyle w:val="Text2"/>
              <w:spacing w:after="0"/>
              <w:ind w:left="0"/>
              <w:jc w:val="center"/>
              <w:rPr>
                <w:b/>
                <w:bCs/>
              </w:rPr>
            </w:pPr>
            <w:r w:rsidRPr="00097CFE">
              <w:rPr>
                <w:b/>
                <w:bCs/>
              </w:rPr>
              <w:t xml:space="preserve">Сертифициращ орган (СО) </w:t>
            </w:r>
          </w:p>
        </w:tc>
        <w:tc>
          <w:tcPr>
            <w:tcW w:w="3464" w:type="pct"/>
            <w:vAlign w:val="center"/>
          </w:tcPr>
          <w:p w14:paraId="352C2AF5" w14:textId="77777777" w:rsidR="0006532B" w:rsidRPr="00097CFE" w:rsidRDefault="0006532B" w:rsidP="0069625D">
            <w:pPr>
              <w:pStyle w:val="Text2"/>
              <w:spacing w:after="0"/>
              <w:ind w:left="0"/>
              <w:jc w:val="center"/>
              <w:rPr>
                <w:i/>
                <w:iCs/>
              </w:rPr>
            </w:pPr>
          </w:p>
          <w:p w14:paraId="7A78CE92" w14:textId="77777777" w:rsidR="0006532B" w:rsidRPr="00097CFE" w:rsidRDefault="0006532B" w:rsidP="0069625D">
            <w:pPr>
              <w:pStyle w:val="Text2"/>
              <w:spacing w:after="0"/>
              <w:ind w:left="0"/>
              <w:jc w:val="center"/>
              <w:rPr>
                <w:lang w:val="ru-RU"/>
              </w:rPr>
            </w:pPr>
            <w:r w:rsidRPr="00375DFD">
              <w:rPr>
                <w:iCs/>
              </w:rPr>
              <w:t xml:space="preserve">Звено </w:t>
            </w:r>
            <w:r w:rsidRPr="00375DFD">
              <w:t>„</w:t>
            </w:r>
            <w:r w:rsidRPr="00375DFD">
              <w:rPr>
                <w:iCs/>
              </w:rPr>
              <w:t>Сертификация на разходите по ОПРСР”</w:t>
            </w:r>
            <w:r w:rsidRPr="00097CFE">
              <w:t xml:space="preserve"> в Държавен Фонд „Земеделие“</w:t>
            </w:r>
          </w:p>
          <w:p w14:paraId="0799A184" w14:textId="77777777" w:rsidR="0006532B" w:rsidRPr="00097CFE" w:rsidRDefault="0006532B" w:rsidP="0069625D">
            <w:pPr>
              <w:pStyle w:val="Text2"/>
              <w:spacing w:after="0"/>
              <w:ind w:left="0"/>
              <w:jc w:val="center"/>
              <w:rPr>
                <w:lang w:val="ru-RU"/>
              </w:rPr>
            </w:pPr>
          </w:p>
        </w:tc>
      </w:tr>
      <w:tr w:rsidR="00F10FB5" w:rsidRPr="00097CFE" w14:paraId="44D2E36A" w14:textId="77777777">
        <w:tc>
          <w:tcPr>
            <w:tcW w:w="1536" w:type="pct"/>
            <w:vAlign w:val="center"/>
          </w:tcPr>
          <w:p w14:paraId="4B4F1E22" w14:textId="77777777" w:rsidR="00F10FB5" w:rsidRDefault="00F10FB5" w:rsidP="0069625D">
            <w:pPr>
              <w:pStyle w:val="Text2"/>
              <w:spacing w:after="0"/>
              <w:ind w:left="0"/>
              <w:jc w:val="center"/>
              <w:rPr>
                <w:b/>
                <w:bCs/>
              </w:rPr>
            </w:pPr>
            <w:r>
              <w:rPr>
                <w:b/>
                <w:bCs/>
              </w:rPr>
              <w:t xml:space="preserve">Одитен орган </w:t>
            </w:r>
          </w:p>
          <w:p w14:paraId="3543CEE7" w14:textId="77777777" w:rsidR="00F10FB5" w:rsidRPr="00097CFE" w:rsidRDefault="00F10FB5" w:rsidP="0069625D">
            <w:pPr>
              <w:pStyle w:val="Text2"/>
              <w:spacing w:after="0"/>
              <w:ind w:left="0"/>
              <w:jc w:val="center"/>
              <w:rPr>
                <w:b/>
                <w:bCs/>
              </w:rPr>
            </w:pPr>
            <w:r>
              <w:rPr>
                <w:b/>
                <w:bCs/>
              </w:rPr>
              <w:t>(ОО)</w:t>
            </w:r>
          </w:p>
        </w:tc>
        <w:tc>
          <w:tcPr>
            <w:tcW w:w="3464" w:type="pct"/>
            <w:vAlign w:val="center"/>
          </w:tcPr>
          <w:p w14:paraId="05653183" w14:textId="77777777" w:rsidR="00F10FB5" w:rsidRPr="00763E3F" w:rsidRDefault="00F10FB5" w:rsidP="00763E3F">
            <w:pPr>
              <w:pStyle w:val="Text2"/>
              <w:tabs>
                <w:tab w:val="clear" w:pos="2302"/>
                <w:tab w:val="left" w:pos="0"/>
              </w:tabs>
              <w:spacing w:after="0"/>
              <w:ind w:left="0"/>
            </w:pPr>
            <w:r w:rsidRPr="00763E3F">
              <w:t xml:space="preserve">Изпълнителна агенция „Сертификационен одит на средствата от европейските земеделски фондове“ </w:t>
            </w:r>
          </w:p>
          <w:p w14:paraId="16292DE8" w14:textId="77777777" w:rsidR="00F10FB5" w:rsidRPr="00097CFE" w:rsidRDefault="00F10FB5" w:rsidP="0069625D">
            <w:pPr>
              <w:pStyle w:val="Text2"/>
              <w:spacing w:after="0"/>
              <w:ind w:left="0"/>
              <w:jc w:val="center"/>
              <w:rPr>
                <w:i/>
                <w:iCs/>
              </w:rPr>
            </w:pPr>
          </w:p>
        </w:tc>
      </w:tr>
      <w:tr w:rsidR="00202BBB" w:rsidRPr="00097CFE" w14:paraId="3E2045F6" w14:textId="77777777">
        <w:tc>
          <w:tcPr>
            <w:tcW w:w="1536" w:type="pct"/>
            <w:vAlign w:val="center"/>
          </w:tcPr>
          <w:p w14:paraId="696B33F2" w14:textId="77777777" w:rsidR="00202BBB" w:rsidRDefault="00202BBB" w:rsidP="0069625D">
            <w:pPr>
              <w:pStyle w:val="Text2"/>
              <w:spacing w:after="0"/>
              <w:ind w:left="0"/>
              <w:jc w:val="center"/>
              <w:rPr>
                <w:b/>
                <w:bCs/>
              </w:rPr>
            </w:pPr>
            <w:r>
              <w:rPr>
                <w:b/>
                <w:bCs/>
              </w:rPr>
              <w:t xml:space="preserve">Вътрешен одит </w:t>
            </w:r>
          </w:p>
          <w:p w14:paraId="50B4ADF8" w14:textId="77777777" w:rsidR="00202BBB" w:rsidRDefault="00202BBB" w:rsidP="0069625D">
            <w:pPr>
              <w:pStyle w:val="Text2"/>
              <w:spacing w:after="0"/>
              <w:ind w:left="0"/>
              <w:jc w:val="center"/>
              <w:rPr>
                <w:b/>
                <w:bCs/>
              </w:rPr>
            </w:pPr>
            <w:r>
              <w:rPr>
                <w:b/>
                <w:bCs/>
              </w:rPr>
              <w:t>(ВО)</w:t>
            </w:r>
          </w:p>
        </w:tc>
        <w:tc>
          <w:tcPr>
            <w:tcW w:w="3464" w:type="pct"/>
            <w:vAlign w:val="center"/>
          </w:tcPr>
          <w:p w14:paraId="3E82E1E1" w14:textId="77777777" w:rsidR="00202BBB" w:rsidRPr="00763E3F" w:rsidRDefault="00246034" w:rsidP="00F66C37">
            <w:pPr>
              <w:pStyle w:val="Text2"/>
              <w:tabs>
                <w:tab w:val="clear" w:pos="2302"/>
                <w:tab w:val="left" w:pos="0"/>
              </w:tabs>
              <w:spacing w:after="0"/>
              <w:ind w:left="0"/>
              <w:jc w:val="center"/>
            </w:pPr>
            <w:r w:rsidRPr="00246034">
              <w:t xml:space="preserve">Дирекция </w:t>
            </w:r>
            <w:r w:rsidR="00202BBB" w:rsidRPr="00202BBB">
              <w:t>„Вътрешен одит“ към Министерство на земеделието, храните и горите</w:t>
            </w:r>
          </w:p>
        </w:tc>
      </w:tr>
    </w:tbl>
    <w:p w14:paraId="7728C44F" w14:textId="77777777" w:rsidR="0006532B" w:rsidRPr="00097CFE" w:rsidRDefault="0006532B" w:rsidP="003E11B4">
      <w:pPr>
        <w:spacing w:before="45" w:after="0" w:line="270" w:lineRule="atLeast"/>
        <w:jc w:val="both"/>
        <w:rPr>
          <w:rFonts w:ascii="Times New Roman" w:hAnsi="Times New Roman" w:cs="Times New Roman"/>
          <w:sz w:val="24"/>
          <w:szCs w:val="24"/>
          <w:lang w:eastAsia="bg-BG"/>
        </w:rPr>
      </w:pPr>
    </w:p>
    <w:p w14:paraId="71FFF1A6" w14:textId="77777777" w:rsidR="0006532B" w:rsidRPr="00097CFE" w:rsidRDefault="0006532B" w:rsidP="003E11B4">
      <w:pPr>
        <w:jc w:val="both"/>
        <w:rPr>
          <w:rFonts w:ascii="Times New Roman" w:hAnsi="Times New Roman" w:cs="Times New Roman"/>
          <w:sz w:val="24"/>
          <w:szCs w:val="24"/>
        </w:rPr>
      </w:pPr>
      <w:r w:rsidRPr="00097CFE">
        <w:rPr>
          <w:rFonts w:ascii="Times New Roman" w:hAnsi="Times New Roman" w:cs="Times New Roman"/>
          <w:sz w:val="24"/>
          <w:szCs w:val="24"/>
          <w:lang w:eastAsia="bg-BG"/>
        </w:rPr>
        <w:t>Всеки от бенефициентите подава за одобрение финансов план за бюджетна линия по настоящата процедура</w:t>
      </w:r>
      <w:r w:rsidRPr="00097CFE">
        <w:rPr>
          <w:rFonts w:ascii="Times New Roman" w:hAnsi="Times New Roman" w:cs="Times New Roman"/>
          <w:b/>
          <w:bCs/>
          <w:sz w:val="24"/>
          <w:szCs w:val="24"/>
          <w:lang w:eastAsia="bg-BG"/>
        </w:rPr>
        <w:t>.</w:t>
      </w:r>
      <w:r w:rsidRPr="00097CFE">
        <w:t xml:space="preserve"> </w:t>
      </w:r>
      <w:r w:rsidRPr="00097CFE">
        <w:rPr>
          <w:rFonts w:ascii="Times New Roman" w:hAnsi="Times New Roman" w:cs="Times New Roman"/>
          <w:sz w:val="24"/>
          <w:szCs w:val="24"/>
        </w:rPr>
        <w:t xml:space="preserve">Той следва да разполага с необходимия административен, финансов и оперативен капацитет, който да гарантира изпълнение на финансовия план по отношение на резултати/продукти/услуги, план за финансиране и краен срок за изпълнение. Административният и оперативен капацитет на кандидатите се доказва чрез изискването да се осигури екип за управление на проектите по „Техническа помощ”, като всеки от членовете на екипа, следва да е с минимум 1 година опит в </w:t>
      </w:r>
      <w:r w:rsidRPr="00097CFE">
        <w:rPr>
          <w:rFonts w:ascii="Times New Roman" w:hAnsi="Times New Roman" w:cs="Times New Roman"/>
          <w:sz w:val="24"/>
          <w:szCs w:val="24"/>
        </w:rPr>
        <w:lastRenderedPageBreak/>
        <w:t>подготовката, управлението</w:t>
      </w:r>
      <w:r w:rsidR="00A64B92">
        <w:rPr>
          <w:rFonts w:ascii="Times New Roman" w:hAnsi="Times New Roman" w:cs="Times New Roman"/>
          <w:sz w:val="24"/>
          <w:szCs w:val="24"/>
        </w:rPr>
        <w:t>,</w:t>
      </w:r>
      <w:r w:rsidRPr="00097CFE">
        <w:rPr>
          <w:rFonts w:ascii="Times New Roman" w:hAnsi="Times New Roman" w:cs="Times New Roman"/>
          <w:sz w:val="24"/>
          <w:szCs w:val="24"/>
        </w:rPr>
        <w:t xml:space="preserve"> изпълнението</w:t>
      </w:r>
      <w:r w:rsidR="00A64B92">
        <w:rPr>
          <w:rFonts w:ascii="Times New Roman" w:hAnsi="Times New Roman" w:cs="Times New Roman"/>
          <w:sz w:val="24"/>
          <w:szCs w:val="24"/>
        </w:rPr>
        <w:t xml:space="preserve"> и или контролирането</w:t>
      </w:r>
      <w:r w:rsidRPr="00097CFE">
        <w:rPr>
          <w:rFonts w:ascii="Times New Roman" w:hAnsi="Times New Roman" w:cs="Times New Roman"/>
          <w:sz w:val="24"/>
          <w:szCs w:val="24"/>
        </w:rPr>
        <w:t xml:space="preserve"> на проекти, съфинансирани от ЕС. </w:t>
      </w:r>
    </w:p>
    <w:p w14:paraId="02E65D54" w14:textId="77777777" w:rsidR="0006532B" w:rsidRPr="00097CFE" w:rsidRDefault="0006532B" w:rsidP="0096757D">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rPr>
          <w:rFonts w:ascii="Times New Roman Bold" w:hAnsi="Times New Roman Bold" w:cs="Times New Roman Bold"/>
          <w:b/>
          <w:bCs/>
          <w:caps/>
          <w:sz w:val="24"/>
          <w:szCs w:val="24"/>
        </w:rPr>
      </w:pPr>
      <w:r w:rsidRPr="00097CFE">
        <w:rPr>
          <w:rFonts w:ascii="Times New Roman Bold" w:hAnsi="Times New Roman Bold" w:cs="Times New Roman Bold"/>
          <w:b/>
          <w:bCs/>
          <w:caps/>
          <w:sz w:val="24"/>
          <w:szCs w:val="24"/>
        </w:rPr>
        <w:t>ДОПУСТИМИ</w:t>
      </w:r>
      <w:r w:rsidRPr="00097CFE">
        <w:rPr>
          <w:b/>
          <w:bCs/>
          <w:caps/>
          <w:sz w:val="24"/>
          <w:szCs w:val="24"/>
        </w:rPr>
        <w:t xml:space="preserve"> </w:t>
      </w:r>
      <w:r w:rsidRPr="00097CFE">
        <w:rPr>
          <w:rFonts w:ascii="Times New Roman Bold" w:hAnsi="Times New Roman Bold" w:cs="Times New Roman Bold"/>
          <w:b/>
          <w:bCs/>
          <w:caps/>
          <w:sz w:val="24"/>
          <w:szCs w:val="24"/>
        </w:rPr>
        <w:t>Дейности</w:t>
      </w:r>
      <w:r w:rsidRPr="00097CFE">
        <w:rPr>
          <w:b/>
          <w:bCs/>
          <w:caps/>
          <w:sz w:val="24"/>
          <w:szCs w:val="24"/>
        </w:rPr>
        <w:t>:</w:t>
      </w:r>
    </w:p>
    <w:p w14:paraId="5A9701E8" w14:textId="77777777" w:rsidR="0006532B" w:rsidRPr="001F50BF" w:rsidRDefault="00C40D99" w:rsidP="003E11B4">
      <w:pPr>
        <w:spacing w:before="240" w:after="0" w:line="270" w:lineRule="atLeast"/>
        <w:jc w:val="both"/>
        <w:rPr>
          <w:rFonts w:ascii="Times New Roman" w:hAnsi="Times New Roman" w:cs="Times New Roman"/>
          <w:b/>
          <w:bCs/>
          <w:sz w:val="24"/>
          <w:szCs w:val="24"/>
          <w:lang w:eastAsia="bg-BG"/>
        </w:rPr>
      </w:pPr>
      <w:r w:rsidRPr="001F50BF">
        <w:rPr>
          <w:rFonts w:ascii="Times New Roman" w:hAnsi="Times New Roman" w:cs="Times New Roman"/>
          <w:b/>
          <w:bCs/>
          <w:sz w:val="24"/>
          <w:szCs w:val="24"/>
          <w:lang w:eastAsia="bg-BG"/>
        </w:rPr>
        <w:t xml:space="preserve">8.1. </w:t>
      </w:r>
      <w:r w:rsidR="0006532B" w:rsidRPr="001F50BF">
        <w:rPr>
          <w:rFonts w:ascii="Times New Roman" w:hAnsi="Times New Roman" w:cs="Times New Roman"/>
          <w:b/>
          <w:bCs/>
          <w:sz w:val="24"/>
          <w:szCs w:val="24"/>
          <w:lang w:eastAsia="bg-BG"/>
        </w:rPr>
        <w:t>Дейности, свързани с програмиране, управление, изпълнение, наблюдение, контрол и оценка на ПМДР:</w:t>
      </w:r>
    </w:p>
    <w:p w14:paraId="6E31096E" w14:textId="77777777" w:rsidR="0006532B" w:rsidRPr="001F50BF" w:rsidRDefault="0006532B" w:rsidP="003E11B4">
      <w:pPr>
        <w:pStyle w:val="ListParagraph"/>
        <w:numPr>
          <w:ilvl w:val="0"/>
          <w:numId w:val="11"/>
        </w:numPr>
        <w:spacing w:before="60" w:after="0" w:line="285" w:lineRule="atLeast"/>
        <w:jc w:val="both"/>
        <w:rPr>
          <w:rFonts w:ascii="Times New Roman" w:hAnsi="Times New Roman" w:cs="Times New Roman"/>
          <w:sz w:val="24"/>
          <w:szCs w:val="24"/>
        </w:rPr>
      </w:pPr>
      <w:r w:rsidRPr="001F50BF">
        <w:rPr>
          <w:rFonts w:ascii="Times New Roman" w:hAnsi="Times New Roman" w:cs="Times New Roman"/>
          <w:sz w:val="24"/>
          <w:szCs w:val="24"/>
        </w:rPr>
        <w:t>Закупуване, доставка и поддръжка на офис оборудване, включително разходи за гаранционна и извънгаранционна поддръжка на оборудване и обзавеждане;</w:t>
      </w:r>
    </w:p>
    <w:p w14:paraId="6A43C43C" w14:textId="77777777" w:rsidR="0006532B" w:rsidRPr="00097CFE" w:rsidRDefault="00C40D99" w:rsidP="00D75EEA">
      <w:pPr>
        <w:spacing w:before="360" w:after="0" w:line="270" w:lineRule="atLeast"/>
        <w:jc w:val="both"/>
        <w:rPr>
          <w:rFonts w:ascii="Times New Roman" w:hAnsi="Times New Roman" w:cs="Times New Roman"/>
          <w:b/>
          <w:bCs/>
          <w:sz w:val="24"/>
          <w:szCs w:val="24"/>
          <w:lang w:eastAsia="bg-BG"/>
        </w:rPr>
      </w:pPr>
      <w:r>
        <w:rPr>
          <w:rFonts w:ascii="Times New Roman" w:hAnsi="Times New Roman" w:cs="Times New Roman"/>
          <w:b/>
          <w:bCs/>
          <w:sz w:val="24"/>
          <w:szCs w:val="24"/>
          <w:lang w:eastAsia="bg-BG"/>
        </w:rPr>
        <w:t>8.</w:t>
      </w:r>
      <w:r w:rsidR="006E4701">
        <w:rPr>
          <w:rFonts w:ascii="Times New Roman" w:hAnsi="Times New Roman" w:cs="Times New Roman"/>
          <w:b/>
          <w:bCs/>
          <w:sz w:val="24"/>
          <w:szCs w:val="24"/>
          <w:lang w:eastAsia="bg-BG"/>
        </w:rPr>
        <w:t>2</w:t>
      </w:r>
      <w:r>
        <w:rPr>
          <w:rFonts w:ascii="Times New Roman" w:hAnsi="Times New Roman" w:cs="Times New Roman"/>
          <w:b/>
          <w:bCs/>
          <w:sz w:val="24"/>
          <w:szCs w:val="24"/>
          <w:lang w:eastAsia="bg-BG"/>
        </w:rPr>
        <w:t xml:space="preserve">. </w:t>
      </w:r>
      <w:r w:rsidR="0006532B" w:rsidRPr="00097CFE">
        <w:rPr>
          <w:rFonts w:ascii="Times New Roman" w:hAnsi="Times New Roman" w:cs="Times New Roman"/>
          <w:b/>
          <w:bCs/>
          <w:sz w:val="24"/>
          <w:szCs w:val="24"/>
          <w:lang w:eastAsia="bg-BG"/>
        </w:rPr>
        <w:t xml:space="preserve">Дейности за укрепване на административния капацитет на органите, ангажирани с прилагането </w:t>
      </w:r>
      <w:r w:rsidR="00F10FB5">
        <w:rPr>
          <w:rFonts w:ascii="Times New Roman" w:hAnsi="Times New Roman" w:cs="Times New Roman"/>
          <w:b/>
          <w:bCs/>
          <w:sz w:val="24"/>
          <w:szCs w:val="24"/>
          <w:lang w:eastAsia="bg-BG"/>
        </w:rPr>
        <w:t xml:space="preserve"> </w:t>
      </w:r>
      <w:r w:rsidR="00F10FB5" w:rsidRPr="00D44902">
        <w:rPr>
          <w:rFonts w:ascii="Times New Roman" w:hAnsi="Times New Roman" w:cs="Times New Roman"/>
          <w:b/>
          <w:bCs/>
          <w:sz w:val="24"/>
          <w:szCs w:val="24"/>
          <w:lang w:eastAsia="bg-BG"/>
        </w:rPr>
        <w:t xml:space="preserve">и извършването на одитна дейност по </w:t>
      </w:r>
      <w:r w:rsidR="00740DE3">
        <w:rPr>
          <w:rFonts w:ascii="Times New Roman" w:hAnsi="Times New Roman" w:cs="Times New Roman"/>
          <w:b/>
          <w:bCs/>
          <w:sz w:val="24"/>
          <w:szCs w:val="24"/>
          <w:lang w:eastAsia="bg-BG"/>
        </w:rPr>
        <w:t>ПМДР:</w:t>
      </w:r>
    </w:p>
    <w:p w14:paraId="44CC14A1" w14:textId="77777777" w:rsidR="0006532B" w:rsidRPr="00097CFE" w:rsidRDefault="0006532B" w:rsidP="003E11B4">
      <w:pPr>
        <w:pStyle w:val="ListParagraph"/>
        <w:numPr>
          <w:ilvl w:val="0"/>
          <w:numId w:val="13"/>
        </w:numPr>
        <w:spacing w:before="22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Обезпечаване на заплати, допълнителни възнаграждения и задължителни осигурителни вноски от работодателя;</w:t>
      </w:r>
    </w:p>
    <w:p w14:paraId="64402E5E" w14:textId="77777777" w:rsidR="0006532B" w:rsidRPr="00097CFE" w:rsidRDefault="0006532B" w:rsidP="003E11B4">
      <w:pPr>
        <w:pStyle w:val="ListParagraph"/>
        <w:numPr>
          <w:ilvl w:val="0"/>
          <w:numId w:val="13"/>
        </w:numPr>
        <w:spacing w:before="7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 xml:space="preserve">Организиране, провеждане и участие (включително командировъчни и такси) в обучения на служителите от органите, ангажирани с прилагането на ПМДР  (работни срещи, семинари, обмен на добри практики и опит и др.) с оглед ефективното и ефикасно </w:t>
      </w:r>
      <w:r w:rsidR="00740DE3">
        <w:rPr>
          <w:rFonts w:ascii="Times New Roman" w:hAnsi="Times New Roman" w:cs="Times New Roman"/>
          <w:sz w:val="24"/>
          <w:szCs w:val="24"/>
        </w:rPr>
        <w:t>управление и изпълнение на ПМДР</w:t>
      </w:r>
      <w:r w:rsidRPr="00097CFE">
        <w:rPr>
          <w:rFonts w:ascii="Times New Roman" w:hAnsi="Times New Roman" w:cs="Times New Roman"/>
          <w:sz w:val="24"/>
          <w:szCs w:val="24"/>
        </w:rPr>
        <w:t>.</w:t>
      </w:r>
    </w:p>
    <w:p w14:paraId="0D3FA9BD" w14:textId="77777777" w:rsidR="00F257DE" w:rsidRPr="00097CFE" w:rsidRDefault="00F257DE" w:rsidP="000E11E0">
      <w:pPr>
        <w:pStyle w:val="ListParagraph"/>
        <w:spacing w:before="75" w:after="0" w:line="270" w:lineRule="atLeast"/>
        <w:jc w:val="both"/>
        <w:rPr>
          <w:rFonts w:ascii="Times New Roman" w:hAnsi="Times New Roman" w:cs="Times New Roman"/>
          <w:sz w:val="24"/>
          <w:szCs w:val="24"/>
        </w:rPr>
      </w:pPr>
    </w:p>
    <w:p w14:paraId="5E5F661D" w14:textId="77777777" w:rsidR="00E22898" w:rsidRPr="00E22898" w:rsidRDefault="00E22898" w:rsidP="002A3D66">
      <w:pPr>
        <w:pStyle w:val="ListParagraph"/>
        <w:spacing w:before="210" w:after="0" w:line="270" w:lineRule="atLeast"/>
        <w:ind w:left="644"/>
        <w:jc w:val="both"/>
        <w:rPr>
          <w:rFonts w:ascii="Times New Roman" w:hAnsi="Times New Roman" w:cs="Times New Roman"/>
          <w:sz w:val="24"/>
          <w:szCs w:val="24"/>
        </w:rPr>
      </w:pPr>
    </w:p>
    <w:p w14:paraId="0CDD580E" w14:textId="77777777" w:rsidR="0006532B" w:rsidRPr="00097CFE" w:rsidRDefault="0006532B" w:rsidP="003579F1">
      <w:pPr>
        <w:spacing w:after="0"/>
        <w:jc w:val="both"/>
        <w:rPr>
          <w:rFonts w:ascii="Times New Roman" w:hAnsi="Times New Roman" w:cs="Times New Roman"/>
          <w:sz w:val="24"/>
          <w:szCs w:val="24"/>
        </w:rPr>
      </w:pPr>
      <w:r w:rsidRPr="00097CFE">
        <w:rPr>
          <w:rFonts w:ascii="Times New Roman" w:hAnsi="Times New Roman" w:cs="Times New Roman"/>
          <w:b/>
          <w:bCs/>
          <w:i/>
          <w:iCs/>
          <w:sz w:val="24"/>
          <w:szCs w:val="24"/>
          <w:u w:val="single"/>
          <w:lang w:eastAsia="bg-BG"/>
        </w:rPr>
        <w:t>ВАЖНО!!!</w:t>
      </w:r>
    </w:p>
    <w:p w14:paraId="2287CBAF" w14:textId="77777777" w:rsidR="0006532B" w:rsidRPr="00097CFE" w:rsidRDefault="0006532B" w:rsidP="003E11B4">
      <w:pPr>
        <w:spacing w:after="0" w:line="270" w:lineRule="atLeast"/>
        <w:ind w:left="284" w:hanging="284"/>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1. Кандидатът по своя преценка включва във финансовия план за бюджетната линия дейност/и в зависимост от индивидуалните си нужди и потребности, като представя обосновка за всяка избрана дейност.</w:t>
      </w:r>
    </w:p>
    <w:p w14:paraId="4E9DADB3" w14:textId="77777777" w:rsidR="0006532B" w:rsidRPr="00097CFE" w:rsidRDefault="0006532B" w:rsidP="003E11B4">
      <w:pPr>
        <w:spacing w:after="0" w:line="270" w:lineRule="atLeast"/>
        <w:ind w:left="284" w:hanging="284"/>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2. Финансовият план се попълва с общата сума на планираните разходи по всяка една дейност в колона „Планирани стойности по години (общо)“</w:t>
      </w:r>
      <w:r w:rsidR="00F844C9">
        <w:rPr>
          <w:rFonts w:ascii="Times New Roman" w:hAnsi="Times New Roman" w:cs="Times New Roman"/>
          <w:b/>
          <w:bCs/>
          <w:sz w:val="24"/>
          <w:szCs w:val="24"/>
          <w:lang w:eastAsia="bg-BG"/>
        </w:rPr>
        <w:t>.</w:t>
      </w:r>
    </w:p>
    <w:p w14:paraId="121D7D8D" w14:textId="77777777" w:rsidR="0006532B" w:rsidRPr="00097CFE" w:rsidRDefault="0006532B" w:rsidP="003E11B4">
      <w:pPr>
        <w:spacing w:after="0" w:line="270" w:lineRule="atLeast"/>
        <w:ind w:left="284" w:hanging="284"/>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 xml:space="preserve">3. Дейностите за участие в програми за обмен на опит и добри практики по същество представляват участия в обучения, семинари, работни групи и др. Темите следва да бъдат свързани с функциите на отделните бенефициенти и необходимостта от участие в съответното обучение. Темите следва да са конкретно </w:t>
      </w:r>
      <w:r w:rsidR="00740DE3">
        <w:rPr>
          <w:rFonts w:ascii="Times New Roman" w:hAnsi="Times New Roman" w:cs="Times New Roman"/>
          <w:b/>
          <w:bCs/>
          <w:sz w:val="24"/>
          <w:szCs w:val="24"/>
          <w:lang w:eastAsia="bg-BG"/>
        </w:rPr>
        <w:t>свързани с изпълнението на ПМДР</w:t>
      </w:r>
      <w:r w:rsidRPr="00097CFE">
        <w:rPr>
          <w:rFonts w:ascii="Times New Roman" w:hAnsi="Times New Roman" w:cs="Times New Roman"/>
          <w:b/>
          <w:bCs/>
          <w:sz w:val="24"/>
          <w:szCs w:val="24"/>
          <w:lang w:eastAsia="bg-BG"/>
        </w:rPr>
        <w:t xml:space="preserve"> и да не дублират общи обучения, провеждани по линия на други програми/проекти.</w:t>
      </w:r>
    </w:p>
    <w:p w14:paraId="106655AE" w14:textId="77777777" w:rsidR="0006532B" w:rsidRPr="00097CFE" w:rsidRDefault="0006532B" w:rsidP="003E11B4">
      <w:pPr>
        <w:spacing w:after="0" w:line="270" w:lineRule="atLeast"/>
        <w:ind w:left="284" w:hanging="284"/>
        <w:jc w:val="both"/>
        <w:rPr>
          <w:rFonts w:ascii="Times New Roman" w:hAnsi="Times New Roman" w:cs="Times New Roman"/>
          <w:b/>
          <w:bCs/>
          <w:sz w:val="24"/>
          <w:szCs w:val="24"/>
          <w:lang w:eastAsia="bg-BG"/>
        </w:rPr>
      </w:pPr>
    </w:p>
    <w:p w14:paraId="40F1A451" w14:textId="77777777" w:rsidR="0006532B" w:rsidRPr="00097CFE" w:rsidRDefault="0006532B" w:rsidP="00870B9A">
      <w:pPr>
        <w:pStyle w:val="ListParagraph"/>
        <w:numPr>
          <w:ilvl w:val="0"/>
          <w:numId w:val="1"/>
        </w:numPr>
        <w:pBdr>
          <w:top w:val="single" w:sz="4" w:space="3" w:color="auto"/>
          <w:left w:val="single" w:sz="4" w:space="4" w:color="auto"/>
          <w:bottom w:val="single" w:sz="4" w:space="1" w:color="auto"/>
          <w:right w:val="single" w:sz="4" w:space="4" w:color="auto"/>
        </w:pBdr>
        <w:shd w:val="clear" w:color="auto" w:fill="95B3D7"/>
        <w:rPr>
          <w:rFonts w:ascii="Times New Roman Bold" w:hAnsi="Times New Roman Bold" w:cs="Times New Roman Bold"/>
          <w:b/>
          <w:bCs/>
          <w:caps/>
          <w:sz w:val="24"/>
          <w:szCs w:val="24"/>
        </w:rPr>
      </w:pPr>
      <w:r w:rsidRPr="00097CFE">
        <w:rPr>
          <w:b/>
          <w:bCs/>
          <w:caps/>
          <w:sz w:val="24"/>
          <w:szCs w:val="24"/>
        </w:rPr>
        <w:t xml:space="preserve"> </w:t>
      </w:r>
      <w:r w:rsidRPr="00097CFE">
        <w:rPr>
          <w:rFonts w:ascii="Times New Roman Bold" w:hAnsi="Times New Roman Bold" w:cs="Times New Roman Bold"/>
          <w:b/>
          <w:bCs/>
          <w:caps/>
          <w:sz w:val="24"/>
          <w:szCs w:val="24"/>
        </w:rPr>
        <w:t xml:space="preserve">Недопустими дейности </w:t>
      </w:r>
    </w:p>
    <w:p w14:paraId="1139826F" w14:textId="77777777" w:rsidR="0006532B" w:rsidRPr="00097CFE" w:rsidRDefault="0006532B" w:rsidP="00D67EE8">
      <w:pPr>
        <w:spacing w:before="225" w:after="0" w:line="255"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rPr>
        <w:t xml:space="preserve">Не са допустими за финансиране дейности, които са били физически завършени или изцяло осъществени преди подаването на формуляра за кандидатстване по тази процедура от страна на кандидата, независимо дали всички свързани плащания са извършени от кандидата, или не, с изключение на </w:t>
      </w:r>
      <w:r w:rsidRPr="00097CFE">
        <w:rPr>
          <w:rFonts w:ascii="Times New Roman" w:hAnsi="Times New Roman" w:cs="Times New Roman"/>
          <w:sz w:val="24"/>
          <w:szCs w:val="24"/>
          <w:lang w:eastAsia="bg-BG"/>
        </w:rPr>
        <w:t>заплати</w:t>
      </w:r>
      <w:r w:rsidR="00F5021C">
        <w:rPr>
          <w:rFonts w:ascii="Times New Roman" w:hAnsi="Times New Roman" w:cs="Times New Roman"/>
          <w:sz w:val="24"/>
          <w:szCs w:val="24"/>
          <w:lang w:val="en-US" w:eastAsia="bg-BG"/>
        </w:rPr>
        <w:t xml:space="preserve">, </w:t>
      </w:r>
      <w:r w:rsidR="00F5021C">
        <w:rPr>
          <w:rFonts w:ascii="Times New Roman" w:hAnsi="Times New Roman" w:cs="Times New Roman"/>
          <w:sz w:val="24"/>
          <w:szCs w:val="24"/>
          <w:lang w:eastAsia="bg-BG"/>
        </w:rPr>
        <w:t>допълнителни възнаграждения</w:t>
      </w:r>
      <w:r w:rsidRPr="00097CFE">
        <w:rPr>
          <w:rFonts w:ascii="Times New Roman" w:hAnsi="Times New Roman" w:cs="Times New Roman"/>
          <w:sz w:val="24"/>
          <w:szCs w:val="24"/>
          <w:lang w:eastAsia="bg-BG"/>
        </w:rPr>
        <w:t xml:space="preserve"> и задължителни осигурителни вноски от работодателя.</w:t>
      </w:r>
    </w:p>
    <w:p w14:paraId="664D88FB" w14:textId="77777777" w:rsidR="0006532B" w:rsidRPr="00763E3F" w:rsidRDefault="0006532B" w:rsidP="003E11B4">
      <w:pPr>
        <w:pStyle w:val="ListParagraph"/>
        <w:ind w:left="0"/>
        <w:jc w:val="both"/>
        <w:rPr>
          <w:rFonts w:ascii="Times New Roman" w:hAnsi="Times New Roman" w:cs="Times New Roman"/>
          <w:sz w:val="24"/>
          <w:szCs w:val="24"/>
          <w:lang w:val="en-US"/>
        </w:rPr>
      </w:pPr>
    </w:p>
    <w:p w14:paraId="478CE8EA" w14:textId="77777777" w:rsidR="0006532B" w:rsidRPr="00097CFE" w:rsidRDefault="00060471" w:rsidP="0096757D">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95B3D7"/>
        <w:rPr>
          <w:rFonts w:ascii="Times New Roman" w:hAnsi="Times New Roman" w:cs="Times New Roman"/>
          <w:b/>
          <w:bCs/>
          <w:caps/>
          <w:sz w:val="24"/>
          <w:szCs w:val="24"/>
        </w:rPr>
      </w:pPr>
      <w:r w:rsidRPr="00C21B5B">
        <w:rPr>
          <w:rFonts w:ascii="Times New Roman Bold" w:hAnsi="Times New Roman Bold" w:cs="Times New Roman Bold"/>
          <w:b/>
          <w:bCs/>
          <w:caps/>
          <w:sz w:val="24"/>
          <w:szCs w:val="24"/>
        </w:rPr>
        <w:t xml:space="preserve">1 </w:t>
      </w:r>
      <w:r w:rsidR="0006532B" w:rsidRPr="00097CFE">
        <w:rPr>
          <w:rFonts w:ascii="Times New Roman Bold" w:hAnsi="Times New Roman Bold" w:cs="Times New Roman Bold"/>
          <w:b/>
          <w:bCs/>
          <w:caps/>
          <w:sz w:val="24"/>
          <w:szCs w:val="24"/>
        </w:rPr>
        <w:t xml:space="preserve">допустими </w:t>
      </w:r>
      <w:r w:rsidR="0006532B" w:rsidRPr="00097CFE">
        <w:rPr>
          <w:rFonts w:ascii="Times New Roman" w:hAnsi="Times New Roman" w:cs="Times New Roman"/>
          <w:b/>
          <w:bCs/>
          <w:caps/>
          <w:sz w:val="24"/>
          <w:szCs w:val="24"/>
        </w:rPr>
        <w:t xml:space="preserve">РАЗХОДИ </w:t>
      </w:r>
    </w:p>
    <w:p w14:paraId="03D029C9" w14:textId="77777777" w:rsidR="0006532B" w:rsidRPr="00097CFE" w:rsidRDefault="0006532B" w:rsidP="003E11B4">
      <w:pPr>
        <w:spacing w:before="60" w:after="0" w:line="285"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При предоставяне на безвъзмездната финансова помощ по конкретна бюджетна линия ще бъдат взети под внимание само „допустимите разходи”.</w:t>
      </w:r>
    </w:p>
    <w:p w14:paraId="63DFB027" w14:textId="77777777" w:rsidR="0006532B" w:rsidRDefault="0006532B" w:rsidP="003E11B4">
      <w:pPr>
        <w:spacing w:before="60"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sz w:val="24"/>
          <w:szCs w:val="24"/>
          <w:lang w:eastAsia="bg-BG"/>
        </w:rPr>
        <w:t>Допустимите разходи </w:t>
      </w:r>
      <w:r w:rsidRPr="00097CFE">
        <w:rPr>
          <w:rFonts w:ascii="Times New Roman" w:hAnsi="Times New Roman" w:cs="Times New Roman"/>
          <w:b/>
          <w:bCs/>
          <w:sz w:val="24"/>
          <w:szCs w:val="24"/>
          <w:lang w:eastAsia="bg-BG"/>
        </w:rPr>
        <w:t>не трябва да противоречат</w:t>
      </w:r>
      <w:r w:rsidRPr="00097CFE">
        <w:rPr>
          <w:rFonts w:ascii="Times New Roman" w:hAnsi="Times New Roman" w:cs="Times New Roman"/>
          <w:b/>
          <w:bCs/>
          <w:sz w:val="24"/>
          <w:szCs w:val="24"/>
          <w:lang w:val="ru-RU" w:eastAsia="bg-BG"/>
        </w:rPr>
        <w:t xml:space="preserve"> </w:t>
      </w:r>
      <w:r w:rsidRPr="00097CFE">
        <w:rPr>
          <w:rFonts w:ascii="Times New Roman" w:hAnsi="Times New Roman" w:cs="Times New Roman"/>
          <w:b/>
          <w:bCs/>
          <w:sz w:val="24"/>
          <w:szCs w:val="24"/>
          <w:lang w:eastAsia="bg-BG"/>
        </w:rPr>
        <w:t>на:</w:t>
      </w:r>
    </w:p>
    <w:p w14:paraId="1775A17C" w14:textId="77777777" w:rsidR="00A45C21" w:rsidRPr="00C21B5B" w:rsidRDefault="00A45C21" w:rsidP="00C21B5B">
      <w:pPr>
        <w:pStyle w:val="ListParagraph"/>
        <w:numPr>
          <w:ilvl w:val="0"/>
          <w:numId w:val="14"/>
        </w:numPr>
        <w:spacing w:before="45" w:after="160" w:line="255" w:lineRule="atLeast"/>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правилата, описани в Регламент </w:t>
      </w:r>
      <w:r w:rsidRPr="005E0B83">
        <w:rPr>
          <w:rFonts w:ascii="Times New Roman" w:hAnsi="Times New Roman" w:cs="Times New Roman"/>
          <w:sz w:val="24"/>
          <w:szCs w:val="24"/>
        </w:rPr>
        <w:t>(ЕС,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w:t>
      </w:r>
      <w:r>
        <w:rPr>
          <w:rFonts w:ascii="Times New Roman" w:hAnsi="Times New Roman" w:cs="Times New Roman"/>
          <w:sz w:val="24"/>
          <w:szCs w:val="24"/>
        </w:rPr>
        <w:t>;</w:t>
      </w:r>
    </w:p>
    <w:p w14:paraId="16C0D94E" w14:textId="77777777" w:rsidR="0006532B" w:rsidRPr="00097CFE" w:rsidRDefault="0006532B" w:rsidP="003E11B4">
      <w:pPr>
        <w:pStyle w:val="ListParagraph"/>
        <w:numPr>
          <w:ilvl w:val="0"/>
          <w:numId w:val="14"/>
        </w:numPr>
        <w:spacing w:before="10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правилата, описани в </w:t>
      </w:r>
      <w:r w:rsidRPr="00097CFE">
        <w:rPr>
          <w:rFonts w:ascii="Times New Roman" w:hAnsi="Times New Roman" w:cs="Times New Roman"/>
          <w:i/>
          <w:iCs/>
          <w:sz w:val="24"/>
          <w:szCs w:val="24"/>
        </w:rPr>
        <w:t>Регламент (ЕС) № 508/15.05.2014 г. </w:t>
      </w:r>
      <w:r w:rsidRPr="00097CFE">
        <w:rPr>
          <w:rFonts w:ascii="Times New Roman" w:hAnsi="Times New Roman" w:cs="Times New Roman"/>
          <w:sz w:val="24"/>
          <w:szCs w:val="24"/>
        </w:rPr>
        <w:t>на Европейския парламент и на Съвета за Европейския фонд за морско дело и рибарство</w:t>
      </w:r>
      <w:r w:rsidR="00B42458">
        <w:rPr>
          <w:rFonts w:ascii="Times New Roman" w:hAnsi="Times New Roman" w:cs="Times New Roman"/>
          <w:sz w:val="24"/>
          <w:szCs w:val="24"/>
        </w:rPr>
        <w:t>;</w:t>
      </w:r>
    </w:p>
    <w:p w14:paraId="7F5D5535" w14:textId="77777777" w:rsidR="0006532B" w:rsidRDefault="0006532B" w:rsidP="003E11B4">
      <w:pPr>
        <w:pStyle w:val="ListParagraph"/>
        <w:numPr>
          <w:ilvl w:val="0"/>
          <w:numId w:val="14"/>
        </w:numPr>
        <w:spacing w:before="45" w:after="160" w:line="255" w:lineRule="atLeast"/>
        <w:jc w:val="both"/>
        <w:rPr>
          <w:rFonts w:ascii="Times New Roman" w:hAnsi="Times New Roman" w:cs="Times New Roman"/>
          <w:sz w:val="24"/>
          <w:szCs w:val="24"/>
        </w:rPr>
      </w:pPr>
      <w:r w:rsidRPr="00097CFE">
        <w:rPr>
          <w:rFonts w:ascii="Times New Roman" w:hAnsi="Times New Roman" w:cs="Times New Roman"/>
          <w:sz w:val="24"/>
          <w:szCs w:val="24"/>
        </w:rPr>
        <w:t>правилата, описани в </w:t>
      </w:r>
      <w:r w:rsidRPr="00097CFE">
        <w:rPr>
          <w:rFonts w:ascii="Times New Roman" w:hAnsi="Times New Roman" w:cs="Times New Roman"/>
          <w:i/>
          <w:iCs/>
          <w:sz w:val="24"/>
          <w:szCs w:val="24"/>
        </w:rPr>
        <w:t>Регламент (ЕС) № 1303/2013 </w:t>
      </w:r>
      <w:r w:rsidRPr="00097CFE">
        <w:rPr>
          <w:rFonts w:ascii="Times New Roman" w:hAnsi="Times New Roman" w:cs="Times New Roman"/>
          <w:sz w:val="24"/>
          <w:szCs w:val="24"/>
        </w:rPr>
        <w:t>на Европейския парламент и на Съвета за определяне на общо</w:t>
      </w:r>
      <w:r w:rsidR="00FB3A15">
        <w:rPr>
          <w:rFonts w:ascii="Times New Roman" w:hAnsi="Times New Roman" w:cs="Times New Roman"/>
          <w:sz w:val="24"/>
          <w:szCs w:val="24"/>
        </w:rPr>
        <w:t xml:space="preserve"> </w:t>
      </w:r>
      <w:r w:rsidRPr="00097CFE">
        <w:rPr>
          <w:rFonts w:ascii="Times New Roman" w:hAnsi="Times New Roman" w:cs="Times New Roman"/>
          <w:sz w:val="24"/>
          <w:szCs w:val="24"/>
        </w:rPr>
        <w:t>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00B42458">
        <w:rPr>
          <w:rFonts w:ascii="Times New Roman" w:hAnsi="Times New Roman" w:cs="Times New Roman"/>
          <w:sz w:val="24"/>
          <w:szCs w:val="24"/>
        </w:rPr>
        <w:t>;</w:t>
      </w:r>
    </w:p>
    <w:p w14:paraId="3A9AC438" w14:textId="7567193A" w:rsidR="0006532B" w:rsidRPr="00097CFE" w:rsidRDefault="0006532B" w:rsidP="003E11B4">
      <w:pPr>
        <w:pStyle w:val="ListParagraph"/>
        <w:numPr>
          <w:ilvl w:val="0"/>
          <w:numId w:val="14"/>
        </w:numPr>
        <w:spacing w:before="1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 xml:space="preserve">Закона за управление на средствата от </w:t>
      </w:r>
      <w:r w:rsidR="004255B8">
        <w:rPr>
          <w:rFonts w:ascii="Times New Roman" w:hAnsi="Times New Roman" w:cs="Times New Roman"/>
          <w:sz w:val="24"/>
          <w:szCs w:val="24"/>
        </w:rPr>
        <w:t>Е</w:t>
      </w:r>
      <w:r w:rsidR="004255B8" w:rsidRPr="00097CFE">
        <w:rPr>
          <w:rFonts w:ascii="Times New Roman" w:hAnsi="Times New Roman" w:cs="Times New Roman"/>
          <w:sz w:val="24"/>
          <w:szCs w:val="24"/>
        </w:rPr>
        <w:t xml:space="preserve">вропейските </w:t>
      </w:r>
      <w:r w:rsidRPr="00097CFE">
        <w:rPr>
          <w:rFonts w:ascii="Times New Roman" w:hAnsi="Times New Roman" w:cs="Times New Roman"/>
          <w:sz w:val="24"/>
          <w:szCs w:val="24"/>
        </w:rPr>
        <w:t>структурни и инвестиционни фондове (ЗУСЕСИФ)</w:t>
      </w:r>
      <w:r w:rsidR="00B42458">
        <w:rPr>
          <w:rFonts w:ascii="Times New Roman" w:hAnsi="Times New Roman" w:cs="Times New Roman"/>
          <w:sz w:val="24"/>
          <w:szCs w:val="24"/>
        </w:rPr>
        <w:t>;</w:t>
      </w:r>
    </w:p>
    <w:p w14:paraId="5E667CD2" w14:textId="77777777" w:rsidR="0006532B" w:rsidRPr="00097CFE" w:rsidRDefault="0006532B" w:rsidP="003E11B4">
      <w:pPr>
        <w:pStyle w:val="ListParagraph"/>
        <w:numPr>
          <w:ilvl w:val="0"/>
          <w:numId w:val="14"/>
        </w:numPr>
        <w:spacing w:before="1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 xml:space="preserve">ПМС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2014-2020 г. </w:t>
      </w:r>
      <w:r w:rsidR="004255B8">
        <w:rPr>
          <w:rFonts w:ascii="Times New Roman" w:hAnsi="Times New Roman" w:cs="Times New Roman"/>
          <w:sz w:val="24"/>
          <w:szCs w:val="24"/>
        </w:rPr>
        <w:t>(</w:t>
      </w:r>
      <w:r w:rsidR="004255B8" w:rsidRPr="004255B8">
        <w:rPr>
          <w:rFonts w:ascii="Times New Roman" w:hAnsi="Times New Roman" w:cs="Times New Roman"/>
          <w:sz w:val="24"/>
          <w:szCs w:val="24"/>
        </w:rPr>
        <w:t>Обн., ДВ, бр. 61 от 2016 г.</w:t>
      </w:r>
      <w:r w:rsidR="004255B8">
        <w:rPr>
          <w:rFonts w:ascii="Times New Roman" w:hAnsi="Times New Roman" w:cs="Times New Roman"/>
          <w:sz w:val="24"/>
          <w:szCs w:val="24"/>
        </w:rPr>
        <w:t>)</w:t>
      </w:r>
    </w:p>
    <w:p w14:paraId="1CCF7462" w14:textId="77777777" w:rsidR="0006532B" w:rsidRPr="00097CFE" w:rsidRDefault="0006532B" w:rsidP="003E11B4">
      <w:pPr>
        <w:spacing w:before="105" w:after="0" w:line="255" w:lineRule="atLeast"/>
        <w:rPr>
          <w:rFonts w:ascii="Times New Roman" w:hAnsi="Times New Roman" w:cs="Times New Roman"/>
          <w:sz w:val="24"/>
          <w:szCs w:val="24"/>
          <w:lang w:eastAsia="bg-BG"/>
        </w:rPr>
      </w:pPr>
      <w:r w:rsidRPr="00097CFE">
        <w:rPr>
          <w:rFonts w:ascii="Times New Roman" w:hAnsi="Times New Roman" w:cs="Times New Roman"/>
          <w:sz w:val="24"/>
          <w:szCs w:val="24"/>
          <w:lang w:eastAsia="bg-BG"/>
        </w:rPr>
        <w:t>За да се считат за допустими в контекста на бюджетните линии, </w:t>
      </w:r>
      <w:r w:rsidRPr="00097CFE">
        <w:rPr>
          <w:rFonts w:ascii="Times New Roman" w:hAnsi="Times New Roman" w:cs="Times New Roman"/>
          <w:b/>
          <w:bCs/>
          <w:sz w:val="24"/>
          <w:szCs w:val="24"/>
          <w:lang w:eastAsia="bg-BG"/>
        </w:rPr>
        <w:t>разходите трябва:</w:t>
      </w:r>
    </w:p>
    <w:p w14:paraId="5DB0A340" w14:textId="77777777" w:rsidR="0006532B" w:rsidRPr="00097CFE" w:rsidRDefault="0006532B" w:rsidP="003E11B4">
      <w:pPr>
        <w:pStyle w:val="ListParagraph"/>
        <w:numPr>
          <w:ilvl w:val="0"/>
          <w:numId w:val="15"/>
        </w:numPr>
        <w:spacing w:before="10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 xml:space="preserve">да са за дейности, определени и извършени под отговорността на </w:t>
      </w:r>
      <w:r w:rsidR="00FB3A15">
        <w:rPr>
          <w:rFonts w:ascii="Times New Roman" w:hAnsi="Times New Roman" w:cs="Times New Roman"/>
          <w:sz w:val="24"/>
          <w:szCs w:val="24"/>
        </w:rPr>
        <w:t>У</w:t>
      </w:r>
      <w:r w:rsidR="00FB3A15" w:rsidRPr="00097CFE">
        <w:rPr>
          <w:rFonts w:ascii="Times New Roman" w:hAnsi="Times New Roman" w:cs="Times New Roman"/>
          <w:sz w:val="24"/>
          <w:szCs w:val="24"/>
        </w:rPr>
        <w:t xml:space="preserve">правляващия </w:t>
      </w:r>
      <w:r w:rsidRPr="00097CFE">
        <w:rPr>
          <w:rFonts w:ascii="Times New Roman" w:hAnsi="Times New Roman" w:cs="Times New Roman"/>
          <w:sz w:val="24"/>
          <w:szCs w:val="24"/>
        </w:rPr>
        <w:t>орган на ПМДР и съгласно критериите за избор на операции, одобрени от Комитета за наблюдение на ПМДР 2014-2020;</w:t>
      </w:r>
    </w:p>
    <w:p w14:paraId="5C73AB4F" w14:textId="77777777" w:rsidR="0006532B" w:rsidRPr="00097CFE" w:rsidRDefault="0006532B" w:rsidP="003E11B4">
      <w:pPr>
        <w:pStyle w:val="ListParagraph"/>
        <w:numPr>
          <w:ilvl w:val="0"/>
          <w:numId w:val="15"/>
        </w:numPr>
        <w:spacing w:before="1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да са извършени от допустими кандидати съгласно критериите за избор на операции, одобрени от Комитета за наблюдение на оперативната програма.</w:t>
      </w:r>
    </w:p>
    <w:p w14:paraId="5C7FE677" w14:textId="77777777" w:rsidR="0006532B" w:rsidRPr="00097CFE" w:rsidRDefault="0006532B" w:rsidP="00705C23">
      <w:pPr>
        <w:pStyle w:val="ListParagraph"/>
        <w:spacing w:before="15" w:after="0" w:line="270" w:lineRule="atLeast"/>
        <w:jc w:val="both"/>
        <w:rPr>
          <w:rFonts w:ascii="Times New Roman" w:hAnsi="Times New Roman" w:cs="Times New Roman"/>
          <w:sz w:val="24"/>
          <w:szCs w:val="24"/>
        </w:rPr>
      </w:pPr>
    </w:p>
    <w:p w14:paraId="31B94B3B" w14:textId="77777777" w:rsidR="004570E4" w:rsidRDefault="0006532B" w:rsidP="002A3D66">
      <w:pPr>
        <w:spacing w:before="15" w:after="0" w:line="270" w:lineRule="atLeast"/>
        <w:jc w:val="both"/>
        <w:rPr>
          <w:rFonts w:ascii="Times New Roman" w:hAnsi="Times New Roman" w:cs="Times New Roman"/>
          <w:sz w:val="24"/>
          <w:szCs w:val="24"/>
          <w:lang w:eastAsia="bg-BG"/>
        </w:rPr>
      </w:pPr>
      <w:r w:rsidRPr="00097CFE">
        <w:rPr>
          <w:rFonts w:ascii="Times New Roman" w:hAnsi="Times New Roman" w:cs="Times New Roman"/>
          <w:b/>
          <w:bCs/>
          <w:sz w:val="24"/>
          <w:szCs w:val="24"/>
          <w:lang w:eastAsia="bg-BG"/>
        </w:rPr>
        <w:t>ВАЖНО!!!</w:t>
      </w:r>
      <w:r w:rsidRPr="00097CFE">
        <w:rPr>
          <w:rFonts w:ascii="Times New Roman" w:hAnsi="Times New Roman" w:cs="Times New Roman"/>
          <w:sz w:val="24"/>
          <w:szCs w:val="24"/>
          <w:lang w:eastAsia="bg-BG"/>
        </w:rPr>
        <w:t xml:space="preserve"> </w:t>
      </w:r>
    </w:p>
    <w:p w14:paraId="2C87F4C5" w14:textId="77777777" w:rsidR="0006532B" w:rsidRPr="00097CFE" w:rsidRDefault="0006532B" w:rsidP="002A3D66">
      <w:pPr>
        <w:spacing w:before="15" w:after="0" w:line="270"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При изпълнението на финансовите планове е необходимо бенефициентите да имат предвид следното:</w:t>
      </w:r>
    </w:p>
    <w:p w14:paraId="76C5F757" w14:textId="77777777" w:rsidR="0006532B" w:rsidRPr="00097CFE" w:rsidRDefault="0006532B" w:rsidP="003E11B4">
      <w:pPr>
        <w:pStyle w:val="ListParagraph"/>
        <w:numPr>
          <w:ilvl w:val="0"/>
          <w:numId w:val="15"/>
        </w:numPr>
        <w:spacing w:before="1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категориите разходи трябва да са включени в заповедта за предоставяне на финансова подкрепа;</w:t>
      </w:r>
    </w:p>
    <w:p w14:paraId="23AEB347" w14:textId="77777777" w:rsidR="0006532B" w:rsidRPr="00097CFE" w:rsidRDefault="0006532B" w:rsidP="003E11B4">
      <w:pPr>
        <w:pStyle w:val="ListParagraph"/>
        <w:numPr>
          <w:ilvl w:val="0"/>
          <w:numId w:val="15"/>
        </w:numPr>
        <w:spacing w:before="1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изборът на изпълнител за реализираните дейности (услуги и/или доставки, и/или строителство) трябва да е извършен в съответствие с действащото национално и с европейското законодателство;</w:t>
      </w:r>
    </w:p>
    <w:p w14:paraId="00206936" w14:textId="77777777" w:rsidR="0006532B" w:rsidRPr="00097CFE" w:rsidRDefault="0006532B" w:rsidP="003E11B4">
      <w:pPr>
        <w:pStyle w:val="ListParagraph"/>
        <w:numPr>
          <w:ilvl w:val="0"/>
          <w:numId w:val="15"/>
        </w:numPr>
        <w:spacing w:before="1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за тях трябва да е налична адекватна одитна следа, включително да са спазени разпоредбите за наличност на документите по чл. 140 от Регламент (ЕС) № 1303/2013;</w:t>
      </w:r>
    </w:p>
    <w:p w14:paraId="7670FBDB" w14:textId="77777777" w:rsidR="0006532B" w:rsidRPr="00097CFE" w:rsidRDefault="0006532B" w:rsidP="003E11B4">
      <w:pPr>
        <w:pStyle w:val="ListParagraph"/>
        <w:numPr>
          <w:ilvl w:val="0"/>
          <w:numId w:val="15"/>
        </w:numPr>
        <w:spacing w:before="3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трябва да са отразени в счетоводната документация на бенефициента чрез отделни счетоводни аналитични сметки или в отделна счетоводна система;</w:t>
      </w:r>
    </w:p>
    <w:p w14:paraId="677AE616" w14:textId="77777777" w:rsidR="0006532B" w:rsidRPr="00097CFE" w:rsidRDefault="0006532B" w:rsidP="003E11B4">
      <w:pPr>
        <w:pStyle w:val="ListParagraph"/>
        <w:numPr>
          <w:ilvl w:val="0"/>
          <w:numId w:val="15"/>
        </w:numPr>
        <w:spacing w:before="1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трябва да са извършени за продукти и услуги, които са реално доставени и извършени съобразно предварително заложените в заповедта за предоставяне на финансова подкрепа изисквания;</w:t>
      </w:r>
    </w:p>
    <w:p w14:paraId="70D9C703" w14:textId="77777777" w:rsidR="0006532B" w:rsidRPr="00097CFE" w:rsidRDefault="0006532B" w:rsidP="003E11B4">
      <w:pPr>
        <w:pStyle w:val="ListParagraph"/>
        <w:numPr>
          <w:ilvl w:val="0"/>
          <w:numId w:val="15"/>
        </w:numPr>
        <w:spacing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 xml:space="preserve">трябва да са извършени в съответствие с принципа на доброто финансово управление в съответствие с чл. </w:t>
      </w:r>
      <w:r w:rsidR="00B03245" w:rsidRPr="00097CFE">
        <w:rPr>
          <w:rFonts w:ascii="Times New Roman" w:hAnsi="Times New Roman" w:cs="Times New Roman"/>
          <w:sz w:val="24"/>
          <w:szCs w:val="24"/>
        </w:rPr>
        <w:t>3</w:t>
      </w:r>
      <w:r w:rsidR="00B03245">
        <w:rPr>
          <w:rFonts w:ascii="Times New Roman" w:hAnsi="Times New Roman" w:cs="Times New Roman"/>
          <w:sz w:val="24"/>
          <w:szCs w:val="24"/>
        </w:rPr>
        <w:t>3</w:t>
      </w:r>
      <w:r w:rsidR="00B03245" w:rsidRPr="00097CFE">
        <w:rPr>
          <w:rFonts w:ascii="Times New Roman" w:hAnsi="Times New Roman" w:cs="Times New Roman"/>
          <w:sz w:val="24"/>
          <w:szCs w:val="24"/>
        </w:rPr>
        <w:t xml:space="preserve"> </w:t>
      </w:r>
      <w:r w:rsidRPr="00097CFE">
        <w:rPr>
          <w:rFonts w:ascii="Times New Roman" w:hAnsi="Times New Roman" w:cs="Times New Roman"/>
          <w:sz w:val="24"/>
          <w:szCs w:val="24"/>
        </w:rPr>
        <w:t xml:space="preserve">на </w:t>
      </w:r>
      <w:r w:rsidR="00B03245">
        <w:rPr>
          <w:rFonts w:ascii="Times New Roman" w:hAnsi="Times New Roman" w:cs="Times New Roman"/>
          <w:sz w:val="24"/>
          <w:szCs w:val="24"/>
        </w:rPr>
        <w:t xml:space="preserve">Регламент </w:t>
      </w:r>
      <w:r w:rsidR="00B03245" w:rsidRPr="005E0B83">
        <w:rPr>
          <w:rFonts w:ascii="Times New Roman" w:hAnsi="Times New Roman" w:cs="Times New Roman"/>
          <w:sz w:val="24"/>
          <w:szCs w:val="24"/>
        </w:rPr>
        <w:t xml:space="preserve">(ЕС, Евратом)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w:t>
      </w:r>
      <w:r w:rsidR="00B03245" w:rsidRPr="005E0B83">
        <w:rPr>
          <w:rFonts w:ascii="Times New Roman" w:hAnsi="Times New Roman" w:cs="Times New Roman"/>
          <w:sz w:val="24"/>
          <w:szCs w:val="24"/>
        </w:rPr>
        <w:lastRenderedPageBreak/>
        <w:t>№ 1309/2013, (ЕС) № 1316/2013, (ЕС) № 223/2014 и (ЕС) № 283/2014 и на Решение № 541/2014/ЕС и за отмяна на Регламент (ЕС, Евратом) № 966/2012</w:t>
      </w:r>
    </w:p>
    <w:p w14:paraId="6DB4A2F1" w14:textId="77777777" w:rsidR="0006532B" w:rsidRPr="00097CFE" w:rsidRDefault="0006532B" w:rsidP="003E11B4">
      <w:pPr>
        <w:pStyle w:val="ListParagraph"/>
        <w:numPr>
          <w:ilvl w:val="0"/>
          <w:numId w:val="15"/>
        </w:numPr>
        <w:spacing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трябва да не са финансирани със средства от ЕСИФ или чрез други инструменти на ЕС в съответствие с чл. 65, параграф 11 от Регламент № 1303/2013, както и с други публични средства.</w:t>
      </w:r>
    </w:p>
    <w:p w14:paraId="45DBE446" w14:textId="645B978D" w:rsidR="0006532B" w:rsidRPr="00097CFE" w:rsidRDefault="0006532B" w:rsidP="00CB7004">
      <w:pPr>
        <w:pStyle w:val="ListParagraph"/>
        <w:numPr>
          <w:ilvl w:val="0"/>
          <w:numId w:val="15"/>
        </w:numPr>
        <w:spacing w:after="0" w:line="255" w:lineRule="atLeast"/>
        <w:jc w:val="both"/>
        <w:rPr>
          <w:rFonts w:ascii="Times New Roman" w:hAnsi="Times New Roman" w:cs="Times New Roman"/>
          <w:b/>
          <w:bCs/>
          <w:sz w:val="24"/>
          <w:szCs w:val="24"/>
        </w:rPr>
      </w:pPr>
      <w:r w:rsidRPr="00097CFE">
        <w:rPr>
          <w:rFonts w:ascii="Times New Roman" w:hAnsi="Times New Roman" w:cs="Times New Roman"/>
          <w:sz w:val="24"/>
          <w:szCs w:val="24"/>
        </w:rPr>
        <w:t>трябва да са направени от бенефициента и платени между 01.0</w:t>
      </w:r>
      <w:r w:rsidR="009D5F61">
        <w:rPr>
          <w:rFonts w:ascii="Times New Roman" w:hAnsi="Times New Roman" w:cs="Times New Roman"/>
          <w:sz w:val="24"/>
          <w:szCs w:val="24"/>
          <w:lang w:val="en-US"/>
        </w:rPr>
        <w:t>1</w:t>
      </w:r>
      <w:r w:rsidRPr="00097CFE">
        <w:rPr>
          <w:rFonts w:ascii="Times New Roman" w:hAnsi="Times New Roman" w:cs="Times New Roman"/>
          <w:sz w:val="24"/>
          <w:szCs w:val="24"/>
        </w:rPr>
        <w:t>.</w:t>
      </w:r>
      <w:r w:rsidR="00082B99" w:rsidRPr="00097CFE">
        <w:rPr>
          <w:rFonts w:ascii="Times New Roman" w:hAnsi="Times New Roman" w:cs="Times New Roman"/>
          <w:sz w:val="24"/>
          <w:szCs w:val="24"/>
        </w:rPr>
        <w:t>20</w:t>
      </w:r>
      <w:r w:rsidR="00082B99">
        <w:rPr>
          <w:rFonts w:ascii="Times New Roman" w:hAnsi="Times New Roman" w:cs="Times New Roman"/>
          <w:sz w:val="24"/>
          <w:szCs w:val="24"/>
        </w:rPr>
        <w:t>21</w:t>
      </w:r>
      <w:r w:rsidR="00082B99" w:rsidRPr="00097CFE">
        <w:rPr>
          <w:rFonts w:ascii="Times New Roman" w:hAnsi="Times New Roman" w:cs="Times New Roman"/>
          <w:sz w:val="24"/>
          <w:szCs w:val="24"/>
        </w:rPr>
        <w:t xml:space="preserve"> </w:t>
      </w:r>
      <w:r w:rsidRPr="00097CFE">
        <w:rPr>
          <w:rFonts w:ascii="Times New Roman" w:hAnsi="Times New Roman" w:cs="Times New Roman"/>
          <w:sz w:val="24"/>
          <w:szCs w:val="24"/>
        </w:rPr>
        <w:t xml:space="preserve">г. и </w:t>
      </w:r>
      <w:r w:rsidR="009D5F61">
        <w:rPr>
          <w:rFonts w:ascii="Times New Roman" w:hAnsi="Times New Roman" w:cs="Times New Roman"/>
          <w:sz w:val="24"/>
          <w:szCs w:val="24"/>
          <w:lang w:val="en-US"/>
        </w:rPr>
        <w:t>31</w:t>
      </w:r>
      <w:r w:rsidRPr="00097CFE">
        <w:rPr>
          <w:rFonts w:ascii="Times New Roman" w:hAnsi="Times New Roman" w:cs="Times New Roman"/>
          <w:sz w:val="24"/>
          <w:szCs w:val="24"/>
        </w:rPr>
        <w:t>.</w:t>
      </w:r>
      <w:r w:rsidR="00082B99">
        <w:rPr>
          <w:rFonts w:ascii="Times New Roman" w:hAnsi="Times New Roman" w:cs="Times New Roman"/>
          <w:sz w:val="24"/>
          <w:szCs w:val="24"/>
        </w:rPr>
        <w:t>01</w:t>
      </w:r>
      <w:r w:rsidR="009D5F61">
        <w:rPr>
          <w:rFonts w:ascii="Times New Roman" w:hAnsi="Times New Roman" w:cs="Times New Roman"/>
          <w:sz w:val="24"/>
          <w:szCs w:val="24"/>
        </w:rPr>
        <w:t>.</w:t>
      </w:r>
      <w:r w:rsidR="00082B99">
        <w:rPr>
          <w:rFonts w:ascii="Times New Roman" w:hAnsi="Times New Roman" w:cs="Times New Roman"/>
          <w:sz w:val="24"/>
          <w:szCs w:val="24"/>
        </w:rPr>
        <w:t>20</w:t>
      </w:r>
      <w:r w:rsidR="00082B99">
        <w:rPr>
          <w:rFonts w:ascii="Times New Roman" w:hAnsi="Times New Roman" w:cs="Times New Roman"/>
          <w:sz w:val="24"/>
          <w:szCs w:val="24"/>
          <w:lang w:val="en-US"/>
        </w:rPr>
        <w:t>2</w:t>
      </w:r>
      <w:r w:rsidR="00082B99">
        <w:rPr>
          <w:rFonts w:ascii="Times New Roman" w:hAnsi="Times New Roman" w:cs="Times New Roman"/>
          <w:sz w:val="24"/>
          <w:szCs w:val="24"/>
        </w:rPr>
        <w:t>2</w:t>
      </w:r>
      <w:r w:rsidR="00082B99" w:rsidRPr="00097CFE">
        <w:rPr>
          <w:rFonts w:ascii="Times New Roman" w:hAnsi="Times New Roman" w:cs="Times New Roman"/>
          <w:sz w:val="24"/>
          <w:szCs w:val="24"/>
        </w:rPr>
        <w:t xml:space="preserve"> </w:t>
      </w:r>
      <w:r w:rsidRPr="00097CFE">
        <w:rPr>
          <w:rFonts w:ascii="Times New Roman" w:hAnsi="Times New Roman" w:cs="Times New Roman"/>
          <w:sz w:val="24"/>
          <w:szCs w:val="24"/>
        </w:rPr>
        <w:t>г.</w:t>
      </w:r>
    </w:p>
    <w:p w14:paraId="1FD11A7D" w14:textId="77777777" w:rsidR="0006532B" w:rsidRPr="00097CFE" w:rsidRDefault="0006532B" w:rsidP="00CB7004">
      <w:pPr>
        <w:pStyle w:val="ListParagraph"/>
        <w:rPr>
          <w:rFonts w:ascii="Times New Roman" w:hAnsi="Times New Roman" w:cs="Times New Roman"/>
          <w:b/>
          <w:bCs/>
          <w:sz w:val="24"/>
          <w:szCs w:val="24"/>
        </w:rPr>
      </w:pPr>
    </w:p>
    <w:p w14:paraId="33F1E4B5" w14:textId="77777777" w:rsidR="0006532B" w:rsidRPr="00097CFE" w:rsidRDefault="0006532B" w:rsidP="004C0206">
      <w:pPr>
        <w:spacing w:after="0" w:line="255"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ВИДОВЕ РАЗХОДИ, ДОПУСТИМИ ЗА ФИНАНСИРАНЕ ПО ПРОЦ</w:t>
      </w:r>
      <w:r w:rsidRPr="00097CFE">
        <w:rPr>
          <w:rFonts w:ascii="Times New Roman" w:hAnsi="Times New Roman" w:cs="Times New Roman"/>
          <w:b/>
          <w:bCs/>
          <w:sz w:val="24"/>
          <w:szCs w:val="24"/>
          <w:lang w:eastAsia="en-GB"/>
        </w:rPr>
        <w:t>ЕДУРАТА</w:t>
      </w:r>
      <w:r w:rsidRPr="00097CFE">
        <w:rPr>
          <w:rFonts w:ascii="Times New Roman" w:hAnsi="Times New Roman" w:cs="Times New Roman"/>
          <w:b/>
          <w:bCs/>
          <w:sz w:val="24"/>
          <w:szCs w:val="24"/>
          <w:lang w:eastAsia="bg-BG"/>
        </w:rPr>
        <w:t>:</w:t>
      </w:r>
    </w:p>
    <w:p w14:paraId="61DFCF8A" w14:textId="77777777" w:rsidR="0006532B" w:rsidRPr="00097CFE" w:rsidRDefault="0006532B" w:rsidP="003E11B4">
      <w:pPr>
        <w:spacing w:after="0" w:line="270" w:lineRule="atLeast"/>
        <w:rPr>
          <w:rFonts w:ascii="Times New Roman" w:hAnsi="Times New Roman" w:cs="Times New Roman"/>
          <w:b/>
          <w:bCs/>
          <w:sz w:val="24"/>
          <w:szCs w:val="24"/>
          <w:lang w:eastAsia="bg-BG"/>
        </w:rPr>
      </w:pPr>
    </w:p>
    <w:p w14:paraId="6229CE87" w14:textId="77777777" w:rsidR="0006532B" w:rsidRPr="00097CFE" w:rsidRDefault="0006532B" w:rsidP="003E11B4">
      <w:pPr>
        <w:spacing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Разходи, свързани с дейности по подготовка, координация, управление, мониторинг, плащане, отчетност, контрол и оценка на ПМДР:</w:t>
      </w:r>
    </w:p>
    <w:p w14:paraId="78E4F25F" w14:textId="77777777" w:rsidR="0006532B" w:rsidRPr="00097CFE" w:rsidRDefault="0006532B" w:rsidP="003E11B4">
      <w:pPr>
        <w:pStyle w:val="ListParagraph"/>
        <w:numPr>
          <w:ilvl w:val="0"/>
          <w:numId w:val="16"/>
        </w:numPr>
        <w:spacing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закупуване, доставка и поддръжка</w:t>
      </w:r>
      <w:r w:rsidR="00F15E41">
        <w:rPr>
          <w:rFonts w:ascii="Times New Roman" w:hAnsi="Times New Roman" w:cs="Times New Roman"/>
          <w:sz w:val="24"/>
          <w:szCs w:val="24"/>
        </w:rPr>
        <w:t xml:space="preserve"> </w:t>
      </w:r>
      <w:r w:rsidRPr="00097CFE">
        <w:rPr>
          <w:rFonts w:ascii="Times New Roman" w:hAnsi="Times New Roman" w:cs="Times New Roman"/>
          <w:sz w:val="24"/>
          <w:szCs w:val="24"/>
        </w:rPr>
        <w:t xml:space="preserve">на офис оборудване, включително </w:t>
      </w:r>
      <w:r w:rsidRPr="00097CFE">
        <w:rPr>
          <w:rFonts w:ascii="Times New Roman" w:hAnsi="Times New Roman" w:cs="Times New Roman"/>
          <w:sz w:val="24"/>
          <w:szCs w:val="24"/>
          <w:lang w:eastAsia="en-GB"/>
        </w:rPr>
        <w:t>разходи за гаранционна и извънгаранционна поддръжка на оборудване и обзавеждане.</w:t>
      </w:r>
    </w:p>
    <w:p w14:paraId="023324D8" w14:textId="77777777" w:rsidR="0006532B" w:rsidRPr="00097CFE" w:rsidRDefault="0006532B" w:rsidP="003E11B4">
      <w:pPr>
        <w:spacing w:before="345" w:after="0" w:line="270" w:lineRule="atLeast"/>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Разходи за възнаграждения на служителите:</w:t>
      </w:r>
    </w:p>
    <w:p w14:paraId="7F192F88" w14:textId="77777777" w:rsidR="00860C19" w:rsidRDefault="0006532B" w:rsidP="00740DE3">
      <w:pPr>
        <w:pStyle w:val="ListParagraph"/>
        <w:numPr>
          <w:ilvl w:val="0"/>
          <w:numId w:val="16"/>
        </w:numPr>
        <w:spacing w:before="22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заплати, допълнителни възнаграждения и задължителни осигурителни вноски от работодателя.</w:t>
      </w:r>
    </w:p>
    <w:p w14:paraId="0441760A" w14:textId="77777777" w:rsidR="00797F3D" w:rsidRPr="00097CFE" w:rsidRDefault="00797F3D" w:rsidP="000E11E0">
      <w:pPr>
        <w:pStyle w:val="ListParagraph"/>
        <w:spacing w:before="225" w:after="0" w:line="255" w:lineRule="atLeast"/>
        <w:ind w:left="0"/>
        <w:jc w:val="both"/>
        <w:rPr>
          <w:rFonts w:ascii="Times New Roman" w:hAnsi="Times New Roman" w:cs="Times New Roman"/>
          <w:sz w:val="24"/>
          <w:szCs w:val="24"/>
        </w:rPr>
      </w:pPr>
    </w:p>
    <w:p w14:paraId="5E5A0AF7" w14:textId="77777777" w:rsidR="004570E4" w:rsidRDefault="0006532B" w:rsidP="00797F3D">
      <w:pPr>
        <w:pStyle w:val="Text2"/>
        <w:spacing w:after="0"/>
        <w:ind w:left="0"/>
      </w:pPr>
      <w:r w:rsidRPr="00097CFE">
        <w:rPr>
          <w:b/>
          <w:bCs/>
        </w:rPr>
        <w:t>ВАЖНО!!!</w:t>
      </w:r>
      <w:r w:rsidRPr="00097CFE">
        <w:t xml:space="preserve"> </w:t>
      </w:r>
    </w:p>
    <w:p w14:paraId="3F637B73" w14:textId="28D1EF77" w:rsidR="00101F9C" w:rsidRDefault="00101F9C" w:rsidP="00101F9C">
      <w:pPr>
        <w:pStyle w:val="ListParagraph"/>
        <w:spacing w:before="225" w:after="0" w:line="255" w:lineRule="atLeast"/>
        <w:ind w:left="0"/>
        <w:jc w:val="both"/>
        <w:rPr>
          <w:rFonts w:ascii="Times New Roman" w:hAnsi="Times New Roman" w:cs="Times New Roman"/>
          <w:sz w:val="24"/>
          <w:szCs w:val="24"/>
          <w:lang w:val="en-US"/>
        </w:rPr>
      </w:pPr>
      <w:r w:rsidRPr="00DF25A1">
        <w:rPr>
          <w:rFonts w:ascii="Times New Roman" w:hAnsi="Times New Roman" w:cs="Times New Roman"/>
          <w:sz w:val="24"/>
          <w:szCs w:val="24"/>
        </w:rPr>
        <w:t xml:space="preserve">Разходите за брутни заплати и възнаграждения, и за обезщетения, изплатени от осигурителя за дните на временна неработоспособност съгласно </w:t>
      </w:r>
      <w:hyperlink r:id="rId9" w:history="1">
        <w:r w:rsidRPr="00491E21">
          <w:rPr>
            <w:rFonts w:ascii="Times New Roman" w:hAnsi="Times New Roman" w:cs="Times New Roman"/>
            <w:sz w:val="24"/>
            <w:szCs w:val="24"/>
          </w:rPr>
          <w:t>Кодекса за социално осигуряване</w:t>
        </w:r>
      </w:hyperlink>
      <w:r w:rsidRPr="00DF25A1">
        <w:rPr>
          <w:rFonts w:ascii="Times New Roman" w:hAnsi="Times New Roman" w:cs="Times New Roman"/>
          <w:sz w:val="24"/>
          <w:szCs w:val="24"/>
        </w:rPr>
        <w:t xml:space="preserve">, на служителите на допустимите кандидати, както и разходите за задължителни социални и здравни осигурителни вноски за сметка на осигурителя за тези служители се възстановяват от бюджета на ПМДР в размер до </w:t>
      </w:r>
      <w:r w:rsidR="00A604EB">
        <w:rPr>
          <w:rFonts w:ascii="Times New Roman" w:hAnsi="Times New Roman" w:cs="Times New Roman"/>
          <w:sz w:val="24"/>
          <w:szCs w:val="24"/>
        </w:rPr>
        <w:t>40</w:t>
      </w:r>
      <w:r w:rsidRPr="00DF25A1">
        <w:rPr>
          <w:rFonts w:ascii="Times New Roman" w:hAnsi="Times New Roman" w:cs="Times New Roman"/>
          <w:sz w:val="24"/>
          <w:szCs w:val="24"/>
        </w:rPr>
        <w:t>% от тези разходи</w:t>
      </w:r>
      <w:r>
        <w:rPr>
          <w:rFonts w:ascii="Times New Roman" w:hAnsi="Times New Roman" w:cs="Times New Roman"/>
          <w:sz w:val="24"/>
          <w:szCs w:val="24"/>
          <w:lang w:val="en-US"/>
        </w:rPr>
        <w:t xml:space="preserve"> - </w:t>
      </w:r>
      <w:r w:rsidRPr="00DF25A1">
        <w:rPr>
          <w:rFonts w:ascii="Times New Roman" w:hAnsi="Times New Roman" w:cs="Times New Roman"/>
          <w:sz w:val="24"/>
          <w:szCs w:val="24"/>
        </w:rPr>
        <w:t>за кандидати</w:t>
      </w:r>
      <w:r>
        <w:rPr>
          <w:rFonts w:ascii="Times New Roman" w:hAnsi="Times New Roman" w:cs="Times New Roman"/>
          <w:sz w:val="24"/>
          <w:szCs w:val="24"/>
        </w:rPr>
        <w:t xml:space="preserve">  </w:t>
      </w:r>
      <w:r w:rsidRPr="00E85710">
        <w:rPr>
          <w:rFonts w:ascii="Times New Roman" w:hAnsi="Times New Roman" w:cs="Times New Roman"/>
          <w:sz w:val="24"/>
          <w:szCs w:val="24"/>
        </w:rPr>
        <w:t>Дирекция „Рибарство и а</w:t>
      </w:r>
      <w:r w:rsidRPr="000710A0">
        <w:rPr>
          <w:rFonts w:ascii="Times New Roman" w:hAnsi="Times New Roman" w:cs="Times New Roman"/>
          <w:sz w:val="24"/>
          <w:szCs w:val="24"/>
        </w:rPr>
        <w:t>квакултури”</w:t>
      </w:r>
      <w:r>
        <w:rPr>
          <w:rFonts w:ascii="Times New Roman" w:hAnsi="Times New Roman" w:cs="Times New Roman"/>
          <w:sz w:val="24"/>
          <w:szCs w:val="24"/>
        </w:rPr>
        <w:t xml:space="preserve"> към</w:t>
      </w:r>
      <w:r w:rsidRPr="00E85710">
        <w:rPr>
          <w:rFonts w:ascii="Times New Roman" w:hAnsi="Times New Roman" w:cs="Times New Roman"/>
          <w:sz w:val="24"/>
          <w:szCs w:val="24"/>
        </w:rPr>
        <w:t xml:space="preserve"> Държавен фонд „Земеделие“ – РА</w:t>
      </w:r>
      <w:r>
        <w:rPr>
          <w:rFonts w:ascii="Times New Roman" w:hAnsi="Times New Roman" w:cs="Times New Roman"/>
          <w:sz w:val="24"/>
          <w:szCs w:val="24"/>
        </w:rPr>
        <w:t xml:space="preserve"> и </w:t>
      </w:r>
      <w:r w:rsidRPr="000710A0">
        <w:rPr>
          <w:rFonts w:ascii="Times New Roman" w:hAnsi="Times New Roman" w:cs="Times New Roman"/>
          <w:sz w:val="24"/>
          <w:szCs w:val="24"/>
        </w:rPr>
        <w:t>Звено „Сертификация на разходите по ОПРСР“ в Държавен Фонд „Земеделие“</w:t>
      </w:r>
      <w:r w:rsidRPr="00E85710">
        <w:rPr>
          <w:rFonts w:ascii="Times New Roman" w:hAnsi="Times New Roman" w:cs="Times New Roman"/>
          <w:sz w:val="24"/>
          <w:szCs w:val="24"/>
        </w:rPr>
        <w:t xml:space="preserve">. </w:t>
      </w:r>
    </w:p>
    <w:p w14:paraId="6683BCD2" w14:textId="77777777" w:rsidR="00101F9C" w:rsidRDefault="00101F9C" w:rsidP="00101F9C">
      <w:pPr>
        <w:pStyle w:val="ListParagraph"/>
        <w:spacing w:before="225" w:after="0" w:line="255" w:lineRule="atLeast"/>
        <w:ind w:left="0"/>
        <w:jc w:val="both"/>
        <w:rPr>
          <w:rFonts w:ascii="Times New Roman" w:hAnsi="Times New Roman" w:cs="Times New Roman"/>
          <w:sz w:val="24"/>
          <w:szCs w:val="24"/>
        </w:rPr>
      </w:pPr>
      <w:r w:rsidRPr="00101F9C">
        <w:rPr>
          <w:rFonts w:ascii="Times New Roman" w:hAnsi="Times New Roman" w:cs="Times New Roman"/>
          <w:sz w:val="24"/>
          <w:szCs w:val="24"/>
        </w:rPr>
        <w:t xml:space="preserve">Разходите за служителите от Дирекция „Морско дело и рибарство“ </w:t>
      </w:r>
      <w:r w:rsidRPr="00101F9C">
        <w:rPr>
          <w:rFonts w:ascii="Times New Roman" w:hAnsi="Times New Roman" w:cs="Times New Roman"/>
          <w:sz w:val="24"/>
          <w:szCs w:val="24"/>
          <w:lang w:val="en-US"/>
        </w:rPr>
        <w:t xml:space="preserve">– </w:t>
      </w:r>
      <w:r w:rsidR="00740DE3">
        <w:rPr>
          <w:rFonts w:ascii="Times New Roman" w:hAnsi="Times New Roman" w:cs="Times New Roman"/>
          <w:sz w:val="24"/>
          <w:szCs w:val="24"/>
        </w:rPr>
        <w:t xml:space="preserve">УО </w:t>
      </w:r>
      <w:r w:rsidRPr="00101F9C">
        <w:rPr>
          <w:rFonts w:ascii="Times New Roman" w:hAnsi="Times New Roman" w:cs="Times New Roman"/>
          <w:sz w:val="24"/>
          <w:szCs w:val="24"/>
        </w:rPr>
        <w:t>се възстановяват в размер до 80%.</w:t>
      </w:r>
      <w:r w:rsidRPr="00E85710">
        <w:rPr>
          <w:rFonts w:ascii="Times New Roman" w:hAnsi="Times New Roman" w:cs="Times New Roman"/>
          <w:sz w:val="24"/>
          <w:szCs w:val="24"/>
        </w:rPr>
        <w:t xml:space="preserve"> </w:t>
      </w:r>
    </w:p>
    <w:p w14:paraId="63E4263F" w14:textId="428362AF" w:rsidR="00BB3C64" w:rsidRDefault="00220BD7" w:rsidP="00101F9C">
      <w:pPr>
        <w:pStyle w:val="ListParagraph"/>
        <w:spacing w:before="225" w:after="0" w:line="255" w:lineRule="atLeast"/>
        <w:ind w:left="0"/>
        <w:jc w:val="both"/>
        <w:rPr>
          <w:rFonts w:ascii="Times New Roman" w:hAnsi="Times New Roman" w:cs="Times New Roman"/>
          <w:sz w:val="24"/>
          <w:szCs w:val="24"/>
        </w:rPr>
      </w:pPr>
      <w:r>
        <w:rPr>
          <w:rFonts w:ascii="Times New Roman" w:hAnsi="Times New Roman" w:cs="Times New Roman"/>
          <w:sz w:val="24"/>
          <w:szCs w:val="24"/>
        </w:rPr>
        <w:t>Р</w:t>
      </w:r>
      <w:r w:rsidR="00101F9C" w:rsidRPr="00E85710">
        <w:rPr>
          <w:rFonts w:ascii="Times New Roman" w:hAnsi="Times New Roman" w:cs="Times New Roman"/>
          <w:sz w:val="24"/>
          <w:szCs w:val="24"/>
        </w:rPr>
        <w:t>азходите за брутни заплати и възнаграждения, и за обезщетения, изплатени от осигурителя за дните на временна неработоспособност съгласно Кодекса за социално осигуряване, на служителите на Изпълнителна агенция „Сертификационен одит на средствата от европейските земеделски фондове“, както и разходите за задължителни социални и здравни осигурителни вноски за сметка на осигурителя за тези служители се възстановяват от бюджета на ПМДР в размер на 100% от тези разходи.</w:t>
      </w:r>
    </w:p>
    <w:p w14:paraId="456DA76B" w14:textId="77777777" w:rsidR="00BB3C64" w:rsidRDefault="00BB3C64" w:rsidP="00101F9C">
      <w:pPr>
        <w:pStyle w:val="ListParagraph"/>
        <w:spacing w:before="225" w:after="0" w:line="255" w:lineRule="atLeast"/>
        <w:ind w:left="0"/>
        <w:jc w:val="both"/>
        <w:rPr>
          <w:rFonts w:ascii="Times New Roman" w:hAnsi="Times New Roman" w:cs="Times New Roman"/>
          <w:sz w:val="24"/>
          <w:szCs w:val="24"/>
        </w:rPr>
      </w:pPr>
    </w:p>
    <w:p w14:paraId="16B98E4D" w14:textId="1F5FC7E3" w:rsidR="00101F9C" w:rsidRPr="00BB3C64" w:rsidRDefault="00BB3C64" w:rsidP="00BB3C64">
      <w:pPr>
        <w:pStyle w:val="Text2"/>
        <w:spacing w:after="0"/>
        <w:ind w:left="0"/>
      </w:pPr>
      <w:r w:rsidRPr="00097CFE">
        <w:t xml:space="preserve">Разходите за допълнителни възнаграждения и разходите за задължителни социални и здравни вноски за сметка на осигурителя на служителите на </w:t>
      </w:r>
      <w:r>
        <w:t>дирекция „Вътрешен одит“ към МЗХГ</w:t>
      </w:r>
      <w:r w:rsidRPr="00BB3C64">
        <w:t xml:space="preserve"> се възстановяват от бю</w:t>
      </w:r>
      <w:r w:rsidR="00AE0371">
        <w:t>джета на ПМДР в размер на 40 % на база начислена заплата за съответния месец</w:t>
      </w:r>
      <w:r w:rsidRPr="00BB3C64">
        <w:t>.</w:t>
      </w:r>
    </w:p>
    <w:p w14:paraId="6794ED99" w14:textId="1150CB4D" w:rsidR="0006532B" w:rsidRDefault="0006532B" w:rsidP="0024544D">
      <w:pPr>
        <w:spacing w:before="225" w:after="0" w:line="255" w:lineRule="atLeast"/>
        <w:jc w:val="both"/>
        <w:rPr>
          <w:rFonts w:ascii="Times New Roman" w:hAnsi="Times New Roman" w:cs="Times New Roman"/>
          <w:sz w:val="24"/>
          <w:szCs w:val="24"/>
          <w:lang w:eastAsia="bg-BG"/>
        </w:rPr>
      </w:pPr>
      <w:r w:rsidRPr="00097CFE">
        <w:rPr>
          <w:rFonts w:ascii="Times New Roman" w:hAnsi="Times New Roman" w:cs="Times New Roman"/>
          <w:b/>
          <w:bCs/>
          <w:sz w:val="24"/>
          <w:szCs w:val="24"/>
        </w:rPr>
        <w:t>ВАЖНО!!!</w:t>
      </w:r>
      <w:r w:rsidRPr="00097CFE">
        <w:rPr>
          <w:rFonts w:ascii="Times New Roman" w:hAnsi="Times New Roman" w:cs="Times New Roman"/>
          <w:sz w:val="24"/>
          <w:szCs w:val="24"/>
          <w:lang w:eastAsia="bg-BG"/>
        </w:rPr>
        <w:t xml:space="preserve"> Разходите за допълнителни възнаграждения</w:t>
      </w:r>
      <w:r w:rsidRPr="00097CFE">
        <w:rPr>
          <w:rFonts w:ascii="Times New Roman" w:hAnsi="Times New Roman" w:cs="Times New Roman"/>
          <w:sz w:val="24"/>
          <w:szCs w:val="24"/>
        </w:rPr>
        <w:t xml:space="preserve"> и разходите за задължителни социални и здравни вноски за сметка на осигурителя се</w:t>
      </w:r>
      <w:r w:rsidRPr="00097CFE">
        <w:rPr>
          <w:rFonts w:ascii="Times New Roman" w:hAnsi="Times New Roman" w:cs="Times New Roman"/>
          <w:sz w:val="24"/>
          <w:szCs w:val="24"/>
          <w:lang w:eastAsia="bg-BG"/>
        </w:rPr>
        <w:t xml:space="preserve"> възстановяват от бюджета на ПМДР в размер на 100 % от тези разходи. </w:t>
      </w:r>
    </w:p>
    <w:p w14:paraId="0DB43482" w14:textId="77777777" w:rsidR="00487E09" w:rsidRDefault="00487E09" w:rsidP="0024544D">
      <w:pPr>
        <w:spacing w:before="225" w:after="0" w:line="255" w:lineRule="atLeast"/>
        <w:jc w:val="both"/>
        <w:rPr>
          <w:rFonts w:ascii="Times New Roman" w:hAnsi="Times New Roman" w:cs="Times New Roman"/>
          <w:sz w:val="24"/>
          <w:szCs w:val="24"/>
          <w:lang w:eastAsia="bg-BG"/>
        </w:rPr>
      </w:pPr>
    </w:p>
    <w:p w14:paraId="576BE750" w14:textId="63940583" w:rsidR="0006532B" w:rsidRPr="00097CFE" w:rsidRDefault="00563058" w:rsidP="00506351">
      <w:pPr>
        <w:spacing w:before="345" w:after="0" w:line="270" w:lineRule="atLeast"/>
        <w:rPr>
          <w:rFonts w:ascii="Times New Roman" w:hAnsi="Times New Roman" w:cs="Times New Roman"/>
          <w:b/>
          <w:bCs/>
          <w:sz w:val="24"/>
          <w:szCs w:val="24"/>
          <w:lang w:val="ru-RU" w:eastAsia="bg-BG"/>
        </w:rPr>
      </w:pPr>
      <w:r w:rsidRPr="00563058">
        <w:rPr>
          <w:rFonts w:ascii="Times New Roman" w:hAnsi="Times New Roman" w:cs="Times New Roman"/>
          <w:b/>
          <w:bCs/>
          <w:sz w:val="24"/>
          <w:szCs w:val="24"/>
        </w:rPr>
        <w:lastRenderedPageBreak/>
        <w:t xml:space="preserve">ВАЖНО!!! По преценка на УО на ПМДР, в бюджетна линия с конкретен бенефициент дирекция „Морско дело и рибарство“ могат да бъдат включени и разходи за допълнителни възнаграждения и задължителни социални и здравни вноски за сметка на осигурителя на служители на МЗХГ извън дирекция „Морско дело и рибарство“, осъществяващи програмиране, изпълнение, мониторинг, контрол и оценка на ПМДР. </w:t>
      </w:r>
      <w:r w:rsidR="00162784" w:rsidRPr="00162784">
        <w:rPr>
          <w:rFonts w:ascii="Times New Roman" w:hAnsi="Times New Roman" w:cs="Times New Roman"/>
          <w:b/>
          <w:bCs/>
          <w:sz w:val="24"/>
          <w:szCs w:val="24"/>
        </w:rPr>
        <w:t>Същите следва да са работили през съответните месеци, за които се отчита дейност, при минимум 50% заетост свързана с ПМДР.</w:t>
      </w:r>
      <w:r w:rsidR="0006532B" w:rsidRPr="00097CFE">
        <w:rPr>
          <w:rFonts w:ascii="Times New Roman" w:hAnsi="Times New Roman" w:cs="Times New Roman"/>
          <w:b/>
          <w:bCs/>
          <w:sz w:val="24"/>
          <w:szCs w:val="24"/>
          <w:lang w:eastAsia="bg-BG"/>
        </w:rPr>
        <w:t>Разходи за обучения на служителите на кандидатите по процедурата:</w:t>
      </w:r>
    </w:p>
    <w:p w14:paraId="6195D502" w14:textId="77777777" w:rsidR="0006532B" w:rsidRPr="002A3D66" w:rsidRDefault="0006532B" w:rsidP="003E11B4">
      <w:pPr>
        <w:pStyle w:val="ListParagraph"/>
        <w:numPr>
          <w:ilvl w:val="0"/>
          <w:numId w:val="16"/>
        </w:numPr>
        <w:spacing w:before="7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организиране, провеждане и участие (включително командировъчни и такси) в обучения на служителите от органите, ангажирани с прилагането на ПМДР (работни срещи, семинари, обмен на добри практики и опит и др.) с оглед ефективното и ефикасно у</w:t>
      </w:r>
      <w:r w:rsidR="00740DE3">
        <w:rPr>
          <w:rFonts w:ascii="Times New Roman" w:hAnsi="Times New Roman" w:cs="Times New Roman"/>
          <w:sz w:val="24"/>
          <w:szCs w:val="24"/>
        </w:rPr>
        <w:t>правление и изпълнение на  ПМДР</w:t>
      </w:r>
      <w:r w:rsidRPr="00097CFE">
        <w:rPr>
          <w:rFonts w:ascii="Times New Roman" w:hAnsi="Times New Roman" w:cs="Times New Roman"/>
          <w:sz w:val="24"/>
          <w:szCs w:val="24"/>
        </w:rPr>
        <w:t>.</w:t>
      </w:r>
    </w:p>
    <w:p w14:paraId="4C198B9C" w14:textId="77777777" w:rsidR="002A3D66" w:rsidRPr="00E22898" w:rsidRDefault="002A3D66" w:rsidP="002A3D66">
      <w:pPr>
        <w:pStyle w:val="ListParagraph"/>
        <w:tabs>
          <w:tab w:val="left" w:pos="0"/>
        </w:tabs>
        <w:spacing w:before="240" w:after="0" w:line="270" w:lineRule="atLeast"/>
        <w:ind w:left="0"/>
        <w:jc w:val="both"/>
        <w:rPr>
          <w:rFonts w:ascii="Times New Roman" w:hAnsi="Times New Roman" w:cs="Times New Roman"/>
          <w:sz w:val="24"/>
          <w:szCs w:val="24"/>
        </w:rPr>
      </w:pPr>
    </w:p>
    <w:p w14:paraId="0B0DD05E" w14:textId="77777777" w:rsidR="0006532B" w:rsidRPr="00097CFE" w:rsidRDefault="0006532B" w:rsidP="003E11B4">
      <w:pPr>
        <w:spacing w:before="315" w:after="0" w:line="270" w:lineRule="atLeast"/>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ВАЖНО!!!</w:t>
      </w:r>
    </w:p>
    <w:p w14:paraId="2BFF60D2" w14:textId="77777777" w:rsidR="0006532B" w:rsidRPr="00097CFE" w:rsidRDefault="0006532B" w:rsidP="003E11B4">
      <w:pPr>
        <w:spacing w:before="105"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 xml:space="preserve">При подготовката на финансовия план за бюджетна линия конкретният бенефициент следва да има предвид, че планираните разходи се представят по отделно за всяка от предвидените за изпълнение дейности, за периода на финансиране. </w:t>
      </w:r>
    </w:p>
    <w:p w14:paraId="7F321461" w14:textId="77777777" w:rsidR="0006532B" w:rsidRPr="00097CFE" w:rsidRDefault="0006532B" w:rsidP="003E11B4">
      <w:pPr>
        <w:spacing w:before="45"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 случаите, когато се предвижда възлагането на дейности по реда на Закона за обществените поръчки, при изготвянето на финансовия план е необходимо да се вземат предвид нормативните срокове за възлагането, включително и за осъществяване на контрол от страна на УО на ПМДР.</w:t>
      </w:r>
    </w:p>
    <w:p w14:paraId="3F44C101" w14:textId="77777777" w:rsidR="0006532B" w:rsidRPr="00097CFE" w:rsidRDefault="0006532B" w:rsidP="003E11B4">
      <w:pPr>
        <w:spacing w:before="60" w:after="0" w:line="270"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Финансовият план, трябва да включва единствено разходи, кореспондиращи на дейност/и или част от дейност/и, посочена/и в т. 8 „Допустими дейности“ от настоящите Условия в съответствие с допустимите разходи по т.</w:t>
      </w:r>
      <w:r w:rsidR="001D30C2">
        <w:rPr>
          <w:rFonts w:ascii="Times New Roman" w:hAnsi="Times New Roman" w:cs="Times New Roman"/>
          <w:b/>
          <w:bCs/>
          <w:sz w:val="24"/>
          <w:szCs w:val="24"/>
          <w:lang w:eastAsia="bg-BG"/>
        </w:rPr>
        <w:t xml:space="preserve"> </w:t>
      </w:r>
      <w:r w:rsidRPr="00097CFE">
        <w:rPr>
          <w:rFonts w:ascii="Times New Roman" w:hAnsi="Times New Roman" w:cs="Times New Roman"/>
          <w:b/>
          <w:bCs/>
          <w:sz w:val="24"/>
          <w:szCs w:val="24"/>
          <w:lang w:eastAsia="bg-BG"/>
        </w:rPr>
        <w:t>10.</w:t>
      </w:r>
    </w:p>
    <w:p w14:paraId="4BAD0F44" w14:textId="5ACDA85F" w:rsidR="0006532B" w:rsidRPr="00097CFE" w:rsidRDefault="0006532B" w:rsidP="003E11B4">
      <w:pPr>
        <w:spacing w:before="45" w:after="0" w:line="255"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 xml:space="preserve">За всяка от планираните дейности бенефициентът следва да представи необходимата обосновка за нейното реализиране, като попълни информация в </w:t>
      </w:r>
      <w:r w:rsidR="002C66BE">
        <w:rPr>
          <w:rFonts w:ascii="Times New Roman" w:hAnsi="Times New Roman" w:cs="Times New Roman"/>
          <w:b/>
          <w:bCs/>
          <w:sz w:val="24"/>
          <w:szCs w:val="24"/>
          <w:lang w:eastAsia="bg-BG"/>
        </w:rPr>
        <w:t>Приложение 1А „Финансова обосновка</w:t>
      </w:r>
      <w:r w:rsidR="007D448F">
        <w:rPr>
          <w:rFonts w:ascii="Times New Roman" w:hAnsi="Times New Roman" w:cs="Times New Roman"/>
          <w:b/>
          <w:bCs/>
          <w:sz w:val="24"/>
          <w:szCs w:val="24"/>
          <w:lang w:eastAsia="bg-BG"/>
        </w:rPr>
        <w:t>“</w:t>
      </w:r>
      <w:r w:rsidRPr="00097CFE">
        <w:rPr>
          <w:rFonts w:ascii="Times New Roman" w:hAnsi="Times New Roman" w:cs="Times New Roman"/>
          <w:b/>
          <w:bCs/>
          <w:sz w:val="24"/>
          <w:szCs w:val="24"/>
          <w:lang w:eastAsia="bg-BG"/>
        </w:rPr>
        <w:t>. Обосновката включва и финансова аргументация за начина на изчисляване на общата стойност на планираните разходи с оглед обосноваване на реалистично планиране на включената дейност.</w:t>
      </w:r>
    </w:p>
    <w:p w14:paraId="492F7D9E" w14:textId="77777777" w:rsidR="0006532B" w:rsidRPr="00097CFE" w:rsidRDefault="0006532B" w:rsidP="003E11B4">
      <w:pPr>
        <w:spacing w:before="435" w:after="0" w:line="270" w:lineRule="atLeast"/>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ВАЖНО!!!</w:t>
      </w:r>
    </w:p>
    <w:p w14:paraId="3DF2EF0A" w14:textId="77777777" w:rsidR="0006532B" w:rsidRPr="00097CFE" w:rsidRDefault="0006532B" w:rsidP="003E11B4">
      <w:pPr>
        <w:spacing w:before="90" w:after="0" w:line="285" w:lineRule="atLeast"/>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Всички документи по настоящата процедура се подават, съгласно т. 16 от настоящите Условия.</w:t>
      </w:r>
    </w:p>
    <w:p w14:paraId="2BC927E7" w14:textId="77777777" w:rsidR="0006532B" w:rsidRPr="00097CFE" w:rsidRDefault="0006532B" w:rsidP="003E11B4">
      <w:pPr>
        <w:spacing w:before="90" w:after="0" w:line="285" w:lineRule="atLeast"/>
        <w:jc w:val="both"/>
        <w:rPr>
          <w:rFonts w:ascii="Times New Roman" w:hAnsi="Times New Roman" w:cs="Times New Roman"/>
          <w:b/>
          <w:bCs/>
          <w:sz w:val="24"/>
          <w:szCs w:val="24"/>
          <w:lang w:eastAsia="bg-BG"/>
        </w:rPr>
      </w:pPr>
    </w:p>
    <w:p w14:paraId="5F0C9784" w14:textId="77777777" w:rsidR="0006532B" w:rsidRPr="00097CFE" w:rsidRDefault="0006532B" w:rsidP="00870B9A">
      <w:pPr>
        <w:pStyle w:val="ListParagraph"/>
        <w:numPr>
          <w:ilvl w:val="1"/>
          <w:numId w:val="20"/>
        </w:numPr>
        <w:pBdr>
          <w:top w:val="single" w:sz="4" w:space="3" w:color="auto"/>
          <w:left w:val="single" w:sz="4" w:space="4" w:color="auto"/>
          <w:bottom w:val="single" w:sz="4" w:space="1" w:color="auto"/>
          <w:right w:val="single" w:sz="4" w:space="4" w:color="auto"/>
        </w:pBdr>
        <w:shd w:val="clear" w:color="auto" w:fill="95B3D7"/>
        <w:rPr>
          <w:rFonts w:ascii="Times New Roman Bold" w:hAnsi="Times New Roman Bold" w:cs="Times New Roman Bold"/>
          <w:b/>
          <w:bCs/>
          <w:caps/>
          <w:sz w:val="24"/>
          <w:szCs w:val="24"/>
        </w:rPr>
      </w:pPr>
      <w:r w:rsidRPr="00097CFE">
        <w:rPr>
          <w:rFonts w:ascii="Times New Roman" w:hAnsi="Times New Roman" w:cs="Times New Roman"/>
          <w:b/>
          <w:bCs/>
          <w:sz w:val="24"/>
          <w:szCs w:val="24"/>
        </w:rPr>
        <w:t xml:space="preserve"> НЕДОПУСТИМИ РАЗХОДИ </w:t>
      </w:r>
    </w:p>
    <w:p w14:paraId="011D918D" w14:textId="77777777" w:rsidR="0006532B" w:rsidRPr="00097CFE" w:rsidRDefault="0006532B" w:rsidP="00870B9A">
      <w:pPr>
        <w:spacing w:before="60" w:after="0" w:line="270" w:lineRule="atLeast"/>
        <w:jc w:val="both"/>
        <w:rPr>
          <w:rFonts w:ascii="Times New Roman" w:hAnsi="Times New Roman" w:cs="Times New Roman"/>
          <w:sz w:val="24"/>
          <w:szCs w:val="24"/>
          <w:lang w:eastAsia="bg-BG"/>
        </w:rPr>
      </w:pPr>
      <w:r w:rsidRPr="00097CFE">
        <w:rPr>
          <w:rFonts w:ascii="Times New Roman" w:hAnsi="Times New Roman" w:cs="Times New Roman"/>
          <w:b/>
          <w:bCs/>
          <w:sz w:val="24"/>
          <w:szCs w:val="24"/>
          <w:lang w:eastAsia="bg-BG"/>
        </w:rPr>
        <w:t>Недопустими за финансиране по настоящата процедура са следните разходи:</w:t>
      </w:r>
    </w:p>
    <w:p w14:paraId="66658598" w14:textId="77777777" w:rsidR="0006532B" w:rsidRPr="00097CFE" w:rsidRDefault="0006532B" w:rsidP="00FC123B">
      <w:pPr>
        <w:pStyle w:val="ListParagraph"/>
        <w:numPr>
          <w:ilvl w:val="0"/>
          <w:numId w:val="17"/>
        </w:numPr>
        <w:spacing w:before="6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w:t>
      </w:r>
    </w:p>
    <w:p w14:paraId="5FC2FAF9" w14:textId="77777777" w:rsidR="0006532B" w:rsidRPr="00097CFE" w:rsidRDefault="0006532B" w:rsidP="00FC123B">
      <w:pPr>
        <w:pStyle w:val="ListParagraph"/>
        <w:numPr>
          <w:ilvl w:val="0"/>
          <w:numId w:val="17"/>
        </w:numPr>
        <w:spacing w:before="30"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глоби, финансови санкции и разходи за разрешаване на спорове;</w:t>
      </w:r>
    </w:p>
    <w:p w14:paraId="56231732" w14:textId="77777777" w:rsidR="0006532B" w:rsidRPr="00097CFE" w:rsidRDefault="0006532B" w:rsidP="00FC123B">
      <w:pPr>
        <w:pStyle w:val="ListParagraph"/>
        <w:numPr>
          <w:ilvl w:val="0"/>
          <w:numId w:val="17"/>
        </w:numPr>
        <w:spacing w:before="7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комисионите и загубите от курсови разлики при обмяна на чужда валута;</w:t>
      </w:r>
    </w:p>
    <w:p w14:paraId="1B3DB2DB" w14:textId="77777777" w:rsidR="0006532B" w:rsidRPr="00097CFE" w:rsidRDefault="0006532B" w:rsidP="00FC123B">
      <w:pPr>
        <w:pStyle w:val="ListParagraph"/>
        <w:numPr>
          <w:ilvl w:val="0"/>
          <w:numId w:val="17"/>
        </w:numPr>
        <w:spacing w:before="7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rPr>
        <w:t>данък върху добавената стойност, освен когато не е възстановим;</w:t>
      </w:r>
    </w:p>
    <w:p w14:paraId="29033F4C" w14:textId="77777777" w:rsidR="0006532B" w:rsidRPr="00097CFE" w:rsidRDefault="0006532B" w:rsidP="00FC123B">
      <w:pPr>
        <w:pStyle w:val="ListParagraph"/>
        <w:numPr>
          <w:ilvl w:val="0"/>
          <w:numId w:val="17"/>
        </w:numPr>
        <w:spacing w:before="7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lastRenderedPageBreak/>
        <w:t>разходите за гаранции, осигурени от банка или от друга финансова институция, с изключение на разходите по финансови инструменти;</w:t>
      </w:r>
    </w:p>
    <w:p w14:paraId="7CA001E0" w14:textId="77777777" w:rsidR="0006532B" w:rsidRPr="00097CFE" w:rsidRDefault="0006532B" w:rsidP="00FC123B">
      <w:pPr>
        <w:pStyle w:val="ListParagraph"/>
        <w:numPr>
          <w:ilvl w:val="0"/>
          <w:numId w:val="17"/>
        </w:numPr>
        <w:spacing w:before="30"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лихви по дългове</w:t>
      </w:r>
      <w:r w:rsidR="00E5591B">
        <w:rPr>
          <w:rFonts w:ascii="Times New Roman" w:hAnsi="Times New Roman" w:cs="Times New Roman"/>
          <w:sz w:val="24"/>
          <w:szCs w:val="24"/>
        </w:rPr>
        <w:t>;</w:t>
      </w:r>
    </w:p>
    <w:p w14:paraId="2174E237" w14:textId="77777777" w:rsidR="0006532B" w:rsidRPr="00097CFE" w:rsidRDefault="0006532B" w:rsidP="00FC123B">
      <w:pPr>
        <w:pStyle w:val="ListParagraph"/>
        <w:numPr>
          <w:ilvl w:val="0"/>
          <w:numId w:val="17"/>
        </w:numPr>
        <w:spacing w:before="4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субсидиране на лихва по одобрени схеми за държавни помощи и разноските за финансови транзакции;</w:t>
      </w:r>
    </w:p>
    <w:p w14:paraId="1C172AEE" w14:textId="77777777" w:rsidR="0006532B" w:rsidRPr="00097CFE" w:rsidRDefault="0006532B" w:rsidP="00FC123B">
      <w:pPr>
        <w:pStyle w:val="ListParagraph"/>
        <w:numPr>
          <w:ilvl w:val="0"/>
          <w:numId w:val="17"/>
        </w:numPr>
        <w:spacing w:before="45" w:after="0" w:line="270" w:lineRule="atLeast"/>
        <w:jc w:val="both"/>
        <w:rPr>
          <w:rFonts w:ascii="Times New Roman" w:hAnsi="Times New Roman" w:cs="Times New Roman"/>
          <w:sz w:val="24"/>
          <w:szCs w:val="24"/>
        </w:rPr>
      </w:pPr>
      <w:r w:rsidRPr="00097CFE">
        <w:rPr>
          <w:rFonts w:ascii="Times New Roman" w:hAnsi="Times New Roman" w:cs="Times New Roman"/>
          <w:sz w:val="24"/>
          <w:szCs w:val="24"/>
        </w:rPr>
        <w:t>разходи за консултантски услуги, свързани с подготовката и/или попълването на документите за кандидатстване по настоящата процедура;</w:t>
      </w:r>
    </w:p>
    <w:p w14:paraId="3FD6A2DC" w14:textId="77777777" w:rsidR="0006532B" w:rsidRPr="00097CFE" w:rsidRDefault="00740DE3" w:rsidP="00FC123B">
      <w:pPr>
        <w:pStyle w:val="ListParagraph"/>
        <w:numPr>
          <w:ilvl w:val="0"/>
          <w:numId w:val="17"/>
        </w:num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р</w:t>
      </w:r>
      <w:r w:rsidR="0006532B" w:rsidRPr="00097CFE">
        <w:rPr>
          <w:rFonts w:ascii="Times New Roman" w:hAnsi="Times New Roman" w:cs="Times New Roman"/>
          <w:sz w:val="24"/>
          <w:szCs w:val="24"/>
          <w:lang w:eastAsia="en-GB"/>
        </w:rPr>
        <w:t>азходи за дълготрайни активи втора употреба;</w:t>
      </w:r>
    </w:p>
    <w:p w14:paraId="2832A6D1" w14:textId="1EC11EA7" w:rsidR="0006532B" w:rsidRPr="00097CFE" w:rsidRDefault="00536D99" w:rsidP="00FC123B">
      <w:pPr>
        <w:pStyle w:val="ListParagraph"/>
        <w:numPr>
          <w:ilvl w:val="0"/>
          <w:numId w:val="17"/>
        </w:num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п</w:t>
      </w:r>
      <w:r w:rsidR="0006532B" w:rsidRPr="00097CFE">
        <w:rPr>
          <w:rFonts w:ascii="Times New Roman" w:hAnsi="Times New Roman" w:cs="Times New Roman"/>
          <w:sz w:val="24"/>
          <w:szCs w:val="24"/>
          <w:lang w:eastAsia="en-GB"/>
        </w:rPr>
        <w:t>ринос в натура;</w:t>
      </w:r>
    </w:p>
    <w:p w14:paraId="3A36720C" w14:textId="77777777" w:rsidR="0006532B" w:rsidRPr="00097CFE" w:rsidRDefault="00740DE3" w:rsidP="00FC123B">
      <w:pPr>
        <w:pStyle w:val="ListParagraph"/>
        <w:numPr>
          <w:ilvl w:val="0"/>
          <w:numId w:val="17"/>
        </w:num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р</w:t>
      </w:r>
      <w:r w:rsidR="0006532B" w:rsidRPr="00097CFE">
        <w:rPr>
          <w:rFonts w:ascii="Times New Roman" w:hAnsi="Times New Roman" w:cs="Times New Roman"/>
          <w:sz w:val="24"/>
          <w:szCs w:val="24"/>
          <w:lang w:eastAsia="en-GB"/>
        </w:rPr>
        <w:t>азходи за строително-монтажни дейности;</w:t>
      </w:r>
    </w:p>
    <w:p w14:paraId="55C21332" w14:textId="77777777" w:rsidR="0006532B" w:rsidRPr="00097CFE" w:rsidRDefault="00740DE3" w:rsidP="00FC123B">
      <w:pPr>
        <w:pStyle w:val="ListParagraph"/>
        <w:numPr>
          <w:ilvl w:val="0"/>
          <w:numId w:val="17"/>
        </w:num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р</w:t>
      </w:r>
      <w:r w:rsidR="0006532B" w:rsidRPr="00097CFE">
        <w:rPr>
          <w:rFonts w:ascii="Times New Roman" w:hAnsi="Times New Roman" w:cs="Times New Roman"/>
          <w:sz w:val="24"/>
          <w:szCs w:val="24"/>
          <w:lang w:eastAsia="en-GB"/>
        </w:rPr>
        <w:t>азходи за закупуване на инфраструктура, земя и недвижимо имущество;</w:t>
      </w:r>
    </w:p>
    <w:p w14:paraId="11674108" w14:textId="77777777" w:rsidR="0006532B" w:rsidRPr="00097CFE" w:rsidRDefault="00740DE3" w:rsidP="00FC123B">
      <w:pPr>
        <w:pStyle w:val="ListParagraph"/>
        <w:numPr>
          <w:ilvl w:val="0"/>
          <w:numId w:val="17"/>
        </w:num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р</w:t>
      </w:r>
      <w:r w:rsidR="0006532B" w:rsidRPr="00097CFE">
        <w:rPr>
          <w:rFonts w:ascii="Times New Roman" w:hAnsi="Times New Roman" w:cs="Times New Roman"/>
          <w:sz w:val="24"/>
          <w:szCs w:val="24"/>
          <w:lang w:eastAsia="en-GB"/>
        </w:rPr>
        <w:t xml:space="preserve">азходи за лизинг; </w:t>
      </w:r>
    </w:p>
    <w:p w14:paraId="4136778B" w14:textId="77777777" w:rsidR="0006532B" w:rsidRPr="00097CFE" w:rsidRDefault="00740DE3" w:rsidP="00FC123B">
      <w:pPr>
        <w:pStyle w:val="ListParagraph"/>
        <w:numPr>
          <w:ilvl w:val="0"/>
          <w:numId w:val="17"/>
        </w:numPr>
        <w:spacing w:after="0"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р</w:t>
      </w:r>
      <w:r w:rsidR="0006532B" w:rsidRPr="00097CFE">
        <w:rPr>
          <w:rFonts w:ascii="Times New Roman" w:hAnsi="Times New Roman" w:cs="Times New Roman"/>
          <w:sz w:val="24"/>
          <w:szCs w:val="24"/>
          <w:lang w:eastAsia="en-GB"/>
        </w:rPr>
        <w:t>азходи за банкови такси и комисионни;</w:t>
      </w:r>
    </w:p>
    <w:p w14:paraId="6194ECB5" w14:textId="77777777" w:rsidR="0006532B" w:rsidRPr="00097CFE" w:rsidRDefault="00740DE3" w:rsidP="00FC123B">
      <w:pPr>
        <w:pStyle w:val="ListParagraph"/>
        <w:numPr>
          <w:ilvl w:val="0"/>
          <w:numId w:val="17"/>
        </w:numPr>
        <w:spacing w:after="0" w:line="24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в</w:t>
      </w:r>
      <w:r w:rsidR="0006532B" w:rsidRPr="00097CFE">
        <w:rPr>
          <w:rFonts w:ascii="Times New Roman" w:hAnsi="Times New Roman" w:cs="Times New Roman"/>
          <w:sz w:val="24"/>
          <w:szCs w:val="24"/>
          <w:lang w:eastAsia="en-GB"/>
        </w:rPr>
        <w:t>сички разходи, които не са пряко свързани с допустимите дейности по настоящата процедура, вкл. разходи, които не са планирани в бюджета и финансовия план;</w:t>
      </w:r>
    </w:p>
    <w:p w14:paraId="2949B419" w14:textId="77777777" w:rsidR="0006532B" w:rsidRDefault="0006532B" w:rsidP="003E11B4">
      <w:pPr>
        <w:spacing w:after="120" w:line="240" w:lineRule="auto"/>
        <w:jc w:val="both"/>
        <w:rPr>
          <w:rFonts w:ascii="Times New Roman" w:hAnsi="Times New Roman" w:cs="Times New Roman"/>
          <w:sz w:val="24"/>
          <w:szCs w:val="24"/>
          <w:lang w:eastAsia="en-GB"/>
        </w:rPr>
      </w:pPr>
    </w:p>
    <w:p w14:paraId="0B8EDC7B" w14:textId="77777777" w:rsidR="00740DE3" w:rsidRPr="00097CFE" w:rsidRDefault="00740DE3" w:rsidP="003E11B4">
      <w:pPr>
        <w:spacing w:after="120" w:line="240" w:lineRule="auto"/>
        <w:jc w:val="both"/>
        <w:rPr>
          <w:rFonts w:ascii="Times New Roman" w:hAnsi="Times New Roman" w:cs="Times New Roman"/>
          <w:sz w:val="24"/>
          <w:szCs w:val="24"/>
          <w:lang w:eastAsia="en-GB"/>
        </w:rPr>
      </w:pPr>
    </w:p>
    <w:p w14:paraId="02AD1369" w14:textId="77777777" w:rsidR="004570E4" w:rsidRDefault="0006532B" w:rsidP="00CC0206">
      <w:pPr>
        <w:spacing w:before="225" w:after="0" w:line="255" w:lineRule="atLeast"/>
        <w:jc w:val="both"/>
        <w:rPr>
          <w:rFonts w:ascii="Times New Roman" w:hAnsi="Times New Roman" w:cs="Times New Roman"/>
          <w:sz w:val="24"/>
          <w:szCs w:val="24"/>
          <w:lang w:eastAsia="en-GB"/>
        </w:rPr>
      </w:pPr>
      <w:r w:rsidRPr="00763E3F">
        <w:rPr>
          <w:rFonts w:ascii="Times New Roman" w:hAnsi="Times New Roman" w:cs="Times New Roman"/>
          <w:b/>
          <w:sz w:val="24"/>
          <w:szCs w:val="24"/>
          <w:lang w:eastAsia="en-GB"/>
        </w:rPr>
        <w:t>ВАЖНО!</w:t>
      </w:r>
      <w:r w:rsidRPr="00097CFE">
        <w:rPr>
          <w:rFonts w:ascii="Times New Roman" w:hAnsi="Times New Roman" w:cs="Times New Roman"/>
          <w:sz w:val="24"/>
          <w:szCs w:val="24"/>
          <w:lang w:eastAsia="en-GB"/>
        </w:rPr>
        <w:t xml:space="preserve"> </w:t>
      </w:r>
    </w:p>
    <w:p w14:paraId="44CE4383" w14:textId="71C1B3D9" w:rsidR="0006532B" w:rsidRPr="00097CFE" w:rsidRDefault="009734AB" w:rsidP="00CC0206">
      <w:pPr>
        <w:spacing w:before="225" w:after="0" w:line="255" w:lineRule="atLeast"/>
        <w:jc w:val="both"/>
        <w:rPr>
          <w:rFonts w:ascii="Times New Roman" w:hAnsi="Times New Roman" w:cs="Times New Roman"/>
          <w:sz w:val="24"/>
          <w:szCs w:val="24"/>
          <w:lang w:eastAsia="bg-BG"/>
        </w:rPr>
      </w:pPr>
      <w:r w:rsidRPr="00097CFE">
        <w:rPr>
          <w:rFonts w:ascii="Times New Roman" w:hAnsi="Times New Roman" w:cs="Times New Roman"/>
          <w:sz w:val="24"/>
          <w:szCs w:val="24"/>
          <w:lang w:eastAsia="en-GB"/>
        </w:rPr>
        <w:t xml:space="preserve">Допустими </w:t>
      </w:r>
      <w:r w:rsidR="0006532B" w:rsidRPr="00097CFE">
        <w:rPr>
          <w:rFonts w:ascii="Times New Roman" w:hAnsi="Times New Roman" w:cs="Times New Roman"/>
          <w:sz w:val="24"/>
          <w:szCs w:val="24"/>
          <w:lang w:eastAsia="en-GB"/>
        </w:rPr>
        <w:t xml:space="preserve">за финансиране разходи, свързани с дейности, които са били физически завършени или изцяло осъществени преди подаването на финансовия план от страна на кандидата до </w:t>
      </w:r>
      <w:r w:rsidR="00740DE3">
        <w:rPr>
          <w:rFonts w:ascii="Times New Roman" w:hAnsi="Times New Roman" w:cs="Times New Roman"/>
          <w:sz w:val="24"/>
          <w:szCs w:val="24"/>
          <w:lang w:eastAsia="en-GB"/>
        </w:rPr>
        <w:t>УО</w:t>
      </w:r>
      <w:r w:rsidR="0006532B" w:rsidRPr="00097CFE">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считано единствено от 01.01.</w:t>
      </w:r>
      <w:r w:rsidR="00032290">
        <w:rPr>
          <w:rFonts w:ascii="Times New Roman" w:hAnsi="Times New Roman" w:cs="Times New Roman"/>
          <w:sz w:val="24"/>
          <w:szCs w:val="24"/>
          <w:lang w:eastAsia="en-GB"/>
        </w:rPr>
        <w:t>202</w:t>
      </w:r>
      <w:r w:rsidR="00032290">
        <w:rPr>
          <w:rFonts w:ascii="Times New Roman" w:hAnsi="Times New Roman" w:cs="Times New Roman"/>
          <w:sz w:val="24"/>
          <w:szCs w:val="24"/>
          <w:lang w:val="en-US" w:eastAsia="en-GB"/>
        </w:rPr>
        <w:t>1</w:t>
      </w:r>
      <w:r w:rsidR="00032290">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г</w:t>
      </w:r>
      <w:r w:rsidR="00FB7FD0">
        <w:rPr>
          <w:rFonts w:ascii="Times New Roman" w:hAnsi="Times New Roman" w:cs="Times New Roman"/>
          <w:sz w:val="24"/>
          <w:szCs w:val="24"/>
          <w:lang w:eastAsia="en-GB"/>
        </w:rPr>
        <w:t>.</w:t>
      </w:r>
    </w:p>
    <w:p w14:paraId="3800E46A" w14:textId="77777777" w:rsidR="0006532B" w:rsidRPr="00097CFE" w:rsidRDefault="0006532B" w:rsidP="00027F7D">
      <w:pPr>
        <w:spacing w:before="225" w:after="0" w:line="255" w:lineRule="atLeast"/>
        <w:jc w:val="both"/>
        <w:rPr>
          <w:rFonts w:ascii="Times New Roman" w:hAnsi="Times New Roman" w:cs="Times New Roman"/>
          <w:sz w:val="24"/>
          <w:szCs w:val="24"/>
        </w:rPr>
      </w:pPr>
      <w:r w:rsidRPr="00097CFE">
        <w:rPr>
          <w:rFonts w:ascii="Times New Roman" w:hAnsi="Times New Roman" w:cs="Times New Roman"/>
          <w:sz w:val="24"/>
          <w:szCs w:val="24"/>
          <w:lang w:eastAsia="en-GB"/>
        </w:rPr>
        <w:t xml:space="preserve"> </w:t>
      </w:r>
    </w:p>
    <w:p w14:paraId="15478F9A" w14:textId="77777777" w:rsidR="0006532B" w:rsidRPr="00097CFE" w:rsidRDefault="0006532B" w:rsidP="00997F69">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5B3D7"/>
        <w:spacing w:after="120"/>
        <w:jc w:val="both"/>
        <w:rPr>
          <w:rFonts w:ascii="Times New Roman Bold" w:hAnsi="Times New Roman Bold" w:cs="Times New Roman Bold"/>
          <w:b/>
          <w:bCs/>
          <w:caps/>
          <w:sz w:val="24"/>
          <w:szCs w:val="24"/>
        </w:rPr>
      </w:pPr>
      <w:r w:rsidRPr="00097CFE">
        <w:rPr>
          <w:rFonts w:ascii="Times New Roman Bold" w:hAnsi="Times New Roman Bold" w:cs="Times New Roman Bold"/>
          <w:b/>
          <w:bCs/>
          <w:caps/>
          <w:sz w:val="24"/>
          <w:szCs w:val="24"/>
        </w:rPr>
        <w:t>ПЕРИОД  За изпълнение на Бюджетна линия</w:t>
      </w:r>
    </w:p>
    <w:p w14:paraId="755CB94B" w14:textId="42850F04" w:rsidR="0006532B" w:rsidRDefault="00730098" w:rsidP="002453B0">
      <w:pPr>
        <w:pStyle w:val="ListParagraph"/>
        <w:ind w:left="0"/>
        <w:jc w:val="both"/>
        <w:rPr>
          <w:rFonts w:ascii="Times New Roman" w:hAnsi="Times New Roman" w:cs="Times New Roman"/>
          <w:b/>
          <w:bCs/>
          <w:sz w:val="24"/>
          <w:szCs w:val="24"/>
        </w:rPr>
      </w:pPr>
      <w:bookmarkStart w:id="2" w:name="_Hlk37839269"/>
      <w:r w:rsidRPr="00097CFE">
        <w:rPr>
          <w:rFonts w:ascii="Times New Roman" w:hAnsi="Times New Roman" w:cs="Times New Roman"/>
          <w:sz w:val="24"/>
          <w:szCs w:val="24"/>
        </w:rPr>
        <w:t>Периодът</w:t>
      </w:r>
      <w:r w:rsidR="0006532B" w:rsidRPr="00097CFE">
        <w:rPr>
          <w:rFonts w:ascii="Times New Roman" w:hAnsi="Times New Roman" w:cs="Times New Roman"/>
          <w:sz w:val="24"/>
          <w:szCs w:val="24"/>
        </w:rPr>
        <w:t xml:space="preserve"> за изпълнение на фина</w:t>
      </w:r>
      <w:r w:rsidR="00060471">
        <w:rPr>
          <w:rFonts w:ascii="Times New Roman" w:hAnsi="Times New Roman" w:cs="Times New Roman"/>
          <w:sz w:val="24"/>
          <w:szCs w:val="24"/>
        </w:rPr>
        <w:t>н</w:t>
      </w:r>
      <w:r w:rsidR="0006532B" w:rsidRPr="00097CFE">
        <w:rPr>
          <w:rFonts w:ascii="Times New Roman" w:hAnsi="Times New Roman" w:cs="Times New Roman"/>
          <w:sz w:val="24"/>
          <w:szCs w:val="24"/>
        </w:rPr>
        <w:t xml:space="preserve">совите планове, финансирани по процедурата е </w:t>
      </w:r>
      <w:r w:rsidR="0006532B" w:rsidRPr="00097CFE">
        <w:rPr>
          <w:rFonts w:ascii="Times New Roman" w:hAnsi="Times New Roman" w:cs="Times New Roman"/>
          <w:b/>
          <w:bCs/>
          <w:sz w:val="24"/>
          <w:szCs w:val="24"/>
        </w:rPr>
        <w:t>01.</w:t>
      </w:r>
      <w:r w:rsidR="008D7904" w:rsidRPr="00097CFE">
        <w:rPr>
          <w:rFonts w:ascii="Times New Roman" w:hAnsi="Times New Roman" w:cs="Times New Roman"/>
          <w:b/>
          <w:bCs/>
          <w:sz w:val="24"/>
          <w:szCs w:val="24"/>
        </w:rPr>
        <w:t>0</w:t>
      </w:r>
      <w:r w:rsidR="008D7904" w:rsidRPr="00097CFE">
        <w:rPr>
          <w:rFonts w:ascii="Times New Roman" w:hAnsi="Times New Roman" w:cs="Times New Roman"/>
          <w:b/>
          <w:bCs/>
          <w:sz w:val="24"/>
          <w:szCs w:val="24"/>
          <w:lang w:val="en-US"/>
        </w:rPr>
        <w:t>1</w:t>
      </w:r>
      <w:r w:rsidR="0006532B" w:rsidRPr="00097CFE">
        <w:rPr>
          <w:rFonts w:ascii="Times New Roman" w:hAnsi="Times New Roman" w:cs="Times New Roman"/>
          <w:b/>
          <w:bCs/>
          <w:sz w:val="24"/>
          <w:szCs w:val="24"/>
        </w:rPr>
        <w:t>.</w:t>
      </w:r>
      <w:r w:rsidR="00214103" w:rsidRPr="00097CFE">
        <w:rPr>
          <w:rFonts w:ascii="Times New Roman" w:hAnsi="Times New Roman" w:cs="Times New Roman"/>
          <w:b/>
          <w:bCs/>
          <w:sz w:val="24"/>
          <w:szCs w:val="24"/>
        </w:rPr>
        <w:t>20</w:t>
      </w:r>
      <w:r w:rsidR="00214103">
        <w:rPr>
          <w:rFonts w:ascii="Times New Roman" w:hAnsi="Times New Roman" w:cs="Times New Roman"/>
          <w:b/>
          <w:bCs/>
          <w:sz w:val="24"/>
          <w:szCs w:val="24"/>
        </w:rPr>
        <w:t>21</w:t>
      </w:r>
      <w:r w:rsidR="00214103" w:rsidRPr="00097CFE">
        <w:rPr>
          <w:rFonts w:ascii="Times New Roman" w:hAnsi="Times New Roman" w:cs="Times New Roman"/>
          <w:b/>
          <w:bCs/>
          <w:sz w:val="24"/>
          <w:szCs w:val="24"/>
        </w:rPr>
        <w:t xml:space="preserve"> </w:t>
      </w:r>
      <w:r w:rsidR="0006532B" w:rsidRPr="00097CFE">
        <w:rPr>
          <w:rFonts w:ascii="Times New Roman" w:hAnsi="Times New Roman" w:cs="Times New Roman"/>
          <w:b/>
          <w:bCs/>
          <w:sz w:val="24"/>
          <w:szCs w:val="24"/>
        </w:rPr>
        <w:t xml:space="preserve">г. – </w:t>
      </w:r>
      <w:r w:rsidR="008D7904" w:rsidRPr="00097CFE">
        <w:rPr>
          <w:rFonts w:ascii="Times New Roman" w:hAnsi="Times New Roman" w:cs="Times New Roman"/>
          <w:b/>
          <w:bCs/>
          <w:sz w:val="24"/>
          <w:szCs w:val="24"/>
          <w:lang w:val="en-US"/>
        </w:rPr>
        <w:t>31</w:t>
      </w:r>
      <w:r w:rsidR="0006532B" w:rsidRPr="00097CFE">
        <w:rPr>
          <w:rFonts w:ascii="Times New Roman" w:hAnsi="Times New Roman" w:cs="Times New Roman"/>
          <w:b/>
          <w:bCs/>
          <w:sz w:val="24"/>
          <w:szCs w:val="24"/>
        </w:rPr>
        <w:t>.</w:t>
      </w:r>
      <w:r w:rsidR="008D7904" w:rsidRPr="00097CFE">
        <w:rPr>
          <w:rFonts w:ascii="Times New Roman" w:hAnsi="Times New Roman" w:cs="Times New Roman"/>
          <w:b/>
          <w:bCs/>
          <w:sz w:val="24"/>
          <w:szCs w:val="24"/>
          <w:lang w:val="en-US"/>
        </w:rPr>
        <w:t>12</w:t>
      </w:r>
      <w:r w:rsidR="0006532B" w:rsidRPr="00097CFE">
        <w:rPr>
          <w:rFonts w:ascii="Times New Roman" w:hAnsi="Times New Roman" w:cs="Times New Roman"/>
          <w:b/>
          <w:bCs/>
          <w:sz w:val="24"/>
          <w:szCs w:val="24"/>
        </w:rPr>
        <w:t>.</w:t>
      </w:r>
      <w:r w:rsidR="00214103" w:rsidRPr="00097CFE">
        <w:rPr>
          <w:rFonts w:ascii="Times New Roman" w:hAnsi="Times New Roman" w:cs="Times New Roman"/>
          <w:b/>
          <w:bCs/>
          <w:sz w:val="24"/>
          <w:szCs w:val="24"/>
        </w:rPr>
        <w:t>20</w:t>
      </w:r>
      <w:r w:rsidR="00214103">
        <w:rPr>
          <w:rFonts w:ascii="Times New Roman" w:hAnsi="Times New Roman" w:cs="Times New Roman"/>
          <w:b/>
          <w:bCs/>
          <w:sz w:val="24"/>
          <w:szCs w:val="24"/>
          <w:lang w:val="en-US"/>
        </w:rPr>
        <w:t>2</w:t>
      </w:r>
      <w:r w:rsidR="00214103">
        <w:rPr>
          <w:rFonts w:ascii="Times New Roman" w:hAnsi="Times New Roman" w:cs="Times New Roman"/>
          <w:b/>
          <w:bCs/>
          <w:sz w:val="24"/>
          <w:szCs w:val="24"/>
        </w:rPr>
        <w:t>1</w:t>
      </w:r>
      <w:r w:rsidR="00214103" w:rsidRPr="00097CFE">
        <w:rPr>
          <w:rFonts w:ascii="Times New Roman" w:hAnsi="Times New Roman" w:cs="Times New Roman"/>
          <w:b/>
          <w:bCs/>
          <w:sz w:val="24"/>
          <w:szCs w:val="24"/>
        </w:rPr>
        <w:t xml:space="preserve"> </w:t>
      </w:r>
      <w:r w:rsidR="0006532B" w:rsidRPr="00097CFE">
        <w:rPr>
          <w:rFonts w:ascii="Times New Roman" w:hAnsi="Times New Roman" w:cs="Times New Roman"/>
          <w:b/>
          <w:bCs/>
          <w:sz w:val="24"/>
          <w:szCs w:val="24"/>
        </w:rPr>
        <w:t xml:space="preserve">г. </w:t>
      </w:r>
    </w:p>
    <w:bookmarkEnd w:id="2"/>
    <w:p w14:paraId="013D74DA" w14:textId="77777777" w:rsidR="00EC2C25" w:rsidRPr="00060471" w:rsidRDefault="00EC2C25" w:rsidP="00330519">
      <w:pPr>
        <w:pStyle w:val="ListParagraph"/>
        <w:ind w:left="0"/>
        <w:jc w:val="both"/>
        <w:rPr>
          <w:rFonts w:ascii="Times New Roman" w:hAnsi="Times New Roman" w:cs="Times New Roman"/>
          <w:b/>
          <w:bCs/>
          <w:sz w:val="24"/>
          <w:szCs w:val="24"/>
          <w:lang w:val="en-US"/>
        </w:rPr>
      </w:pPr>
    </w:p>
    <w:p w14:paraId="2DB87363" w14:textId="77777777" w:rsidR="00330519" w:rsidRPr="00097CFE" w:rsidRDefault="00330519" w:rsidP="002453B0">
      <w:pPr>
        <w:pStyle w:val="ListParagraph"/>
        <w:ind w:left="0"/>
        <w:jc w:val="both"/>
        <w:rPr>
          <w:rFonts w:ascii="Times New Roman" w:hAnsi="Times New Roman" w:cs="Times New Roman"/>
          <w:sz w:val="24"/>
          <w:szCs w:val="24"/>
        </w:rPr>
      </w:pPr>
    </w:p>
    <w:p w14:paraId="182F6C8B" w14:textId="77777777" w:rsidR="0006532B" w:rsidRPr="00097CFE" w:rsidRDefault="0006532B" w:rsidP="00997F69">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5B3D7"/>
        <w:jc w:val="both"/>
        <w:rPr>
          <w:rFonts w:ascii="Times New Roman Bold" w:hAnsi="Times New Roman Bold" w:cs="Times New Roman Bold"/>
          <w:b/>
          <w:bCs/>
          <w:caps/>
          <w:sz w:val="24"/>
          <w:szCs w:val="24"/>
        </w:rPr>
      </w:pPr>
      <w:r w:rsidRPr="00097CFE">
        <w:rPr>
          <w:rFonts w:ascii="Times New Roman Bold" w:hAnsi="Times New Roman Bold" w:cs="Times New Roman Bold"/>
          <w:b/>
          <w:bCs/>
          <w:caps/>
          <w:sz w:val="24"/>
          <w:szCs w:val="24"/>
        </w:rPr>
        <w:t>Хоризонтални политики</w:t>
      </w:r>
    </w:p>
    <w:p w14:paraId="6E63CBB9" w14:textId="77777777" w:rsidR="0006532B" w:rsidRPr="00097CFE" w:rsidRDefault="0006532B" w:rsidP="003E11B4">
      <w:pPr>
        <w:spacing w:after="120" w:line="240" w:lineRule="auto"/>
        <w:ind w:firstLine="284"/>
        <w:jc w:val="both"/>
        <w:rPr>
          <w:rFonts w:ascii="Times New Roman" w:hAnsi="Times New Roman" w:cs="Times New Roman"/>
          <w:sz w:val="24"/>
          <w:szCs w:val="24"/>
          <w:lang w:eastAsia="en-GB"/>
        </w:rPr>
      </w:pPr>
      <w:r w:rsidRPr="00097CFE">
        <w:rPr>
          <w:rFonts w:ascii="Times New Roman" w:hAnsi="Times New Roman" w:cs="Times New Roman"/>
          <w:sz w:val="24"/>
          <w:szCs w:val="24"/>
          <w:lang w:eastAsia="en-GB"/>
        </w:rPr>
        <w:t>При изпълнение на финансовите планове бенефициентите се задължават да спазват хоризонталните политики, като отчитат напредъка по изпълнението им всяка календарна година в годишните технически доклади и в окончателния технически доклад, които се попълват в ИСУН 2020.</w:t>
      </w:r>
    </w:p>
    <w:p w14:paraId="058B7BBF" w14:textId="77777777" w:rsidR="0006532B" w:rsidRPr="00097CFE" w:rsidRDefault="0006532B" w:rsidP="003E11B4">
      <w:pPr>
        <w:numPr>
          <w:ilvl w:val="0"/>
          <w:numId w:val="4"/>
        </w:numPr>
        <w:spacing w:before="240" w:line="240" w:lineRule="auto"/>
        <w:jc w:val="both"/>
        <w:rPr>
          <w:rFonts w:ascii="Times New Roman" w:hAnsi="Times New Roman" w:cs="Times New Roman"/>
          <w:sz w:val="24"/>
          <w:szCs w:val="24"/>
          <w:lang w:eastAsia="en-GB"/>
        </w:rPr>
      </w:pPr>
      <w:r w:rsidRPr="00097CFE">
        <w:rPr>
          <w:rFonts w:ascii="Times New Roman" w:hAnsi="Times New Roman" w:cs="Times New Roman"/>
          <w:sz w:val="24"/>
          <w:szCs w:val="24"/>
          <w:lang w:eastAsia="en-GB"/>
        </w:rPr>
        <w:t xml:space="preserve">За отчитане спазването на хоризонталната политика за </w:t>
      </w:r>
      <w:r w:rsidRPr="00097CFE">
        <w:rPr>
          <w:rFonts w:ascii="Times New Roman" w:hAnsi="Times New Roman" w:cs="Times New Roman"/>
          <w:b/>
          <w:bCs/>
          <w:sz w:val="24"/>
          <w:szCs w:val="24"/>
          <w:lang w:eastAsia="en-GB"/>
        </w:rPr>
        <w:t>Партньорство</w:t>
      </w:r>
      <w:r w:rsidRPr="00097CFE">
        <w:rPr>
          <w:rFonts w:ascii="Times New Roman" w:hAnsi="Times New Roman" w:cs="Times New Roman"/>
          <w:sz w:val="24"/>
          <w:szCs w:val="24"/>
          <w:lang w:eastAsia="en-GB"/>
        </w:rPr>
        <w:t>, се отчитат проведени консултации със заинтересованите страни, обществени обсъждания и др.</w:t>
      </w:r>
    </w:p>
    <w:p w14:paraId="53171019" w14:textId="77777777" w:rsidR="0006532B" w:rsidRPr="00097CFE" w:rsidRDefault="0006532B" w:rsidP="003E11B4">
      <w:pPr>
        <w:numPr>
          <w:ilvl w:val="0"/>
          <w:numId w:val="4"/>
        </w:numPr>
        <w:spacing w:before="240" w:line="240" w:lineRule="auto"/>
        <w:jc w:val="both"/>
        <w:rPr>
          <w:rFonts w:ascii="Times New Roman" w:hAnsi="Times New Roman" w:cs="Times New Roman"/>
          <w:sz w:val="24"/>
          <w:szCs w:val="24"/>
          <w:lang w:eastAsia="en-GB"/>
        </w:rPr>
      </w:pPr>
      <w:r w:rsidRPr="00097CFE">
        <w:rPr>
          <w:rFonts w:ascii="Times New Roman" w:hAnsi="Times New Roman" w:cs="Times New Roman"/>
          <w:sz w:val="24"/>
          <w:szCs w:val="24"/>
          <w:lang w:eastAsia="en-GB"/>
        </w:rPr>
        <w:t xml:space="preserve">За отчитане спазването на хоризонталната политика за </w:t>
      </w:r>
      <w:r w:rsidRPr="00097CFE">
        <w:rPr>
          <w:rFonts w:ascii="Times New Roman" w:hAnsi="Times New Roman" w:cs="Times New Roman"/>
          <w:b/>
          <w:bCs/>
          <w:sz w:val="24"/>
          <w:szCs w:val="24"/>
          <w:lang w:eastAsia="en-GB"/>
        </w:rPr>
        <w:t>Устойчиво развитие</w:t>
      </w:r>
      <w:r w:rsidRPr="00097CFE">
        <w:rPr>
          <w:rFonts w:ascii="Times New Roman" w:hAnsi="Times New Roman" w:cs="Times New Roman"/>
          <w:sz w:val="24"/>
          <w:szCs w:val="24"/>
          <w:lang w:eastAsia="en-GB"/>
        </w:rPr>
        <w:t xml:space="preserve">, се отчитат дейности за подпомагане на развитие на екологосъобразна администрация (работа без използване на хартия, „зелени" обществени поръчки и др.), опазване на околната среда, намаляване на емисиите и предотвратяване на загубата на биоразнообразие, подобряване на условията за бизнес, особено за </w:t>
      </w:r>
      <w:r w:rsidRPr="00097CFE">
        <w:rPr>
          <w:rFonts w:ascii="Times New Roman" w:hAnsi="Times New Roman" w:cs="Times New Roman"/>
          <w:sz w:val="24"/>
          <w:szCs w:val="24"/>
          <w:lang w:eastAsia="en-GB"/>
        </w:rPr>
        <w:lastRenderedPageBreak/>
        <w:t>малки и средни предприятия (МСП), подпомагане на потребителите да правят добре осведомен избор.</w:t>
      </w:r>
    </w:p>
    <w:p w14:paraId="36D17463" w14:textId="77777777" w:rsidR="0006532B" w:rsidRPr="00097CFE" w:rsidRDefault="0006532B" w:rsidP="003E11B4">
      <w:pPr>
        <w:numPr>
          <w:ilvl w:val="0"/>
          <w:numId w:val="4"/>
        </w:numPr>
        <w:spacing w:before="240" w:line="240" w:lineRule="auto"/>
        <w:jc w:val="both"/>
        <w:rPr>
          <w:rFonts w:ascii="Times New Roman" w:hAnsi="Times New Roman" w:cs="Times New Roman"/>
          <w:sz w:val="24"/>
          <w:szCs w:val="24"/>
          <w:lang w:eastAsia="en-GB"/>
        </w:rPr>
      </w:pPr>
      <w:r w:rsidRPr="00097CFE">
        <w:rPr>
          <w:rFonts w:ascii="Times New Roman" w:hAnsi="Times New Roman" w:cs="Times New Roman"/>
          <w:sz w:val="24"/>
          <w:szCs w:val="24"/>
          <w:lang w:eastAsia="en-GB"/>
        </w:rPr>
        <w:t xml:space="preserve">За отчитане спазването на хоризонталната политика за </w:t>
      </w:r>
      <w:r w:rsidRPr="00097CFE">
        <w:rPr>
          <w:rFonts w:ascii="Times New Roman" w:hAnsi="Times New Roman" w:cs="Times New Roman"/>
          <w:b/>
          <w:bCs/>
          <w:sz w:val="24"/>
          <w:szCs w:val="24"/>
          <w:lang w:eastAsia="en-GB"/>
        </w:rPr>
        <w:t>Обществени поръчки</w:t>
      </w:r>
      <w:r w:rsidRPr="00097CFE">
        <w:rPr>
          <w:rFonts w:ascii="Times New Roman" w:hAnsi="Times New Roman" w:cs="Times New Roman"/>
          <w:sz w:val="24"/>
          <w:szCs w:val="24"/>
          <w:lang w:eastAsia="en-GB"/>
        </w:rPr>
        <w:t>, се отчитат проведените обществени поръчки за избор на изпълнители по дейностите.</w:t>
      </w:r>
    </w:p>
    <w:p w14:paraId="1C6AC39F" w14:textId="77777777" w:rsidR="0006532B" w:rsidRPr="00097CFE" w:rsidRDefault="0006532B" w:rsidP="003E11B4">
      <w:pPr>
        <w:spacing w:after="0" w:line="240" w:lineRule="auto"/>
        <w:ind w:left="1134"/>
        <w:jc w:val="both"/>
        <w:rPr>
          <w:rFonts w:ascii="Times New Roman" w:hAnsi="Times New Roman" w:cs="Times New Roman"/>
          <w:sz w:val="24"/>
          <w:szCs w:val="24"/>
        </w:rPr>
      </w:pPr>
    </w:p>
    <w:p w14:paraId="46DF7371" w14:textId="77777777" w:rsidR="0006532B" w:rsidRPr="00097CFE" w:rsidRDefault="0006532B" w:rsidP="003E11B4">
      <w:pPr>
        <w:pStyle w:val="ListParagraph"/>
        <w:ind w:left="644"/>
        <w:rPr>
          <w:caps/>
        </w:rPr>
      </w:pPr>
    </w:p>
    <w:p w14:paraId="055C973D" w14:textId="77777777" w:rsidR="0006532B" w:rsidRPr="00097CFE" w:rsidRDefault="0006532B" w:rsidP="00997F69">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5B3D7"/>
        <w:jc w:val="both"/>
        <w:rPr>
          <w:rFonts w:ascii="Times New Roman Bold" w:hAnsi="Times New Roman Bold" w:cs="Times New Roman Bold"/>
          <w:b/>
          <w:bCs/>
          <w:caps/>
        </w:rPr>
      </w:pPr>
      <w:r w:rsidRPr="00097CFE">
        <w:rPr>
          <w:rFonts w:ascii="Times New Roman Bold" w:hAnsi="Times New Roman Bold" w:cs="Times New Roman Bold"/>
          <w:b/>
          <w:bCs/>
          <w:caps/>
          <w:sz w:val="24"/>
          <w:szCs w:val="24"/>
        </w:rPr>
        <w:t>начин на кандидастване</w:t>
      </w:r>
    </w:p>
    <w:p w14:paraId="4C22A2D3" w14:textId="77777777" w:rsidR="0006532B" w:rsidRPr="00097CFE" w:rsidRDefault="0006532B" w:rsidP="003E11B4">
      <w:pPr>
        <w:pStyle w:val="ListParagraph"/>
        <w:spacing w:after="0"/>
        <w:ind w:left="641"/>
        <w:rPr>
          <w:rFonts w:ascii="Times New Roman Bold" w:hAnsi="Times New Roman Bold" w:cs="Times New Roman Bold"/>
          <w:b/>
          <w:bCs/>
          <w:caps/>
        </w:rPr>
      </w:pPr>
    </w:p>
    <w:p w14:paraId="67CD642C" w14:textId="77777777" w:rsidR="0006532B" w:rsidRPr="00097CFE" w:rsidRDefault="0006532B" w:rsidP="003E11B4">
      <w:pPr>
        <w:pStyle w:val="ListParagraph"/>
        <w:ind w:left="0"/>
        <w:jc w:val="both"/>
        <w:rPr>
          <w:rFonts w:ascii="Times New Roman" w:hAnsi="Times New Roman" w:cs="Times New Roman"/>
          <w:sz w:val="24"/>
          <w:szCs w:val="24"/>
        </w:rPr>
      </w:pPr>
      <w:r w:rsidRPr="00097CFE">
        <w:rPr>
          <w:rFonts w:ascii="Times New Roman" w:hAnsi="Times New Roman" w:cs="Times New Roman"/>
          <w:sz w:val="24"/>
          <w:szCs w:val="24"/>
        </w:rPr>
        <w:t>Кандидатстването се извършва само по електронен път чрез Информационната система за управление и наблюдение на средствата от Европейския съюз (ИСУН 2020) чрез попълване на формуляр за кандидатстване, придружен задължително с документите, посочени в т. 16.1 от тези Условия.</w:t>
      </w:r>
    </w:p>
    <w:p w14:paraId="4D88DEED" w14:textId="77777777" w:rsidR="0006532B" w:rsidRPr="00097CFE" w:rsidRDefault="0006532B" w:rsidP="003E11B4">
      <w:pPr>
        <w:pStyle w:val="ListParagraph"/>
        <w:ind w:left="0"/>
        <w:jc w:val="both"/>
        <w:rPr>
          <w:rFonts w:ascii="Times New Roman" w:hAnsi="Times New Roman" w:cs="Times New Roman"/>
          <w:sz w:val="24"/>
          <w:szCs w:val="24"/>
        </w:rPr>
      </w:pPr>
      <w:r w:rsidRPr="00097CFE">
        <w:rPr>
          <w:rFonts w:ascii="Times New Roman" w:hAnsi="Times New Roman" w:cs="Times New Roman"/>
          <w:sz w:val="24"/>
          <w:szCs w:val="24"/>
        </w:rPr>
        <w:t>Във формуляра за кандидатстване се попълват задължително следните раздели:</w:t>
      </w:r>
    </w:p>
    <w:p w14:paraId="16DCF601" w14:textId="77777777"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1 „Основни данни“;</w:t>
      </w:r>
    </w:p>
    <w:p w14:paraId="35D637EA" w14:textId="77777777"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2 „Данни за кандидата“;</w:t>
      </w:r>
    </w:p>
    <w:p w14:paraId="762BE4A5" w14:textId="77777777"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4 „Финансова информация – кодове по измерения“;</w:t>
      </w:r>
    </w:p>
    <w:p w14:paraId="0CEF8994" w14:textId="77777777"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5 „Бюджет“;</w:t>
      </w:r>
    </w:p>
    <w:p w14:paraId="5C7D9B27" w14:textId="77777777"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6 „Финансова информация - източници на финансиране“;</w:t>
      </w:r>
    </w:p>
    <w:p w14:paraId="59B5FD56" w14:textId="77777777"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7 „План за изпълнение”</w:t>
      </w:r>
    </w:p>
    <w:p w14:paraId="35C4A1BC" w14:textId="77777777"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8 „Индикатори“;</w:t>
      </w:r>
    </w:p>
    <w:p w14:paraId="537D8CCD" w14:textId="77777777"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9 „Екип“;</w:t>
      </w:r>
    </w:p>
    <w:p w14:paraId="128F76B5" w14:textId="77777777"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10 „План за външно възлагане“ (за разходите и дейностите, за които е приложимо)</w:t>
      </w:r>
      <w:r w:rsidR="00027F7D">
        <w:rPr>
          <w:rFonts w:ascii="Times New Roman" w:hAnsi="Times New Roman" w:cs="Times New Roman"/>
          <w:sz w:val="24"/>
          <w:szCs w:val="24"/>
        </w:rPr>
        <w:t>;</w:t>
      </w:r>
    </w:p>
    <w:p w14:paraId="24C9B640" w14:textId="77777777" w:rsidR="0006532B" w:rsidRPr="00097CFE" w:rsidRDefault="0006532B" w:rsidP="003E11B4">
      <w:pPr>
        <w:pStyle w:val="ListParagraph"/>
        <w:numPr>
          <w:ilvl w:val="0"/>
          <w:numId w:val="7"/>
        </w:numPr>
        <w:jc w:val="both"/>
        <w:rPr>
          <w:rFonts w:ascii="Times New Roman" w:hAnsi="Times New Roman" w:cs="Times New Roman"/>
          <w:sz w:val="24"/>
          <w:szCs w:val="24"/>
        </w:rPr>
      </w:pPr>
      <w:r w:rsidRPr="00097CFE">
        <w:rPr>
          <w:rFonts w:ascii="Times New Roman" w:hAnsi="Times New Roman" w:cs="Times New Roman"/>
          <w:sz w:val="24"/>
          <w:szCs w:val="24"/>
        </w:rPr>
        <w:t>Раздел 11 „Допълнителна информация необходима за оценка на финансовия план“ (попълва се в случай, че във финансовия план са включени дейности, чието изпълнение е започнало преди подаването му)</w:t>
      </w:r>
      <w:r w:rsidR="00027F7D">
        <w:rPr>
          <w:rFonts w:ascii="Times New Roman" w:hAnsi="Times New Roman" w:cs="Times New Roman"/>
          <w:sz w:val="24"/>
          <w:szCs w:val="24"/>
        </w:rPr>
        <w:t>.</w:t>
      </w:r>
    </w:p>
    <w:p w14:paraId="69618D70" w14:textId="77777777" w:rsidR="0006532B" w:rsidRPr="00097CFE" w:rsidRDefault="0006532B" w:rsidP="003E11B4">
      <w:pPr>
        <w:jc w:val="both"/>
        <w:rPr>
          <w:rFonts w:ascii="Times New Roman" w:hAnsi="Times New Roman" w:cs="Times New Roman"/>
          <w:sz w:val="24"/>
          <w:szCs w:val="24"/>
          <w:lang w:val="ru-RU"/>
        </w:rPr>
      </w:pPr>
      <w:r w:rsidRPr="00097CFE">
        <w:rPr>
          <w:rFonts w:ascii="Times New Roman" w:hAnsi="Times New Roman" w:cs="Times New Roman"/>
          <w:sz w:val="24"/>
          <w:szCs w:val="24"/>
        </w:rPr>
        <w:t xml:space="preserve">Формулярът за кандидатстване се попълва съгласно Указанията за електронно кандидатстване по процедурата - </w:t>
      </w:r>
      <w:r w:rsidRPr="00097CFE">
        <w:rPr>
          <w:rFonts w:ascii="Times New Roman" w:hAnsi="Times New Roman" w:cs="Times New Roman"/>
          <w:b/>
          <w:bCs/>
          <w:i/>
          <w:iCs/>
          <w:sz w:val="24"/>
          <w:szCs w:val="24"/>
        </w:rPr>
        <w:t xml:space="preserve">Приложение № 9 </w:t>
      </w:r>
      <w:r w:rsidRPr="00097CFE">
        <w:rPr>
          <w:rFonts w:ascii="Times New Roman" w:hAnsi="Times New Roman" w:cs="Times New Roman"/>
          <w:sz w:val="24"/>
          <w:szCs w:val="24"/>
        </w:rPr>
        <w:t xml:space="preserve">към тези Условия. Към формуляра задължително се прилагат всички приложими документи, посочени в т. 16.1 „Документи за кандидатстване“. </w:t>
      </w:r>
      <w:r w:rsidR="00423708">
        <w:rPr>
          <w:rFonts w:ascii="Times New Roman" w:hAnsi="Times New Roman" w:cs="Times New Roman"/>
          <w:sz w:val="24"/>
          <w:szCs w:val="24"/>
        </w:rPr>
        <w:t xml:space="preserve">Декларацията </w:t>
      </w:r>
      <w:r w:rsidRPr="00097CFE">
        <w:rPr>
          <w:rFonts w:ascii="Times New Roman" w:hAnsi="Times New Roman" w:cs="Times New Roman"/>
          <w:sz w:val="24"/>
          <w:szCs w:val="24"/>
        </w:rPr>
        <w:t xml:space="preserve">се подписва съответно от </w:t>
      </w:r>
      <w:r w:rsidR="00740DE3">
        <w:rPr>
          <w:rFonts w:ascii="Times New Roman" w:hAnsi="Times New Roman" w:cs="Times New Roman"/>
          <w:sz w:val="24"/>
          <w:szCs w:val="24"/>
        </w:rPr>
        <w:t>директорът на дирекция „Морско дело и рибарство“</w:t>
      </w:r>
      <w:r w:rsidRPr="00097CFE">
        <w:rPr>
          <w:rFonts w:ascii="Times New Roman" w:hAnsi="Times New Roman" w:cs="Times New Roman"/>
          <w:sz w:val="24"/>
          <w:szCs w:val="24"/>
        </w:rPr>
        <w:t>, ръководителя на МЗ</w:t>
      </w:r>
      <w:r w:rsidR="00423708">
        <w:rPr>
          <w:rFonts w:ascii="Times New Roman" w:hAnsi="Times New Roman" w:cs="Times New Roman"/>
          <w:sz w:val="24"/>
          <w:szCs w:val="24"/>
        </w:rPr>
        <w:t>,</w:t>
      </w:r>
      <w:r w:rsidRPr="00097CFE">
        <w:rPr>
          <w:rFonts w:ascii="Times New Roman" w:hAnsi="Times New Roman" w:cs="Times New Roman"/>
          <w:sz w:val="24"/>
          <w:szCs w:val="24"/>
        </w:rPr>
        <w:t xml:space="preserve"> ръководителя на СО</w:t>
      </w:r>
      <w:r w:rsidR="00423708">
        <w:rPr>
          <w:rFonts w:ascii="Times New Roman" w:hAnsi="Times New Roman" w:cs="Times New Roman"/>
          <w:sz w:val="24"/>
          <w:szCs w:val="24"/>
        </w:rPr>
        <w:t>,</w:t>
      </w:r>
      <w:r w:rsidR="006016A3">
        <w:rPr>
          <w:rFonts w:ascii="Times New Roman" w:hAnsi="Times New Roman" w:cs="Times New Roman"/>
          <w:sz w:val="24"/>
          <w:szCs w:val="24"/>
        </w:rPr>
        <w:t xml:space="preserve"> директорът на дирекция ВО към МЗХГ</w:t>
      </w:r>
      <w:r w:rsidR="00060471">
        <w:rPr>
          <w:rFonts w:ascii="Times New Roman" w:hAnsi="Times New Roman" w:cs="Times New Roman"/>
          <w:sz w:val="24"/>
          <w:szCs w:val="24"/>
        </w:rPr>
        <w:t xml:space="preserve"> или ръководител на ИА СОСЕЗФ,</w:t>
      </w:r>
      <w:r w:rsidR="00423708">
        <w:rPr>
          <w:rFonts w:ascii="Times New Roman" w:hAnsi="Times New Roman" w:cs="Times New Roman"/>
          <w:sz w:val="24"/>
          <w:szCs w:val="24"/>
        </w:rPr>
        <w:t xml:space="preserve"> а </w:t>
      </w:r>
      <w:r w:rsidR="00423708" w:rsidRPr="00097CFE">
        <w:rPr>
          <w:rFonts w:ascii="Times New Roman" w:hAnsi="Times New Roman" w:cs="Times New Roman"/>
          <w:sz w:val="24"/>
          <w:szCs w:val="24"/>
        </w:rPr>
        <w:t>Формулярът за кандидатстване</w:t>
      </w:r>
      <w:r w:rsidR="00423708">
        <w:rPr>
          <w:rFonts w:ascii="Times New Roman" w:hAnsi="Times New Roman" w:cs="Times New Roman"/>
          <w:sz w:val="24"/>
          <w:szCs w:val="24"/>
        </w:rPr>
        <w:t xml:space="preserve"> и</w:t>
      </w:r>
      <w:r w:rsidR="00423708" w:rsidRPr="00097CFE">
        <w:rPr>
          <w:rFonts w:ascii="Times New Roman" w:hAnsi="Times New Roman" w:cs="Times New Roman"/>
          <w:sz w:val="24"/>
          <w:szCs w:val="24"/>
        </w:rPr>
        <w:t xml:space="preserve"> Финансовият план</w:t>
      </w:r>
      <w:r w:rsidR="00423708">
        <w:rPr>
          <w:rFonts w:ascii="Times New Roman" w:hAnsi="Times New Roman" w:cs="Times New Roman"/>
          <w:sz w:val="24"/>
          <w:szCs w:val="24"/>
        </w:rPr>
        <w:t xml:space="preserve"> се подписват от съответния ръководител</w:t>
      </w:r>
      <w:r w:rsidR="0066635D" w:rsidRPr="00097CFE">
        <w:rPr>
          <w:rFonts w:ascii="Times New Roman" w:hAnsi="Times New Roman" w:cs="Times New Roman"/>
          <w:sz w:val="24"/>
          <w:szCs w:val="24"/>
        </w:rPr>
        <w:t xml:space="preserve"> или</w:t>
      </w:r>
      <w:r w:rsidR="00423708">
        <w:rPr>
          <w:rFonts w:ascii="Times New Roman" w:hAnsi="Times New Roman" w:cs="Times New Roman"/>
          <w:sz w:val="24"/>
          <w:szCs w:val="24"/>
        </w:rPr>
        <w:t xml:space="preserve"> от</w:t>
      </w:r>
      <w:r w:rsidR="0066635D" w:rsidRPr="00097CFE">
        <w:rPr>
          <w:rFonts w:ascii="Times New Roman" w:hAnsi="Times New Roman" w:cs="Times New Roman"/>
          <w:sz w:val="24"/>
          <w:szCs w:val="24"/>
        </w:rPr>
        <w:t xml:space="preserve"> </w:t>
      </w:r>
      <w:r w:rsidR="00423708" w:rsidRPr="00097CFE">
        <w:rPr>
          <w:rFonts w:ascii="Times New Roman" w:hAnsi="Times New Roman" w:cs="Times New Roman"/>
          <w:sz w:val="24"/>
          <w:szCs w:val="24"/>
        </w:rPr>
        <w:t>упълномощен</w:t>
      </w:r>
      <w:r w:rsidR="00423708">
        <w:rPr>
          <w:rFonts w:ascii="Times New Roman" w:hAnsi="Times New Roman" w:cs="Times New Roman"/>
          <w:sz w:val="24"/>
          <w:szCs w:val="24"/>
        </w:rPr>
        <w:t>о</w:t>
      </w:r>
      <w:r w:rsidR="00423708" w:rsidRPr="00097CFE">
        <w:rPr>
          <w:rFonts w:ascii="Times New Roman" w:hAnsi="Times New Roman" w:cs="Times New Roman"/>
          <w:sz w:val="24"/>
          <w:szCs w:val="24"/>
        </w:rPr>
        <w:t xml:space="preserve"> </w:t>
      </w:r>
      <w:r w:rsidR="0066635D" w:rsidRPr="00097CFE">
        <w:rPr>
          <w:rFonts w:ascii="Times New Roman" w:hAnsi="Times New Roman" w:cs="Times New Roman"/>
          <w:sz w:val="24"/>
          <w:szCs w:val="24"/>
        </w:rPr>
        <w:t xml:space="preserve">за това </w:t>
      </w:r>
      <w:r w:rsidR="00423708" w:rsidRPr="00097CFE">
        <w:rPr>
          <w:rFonts w:ascii="Times New Roman" w:hAnsi="Times New Roman" w:cs="Times New Roman"/>
          <w:sz w:val="24"/>
          <w:szCs w:val="24"/>
        </w:rPr>
        <w:t>лиц</w:t>
      </w:r>
      <w:r w:rsidR="00423708">
        <w:rPr>
          <w:rFonts w:ascii="Times New Roman" w:hAnsi="Times New Roman" w:cs="Times New Roman"/>
          <w:sz w:val="24"/>
          <w:szCs w:val="24"/>
        </w:rPr>
        <w:t>е</w:t>
      </w:r>
      <w:r w:rsidR="0066635D" w:rsidRPr="00097CFE">
        <w:rPr>
          <w:rFonts w:ascii="Times New Roman" w:hAnsi="Times New Roman" w:cs="Times New Roman"/>
          <w:sz w:val="24"/>
          <w:szCs w:val="24"/>
        </w:rPr>
        <w:t>.</w:t>
      </w:r>
    </w:p>
    <w:p w14:paraId="5E7BF9DF" w14:textId="77777777" w:rsidR="0006532B" w:rsidRPr="00097CFE" w:rsidRDefault="0006532B" w:rsidP="003E11B4">
      <w:pPr>
        <w:jc w:val="both"/>
        <w:rPr>
          <w:rFonts w:ascii="Times New Roman" w:hAnsi="Times New Roman" w:cs="Times New Roman"/>
          <w:sz w:val="24"/>
          <w:szCs w:val="24"/>
        </w:rPr>
      </w:pPr>
      <w:r w:rsidRPr="00097CFE">
        <w:rPr>
          <w:rFonts w:ascii="Times New Roman" w:hAnsi="Times New Roman" w:cs="Times New Roman"/>
          <w:sz w:val="24"/>
          <w:szCs w:val="24"/>
        </w:rPr>
        <w:lastRenderedPageBreak/>
        <w:t xml:space="preserve">Бюджетът в електронния формуляр за кандидатстване се попълва без включен ДДС. </w:t>
      </w:r>
    </w:p>
    <w:p w14:paraId="552DC756" w14:textId="77777777" w:rsidR="0006532B" w:rsidRPr="00097CFE" w:rsidRDefault="0006532B" w:rsidP="003E11B4">
      <w:pPr>
        <w:jc w:val="both"/>
        <w:rPr>
          <w:rFonts w:ascii="Times New Roman" w:hAnsi="Times New Roman" w:cs="Times New Roman"/>
          <w:sz w:val="24"/>
          <w:szCs w:val="24"/>
        </w:rPr>
      </w:pPr>
      <w:r w:rsidRPr="00097CFE">
        <w:rPr>
          <w:rFonts w:ascii="Times New Roman" w:hAnsi="Times New Roman" w:cs="Times New Roman"/>
          <w:sz w:val="24"/>
          <w:szCs w:val="24"/>
        </w:rPr>
        <w:t>При подаване на финансовия план, кандидатът следва да приложи доказателства за произхода на цените на заявените разходи (материални/нематериални стоки и услуги). За услуги се прилагат исторически данни за произхода на цената, а за  материални/нематериални активи - оферта и/или извлечение от каталог на производители/ доставчици.</w:t>
      </w:r>
    </w:p>
    <w:p w14:paraId="58451A96" w14:textId="77777777" w:rsidR="0006532B" w:rsidRPr="00097CFE" w:rsidRDefault="0006532B" w:rsidP="003E11B4">
      <w:pPr>
        <w:jc w:val="both"/>
        <w:rPr>
          <w:rFonts w:ascii="Times New Roman" w:hAnsi="Times New Roman" w:cs="Times New Roman"/>
          <w:sz w:val="24"/>
          <w:szCs w:val="24"/>
        </w:rPr>
      </w:pPr>
    </w:p>
    <w:p w14:paraId="6E19DF5B" w14:textId="77777777" w:rsidR="0006532B" w:rsidRPr="00097CFE" w:rsidRDefault="00FB7FD0" w:rsidP="00997F69">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5B3D7"/>
        <w:ind w:left="782" w:hanging="357"/>
        <w:jc w:val="both"/>
        <w:rPr>
          <w:rFonts w:ascii="Times New Roman Bold" w:hAnsi="Times New Roman Bold" w:cs="Times New Roman Bold"/>
          <w:b/>
          <w:bCs/>
          <w:caps/>
          <w:sz w:val="24"/>
          <w:szCs w:val="24"/>
        </w:rPr>
      </w:pPr>
      <w:r>
        <w:rPr>
          <w:rFonts w:asciiTheme="minorHAnsi" w:hAnsiTheme="minorHAnsi" w:cs="Times New Roman Bold"/>
          <w:b/>
          <w:bCs/>
          <w:caps/>
          <w:sz w:val="24"/>
          <w:szCs w:val="24"/>
        </w:rPr>
        <w:t xml:space="preserve"> </w:t>
      </w:r>
      <w:r w:rsidR="0006532B" w:rsidRPr="00097CFE">
        <w:rPr>
          <w:rFonts w:ascii="Times New Roman Bold" w:hAnsi="Times New Roman Bold" w:cs="Times New Roman Bold"/>
          <w:b/>
          <w:bCs/>
          <w:caps/>
          <w:sz w:val="24"/>
          <w:szCs w:val="24"/>
        </w:rPr>
        <w:t>оценка</w:t>
      </w:r>
    </w:p>
    <w:p w14:paraId="719A915A" w14:textId="77777777" w:rsidR="0006532B" w:rsidRPr="00097CFE" w:rsidRDefault="0006532B" w:rsidP="003E11B4">
      <w:pPr>
        <w:pStyle w:val="ListParagraph"/>
        <w:spacing w:after="120"/>
        <w:ind w:left="0"/>
        <w:jc w:val="both"/>
        <w:rPr>
          <w:rFonts w:ascii="Times New Roman" w:hAnsi="Times New Roman" w:cs="Times New Roman"/>
          <w:sz w:val="24"/>
          <w:szCs w:val="24"/>
        </w:rPr>
      </w:pPr>
      <w:r w:rsidRPr="00097CFE">
        <w:rPr>
          <w:rFonts w:ascii="Times New Roman" w:hAnsi="Times New Roman" w:cs="Times New Roman"/>
          <w:sz w:val="24"/>
          <w:szCs w:val="24"/>
        </w:rPr>
        <w:t>Всички финансови планове, подадени в срок</w:t>
      </w:r>
      <w:r w:rsidR="005104B2">
        <w:rPr>
          <w:rFonts w:ascii="Times New Roman" w:hAnsi="Times New Roman" w:cs="Times New Roman"/>
          <w:sz w:val="24"/>
          <w:szCs w:val="24"/>
        </w:rPr>
        <w:t>,</w:t>
      </w:r>
      <w:r w:rsidRPr="00097CFE">
        <w:rPr>
          <w:rFonts w:ascii="Times New Roman" w:hAnsi="Times New Roman" w:cs="Times New Roman"/>
          <w:sz w:val="24"/>
          <w:szCs w:val="24"/>
        </w:rPr>
        <w:t xml:space="preserve"> се оценяват в съответствие с критериите от  </w:t>
      </w:r>
      <w:r w:rsidRPr="00097CFE">
        <w:rPr>
          <w:rFonts w:ascii="Times New Roman" w:hAnsi="Times New Roman" w:cs="Times New Roman"/>
          <w:b/>
          <w:bCs/>
          <w:i/>
          <w:iCs/>
          <w:sz w:val="24"/>
          <w:szCs w:val="24"/>
        </w:rPr>
        <w:t>Приложение № 4</w:t>
      </w:r>
      <w:r w:rsidRPr="00097CFE">
        <w:rPr>
          <w:rFonts w:ascii="Times New Roman" w:hAnsi="Times New Roman" w:cs="Times New Roman"/>
          <w:sz w:val="24"/>
          <w:szCs w:val="24"/>
        </w:rPr>
        <w:t xml:space="preserve"> към тези Условия за кандидатстване в срок</w:t>
      </w:r>
      <w:r w:rsidRPr="00097CFE">
        <w:rPr>
          <w:rFonts w:ascii="Times New Roman" w:hAnsi="Times New Roman" w:cs="Times New Roman"/>
          <w:sz w:val="24"/>
          <w:szCs w:val="24"/>
          <w:lang w:val="ru-RU"/>
        </w:rPr>
        <w:t xml:space="preserve"> </w:t>
      </w:r>
      <w:r w:rsidRPr="00097CFE">
        <w:rPr>
          <w:rFonts w:ascii="Times New Roman" w:hAnsi="Times New Roman" w:cs="Times New Roman"/>
          <w:sz w:val="24"/>
          <w:szCs w:val="24"/>
        </w:rPr>
        <w:t>до един месец от датата на подаването им, съгласно  чл. 44, ал. 3 от ЗУСЕСИФ.</w:t>
      </w:r>
    </w:p>
    <w:p w14:paraId="51C72E18" w14:textId="77777777" w:rsidR="0006532B" w:rsidRPr="00097CFE" w:rsidRDefault="0006532B" w:rsidP="003E11B4">
      <w:pPr>
        <w:pStyle w:val="ListParagraph"/>
        <w:spacing w:after="120"/>
        <w:ind w:left="0"/>
        <w:jc w:val="both"/>
        <w:rPr>
          <w:rFonts w:ascii="Times New Roman" w:hAnsi="Times New Roman" w:cs="Times New Roman"/>
          <w:sz w:val="24"/>
          <w:szCs w:val="24"/>
        </w:rPr>
      </w:pPr>
      <w:r w:rsidRPr="00097CFE">
        <w:rPr>
          <w:rFonts w:ascii="Times New Roman" w:hAnsi="Times New Roman" w:cs="Times New Roman"/>
          <w:sz w:val="24"/>
          <w:szCs w:val="24"/>
        </w:rPr>
        <w:t>Финансовият план (вкл. и информацията, предоставена във формуляра за кандидатстване) се оценява по отношение изпълнение на критериите за административно съответствие и допустимост, както и техническа и финансова оценка.</w:t>
      </w:r>
    </w:p>
    <w:p w14:paraId="6140270F" w14:textId="77777777" w:rsidR="0006532B" w:rsidRPr="00097CFE" w:rsidRDefault="0006532B" w:rsidP="009C72A2">
      <w:pPr>
        <w:pStyle w:val="ListParagraph"/>
        <w:spacing w:after="120"/>
        <w:ind w:left="0"/>
        <w:jc w:val="both"/>
        <w:rPr>
          <w:rFonts w:ascii="Times New Roman" w:hAnsi="Times New Roman" w:cs="Times New Roman"/>
          <w:sz w:val="24"/>
          <w:szCs w:val="24"/>
          <w:lang w:val="ru-RU"/>
        </w:rPr>
      </w:pPr>
      <w:r w:rsidRPr="00097CFE">
        <w:rPr>
          <w:rFonts w:ascii="Times New Roman" w:hAnsi="Times New Roman" w:cs="Times New Roman"/>
          <w:sz w:val="24"/>
          <w:szCs w:val="24"/>
        </w:rPr>
        <w:t>Подадените финансови планове ще бъдат оценявани по реда на тяхното подаване чрез ИСУН 2020.</w:t>
      </w:r>
    </w:p>
    <w:p w14:paraId="75274A34" w14:textId="77777777" w:rsidR="0006532B" w:rsidRPr="00097CFE" w:rsidRDefault="0006532B" w:rsidP="005104B2">
      <w:pPr>
        <w:spacing w:before="120" w:after="120"/>
        <w:ind w:firstLine="720"/>
        <w:jc w:val="both"/>
      </w:pPr>
      <w:r w:rsidRPr="00097CFE">
        <w:rPr>
          <w:rFonts w:ascii="Times New Roman" w:hAnsi="Times New Roman" w:cs="Times New Roman"/>
          <w:sz w:val="24"/>
          <w:szCs w:val="24"/>
        </w:rPr>
        <w:t>В случай на установени в процеса на оценка непълноти, несъответствия и/или нередовности във формуляра за кандидатстване и/или финансовия план, експертите</w:t>
      </w:r>
      <w:r w:rsidR="005104B2">
        <w:rPr>
          <w:rFonts w:ascii="Times New Roman" w:hAnsi="Times New Roman" w:cs="Times New Roman"/>
          <w:sz w:val="24"/>
          <w:szCs w:val="24"/>
        </w:rPr>
        <w:t>,</w:t>
      </w:r>
      <w:r w:rsidRPr="00097CFE">
        <w:rPr>
          <w:rFonts w:ascii="Times New Roman" w:hAnsi="Times New Roman" w:cs="Times New Roman"/>
          <w:sz w:val="24"/>
          <w:szCs w:val="24"/>
        </w:rPr>
        <w:t xml:space="preserve"> извършващи оценката</w:t>
      </w:r>
      <w:r w:rsidR="005104B2">
        <w:rPr>
          <w:rFonts w:ascii="Times New Roman" w:hAnsi="Times New Roman" w:cs="Times New Roman"/>
          <w:sz w:val="24"/>
          <w:szCs w:val="24"/>
        </w:rPr>
        <w:t>,</w:t>
      </w:r>
      <w:r w:rsidRPr="00097CFE">
        <w:rPr>
          <w:rFonts w:ascii="Times New Roman" w:hAnsi="Times New Roman" w:cs="Times New Roman"/>
          <w:sz w:val="24"/>
          <w:szCs w:val="24"/>
        </w:rPr>
        <w:t xml:space="preserve"> имат право да изискат от кандидата да представи допълнителни писмени разяснения по представения от него финансов план или да изискат преработване на определени компоненти от финансовия план. При установени непълноти и/или нередовности във ФП и приложените към него документи, УО може да поиска тяхното отстраняване или допълнителни документи/разяснения, като посочи срок за отстраняването/представянето им. Исканията за представяне на допълнителни документи и разяснения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допълнителни документи/информация е 10 дни. Кандидатът представя допълнителните разяснения и/или документи по електронен път чрез ИСУН 2020. Срокът за оценка на финансовия план спира да тече до датата на тяхното отстраняване.</w:t>
      </w:r>
    </w:p>
    <w:p w14:paraId="7F56B256" w14:textId="77777777" w:rsidR="0006532B" w:rsidRPr="00097CFE" w:rsidRDefault="0006532B" w:rsidP="005104B2">
      <w:pPr>
        <w:pStyle w:val="ListParagraph"/>
        <w:ind w:left="0" w:firstLine="720"/>
        <w:jc w:val="both"/>
        <w:rPr>
          <w:rFonts w:ascii="Times New Roman" w:hAnsi="Times New Roman" w:cs="Times New Roman"/>
          <w:sz w:val="24"/>
          <w:szCs w:val="24"/>
        </w:rPr>
      </w:pPr>
      <w:r w:rsidRPr="00097CFE">
        <w:rPr>
          <w:rFonts w:ascii="Times New Roman" w:hAnsi="Times New Roman" w:cs="Times New Roman"/>
          <w:sz w:val="24"/>
          <w:szCs w:val="24"/>
        </w:rPr>
        <w:t xml:space="preserve">В процеса на оценка, </w:t>
      </w:r>
      <w:r w:rsidR="009013B4">
        <w:rPr>
          <w:rFonts w:ascii="Times New Roman" w:hAnsi="Times New Roman" w:cs="Times New Roman"/>
          <w:sz w:val="24"/>
          <w:szCs w:val="24"/>
        </w:rPr>
        <w:t>УО</w:t>
      </w:r>
      <w:r w:rsidRPr="00097CFE">
        <w:rPr>
          <w:rFonts w:ascii="Times New Roman" w:hAnsi="Times New Roman" w:cs="Times New Roman"/>
          <w:sz w:val="24"/>
          <w:szCs w:val="24"/>
        </w:rPr>
        <w:t xml:space="preserve"> запазва правото си да предложи за отстраняване/отстрани заложени от кандидата дейности, вследствие от извършената оценка, в случаите когато те са недопустими и/или са свързани с недопустими разходи. </w:t>
      </w:r>
    </w:p>
    <w:p w14:paraId="3C047A6A" w14:textId="05312E2A" w:rsidR="0006532B" w:rsidRPr="00097CFE" w:rsidRDefault="009B629F" w:rsidP="005104B2">
      <w:pPr>
        <w:pStyle w:val="ListParagraph"/>
        <w:spacing w:after="120"/>
        <w:ind w:left="0" w:firstLine="720"/>
        <w:jc w:val="both"/>
        <w:rPr>
          <w:rFonts w:ascii="Times New Roman" w:hAnsi="Times New Roman" w:cs="Times New Roman"/>
          <w:sz w:val="24"/>
          <w:szCs w:val="24"/>
        </w:rPr>
      </w:pPr>
      <w:r w:rsidRPr="009B629F">
        <w:rPr>
          <w:rFonts w:ascii="Times New Roman" w:hAnsi="Times New Roman" w:cs="Times New Roman"/>
          <w:sz w:val="24"/>
          <w:szCs w:val="24"/>
        </w:rPr>
        <w:t>Управляващият орган</w:t>
      </w:r>
      <w:r w:rsidR="0006532B" w:rsidRPr="00097CFE">
        <w:rPr>
          <w:rFonts w:ascii="Times New Roman" w:hAnsi="Times New Roman" w:cs="Times New Roman"/>
          <w:sz w:val="24"/>
          <w:szCs w:val="24"/>
        </w:rPr>
        <w:t xml:space="preserve"> запазва правото си да предложи/извърши намаляване на бюджета на финансов план, вследствие от извършената оценка в случаите, когато разходите са недопустими.</w:t>
      </w:r>
    </w:p>
    <w:p w14:paraId="12D90103" w14:textId="77777777" w:rsidR="0006532B" w:rsidRPr="00097CFE" w:rsidRDefault="0006532B" w:rsidP="005104B2">
      <w:pPr>
        <w:pStyle w:val="ListParagraph"/>
        <w:spacing w:after="120"/>
        <w:ind w:left="0" w:firstLine="720"/>
        <w:jc w:val="both"/>
        <w:rPr>
          <w:rFonts w:ascii="Times New Roman" w:hAnsi="Times New Roman" w:cs="Times New Roman"/>
          <w:sz w:val="24"/>
          <w:szCs w:val="24"/>
        </w:rPr>
      </w:pPr>
      <w:r w:rsidRPr="00097CFE">
        <w:rPr>
          <w:rFonts w:ascii="Times New Roman" w:hAnsi="Times New Roman" w:cs="Times New Roman"/>
          <w:sz w:val="24"/>
          <w:szCs w:val="24"/>
        </w:rPr>
        <w:t>Комуникацията с кандидата по отношение на оценката на финансовия план и резултатите от нея се осъществява само чрез ИСУН 2020.</w:t>
      </w:r>
    </w:p>
    <w:p w14:paraId="2A089507" w14:textId="77777777" w:rsidR="0006532B" w:rsidRPr="00097CFE" w:rsidRDefault="0006532B" w:rsidP="005104B2">
      <w:pPr>
        <w:spacing w:before="15" w:after="0"/>
        <w:ind w:firstLine="720"/>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 xml:space="preserve">Правата и задълженията, които възникват за конкретния бенефициент, са описани в Заповедта за предоставяне на </w:t>
      </w:r>
      <w:r w:rsidR="009013B4">
        <w:rPr>
          <w:rFonts w:ascii="Times New Roman" w:hAnsi="Times New Roman" w:cs="Times New Roman"/>
          <w:sz w:val="24"/>
          <w:szCs w:val="24"/>
          <w:lang w:eastAsia="bg-BG"/>
        </w:rPr>
        <w:t>БФП</w:t>
      </w:r>
      <w:r w:rsidRPr="00097CFE">
        <w:rPr>
          <w:rFonts w:ascii="Times New Roman" w:hAnsi="Times New Roman" w:cs="Times New Roman"/>
          <w:sz w:val="24"/>
          <w:szCs w:val="24"/>
          <w:lang w:eastAsia="bg-BG"/>
        </w:rPr>
        <w:t xml:space="preserve"> </w:t>
      </w:r>
      <w:r w:rsidRPr="00097CFE">
        <w:rPr>
          <w:rFonts w:ascii="Times New Roman" w:hAnsi="Times New Roman" w:cs="Times New Roman"/>
          <w:b/>
          <w:bCs/>
          <w:sz w:val="24"/>
          <w:szCs w:val="24"/>
          <w:lang w:eastAsia="bg-BG"/>
        </w:rPr>
        <w:t xml:space="preserve">(Приложения </w:t>
      </w:r>
      <w:r w:rsidR="001D30C2">
        <w:rPr>
          <w:rFonts w:ascii="Times New Roman" w:hAnsi="Times New Roman" w:cs="Times New Roman"/>
          <w:b/>
          <w:bCs/>
          <w:sz w:val="24"/>
          <w:szCs w:val="24"/>
          <w:lang w:val="ru-RU" w:eastAsia="bg-BG"/>
        </w:rPr>
        <w:t>7</w:t>
      </w:r>
      <w:r w:rsidRPr="00097CFE">
        <w:rPr>
          <w:rFonts w:ascii="Times New Roman" w:hAnsi="Times New Roman" w:cs="Times New Roman"/>
          <w:b/>
          <w:bCs/>
          <w:sz w:val="24"/>
          <w:szCs w:val="24"/>
          <w:lang w:eastAsia="bg-BG"/>
        </w:rPr>
        <w:t>)</w:t>
      </w:r>
      <w:r w:rsidRPr="00097CFE">
        <w:rPr>
          <w:rFonts w:ascii="Times New Roman" w:hAnsi="Times New Roman" w:cs="Times New Roman"/>
          <w:sz w:val="24"/>
          <w:szCs w:val="24"/>
          <w:lang w:eastAsia="bg-BG"/>
        </w:rPr>
        <w:t>.</w:t>
      </w:r>
    </w:p>
    <w:p w14:paraId="2649E537" w14:textId="19EEA5E1" w:rsidR="00FD642F" w:rsidRDefault="0006532B" w:rsidP="00060471">
      <w:pPr>
        <w:spacing w:before="15" w:after="0"/>
        <w:ind w:firstLine="720"/>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lastRenderedPageBreak/>
        <w:t xml:space="preserve">Бюджетната линия се счита за открита от датата на издаване на заповедта за предоставяне на БФП. Бюджетната линия се счита за приключена на крайната дата, посочена в заповедта за предоставяне на БФП, но не по-късно от </w:t>
      </w:r>
      <w:r w:rsidR="002D7DD5">
        <w:rPr>
          <w:rFonts w:ascii="Times New Roman" w:hAnsi="Times New Roman" w:cs="Times New Roman"/>
          <w:sz w:val="24"/>
          <w:szCs w:val="24"/>
          <w:lang w:val="en-US" w:eastAsia="bg-BG"/>
        </w:rPr>
        <w:t>31</w:t>
      </w:r>
      <w:r w:rsidRPr="00097CFE">
        <w:rPr>
          <w:rFonts w:ascii="Times New Roman" w:hAnsi="Times New Roman" w:cs="Times New Roman"/>
          <w:sz w:val="24"/>
          <w:szCs w:val="24"/>
          <w:lang w:eastAsia="bg-BG"/>
        </w:rPr>
        <w:t>.</w:t>
      </w:r>
      <w:r w:rsidR="00536D99">
        <w:rPr>
          <w:rFonts w:ascii="Times New Roman" w:hAnsi="Times New Roman" w:cs="Times New Roman"/>
          <w:sz w:val="24"/>
          <w:szCs w:val="24"/>
          <w:lang w:eastAsia="bg-BG"/>
        </w:rPr>
        <w:t>12</w:t>
      </w:r>
      <w:r w:rsidRPr="00097CFE">
        <w:rPr>
          <w:rFonts w:ascii="Times New Roman" w:hAnsi="Times New Roman" w:cs="Times New Roman"/>
          <w:sz w:val="24"/>
          <w:szCs w:val="24"/>
          <w:lang w:eastAsia="bg-BG"/>
        </w:rPr>
        <w:t>.</w:t>
      </w:r>
      <w:r w:rsidR="00032290" w:rsidRPr="00097CFE">
        <w:rPr>
          <w:rFonts w:ascii="Times New Roman" w:hAnsi="Times New Roman" w:cs="Times New Roman"/>
          <w:sz w:val="24"/>
          <w:szCs w:val="24"/>
          <w:lang w:eastAsia="bg-BG"/>
        </w:rPr>
        <w:t>20</w:t>
      </w:r>
      <w:r w:rsidR="00032290">
        <w:rPr>
          <w:rFonts w:ascii="Times New Roman" w:hAnsi="Times New Roman" w:cs="Times New Roman"/>
          <w:sz w:val="24"/>
          <w:szCs w:val="24"/>
          <w:lang w:val="en-US" w:eastAsia="bg-BG"/>
        </w:rPr>
        <w:t>2</w:t>
      </w:r>
      <w:r w:rsidR="00536D99">
        <w:rPr>
          <w:rFonts w:ascii="Times New Roman" w:hAnsi="Times New Roman" w:cs="Times New Roman"/>
          <w:sz w:val="24"/>
          <w:szCs w:val="24"/>
          <w:lang w:eastAsia="bg-BG"/>
        </w:rPr>
        <w:t>1</w:t>
      </w:r>
      <w:r w:rsidR="00032290" w:rsidRPr="00097CFE">
        <w:rPr>
          <w:rFonts w:ascii="Times New Roman" w:hAnsi="Times New Roman" w:cs="Times New Roman"/>
          <w:sz w:val="24"/>
          <w:szCs w:val="24"/>
          <w:lang w:eastAsia="bg-BG"/>
        </w:rPr>
        <w:t xml:space="preserve"> </w:t>
      </w:r>
      <w:r w:rsidRPr="00097CFE">
        <w:rPr>
          <w:rFonts w:ascii="Times New Roman" w:hAnsi="Times New Roman" w:cs="Times New Roman"/>
          <w:sz w:val="24"/>
          <w:szCs w:val="24"/>
          <w:lang w:eastAsia="bg-BG"/>
        </w:rPr>
        <w:t>г.</w:t>
      </w:r>
    </w:p>
    <w:p w14:paraId="7BEB473E" w14:textId="735E6427" w:rsidR="0006532B" w:rsidRPr="00097CFE" w:rsidRDefault="0006532B" w:rsidP="005104B2">
      <w:pPr>
        <w:spacing w:after="0"/>
        <w:ind w:firstLine="720"/>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 xml:space="preserve">Всички дейности, включително окончателно разплащане към изпълнители, представянето на окончателния технически отчет и окончателния финансов отчет по бюджетната линия трябва да приключат </w:t>
      </w:r>
      <w:r w:rsidR="006016A3">
        <w:rPr>
          <w:rFonts w:ascii="Times New Roman" w:hAnsi="Times New Roman" w:cs="Times New Roman"/>
          <w:sz w:val="24"/>
          <w:szCs w:val="24"/>
          <w:lang w:eastAsia="bg-BG"/>
        </w:rPr>
        <w:t xml:space="preserve">до </w:t>
      </w:r>
      <w:r w:rsidR="008C3EF0">
        <w:rPr>
          <w:rFonts w:ascii="Times New Roman" w:hAnsi="Times New Roman" w:cs="Times New Roman"/>
          <w:sz w:val="24"/>
          <w:szCs w:val="24"/>
          <w:lang w:eastAsia="bg-BG"/>
        </w:rPr>
        <w:t xml:space="preserve">60 </w:t>
      </w:r>
      <w:r w:rsidR="00213202">
        <w:rPr>
          <w:rFonts w:ascii="Times New Roman" w:hAnsi="Times New Roman" w:cs="Times New Roman"/>
          <w:sz w:val="24"/>
          <w:szCs w:val="24"/>
          <w:lang w:eastAsia="bg-BG"/>
        </w:rPr>
        <w:t>дни</w:t>
      </w:r>
      <w:r w:rsidR="006016A3">
        <w:rPr>
          <w:rFonts w:ascii="Times New Roman" w:hAnsi="Times New Roman" w:cs="Times New Roman"/>
          <w:sz w:val="24"/>
          <w:szCs w:val="24"/>
          <w:lang w:eastAsia="bg-BG"/>
        </w:rPr>
        <w:t xml:space="preserve"> от изтичане на </w:t>
      </w:r>
      <w:r w:rsidRPr="00097CFE">
        <w:rPr>
          <w:rFonts w:ascii="Times New Roman" w:hAnsi="Times New Roman" w:cs="Times New Roman"/>
          <w:sz w:val="24"/>
          <w:szCs w:val="24"/>
          <w:lang w:eastAsia="bg-BG"/>
        </w:rPr>
        <w:t>срока за изпълнение на заповедта за БФП.</w:t>
      </w:r>
    </w:p>
    <w:p w14:paraId="0C1914AE" w14:textId="6288B473" w:rsidR="0006532B" w:rsidRDefault="0006532B" w:rsidP="0008648D">
      <w:pPr>
        <w:spacing w:after="0"/>
        <w:ind w:firstLine="720"/>
        <w:jc w:val="both"/>
        <w:rPr>
          <w:rFonts w:ascii="Times New Roman" w:hAnsi="Times New Roman" w:cs="Times New Roman"/>
          <w:sz w:val="24"/>
          <w:szCs w:val="24"/>
          <w:lang w:eastAsia="bg-BG"/>
        </w:rPr>
      </w:pPr>
      <w:r w:rsidRPr="00097CFE">
        <w:rPr>
          <w:rFonts w:ascii="Times New Roman" w:hAnsi="Times New Roman" w:cs="Times New Roman"/>
          <w:sz w:val="24"/>
          <w:szCs w:val="24"/>
          <w:lang w:eastAsia="bg-BG"/>
        </w:rPr>
        <w:t xml:space="preserve">По време на изпълнение на бюджетната линия, конкретният бенефициент следва да спазва Условията за кандидатстване/Общи условия за изпълнение </w:t>
      </w:r>
      <w:r w:rsidR="0008648D" w:rsidRPr="0008648D">
        <w:rPr>
          <w:rFonts w:ascii="Times New Roman" w:hAnsi="Times New Roman" w:cs="Times New Roman"/>
          <w:sz w:val="24"/>
          <w:szCs w:val="24"/>
          <w:lang w:eastAsia="bg-BG"/>
        </w:rPr>
        <w:t>на финансови планове, финансирани по програма за морско дело и рибарство</w:t>
      </w:r>
      <w:r w:rsidR="0008648D">
        <w:rPr>
          <w:rFonts w:ascii="Times New Roman" w:hAnsi="Times New Roman" w:cs="Times New Roman"/>
          <w:sz w:val="24"/>
          <w:szCs w:val="24"/>
          <w:lang w:eastAsia="bg-BG"/>
        </w:rPr>
        <w:t xml:space="preserve"> </w:t>
      </w:r>
      <w:r w:rsidR="0008648D" w:rsidRPr="0008648D">
        <w:rPr>
          <w:rFonts w:ascii="Times New Roman" w:hAnsi="Times New Roman" w:cs="Times New Roman"/>
          <w:sz w:val="24"/>
          <w:szCs w:val="24"/>
          <w:lang w:eastAsia="bg-BG"/>
        </w:rPr>
        <w:t xml:space="preserve">по процедури за директно предоставяне на безвъзмездна финансова помощ </w:t>
      </w:r>
      <w:r w:rsidRPr="00097CFE">
        <w:rPr>
          <w:rFonts w:ascii="Times New Roman" w:hAnsi="Times New Roman" w:cs="Times New Roman"/>
          <w:sz w:val="24"/>
          <w:szCs w:val="24"/>
          <w:lang w:eastAsia="bg-BG"/>
        </w:rPr>
        <w:t>по ”Техническа помощ”.</w:t>
      </w:r>
    </w:p>
    <w:p w14:paraId="393B1421" w14:textId="77777777" w:rsidR="0049285A" w:rsidRPr="00097CFE" w:rsidRDefault="0049285A" w:rsidP="005959AC">
      <w:pPr>
        <w:spacing w:after="0"/>
        <w:jc w:val="both"/>
        <w:rPr>
          <w:rFonts w:ascii="Times New Roman" w:hAnsi="Times New Roman" w:cs="Times New Roman"/>
          <w:sz w:val="24"/>
          <w:szCs w:val="24"/>
          <w:lang w:eastAsia="bg-BG"/>
        </w:rPr>
      </w:pPr>
    </w:p>
    <w:p w14:paraId="2A800351" w14:textId="77777777" w:rsidR="0006532B" w:rsidRDefault="0006532B" w:rsidP="00FB5D00">
      <w:pPr>
        <w:spacing w:after="0"/>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lang w:eastAsia="bg-BG"/>
        </w:rPr>
        <w:t>ВАЖНО!!! В</w:t>
      </w:r>
      <w:r w:rsidRPr="00097CFE">
        <w:rPr>
          <w:rFonts w:ascii="Times New Roman" w:hAnsi="Times New Roman" w:cs="Times New Roman"/>
          <w:b/>
          <w:bCs/>
          <w:sz w:val="24"/>
          <w:szCs w:val="24"/>
          <w:lang w:val="ru-RU" w:eastAsia="bg-BG"/>
        </w:rPr>
        <w:t xml:space="preserve"> </w:t>
      </w:r>
      <w:r w:rsidRPr="00097CFE">
        <w:rPr>
          <w:rFonts w:ascii="Times New Roman" w:hAnsi="Times New Roman" w:cs="Times New Roman"/>
          <w:b/>
          <w:bCs/>
          <w:sz w:val="24"/>
          <w:szCs w:val="24"/>
          <w:lang w:eastAsia="bg-BG"/>
        </w:rPr>
        <w:t>състава на екипите за изпълнение и управление на бюджетната линия могат да влизат</w:t>
      </w:r>
      <w:r w:rsidRPr="00097CFE">
        <w:rPr>
          <w:rFonts w:ascii="Times New Roman" w:hAnsi="Times New Roman" w:cs="Times New Roman"/>
          <w:b/>
          <w:bCs/>
          <w:sz w:val="24"/>
          <w:szCs w:val="24"/>
          <w:lang w:val="ru-RU" w:eastAsia="bg-BG"/>
        </w:rPr>
        <w:t xml:space="preserve"> </w:t>
      </w:r>
      <w:r w:rsidRPr="00097CFE">
        <w:rPr>
          <w:rFonts w:ascii="Times New Roman" w:hAnsi="Times New Roman" w:cs="Times New Roman"/>
          <w:b/>
          <w:bCs/>
          <w:sz w:val="24"/>
          <w:szCs w:val="24"/>
          <w:lang w:eastAsia="bg-BG"/>
        </w:rPr>
        <w:t>само служители от съответната администрация (УО на ПМДР, МЗ и СО</w:t>
      </w:r>
      <w:r w:rsidR="00344A70">
        <w:rPr>
          <w:rFonts w:ascii="Times New Roman" w:hAnsi="Times New Roman" w:cs="Times New Roman"/>
          <w:b/>
          <w:bCs/>
          <w:sz w:val="24"/>
          <w:szCs w:val="24"/>
          <w:lang w:eastAsia="bg-BG"/>
        </w:rPr>
        <w:t xml:space="preserve">, ОО и </w:t>
      </w:r>
      <w:r w:rsidR="00FD642F" w:rsidRPr="00060471">
        <w:rPr>
          <w:rFonts w:ascii="Times New Roman" w:hAnsi="Times New Roman" w:cs="Times New Roman"/>
          <w:b/>
          <w:bCs/>
          <w:sz w:val="24"/>
          <w:szCs w:val="24"/>
          <w:lang w:eastAsia="bg-BG"/>
        </w:rPr>
        <w:t>Дирекция „Вътрешен одит“ към Министерство на земеделието, храните и горите</w:t>
      </w:r>
      <w:r w:rsidRPr="00097CFE">
        <w:rPr>
          <w:rFonts w:ascii="Times New Roman" w:hAnsi="Times New Roman" w:cs="Times New Roman"/>
          <w:b/>
          <w:bCs/>
          <w:sz w:val="24"/>
          <w:szCs w:val="24"/>
          <w:lang w:eastAsia="bg-BG"/>
        </w:rPr>
        <w:t xml:space="preserve">). </w:t>
      </w:r>
    </w:p>
    <w:p w14:paraId="0C0BFF4A" w14:textId="77777777" w:rsidR="0049285A" w:rsidRPr="00097CFE" w:rsidRDefault="0049285A" w:rsidP="00FB5D00">
      <w:pPr>
        <w:spacing w:after="0"/>
        <w:jc w:val="both"/>
        <w:rPr>
          <w:rFonts w:ascii="Times New Roman" w:hAnsi="Times New Roman" w:cs="Times New Roman"/>
          <w:sz w:val="24"/>
          <w:szCs w:val="24"/>
          <w:lang w:eastAsia="bg-BG"/>
        </w:rPr>
      </w:pPr>
    </w:p>
    <w:p w14:paraId="434D6A96" w14:textId="77777777" w:rsidR="0006532B" w:rsidRPr="00097CFE" w:rsidRDefault="0006532B" w:rsidP="00FB5D00">
      <w:pPr>
        <w:spacing w:after="0"/>
        <w:ind w:firstLine="720"/>
        <w:jc w:val="both"/>
        <w:rPr>
          <w:rFonts w:ascii="Times New Roman" w:hAnsi="Times New Roman" w:cs="Times New Roman"/>
          <w:b/>
          <w:bCs/>
          <w:sz w:val="24"/>
          <w:szCs w:val="24"/>
          <w:lang w:eastAsia="bg-BG"/>
        </w:rPr>
      </w:pPr>
      <w:r w:rsidRPr="0097207C">
        <w:rPr>
          <w:rFonts w:ascii="Times New Roman" w:hAnsi="Times New Roman" w:cs="Times New Roman"/>
          <w:b/>
          <w:bCs/>
          <w:sz w:val="24"/>
          <w:szCs w:val="24"/>
          <w:lang w:eastAsia="bg-BG"/>
        </w:rPr>
        <w:t>В</w:t>
      </w:r>
      <w:r w:rsidRPr="0097207C">
        <w:rPr>
          <w:rFonts w:ascii="Times New Roman" w:hAnsi="Times New Roman" w:cs="Times New Roman"/>
          <w:b/>
          <w:bCs/>
          <w:sz w:val="24"/>
          <w:szCs w:val="24"/>
          <w:lang w:val="ru-RU" w:eastAsia="bg-BG"/>
        </w:rPr>
        <w:t xml:space="preserve"> </w:t>
      </w:r>
      <w:r w:rsidRPr="0097207C">
        <w:rPr>
          <w:rFonts w:ascii="Times New Roman" w:hAnsi="Times New Roman" w:cs="Times New Roman"/>
          <w:b/>
          <w:bCs/>
          <w:sz w:val="24"/>
          <w:szCs w:val="24"/>
          <w:lang w:eastAsia="bg-BG"/>
        </w:rPr>
        <w:t>състава на екипите за оценка и наблюдение на бюджетната линия могат да влизат</w:t>
      </w:r>
      <w:r w:rsidRPr="0097207C">
        <w:rPr>
          <w:rFonts w:ascii="Times New Roman" w:hAnsi="Times New Roman" w:cs="Times New Roman"/>
          <w:b/>
          <w:bCs/>
          <w:sz w:val="24"/>
          <w:szCs w:val="24"/>
          <w:lang w:val="ru-RU" w:eastAsia="bg-BG"/>
        </w:rPr>
        <w:t xml:space="preserve"> </w:t>
      </w:r>
      <w:r w:rsidRPr="0097207C">
        <w:rPr>
          <w:rFonts w:ascii="Times New Roman" w:hAnsi="Times New Roman" w:cs="Times New Roman"/>
          <w:b/>
          <w:bCs/>
          <w:sz w:val="24"/>
          <w:szCs w:val="24"/>
          <w:lang w:eastAsia="bg-BG"/>
        </w:rPr>
        <w:t>само служители от администрацията на УО на ПМДР.</w:t>
      </w:r>
    </w:p>
    <w:p w14:paraId="0BFED8E2" w14:textId="07352DF3" w:rsidR="0006532B" w:rsidRPr="00097CFE" w:rsidRDefault="00730098" w:rsidP="00FB5D00">
      <w:pPr>
        <w:spacing w:after="0"/>
        <w:jc w:val="both"/>
        <w:rPr>
          <w:rFonts w:ascii="Times New Roman" w:hAnsi="Times New Roman" w:cs="Times New Roman"/>
          <w:b/>
          <w:bCs/>
          <w:sz w:val="24"/>
          <w:szCs w:val="24"/>
          <w:lang w:eastAsia="bg-BG"/>
        </w:rPr>
      </w:pPr>
      <w:r w:rsidRPr="00097CFE">
        <w:rPr>
          <w:rFonts w:ascii="Times New Roman" w:hAnsi="Times New Roman" w:cs="Times New Roman"/>
          <w:b/>
          <w:bCs/>
          <w:sz w:val="24"/>
          <w:szCs w:val="24"/>
        </w:rPr>
        <w:tab/>
      </w:r>
      <w:r w:rsidR="0006532B" w:rsidRPr="00097CFE">
        <w:rPr>
          <w:rFonts w:ascii="Times New Roman" w:hAnsi="Times New Roman" w:cs="Times New Roman"/>
          <w:b/>
          <w:bCs/>
          <w:sz w:val="24"/>
          <w:szCs w:val="24"/>
        </w:rPr>
        <w:t>За оценката на финансовия план не се сформира оценителна комисия. Оценката на всеки финансов план се извършва от двама експерти от отдел „</w:t>
      </w:r>
      <w:r w:rsidR="00214103">
        <w:rPr>
          <w:rFonts w:ascii="Times New Roman" w:hAnsi="Times New Roman" w:cs="Times New Roman"/>
          <w:b/>
          <w:bCs/>
          <w:sz w:val="24"/>
          <w:szCs w:val="24"/>
        </w:rPr>
        <w:t>Подбор на проектни предложения</w:t>
      </w:r>
      <w:r w:rsidR="0006532B" w:rsidRPr="00097CFE">
        <w:rPr>
          <w:rFonts w:ascii="Times New Roman" w:hAnsi="Times New Roman" w:cs="Times New Roman"/>
          <w:b/>
          <w:bCs/>
          <w:sz w:val="24"/>
          <w:szCs w:val="24"/>
        </w:rPr>
        <w:t>“, както и администратор на оценителната сесия (председател)</w:t>
      </w:r>
      <w:r w:rsidR="0049285A">
        <w:rPr>
          <w:rFonts w:ascii="Times New Roman" w:hAnsi="Times New Roman" w:cs="Times New Roman"/>
          <w:b/>
          <w:bCs/>
          <w:sz w:val="24"/>
          <w:szCs w:val="24"/>
        </w:rPr>
        <w:t xml:space="preserve"> </w:t>
      </w:r>
      <w:r w:rsidR="0006532B" w:rsidRPr="00097CFE">
        <w:rPr>
          <w:rFonts w:ascii="Times New Roman" w:hAnsi="Times New Roman" w:cs="Times New Roman"/>
          <w:b/>
          <w:bCs/>
          <w:sz w:val="24"/>
          <w:szCs w:val="24"/>
        </w:rPr>
        <w:t>определени със Заповед на Ръководителя на УО</w:t>
      </w:r>
      <w:r w:rsidR="0049285A">
        <w:rPr>
          <w:rFonts w:ascii="Times New Roman" w:hAnsi="Times New Roman" w:cs="Times New Roman"/>
          <w:b/>
          <w:bCs/>
          <w:sz w:val="24"/>
          <w:szCs w:val="24"/>
        </w:rPr>
        <w:t xml:space="preserve"> на ПМДР</w:t>
      </w:r>
      <w:r w:rsidR="0006532B" w:rsidRPr="00097CFE">
        <w:rPr>
          <w:rFonts w:ascii="Times New Roman" w:hAnsi="Times New Roman" w:cs="Times New Roman"/>
          <w:b/>
          <w:bCs/>
          <w:sz w:val="24"/>
          <w:szCs w:val="24"/>
        </w:rPr>
        <w:t xml:space="preserve">. </w:t>
      </w:r>
      <w:r w:rsidR="0006532B" w:rsidRPr="00097CFE">
        <w:rPr>
          <w:rFonts w:ascii="Times New Roman" w:hAnsi="Times New Roman" w:cs="Times New Roman"/>
          <w:b/>
          <w:bCs/>
          <w:sz w:val="24"/>
          <w:szCs w:val="24"/>
          <w:lang w:eastAsia="bg-BG"/>
        </w:rPr>
        <w:t>Въз основа на резултатите от оценката,</w:t>
      </w:r>
      <w:r w:rsidR="0006532B" w:rsidRPr="00097CFE">
        <w:rPr>
          <w:rFonts w:ascii="Times New Roman" w:hAnsi="Times New Roman" w:cs="Times New Roman"/>
          <w:b/>
          <w:bCs/>
          <w:sz w:val="24"/>
          <w:szCs w:val="24"/>
        </w:rPr>
        <w:t xml:space="preserve"> експертите, които са я извършили</w:t>
      </w:r>
      <w:r w:rsidR="0006532B" w:rsidRPr="00097CFE">
        <w:rPr>
          <w:rFonts w:ascii="Times New Roman" w:hAnsi="Times New Roman" w:cs="Times New Roman"/>
          <w:b/>
          <w:bCs/>
          <w:sz w:val="24"/>
          <w:szCs w:val="24"/>
          <w:lang w:eastAsia="bg-BG"/>
        </w:rPr>
        <w:t xml:space="preserve">  прилагат „Доклад  на оценителна комисия” от ИСУН 2020 от модул „Оценителна сесия”, раздел „Преглед на документа”</w:t>
      </w:r>
      <w:r w:rsidR="0049285A">
        <w:rPr>
          <w:rFonts w:ascii="Times New Roman" w:hAnsi="Times New Roman" w:cs="Times New Roman"/>
          <w:b/>
          <w:bCs/>
          <w:sz w:val="24"/>
          <w:szCs w:val="24"/>
          <w:lang w:eastAsia="bg-BG"/>
        </w:rPr>
        <w:t>,</w:t>
      </w:r>
      <w:r w:rsidR="0006532B" w:rsidRPr="00097CFE">
        <w:rPr>
          <w:rFonts w:ascii="Times New Roman" w:hAnsi="Times New Roman" w:cs="Times New Roman"/>
          <w:b/>
          <w:bCs/>
          <w:sz w:val="24"/>
          <w:szCs w:val="24"/>
          <w:lang w:eastAsia="bg-BG"/>
        </w:rPr>
        <w:t xml:space="preserve"> който съдържа предложение за отказ или одобрение на финансовия план. Ръководителят на УО на ПМДР издава Решение за одобрение/неодобрение на финансовия план за  бюджетна линия. </w:t>
      </w:r>
    </w:p>
    <w:p w14:paraId="4AD30827" w14:textId="77777777" w:rsidR="0006532B" w:rsidRPr="00097CFE" w:rsidRDefault="0006532B" w:rsidP="00FB5D00">
      <w:pPr>
        <w:spacing w:after="0"/>
        <w:ind w:firstLine="720"/>
        <w:jc w:val="both"/>
        <w:rPr>
          <w:rFonts w:ascii="Times New Roman" w:hAnsi="Times New Roman" w:cs="Times New Roman"/>
          <w:b/>
          <w:bCs/>
          <w:sz w:val="24"/>
          <w:szCs w:val="24"/>
          <w:highlight w:val="white"/>
          <w:shd w:val="clear" w:color="auto" w:fill="FEFEFE"/>
        </w:rPr>
      </w:pPr>
      <w:r w:rsidRPr="00097CFE">
        <w:rPr>
          <w:rFonts w:ascii="Times New Roman" w:hAnsi="Times New Roman" w:cs="Times New Roman"/>
          <w:b/>
          <w:bCs/>
          <w:sz w:val="24"/>
          <w:szCs w:val="24"/>
          <w:highlight w:val="white"/>
          <w:shd w:val="clear" w:color="auto" w:fill="FEFEFE"/>
        </w:rPr>
        <w:t xml:space="preserve">В случай на решение за одобрение на финансовия план за бюджетна линия, ръководителят на </w:t>
      </w:r>
      <w:r w:rsidR="009013B4">
        <w:rPr>
          <w:rFonts w:ascii="Times New Roman" w:hAnsi="Times New Roman" w:cs="Times New Roman"/>
          <w:b/>
          <w:bCs/>
          <w:sz w:val="24"/>
          <w:szCs w:val="24"/>
          <w:highlight w:val="white"/>
          <w:shd w:val="clear" w:color="auto" w:fill="FEFEFE"/>
        </w:rPr>
        <w:t>УО</w:t>
      </w:r>
      <w:r w:rsidRPr="00097CFE">
        <w:rPr>
          <w:rFonts w:ascii="Times New Roman" w:hAnsi="Times New Roman" w:cs="Times New Roman"/>
          <w:b/>
          <w:bCs/>
          <w:sz w:val="24"/>
          <w:szCs w:val="24"/>
          <w:highlight w:val="white"/>
          <w:shd w:val="clear" w:color="auto" w:fill="FEFEFE"/>
        </w:rPr>
        <w:t xml:space="preserve"> издава и заповед за предоставяне на БФП.</w:t>
      </w:r>
    </w:p>
    <w:p w14:paraId="1CECA6E6" w14:textId="77777777" w:rsidR="0006532B" w:rsidRPr="00097CFE" w:rsidRDefault="0006532B" w:rsidP="00FB5D00">
      <w:pPr>
        <w:pStyle w:val="ListParagraph"/>
        <w:tabs>
          <w:tab w:val="left" w:pos="-180"/>
        </w:tabs>
        <w:spacing w:after="120" w:line="240" w:lineRule="auto"/>
        <w:ind w:left="0"/>
        <w:jc w:val="both"/>
        <w:rPr>
          <w:rFonts w:ascii="Times New Roman" w:hAnsi="Times New Roman" w:cs="Times New Roman"/>
          <w:sz w:val="24"/>
          <w:szCs w:val="24"/>
        </w:rPr>
      </w:pPr>
      <w:r w:rsidRPr="00097CFE">
        <w:rPr>
          <w:rFonts w:ascii="Times New Roman" w:hAnsi="Times New Roman" w:cs="Times New Roman"/>
          <w:sz w:val="24"/>
          <w:szCs w:val="24"/>
        </w:rPr>
        <w:t>Кандидатите, за които има издадена заповед за предоставяне на БФП, се поканват да представят в 10-дневен срок следните документи:</w:t>
      </w:r>
    </w:p>
    <w:p w14:paraId="3DCB7A28" w14:textId="77777777" w:rsidR="0006532B" w:rsidRPr="00097CFE" w:rsidRDefault="0006532B" w:rsidP="00FB5D00">
      <w:pPr>
        <w:pStyle w:val="ListParagraph"/>
        <w:numPr>
          <w:ilvl w:val="0"/>
          <w:numId w:val="22"/>
        </w:numPr>
        <w:tabs>
          <w:tab w:val="left" w:pos="-180"/>
        </w:tabs>
        <w:spacing w:after="0" w:line="240" w:lineRule="auto"/>
        <w:jc w:val="both"/>
        <w:rPr>
          <w:rFonts w:ascii="Times New Roman" w:hAnsi="Times New Roman" w:cs="Times New Roman"/>
          <w:sz w:val="24"/>
          <w:szCs w:val="24"/>
        </w:rPr>
      </w:pPr>
      <w:r w:rsidRPr="00097CFE">
        <w:rPr>
          <w:rFonts w:ascii="Times New Roman" w:hAnsi="Times New Roman" w:cs="Times New Roman"/>
          <w:sz w:val="24"/>
          <w:szCs w:val="24"/>
        </w:rPr>
        <w:t xml:space="preserve">Заявление за профил за достъп на ръководител на бенефициента до ИСУН 2020 (Приложение № 11) и/или Заявление за профил за достъп на упълномощени от бенефициента лица до ИСУН 2020 (Приложение № 12) – подписано от лице с право да представлява кандидата; </w:t>
      </w:r>
    </w:p>
    <w:p w14:paraId="421A17A3" w14:textId="77777777" w:rsidR="0006532B" w:rsidRPr="00097CFE" w:rsidRDefault="0006532B" w:rsidP="00FB5D00">
      <w:pPr>
        <w:pStyle w:val="ListParagraph"/>
        <w:numPr>
          <w:ilvl w:val="0"/>
          <w:numId w:val="22"/>
        </w:numPr>
        <w:tabs>
          <w:tab w:val="left" w:pos="-180"/>
        </w:tabs>
        <w:spacing w:after="0" w:line="240" w:lineRule="auto"/>
        <w:jc w:val="both"/>
        <w:rPr>
          <w:rFonts w:ascii="Times New Roman" w:hAnsi="Times New Roman" w:cs="Times New Roman"/>
          <w:sz w:val="24"/>
          <w:szCs w:val="24"/>
        </w:rPr>
      </w:pPr>
      <w:r w:rsidRPr="00097CFE">
        <w:rPr>
          <w:rFonts w:ascii="Times New Roman" w:hAnsi="Times New Roman" w:cs="Times New Roman"/>
          <w:sz w:val="24"/>
          <w:szCs w:val="24"/>
        </w:rPr>
        <w:t>Декларация за нередности  - Приложение № 13.</w:t>
      </w:r>
    </w:p>
    <w:p w14:paraId="7E09B083" w14:textId="77777777" w:rsidR="0006532B" w:rsidRPr="00097CFE" w:rsidRDefault="0006532B" w:rsidP="005959AC">
      <w:pPr>
        <w:spacing w:after="0"/>
        <w:jc w:val="both"/>
        <w:rPr>
          <w:rFonts w:ascii="Times New Roman" w:hAnsi="Times New Roman" w:cs="Times New Roman"/>
          <w:sz w:val="24"/>
          <w:szCs w:val="24"/>
          <w:lang w:eastAsia="bg-BG"/>
        </w:rPr>
      </w:pPr>
    </w:p>
    <w:p w14:paraId="54C58BCC" w14:textId="77777777" w:rsidR="0006532B" w:rsidRPr="00097CFE" w:rsidRDefault="00AF14B7" w:rsidP="00763E3F">
      <w:pPr>
        <w:pStyle w:val="ListParagraph"/>
        <w:pBdr>
          <w:top w:val="single" w:sz="4" w:space="1" w:color="auto"/>
          <w:left w:val="single" w:sz="4" w:space="4" w:color="auto"/>
          <w:bottom w:val="single" w:sz="4" w:space="1" w:color="auto"/>
          <w:right w:val="single" w:sz="4" w:space="4" w:color="auto"/>
        </w:pBdr>
        <w:shd w:val="clear" w:color="auto" w:fill="95B3D7"/>
        <w:ind w:left="782"/>
        <w:jc w:val="both"/>
        <w:rPr>
          <w:rFonts w:ascii="Times New Roman Bold" w:hAnsi="Times New Roman Bold" w:cs="Times New Roman Bold"/>
          <w:b/>
          <w:bCs/>
          <w:caps/>
          <w:sz w:val="24"/>
          <w:szCs w:val="24"/>
        </w:rPr>
      </w:pPr>
      <w:r w:rsidRPr="00763E3F">
        <w:rPr>
          <w:rFonts w:ascii="Times New Roman Bold" w:hAnsi="Times New Roman Bold" w:cs="Times New Roman Bold"/>
          <w:b/>
          <w:bCs/>
          <w:caps/>
          <w:sz w:val="24"/>
          <w:szCs w:val="24"/>
        </w:rPr>
        <w:t>15.</w:t>
      </w:r>
      <w:r>
        <w:rPr>
          <w:rFonts w:asciiTheme="minorHAnsi" w:hAnsiTheme="minorHAnsi" w:cs="Times New Roman Bold"/>
          <w:b/>
          <w:bCs/>
          <w:caps/>
          <w:sz w:val="24"/>
          <w:szCs w:val="24"/>
        </w:rPr>
        <w:t xml:space="preserve"> </w:t>
      </w:r>
      <w:r w:rsidR="0006532B" w:rsidRPr="00097CFE">
        <w:rPr>
          <w:rFonts w:ascii="Times New Roman Bold" w:hAnsi="Times New Roman Bold" w:cs="Times New Roman Bold"/>
          <w:b/>
          <w:bCs/>
          <w:caps/>
          <w:sz w:val="24"/>
          <w:szCs w:val="24"/>
        </w:rPr>
        <w:t>КРАЕН СРОК ЗА ПОДАВАНЕ НА ФИНАНСОВИТЕ ПЛАНОВЕ</w:t>
      </w:r>
    </w:p>
    <w:p w14:paraId="3990F4D7" w14:textId="16296C02" w:rsidR="0006532B" w:rsidRPr="00097CFE" w:rsidRDefault="0006532B" w:rsidP="003E11B4">
      <w:pPr>
        <w:pStyle w:val="ListParagraph"/>
        <w:ind w:left="644"/>
        <w:jc w:val="both"/>
        <w:rPr>
          <w:rFonts w:ascii="Times New Roman" w:hAnsi="Times New Roman" w:cs="Times New Roman"/>
          <w:b/>
          <w:bCs/>
          <w:sz w:val="24"/>
          <w:szCs w:val="24"/>
        </w:rPr>
      </w:pPr>
      <w:r w:rsidRPr="00097CFE">
        <w:rPr>
          <w:rFonts w:ascii="Times New Roman" w:hAnsi="Times New Roman" w:cs="Times New Roman"/>
          <w:b/>
          <w:bCs/>
          <w:sz w:val="24"/>
          <w:szCs w:val="24"/>
        </w:rPr>
        <w:t>01.</w:t>
      </w:r>
      <w:r w:rsidR="008D7904" w:rsidRPr="00097CFE">
        <w:rPr>
          <w:rFonts w:ascii="Times New Roman" w:hAnsi="Times New Roman" w:cs="Times New Roman"/>
          <w:b/>
          <w:bCs/>
          <w:sz w:val="24"/>
          <w:szCs w:val="24"/>
          <w:lang w:val="en-US"/>
        </w:rPr>
        <w:t>12.</w:t>
      </w:r>
      <w:r w:rsidR="00214103" w:rsidRPr="00097CFE">
        <w:rPr>
          <w:rFonts w:ascii="Times New Roman" w:hAnsi="Times New Roman" w:cs="Times New Roman"/>
          <w:b/>
          <w:bCs/>
          <w:sz w:val="24"/>
          <w:szCs w:val="24"/>
          <w:lang w:val="en-US"/>
        </w:rPr>
        <w:t>20</w:t>
      </w:r>
      <w:r w:rsidR="00214103">
        <w:rPr>
          <w:rFonts w:ascii="Times New Roman" w:hAnsi="Times New Roman" w:cs="Times New Roman"/>
          <w:b/>
          <w:bCs/>
          <w:sz w:val="24"/>
          <w:szCs w:val="24"/>
          <w:lang w:val="en-US"/>
        </w:rPr>
        <w:t>2</w:t>
      </w:r>
      <w:r w:rsidR="00214103">
        <w:rPr>
          <w:rFonts w:ascii="Times New Roman" w:hAnsi="Times New Roman" w:cs="Times New Roman"/>
          <w:b/>
          <w:bCs/>
          <w:sz w:val="24"/>
          <w:szCs w:val="24"/>
        </w:rPr>
        <w:t>1</w:t>
      </w:r>
      <w:r w:rsidR="00214103" w:rsidRPr="00097CFE">
        <w:rPr>
          <w:rFonts w:ascii="Times New Roman" w:hAnsi="Times New Roman" w:cs="Times New Roman"/>
          <w:b/>
          <w:bCs/>
          <w:sz w:val="24"/>
          <w:szCs w:val="24"/>
          <w:lang w:val="en-US"/>
        </w:rPr>
        <w:t xml:space="preserve"> </w:t>
      </w:r>
      <w:r w:rsidR="008D7904" w:rsidRPr="00097CFE">
        <w:rPr>
          <w:rFonts w:ascii="Times New Roman" w:hAnsi="Times New Roman" w:cs="Times New Roman"/>
          <w:b/>
          <w:bCs/>
          <w:sz w:val="24"/>
          <w:szCs w:val="24"/>
        </w:rPr>
        <w:t>г.</w:t>
      </w:r>
      <w:r w:rsidRPr="00097CFE">
        <w:rPr>
          <w:rFonts w:ascii="Times New Roman" w:hAnsi="Times New Roman" w:cs="Times New Roman"/>
          <w:b/>
          <w:bCs/>
          <w:sz w:val="24"/>
          <w:szCs w:val="24"/>
        </w:rPr>
        <w:t xml:space="preserve"> 17:30 ч.</w:t>
      </w:r>
    </w:p>
    <w:p w14:paraId="090DACE2" w14:textId="77777777" w:rsidR="0006532B" w:rsidRPr="00097CFE" w:rsidRDefault="00AF14B7" w:rsidP="00FB5D00">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5B3D7"/>
        <w:ind w:left="782" w:hanging="357"/>
        <w:jc w:val="both"/>
        <w:rPr>
          <w:rFonts w:ascii="Times New Roman Bold" w:hAnsi="Times New Roman Bold" w:cs="Times New Roman Bold"/>
          <w:b/>
          <w:bCs/>
          <w:caps/>
          <w:sz w:val="24"/>
          <w:szCs w:val="24"/>
        </w:rPr>
      </w:pPr>
      <w:r>
        <w:rPr>
          <w:rFonts w:asciiTheme="minorHAnsi" w:hAnsiTheme="minorHAnsi" w:cs="Times New Roman Bold"/>
          <w:b/>
          <w:bCs/>
          <w:caps/>
          <w:sz w:val="24"/>
          <w:szCs w:val="24"/>
        </w:rPr>
        <w:t xml:space="preserve">16. </w:t>
      </w:r>
      <w:r w:rsidR="0006532B" w:rsidRPr="00097CFE">
        <w:rPr>
          <w:rFonts w:ascii="Times New Roman Bold" w:hAnsi="Times New Roman Bold" w:cs="Times New Roman Bold"/>
          <w:b/>
          <w:bCs/>
          <w:caps/>
          <w:sz w:val="24"/>
          <w:szCs w:val="24"/>
        </w:rPr>
        <w:t xml:space="preserve">ПРИЛОЖЕНИЯ КЪМ </w:t>
      </w:r>
      <w:r w:rsidR="0049285A" w:rsidRPr="007943F8">
        <w:rPr>
          <w:rFonts w:ascii="Times New Roman Bold" w:hAnsi="Times New Roman Bold" w:cs="Times New Roman Bold"/>
          <w:b/>
          <w:bCs/>
          <w:caps/>
          <w:sz w:val="24"/>
          <w:szCs w:val="24"/>
        </w:rPr>
        <w:t>УСЛОВИЯТА</w:t>
      </w:r>
      <w:r w:rsidR="0049285A" w:rsidRPr="00097CFE">
        <w:rPr>
          <w:rFonts w:ascii="Times New Roman Bold" w:hAnsi="Times New Roman Bold" w:cs="Times New Roman Bold"/>
          <w:b/>
          <w:bCs/>
          <w:caps/>
          <w:sz w:val="24"/>
          <w:szCs w:val="24"/>
        </w:rPr>
        <w:t xml:space="preserve"> </w:t>
      </w:r>
      <w:r w:rsidR="0006532B" w:rsidRPr="00097CFE">
        <w:rPr>
          <w:rFonts w:ascii="Times New Roman Bold" w:hAnsi="Times New Roman Bold" w:cs="Times New Roman Bold"/>
          <w:b/>
          <w:bCs/>
          <w:caps/>
          <w:sz w:val="24"/>
          <w:szCs w:val="24"/>
        </w:rPr>
        <w:t>ЗА КАНДИДАТСТВАНЕ</w:t>
      </w:r>
    </w:p>
    <w:p w14:paraId="6CAE063B" w14:textId="77777777" w:rsidR="0006532B" w:rsidRPr="00097CFE" w:rsidRDefault="0006532B" w:rsidP="003E11B4">
      <w:pPr>
        <w:spacing w:after="120"/>
        <w:ind w:left="646"/>
        <w:jc w:val="both"/>
        <w:rPr>
          <w:rFonts w:ascii="Times New Roman" w:hAnsi="Times New Roman" w:cs="Times New Roman"/>
          <w:b/>
          <w:bCs/>
          <w:caps/>
          <w:sz w:val="24"/>
          <w:szCs w:val="24"/>
          <w:lang w:eastAsia="bg-BG"/>
        </w:rPr>
      </w:pPr>
      <w:r w:rsidRPr="00097CFE">
        <w:rPr>
          <w:rFonts w:ascii="Times New Roman" w:hAnsi="Times New Roman" w:cs="Times New Roman"/>
          <w:b/>
          <w:bCs/>
          <w:caps/>
          <w:sz w:val="24"/>
          <w:szCs w:val="24"/>
          <w:lang w:eastAsia="bg-BG"/>
        </w:rPr>
        <w:t>16.1. Документи за кандидатстване:</w:t>
      </w:r>
    </w:p>
    <w:p w14:paraId="6B32051C" w14:textId="77777777" w:rsidR="0006532B" w:rsidRPr="00097CFE" w:rsidRDefault="0006532B" w:rsidP="003E11B4">
      <w:pPr>
        <w:tabs>
          <w:tab w:val="left" w:pos="1843"/>
        </w:tabs>
        <w:spacing w:after="120" w:line="240" w:lineRule="auto"/>
        <w:ind w:left="644"/>
        <w:jc w:val="both"/>
        <w:rPr>
          <w:rFonts w:ascii="Times New Roman" w:hAnsi="Times New Roman" w:cs="Times New Roman"/>
          <w:b/>
          <w:bCs/>
          <w:sz w:val="24"/>
          <w:szCs w:val="24"/>
          <w:lang w:eastAsia="en-GB"/>
        </w:rPr>
      </w:pPr>
      <w:r w:rsidRPr="00097CFE">
        <w:rPr>
          <w:rFonts w:ascii="Times New Roman" w:hAnsi="Times New Roman" w:cs="Times New Roman"/>
          <w:b/>
          <w:bCs/>
          <w:sz w:val="24"/>
          <w:szCs w:val="24"/>
          <w:lang w:eastAsia="en-GB"/>
        </w:rPr>
        <w:t>1</w:t>
      </w:r>
      <w:r w:rsidRPr="00097CFE">
        <w:rPr>
          <w:rFonts w:ascii="Times New Roman" w:hAnsi="Times New Roman" w:cs="Times New Roman"/>
          <w:sz w:val="24"/>
          <w:szCs w:val="24"/>
          <w:lang w:eastAsia="en-GB"/>
        </w:rPr>
        <w:t>.</w:t>
      </w:r>
      <w:r w:rsidRPr="00097CFE">
        <w:rPr>
          <w:rFonts w:ascii="Times New Roman" w:hAnsi="Times New Roman" w:cs="Times New Roman"/>
          <w:b/>
          <w:bCs/>
          <w:sz w:val="24"/>
          <w:szCs w:val="24"/>
          <w:lang w:eastAsia="en-GB"/>
        </w:rPr>
        <w:t xml:space="preserve"> </w:t>
      </w:r>
      <w:r w:rsidRPr="00097CFE">
        <w:rPr>
          <w:rFonts w:ascii="Times New Roman" w:hAnsi="Times New Roman" w:cs="Times New Roman"/>
          <w:sz w:val="24"/>
          <w:szCs w:val="24"/>
          <w:lang w:eastAsia="en-GB"/>
        </w:rPr>
        <w:t>Финансов план и указания за неговото попълване</w:t>
      </w:r>
      <w:r w:rsidRPr="00097CFE">
        <w:rPr>
          <w:rFonts w:ascii="Times New Roman" w:hAnsi="Times New Roman" w:cs="Times New Roman"/>
          <w:b/>
          <w:bCs/>
          <w:sz w:val="24"/>
          <w:szCs w:val="24"/>
          <w:lang w:eastAsia="en-GB"/>
        </w:rPr>
        <w:t xml:space="preserve"> - 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1;</w:t>
      </w:r>
    </w:p>
    <w:p w14:paraId="78FAF0CA" w14:textId="77777777" w:rsidR="0006532B" w:rsidRPr="00097CFE" w:rsidRDefault="0006532B" w:rsidP="0088420A">
      <w:pPr>
        <w:tabs>
          <w:tab w:val="left" w:pos="1843"/>
        </w:tabs>
        <w:spacing w:after="120" w:line="240" w:lineRule="auto"/>
        <w:ind w:left="644"/>
        <w:jc w:val="both"/>
        <w:rPr>
          <w:rFonts w:ascii="Times New Roman" w:hAnsi="Times New Roman" w:cs="Times New Roman"/>
          <w:b/>
          <w:bCs/>
          <w:sz w:val="24"/>
          <w:szCs w:val="24"/>
          <w:lang w:eastAsia="en-GB"/>
        </w:rPr>
      </w:pPr>
      <w:r w:rsidRPr="00097CFE">
        <w:rPr>
          <w:rFonts w:ascii="Times New Roman" w:hAnsi="Times New Roman" w:cs="Times New Roman"/>
          <w:b/>
          <w:bCs/>
          <w:sz w:val="24"/>
          <w:szCs w:val="24"/>
          <w:lang w:eastAsia="en-GB"/>
        </w:rPr>
        <w:lastRenderedPageBreak/>
        <w:t xml:space="preserve">2. </w:t>
      </w:r>
      <w:r w:rsidRPr="00097CFE">
        <w:rPr>
          <w:rFonts w:ascii="Times New Roman" w:hAnsi="Times New Roman" w:cs="Times New Roman"/>
          <w:sz w:val="24"/>
          <w:szCs w:val="24"/>
          <w:lang w:eastAsia="en-GB"/>
        </w:rPr>
        <w:t>Финансова обосновка</w:t>
      </w:r>
      <w:r w:rsidRPr="00097CFE">
        <w:rPr>
          <w:rFonts w:ascii="Times New Roman" w:hAnsi="Times New Roman" w:cs="Times New Roman"/>
          <w:b/>
          <w:bCs/>
          <w:sz w:val="24"/>
          <w:szCs w:val="24"/>
          <w:lang w:eastAsia="en-GB"/>
        </w:rPr>
        <w:t xml:space="preserve"> - 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1а;</w:t>
      </w:r>
    </w:p>
    <w:p w14:paraId="4DF46BB2" w14:textId="77777777" w:rsidR="0006532B" w:rsidRPr="00097CFE" w:rsidRDefault="0006532B" w:rsidP="003E11B4">
      <w:pPr>
        <w:tabs>
          <w:tab w:val="left" w:pos="1843"/>
        </w:tabs>
        <w:spacing w:after="120" w:line="240" w:lineRule="auto"/>
        <w:ind w:left="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val="ru-RU" w:eastAsia="en-GB"/>
        </w:rPr>
        <w:t>3</w:t>
      </w:r>
      <w:r w:rsidRPr="00097CFE">
        <w:rPr>
          <w:rFonts w:ascii="Times New Roman" w:hAnsi="Times New Roman" w:cs="Times New Roman"/>
          <w:sz w:val="24"/>
          <w:szCs w:val="24"/>
          <w:lang w:eastAsia="en-GB"/>
        </w:rPr>
        <w:t>.</w:t>
      </w:r>
      <w:r w:rsidRPr="00097CFE">
        <w:rPr>
          <w:rFonts w:ascii="Times New Roman" w:hAnsi="Times New Roman" w:cs="Times New Roman"/>
          <w:b/>
          <w:bCs/>
          <w:sz w:val="24"/>
          <w:szCs w:val="24"/>
          <w:lang w:eastAsia="en-GB"/>
        </w:rPr>
        <w:t xml:space="preserve"> </w:t>
      </w:r>
      <w:r w:rsidRPr="00097CFE">
        <w:rPr>
          <w:rFonts w:ascii="Times New Roman" w:hAnsi="Times New Roman" w:cs="Times New Roman"/>
          <w:sz w:val="24"/>
          <w:szCs w:val="24"/>
          <w:lang w:eastAsia="en-GB"/>
        </w:rPr>
        <w:t xml:space="preserve">Декларация обща на кандидата - </w:t>
      </w: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w:t>
      </w:r>
      <w:r w:rsidRPr="00097CFE">
        <w:rPr>
          <w:rFonts w:ascii="Times New Roman" w:hAnsi="Times New Roman" w:cs="Times New Roman"/>
          <w:sz w:val="24"/>
          <w:szCs w:val="24"/>
        </w:rPr>
        <w:t xml:space="preserve"> </w:t>
      </w:r>
      <w:r w:rsidRPr="00097CFE">
        <w:rPr>
          <w:rFonts w:ascii="Times New Roman" w:hAnsi="Times New Roman" w:cs="Times New Roman"/>
          <w:b/>
          <w:bCs/>
          <w:sz w:val="24"/>
          <w:szCs w:val="24"/>
          <w:lang w:eastAsia="en-GB"/>
        </w:rPr>
        <w:t>2;</w:t>
      </w:r>
    </w:p>
    <w:p w14:paraId="34D45E50" w14:textId="77777777" w:rsidR="0006532B" w:rsidRPr="00097CFE" w:rsidRDefault="0006532B" w:rsidP="004A40B4">
      <w:pPr>
        <w:tabs>
          <w:tab w:val="left" w:pos="1843"/>
        </w:tabs>
        <w:spacing w:after="120" w:line="240" w:lineRule="auto"/>
        <w:ind w:left="644"/>
        <w:jc w:val="both"/>
        <w:rPr>
          <w:rFonts w:ascii="Times New Roman" w:hAnsi="Times New Roman" w:cs="Times New Roman"/>
          <w:b/>
          <w:bCs/>
          <w:sz w:val="24"/>
          <w:szCs w:val="24"/>
          <w:lang w:eastAsia="en-GB"/>
        </w:rPr>
      </w:pPr>
    </w:p>
    <w:p w14:paraId="5232E3F3" w14:textId="77777777" w:rsidR="0006532B" w:rsidRPr="00097CFE" w:rsidRDefault="0006532B" w:rsidP="003E11B4">
      <w:pPr>
        <w:tabs>
          <w:tab w:val="left" w:pos="1843"/>
        </w:tabs>
        <w:spacing w:after="120" w:line="240" w:lineRule="auto"/>
        <w:ind w:left="567"/>
        <w:jc w:val="both"/>
        <w:rPr>
          <w:rFonts w:ascii="Times New Roman" w:hAnsi="Times New Roman" w:cs="Times New Roman"/>
          <w:b/>
          <w:bCs/>
          <w:i/>
          <w:iCs/>
          <w:sz w:val="24"/>
          <w:szCs w:val="24"/>
          <w:lang w:eastAsia="en-GB"/>
        </w:rPr>
      </w:pPr>
      <w:r w:rsidRPr="00097CFE">
        <w:rPr>
          <w:rFonts w:ascii="Times New Roman" w:hAnsi="Times New Roman" w:cs="Times New Roman"/>
          <w:b/>
          <w:bCs/>
          <w:i/>
          <w:iCs/>
          <w:sz w:val="24"/>
          <w:szCs w:val="24"/>
          <w:lang w:eastAsia="en-GB"/>
        </w:rPr>
        <w:t xml:space="preserve">Приложения </w:t>
      </w:r>
      <w:r w:rsidRPr="00097CFE">
        <w:rPr>
          <w:rFonts w:ascii="Times New Roman" w:hAnsi="Times New Roman" w:cs="Times New Roman"/>
          <w:b/>
          <w:bCs/>
          <w:i/>
          <w:iCs/>
          <w:sz w:val="24"/>
          <w:szCs w:val="24"/>
        </w:rPr>
        <w:t>№</w:t>
      </w:r>
      <w:r w:rsidRPr="00097CFE">
        <w:rPr>
          <w:rFonts w:ascii="Times New Roman" w:hAnsi="Times New Roman" w:cs="Times New Roman"/>
          <w:b/>
          <w:bCs/>
          <w:sz w:val="24"/>
          <w:szCs w:val="24"/>
        </w:rPr>
        <w:t xml:space="preserve"> </w:t>
      </w:r>
      <w:r w:rsidRPr="00097CFE">
        <w:rPr>
          <w:rFonts w:ascii="Times New Roman" w:hAnsi="Times New Roman" w:cs="Times New Roman"/>
          <w:b/>
          <w:bCs/>
          <w:i/>
          <w:iCs/>
          <w:sz w:val="24"/>
          <w:szCs w:val="24"/>
          <w:lang w:eastAsia="en-GB"/>
        </w:rPr>
        <w:t>1, 1а и 2  се попълват по образец, предоставен от УО.</w:t>
      </w:r>
    </w:p>
    <w:p w14:paraId="055FC6A9" w14:textId="77777777" w:rsidR="0006532B" w:rsidRDefault="0006532B" w:rsidP="003E11B4">
      <w:pPr>
        <w:tabs>
          <w:tab w:val="left" w:pos="1843"/>
        </w:tabs>
        <w:spacing w:after="120" w:line="240" w:lineRule="auto"/>
        <w:ind w:left="567"/>
        <w:jc w:val="both"/>
        <w:rPr>
          <w:rFonts w:ascii="Times New Roman" w:hAnsi="Times New Roman" w:cs="Times New Roman"/>
          <w:b/>
          <w:bCs/>
          <w:i/>
          <w:iCs/>
          <w:sz w:val="24"/>
          <w:szCs w:val="24"/>
          <w:lang w:eastAsia="en-GB"/>
        </w:rPr>
      </w:pPr>
    </w:p>
    <w:p w14:paraId="4654EBA7" w14:textId="77777777" w:rsidR="0006532B" w:rsidRPr="00097CFE" w:rsidRDefault="0006532B" w:rsidP="00FB5D00">
      <w:pPr>
        <w:pStyle w:val="ListParagraph"/>
        <w:numPr>
          <w:ilvl w:val="1"/>
          <w:numId w:val="22"/>
        </w:numPr>
        <w:spacing w:after="120"/>
        <w:jc w:val="both"/>
        <w:rPr>
          <w:rFonts w:ascii="Times New Roman" w:hAnsi="Times New Roman" w:cs="Times New Roman"/>
          <w:b/>
          <w:bCs/>
          <w:caps/>
          <w:sz w:val="24"/>
          <w:szCs w:val="24"/>
        </w:rPr>
      </w:pPr>
      <w:r w:rsidRPr="00097CFE">
        <w:rPr>
          <w:rFonts w:ascii="Times New Roman" w:hAnsi="Times New Roman" w:cs="Times New Roman"/>
          <w:b/>
          <w:bCs/>
          <w:caps/>
          <w:sz w:val="24"/>
          <w:szCs w:val="24"/>
        </w:rPr>
        <w:t xml:space="preserve"> Документи ЗА ИНФОРМАЦИЯ: </w:t>
      </w:r>
    </w:p>
    <w:p w14:paraId="42E15097" w14:textId="77777777" w:rsidR="0006532B" w:rsidRPr="00097CFE" w:rsidRDefault="0006532B" w:rsidP="009013B4">
      <w:pPr>
        <w:pStyle w:val="ListParagraph"/>
        <w:spacing w:after="120"/>
        <w:ind w:left="0" w:firstLine="622"/>
        <w:jc w:val="both"/>
        <w:rPr>
          <w:rFonts w:ascii="Times New Roman" w:hAnsi="Times New Roman" w:cs="Times New Roman"/>
          <w:b/>
          <w:bCs/>
          <w:caps/>
          <w:sz w:val="24"/>
          <w:szCs w:val="24"/>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 xml:space="preserve">3: </w:t>
      </w:r>
      <w:r w:rsidRPr="00097CFE">
        <w:rPr>
          <w:rFonts w:ascii="Times New Roman" w:hAnsi="Times New Roman" w:cs="Times New Roman"/>
          <w:sz w:val="24"/>
          <w:szCs w:val="24"/>
        </w:rPr>
        <w:t>Единен наръчник на бенефициента за прилагане на правилата за информация и комуникация 2014-2020 г.;</w:t>
      </w:r>
    </w:p>
    <w:p w14:paraId="58DD9269" w14:textId="6E2050C4" w:rsidR="0006532B" w:rsidRPr="00097CFE" w:rsidRDefault="0006532B" w:rsidP="009013B4">
      <w:pPr>
        <w:tabs>
          <w:tab w:val="left" w:pos="1843"/>
        </w:tabs>
        <w:spacing w:after="120" w:line="240" w:lineRule="auto"/>
        <w:ind w:firstLine="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 xml:space="preserve">4: </w:t>
      </w:r>
      <w:r w:rsidRPr="00097CFE">
        <w:rPr>
          <w:rFonts w:ascii="Times New Roman" w:hAnsi="Times New Roman" w:cs="Times New Roman"/>
          <w:sz w:val="24"/>
          <w:szCs w:val="24"/>
          <w:lang w:eastAsia="en-GB"/>
        </w:rPr>
        <w:t xml:space="preserve">Критерии  за оценка на проектните предложения по Процедура </w:t>
      </w:r>
      <w:r w:rsidRPr="00097CFE">
        <w:rPr>
          <w:rFonts w:ascii="Times New Roman" w:hAnsi="Times New Roman" w:cs="Times New Roman"/>
          <w:b/>
          <w:bCs/>
          <w:caps/>
          <w:sz w:val="24"/>
          <w:szCs w:val="24"/>
          <w:lang w:eastAsia="bg-BG"/>
        </w:rPr>
        <w:t>BG14</w:t>
      </w:r>
      <w:r w:rsidRPr="00097CFE">
        <w:rPr>
          <w:rFonts w:ascii="Times New Roman" w:hAnsi="Times New Roman" w:cs="Times New Roman"/>
          <w:b/>
          <w:bCs/>
          <w:caps/>
          <w:sz w:val="24"/>
          <w:szCs w:val="24"/>
          <w:lang w:val="en-US" w:eastAsia="bg-BG"/>
        </w:rPr>
        <w:t>mf</w:t>
      </w:r>
      <w:r w:rsidRPr="00097CFE">
        <w:rPr>
          <w:rFonts w:ascii="Times New Roman" w:hAnsi="Times New Roman" w:cs="Times New Roman"/>
          <w:b/>
          <w:bCs/>
          <w:caps/>
          <w:sz w:val="24"/>
          <w:szCs w:val="24"/>
          <w:lang w:eastAsia="bg-BG"/>
        </w:rPr>
        <w:t>OP001-</w:t>
      </w:r>
      <w:r w:rsidRPr="00097CFE">
        <w:rPr>
          <w:rFonts w:ascii="Times New Roman" w:hAnsi="Times New Roman" w:cs="Times New Roman"/>
          <w:b/>
          <w:bCs/>
          <w:caps/>
          <w:sz w:val="24"/>
          <w:szCs w:val="24"/>
          <w:lang w:val="ru-RU" w:eastAsia="bg-BG"/>
        </w:rPr>
        <w:t>7</w:t>
      </w:r>
      <w:r w:rsidRPr="00097CFE">
        <w:rPr>
          <w:rFonts w:ascii="Times New Roman" w:hAnsi="Times New Roman" w:cs="Times New Roman"/>
          <w:b/>
          <w:bCs/>
          <w:caps/>
          <w:sz w:val="24"/>
          <w:szCs w:val="24"/>
          <w:lang w:eastAsia="bg-BG"/>
        </w:rPr>
        <w:t>.</w:t>
      </w:r>
      <w:r w:rsidR="00214103" w:rsidRPr="00097CFE">
        <w:rPr>
          <w:rFonts w:ascii="Times New Roman" w:hAnsi="Times New Roman" w:cs="Times New Roman"/>
          <w:b/>
          <w:bCs/>
          <w:caps/>
          <w:sz w:val="24"/>
          <w:szCs w:val="24"/>
          <w:lang w:eastAsia="bg-BG"/>
        </w:rPr>
        <w:t>00</w:t>
      </w:r>
      <w:r w:rsidR="00214103">
        <w:rPr>
          <w:rFonts w:ascii="Times New Roman" w:hAnsi="Times New Roman" w:cs="Times New Roman"/>
          <w:b/>
          <w:bCs/>
          <w:caps/>
          <w:sz w:val="24"/>
          <w:szCs w:val="24"/>
          <w:lang w:eastAsia="bg-BG"/>
        </w:rPr>
        <w:t>3</w:t>
      </w:r>
      <w:r w:rsidRPr="00097CFE">
        <w:rPr>
          <w:rFonts w:ascii="Times New Roman" w:hAnsi="Times New Roman" w:cs="Times New Roman"/>
          <w:sz w:val="24"/>
          <w:szCs w:val="24"/>
          <w:lang w:eastAsia="en-GB"/>
        </w:rPr>
        <w:t>;</w:t>
      </w:r>
    </w:p>
    <w:p w14:paraId="4746B304" w14:textId="77777777" w:rsidR="0006532B" w:rsidRPr="00097CFE" w:rsidRDefault="0006532B" w:rsidP="00F376A6">
      <w:pPr>
        <w:pStyle w:val="ListParagraph"/>
        <w:spacing w:after="0" w:line="360" w:lineRule="auto"/>
        <w:ind w:left="0" w:firstLine="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5:</w:t>
      </w:r>
      <w:r w:rsidRPr="00097CFE">
        <w:rPr>
          <w:rFonts w:ascii="Times New Roman" w:hAnsi="Times New Roman" w:cs="Times New Roman"/>
          <w:sz w:val="24"/>
          <w:szCs w:val="24"/>
          <w:lang w:eastAsia="en-GB"/>
        </w:rPr>
        <w:t xml:space="preserve"> Образец на Оценителен доклад </w:t>
      </w:r>
      <w:r w:rsidRPr="00097CFE">
        <w:rPr>
          <w:rFonts w:ascii="Times New Roman" w:hAnsi="Times New Roman" w:cs="Times New Roman"/>
          <w:sz w:val="24"/>
          <w:szCs w:val="24"/>
        </w:rPr>
        <w:t>- електронен документ в ИСУН 2020</w:t>
      </w:r>
      <w:r w:rsidRPr="00097CFE">
        <w:rPr>
          <w:rFonts w:ascii="Times New Roman" w:hAnsi="Times New Roman" w:cs="Times New Roman"/>
          <w:sz w:val="24"/>
          <w:szCs w:val="24"/>
          <w:lang w:eastAsia="en-GB"/>
        </w:rPr>
        <w:t>;</w:t>
      </w:r>
    </w:p>
    <w:p w14:paraId="7E4E775E" w14:textId="77777777" w:rsidR="009013B4" w:rsidRDefault="0006532B" w:rsidP="009013B4">
      <w:pPr>
        <w:tabs>
          <w:tab w:val="left" w:pos="1843"/>
        </w:tabs>
        <w:spacing w:after="120" w:line="240" w:lineRule="auto"/>
        <w:ind w:left="644"/>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6:</w:t>
      </w:r>
      <w:r w:rsidRPr="00097CFE">
        <w:rPr>
          <w:rFonts w:ascii="Times New Roman" w:hAnsi="Times New Roman" w:cs="Times New Roman"/>
          <w:sz w:val="24"/>
          <w:szCs w:val="24"/>
          <w:lang w:eastAsia="en-GB"/>
        </w:rPr>
        <w:t xml:space="preserve"> Образец на Решение за одобряване на бюджетна линия;</w:t>
      </w:r>
    </w:p>
    <w:p w14:paraId="234645F7" w14:textId="68C75195" w:rsidR="0006532B" w:rsidRPr="00097CFE" w:rsidRDefault="0006532B" w:rsidP="00FF7AF8">
      <w:pPr>
        <w:tabs>
          <w:tab w:val="left" w:pos="567"/>
          <w:tab w:val="left" w:pos="1843"/>
        </w:tabs>
        <w:spacing w:after="120" w:line="240" w:lineRule="auto"/>
        <w:ind w:firstLine="720"/>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7:</w:t>
      </w:r>
      <w:r w:rsidRPr="00097CFE">
        <w:rPr>
          <w:rFonts w:ascii="Times New Roman" w:hAnsi="Times New Roman" w:cs="Times New Roman"/>
          <w:sz w:val="24"/>
          <w:szCs w:val="24"/>
          <w:lang w:eastAsia="en-GB"/>
        </w:rPr>
        <w:t xml:space="preserve"> Образец на заповед за предоставяне на безвъзмездна финансова помощ;</w:t>
      </w:r>
    </w:p>
    <w:p w14:paraId="59F6CF19" w14:textId="77777777" w:rsidR="001B6EDA" w:rsidRDefault="0006532B" w:rsidP="001B6EDA">
      <w:pPr>
        <w:tabs>
          <w:tab w:val="left" w:pos="1843"/>
        </w:tabs>
        <w:spacing w:after="120" w:line="240" w:lineRule="auto"/>
        <w:ind w:firstLine="567"/>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8:</w:t>
      </w:r>
      <w:r w:rsidRPr="00097CFE">
        <w:rPr>
          <w:rFonts w:ascii="Times New Roman" w:hAnsi="Times New Roman" w:cs="Times New Roman"/>
          <w:sz w:val="24"/>
          <w:szCs w:val="24"/>
          <w:lang w:eastAsia="en-GB"/>
        </w:rPr>
        <w:t xml:space="preserve"> Общи условия за изпълнение на проекти, финансирани по ПМДР по процедури за директно предоставяне на безвъзмездна финансова помощ по  „Техническа помощ”;</w:t>
      </w:r>
    </w:p>
    <w:p w14:paraId="6C73DF06" w14:textId="77777777" w:rsidR="001B6EDA" w:rsidRDefault="0006532B" w:rsidP="001B6EDA">
      <w:pPr>
        <w:tabs>
          <w:tab w:val="left" w:pos="1843"/>
        </w:tabs>
        <w:spacing w:after="120" w:line="240" w:lineRule="auto"/>
        <w:ind w:firstLine="567"/>
        <w:jc w:val="both"/>
        <w:rPr>
          <w:rFonts w:ascii="Times New Roman" w:hAnsi="Times New Roman" w:cs="Times New Roman"/>
          <w:sz w:val="24"/>
          <w:szCs w:val="24"/>
          <w:lang w:eastAsia="en-GB"/>
        </w:rPr>
      </w:pPr>
      <w:r w:rsidRPr="00097CFE">
        <w:rPr>
          <w:rFonts w:ascii="Times New Roman" w:hAnsi="Times New Roman" w:cs="Times New Roman"/>
          <w:b/>
          <w:bCs/>
          <w:sz w:val="24"/>
          <w:szCs w:val="24"/>
          <w:lang w:eastAsia="en-GB"/>
        </w:rPr>
        <w:t xml:space="preserve">Приложение </w:t>
      </w:r>
      <w:r w:rsidRPr="00097CFE">
        <w:rPr>
          <w:rFonts w:ascii="Times New Roman" w:hAnsi="Times New Roman" w:cs="Times New Roman"/>
          <w:b/>
          <w:bCs/>
          <w:sz w:val="24"/>
          <w:szCs w:val="24"/>
        </w:rPr>
        <w:t xml:space="preserve">№ </w:t>
      </w:r>
      <w:r w:rsidRPr="00097CFE">
        <w:rPr>
          <w:rFonts w:ascii="Times New Roman" w:hAnsi="Times New Roman" w:cs="Times New Roman"/>
          <w:b/>
          <w:bCs/>
          <w:sz w:val="24"/>
          <w:szCs w:val="24"/>
          <w:lang w:eastAsia="en-GB"/>
        </w:rPr>
        <w:t>10:</w:t>
      </w:r>
      <w:r w:rsidRPr="00097CFE">
        <w:rPr>
          <w:rFonts w:ascii="Times New Roman" w:hAnsi="Times New Roman" w:cs="Times New Roman"/>
          <w:sz w:val="24"/>
          <w:szCs w:val="24"/>
          <w:lang w:val="ru-RU" w:eastAsia="en-GB"/>
        </w:rPr>
        <w:t xml:space="preserve"> </w:t>
      </w:r>
      <w:r w:rsidRPr="00097CFE">
        <w:rPr>
          <w:rFonts w:ascii="Times New Roman" w:hAnsi="Times New Roman" w:cs="Times New Roman"/>
          <w:sz w:val="24"/>
          <w:szCs w:val="24"/>
          <w:lang w:eastAsia="en-GB"/>
        </w:rPr>
        <w:t>Указания за условията и реда за подаване на проектни  предложения и тяхната оценка по електронен път чрез информационна система за управление и наблюдение ИСУН 2020;</w:t>
      </w:r>
    </w:p>
    <w:p w14:paraId="343FED6E" w14:textId="77777777" w:rsidR="001B6EDA" w:rsidRDefault="0006532B" w:rsidP="001B6EDA">
      <w:pPr>
        <w:tabs>
          <w:tab w:val="left" w:pos="1843"/>
        </w:tabs>
        <w:spacing w:after="120" w:line="240" w:lineRule="auto"/>
        <w:ind w:firstLine="567"/>
        <w:jc w:val="both"/>
        <w:rPr>
          <w:rFonts w:ascii="Times New Roman" w:hAnsi="Times New Roman" w:cs="Times New Roman"/>
          <w:sz w:val="24"/>
          <w:szCs w:val="24"/>
          <w:lang w:eastAsia="en-GB"/>
        </w:rPr>
      </w:pPr>
      <w:r w:rsidRPr="00097CFE">
        <w:rPr>
          <w:rFonts w:ascii="Times New Roman" w:hAnsi="Times New Roman" w:cs="Times New Roman"/>
          <w:b/>
          <w:bCs/>
          <w:sz w:val="24"/>
          <w:szCs w:val="24"/>
        </w:rPr>
        <w:t>Приложение № 11:</w:t>
      </w:r>
      <w:r w:rsidRPr="00097CFE">
        <w:rPr>
          <w:rFonts w:ascii="Times New Roman" w:hAnsi="Times New Roman" w:cs="Times New Roman"/>
          <w:sz w:val="24"/>
          <w:szCs w:val="24"/>
        </w:rPr>
        <w:t xml:space="preserve"> Заявление за профил за достъп на ръководител на бенефициента до ИСУН 2020;</w:t>
      </w:r>
    </w:p>
    <w:p w14:paraId="13845F5E" w14:textId="77777777" w:rsidR="001B6EDA" w:rsidRDefault="0006532B" w:rsidP="001B6EDA">
      <w:pPr>
        <w:tabs>
          <w:tab w:val="left" w:pos="1843"/>
        </w:tabs>
        <w:spacing w:after="120" w:line="240" w:lineRule="auto"/>
        <w:ind w:firstLine="567"/>
        <w:jc w:val="both"/>
        <w:rPr>
          <w:rFonts w:ascii="Times New Roman" w:hAnsi="Times New Roman" w:cs="Times New Roman"/>
          <w:sz w:val="24"/>
          <w:szCs w:val="24"/>
          <w:lang w:eastAsia="en-GB"/>
        </w:rPr>
      </w:pPr>
      <w:r w:rsidRPr="00097CFE">
        <w:rPr>
          <w:rFonts w:ascii="Times New Roman" w:hAnsi="Times New Roman" w:cs="Times New Roman"/>
          <w:b/>
          <w:bCs/>
          <w:sz w:val="24"/>
          <w:szCs w:val="24"/>
        </w:rPr>
        <w:t>Приложение № 12:</w:t>
      </w:r>
      <w:r w:rsidRPr="00097CFE">
        <w:rPr>
          <w:rFonts w:ascii="Times New Roman" w:hAnsi="Times New Roman" w:cs="Times New Roman"/>
          <w:sz w:val="24"/>
          <w:szCs w:val="24"/>
        </w:rPr>
        <w:t xml:space="preserve"> Заявление за профил за достъп на упълномощени от бенефициента лица до ИСУН 2020;</w:t>
      </w:r>
    </w:p>
    <w:p w14:paraId="584B5AC9" w14:textId="3DEE7AFC" w:rsidR="00265A82" w:rsidRDefault="0006532B" w:rsidP="001B6EDA">
      <w:pPr>
        <w:tabs>
          <w:tab w:val="left" w:pos="1843"/>
        </w:tabs>
        <w:spacing w:after="120" w:line="240" w:lineRule="auto"/>
        <w:ind w:firstLine="567"/>
        <w:jc w:val="both"/>
        <w:rPr>
          <w:rFonts w:ascii="Times New Roman" w:hAnsi="Times New Roman" w:cs="Times New Roman"/>
          <w:sz w:val="24"/>
          <w:szCs w:val="24"/>
          <w:lang w:eastAsia="en-GB"/>
        </w:rPr>
      </w:pPr>
      <w:r w:rsidRPr="00097CFE">
        <w:rPr>
          <w:rFonts w:ascii="Times New Roman" w:hAnsi="Times New Roman" w:cs="Times New Roman"/>
          <w:b/>
          <w:bCs/>
          <w:sz w:val="24"/>
          <w:szCs w:val="24"/>
        </w:rPr>
        <w:t>Приложение № 13:</w:t>
      </w:r>
      <w:r w:rsidRPr="00097CFE">
        <w:rPr>
          <w:rFonts w:ascii="Times New Roman" w:hAnsi="Times New Roman" w:cs="Times New Roman"/>
          <w:sz w:val="24"/>
          <w:szCs w:val="24"/>
        </w:rPr>
        <w:t xml:space="preserve"> </w:t>
      </w:r>
      <w:r w:rsidR="006C3D6F">
        <w:rPr>
          <w:rFonts w:ascii="Times New Roman" w:hAnsi="Times New Roman" w:cs="Times New Roman"/>
          <w:sz w:val="24"/>
          <w:szCs w:val="24"/>
        </w:rPr>
        <w:t>О</w:t>
      </w:r>
      <w:r w:rsidR="00D07ECD">
        <w:rPr>
          <w:rFonts w:ascii="Times New Roman" w:hAnsi="Times New Roman" w:cs="Times New Roman"/>
          <w:sz w:val="24"/>
          <w:szCs w:val="24"/>
        </w:rPr>
        <w:t xml:space="preserve">бразец на </w:t>
      </w:r>
      <w:r w:rsidRPr="00097CFE">
        <w:rPr>
          <w:rFonts w:ascii="Times New Roman" w:hAnsi="Times New Roman" w:cs="Times New Roman"/>
          <w:sz w:val="24"/>
          <w:szCs w:val="24"/>
        </w:rPr>
        <w:t xml:space="preserve">Декларация за нередности.  </w:t>
      </w:r>
    </w:p>
    <w:p w14:paraId="5DE6AF5A" w14:textId="77777777" w:rsidR="00265A82" w:rsidRPr="00C21B5B" w:rsidRDefault="00265A82" w:rsidP="00265A82">
      <w:pPr>
        <w:rPr>
          <w:rFonts w:ascii="Times New Roman" w:hAnsi="Times New Roman" w:cs="Times New Roman"/>
          <w:sz w:val="24"/>
          <w:szCs w:val="24"/>
        </w:rPr>
      </w:pPr>
    </w:p>
    <w:p w14:paraId="75E203D5" w14:textId="77777777" w:rsidR="009979F6" w:rsidRPr="00097CFE" w:rsidRDefault="009979F6"/>
    <w:sectPr w:rsidR="009979F6" w:rsidRPr="00097CFE" w:rsidSect="0069625D">
      <w:footerReference w:type="default" r:id="rId10"/>
      <w:headerReference w:type="first" r:id="rId11"/>
      <w:pgSz w:w="11906" w:h="16838"/>
      <w:pgMar w:top="851" w:right="1417" w:bottom="1417" w:left="1417" w:header="708" w:footer="708" w:gutter="0"/>
      <w:cols w:space="708"/>
      <w:titlePg/>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874E96" w16cid:durableId="22415D50"/>
  <w16cid:commentId w16cid:paraId="6DDED843" w16cid:durableId="22416C6E"/>
  <w16cid:commentId w16cid:paraId="191B6147" w16cid:durableId="22415A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7C571" w14:textId="77777777" w:rsidR="0043093B" w:rsidRDefault="0043093B" w:rsidP="003E11B4">
      <w:pPr>
        <w:spacing w:after="0" w:line="240" w:lineRule="auto"/>
      </w:pPr>
      <w:r>
        <w:separator/>
      </w:r>
    </w:p>
  </w:endnote>
  <w:endnote w:type="continuationSeparator" w:id="0">
    <w:p w14:paraId="7C071D99" w14:textId="77777777" w:rsidR="0043093B" w:rsidRDefault="0043093B" w:rsidP="003E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B3499" w14:textId="53531C01" w:rsidR="0006532B" w:rsidRPr="00CB42FF" w:rsidRDefault="0006532B" w:rsidP="0069625D">
    <w:pPr>
      <w:pStyle w:val="Footer"/>
      <w:pBdr>
        <w:top w:val="single" w:sz="12" w:space="1" w:color="002060"/>
      </w:pBdr>
      <w:ind w:firstLine="2832"/>
      <w:jc w:val="center"/>
      <w:rPr>
        <w:rFonts w:ascii="Times New Roman" w:hAnsi="Times New Roman" w:cs="Times New Roman"/>
        <w:i/>
        <w:iCs/>
        <w:sz w:val="16"/>
        <w:szCs w:val="16"/>
      </w:rPr>
    </w:pPr>
    <w:r>
      <w:rPr>
        <w:rFonts w:ascii="Times New Roman" w:hAnsi="Times New Roman" w:cs="Times New Roman"/>
        <w:i/>
        <w:iCs/>
        <w:sz w:val="16"/>
        <w:szCs w:val="16"/>
        <w:lang w:val="en-US"/>
      </w:rPr>
      <w:tab/>
    </w:r>
    <w:r>
      <w:rPr>
        <w:rFonts w:ascii="Times New Roman" w:hAnsi="Times New Roman" w:cs="Times New Roman"/>
        <w:i/>
        <w:iCs/>
        <w:sz w:val="16"/>
        <w:szCs w:val="16"/>
        <w:lang w:val="en-US"/>
      </w:rPr>
      <w:tab/>
    </w:r>
    <w:r w:rsidRPr="00CB42FF">
      <w:rPr>
        <w:rFonts w:ascii="Times New Roman" w:hAnsi="Times New Roman" w:cs="Times New Roman"/>
        <w:i/>
        <w:iCs/>
        <w:sz w:val="16"/>
        <w:szCs w:val="16"/>
      </w:rPr>
      <w:t xml:space="preserve">Стр. </w:t>
    </w:r>
    <w:r w:rsidR="00E33FFC" w:rsidRPr="00CB42FF">
      <w:rPr>
        <w:rFonts w:ascii="Times New Roman" w:hAnsi="Times New Roman" w:cs="Times New Roman"/>
        <w:i/>
        <w:iCs/>
        <w:sz w:val="16"/>
        <w:szCs w:val="16"/>
      </w:rPr>
      <w:fldChar w:fldCharType="begin"/>
    </w:r>
    <w:r w:rsidRPr="00CB42FF">
      <w:rPr>
        <w:rFonts w:ascii="Times New Roman" w:hAnsi="Times New Roman" w:cs="Times New Roman"/>
        <w:i/>
        <w:iCs/>
        <w:sz w:val="16"/>
        <w:szCs w:val="16"/>
      </w:rPr>
      <w:instrText xml:space="preserve"> PAGE </w:instrText>
    </w:r>
    <w:r w:rsidR="00E33FFC" w:rsidRPr="00CB42FF">
      <w:rPr>
        <w:rFonts w:ascii="Times New Roman" w:hAnsi="Times New Roman" w:cs="Times New Roman"/>
        <w:i/>
        <w:iCs/>
        <w:sz w:val="16"/>
        <w:szCs w:val="16"/>
      </w:rPr>
      <w:fldChar w:fldCharType="separate"/>
    </w:r>
    <w:r w:rsidR="00D10A1D">
      <w:rPr>
        <w:rFonts w:ascii="Times New Roman" w:hAnsi="Times New Roman" w:cs="Times New Roman"/>
        <w:i/>
        <w:iCs/>
        <w:noProof/>
        <w:sz w:val="16"/>
        <w:szCs w:val="16"/>
      </w:rPr>
      <w:t>16</w:t>
    </w:r>
    <w:r w:rsidR="00E33FFC" w:rsidRPr="00CB42FF">
      <w:rPr>
        <w:rFonts w:ascii="Times New Roman" w:hAnsi="Times New Roman" w:cs="Times New Roman"/>
        <w:i/>
        <w:iCs/>
        <w:sz w:val="16"/>
        <w:szCs w:val="16"/>
      </w:rPr>
      <w:fldChar w:fldCharType="end"/>
    </w:r>
    <w:r w:rsidRPr="00CB42FF">
      <w:rPr>
        <w:rFonts w:ascii="Times New Roman" w:hAnsi="Times New Roman" w:cs="Times New Roman"/>
        <w:i/>
        <w:iCs/>
        <w:sz w:val="16"/>
        <w:szCs w:val="16"/>
      </w:rPr>
      <w:t xml:space="preserve"> от </w:t>
    </w:r>
    <w:r w:rsidR="00E33FFC" w:rsidRPr="00CB42FF">
      <w:rPr>
        <w:rFonts w:ascii="Times New Roman" w:hAnsi="Times New Roman" w:cs="Times New Roman"/>
        <w:i/>
        <w:iCs/>
        <w:sz w:val="16"/>
        <w:szCs w:val="16"/>
      </w:rPr>
      <w:fldChar w:fldCharType="begin"/>
    </w:r>
    <w:r w:rsidRPr="00CB42FF">
      <w:rPr>
        <w:rFonts w:ascii="Times New Roman" w:hAnsi="Times New Roman" w:cs="Times New Roman"/>
        <w:i/>
        <w:iCs/>
        <w:sz w:val="16"/>
        <w:szCs w:val="16"/>
      </w:rPr>
      <w:instrText xml:space="preserve"> NUMPAGES  </w:instrText>
    </w:r>
    <w:r w:rsidR="00E33FFC" w:rsidRPr="00CB42FF">
      <w:rPr>
        <w:rFonts w:ascii="Times New Roman" w:hAnsi="Times New Roman" w:cs="Times New Roman"/>
        <w:i/>
        <w:iCs/>
        <w:sz w:val="16"/>
        <w:szCs w:val="16"/>
      </w:rPr>
      <w:fldChar w:fldCharType="separate"/>
    </w:r>
    <w:r w:rsidR="00D10A1D">
      <w:rPr>
        <w:rFonts w:ascii="Times New Roman" w:hAnsi="Times New Roman" w:cs="Times New Roman"/>
        <w:i/>
        <w:iCs/>
        <w:noProof/>
        <w:sz w:val="16"/>
        <w:szCs w:val="16"/>
      </w:rPr>
      <w:t>16</w:t>
    </w:r>
    <w:r w:rsidR="00E33FFC" w:rsidRPr="00CB42FF">
      <w:rPr>
        <w:rFonts w:ascii="Times New Roman" w:hAnsi="Times New Roman" w:cs="Times New Roman"/>
        <w:i/>
        <w:i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6D5A1" w14:textId="77777777" w:rsidR="0043093B" w:rsidRDefault="0043093B" w:rsidP="003E11B4">
      <w:pPr>
        <w:spacing w:after="0" w:line="240" w:lineRule="auto"/>
      </w:pPr>
      <w:r>
        <w:separator/>
      </w:r>
    </w:p>
  </w:footnote>
  <w:footnote w:type="continuationSeparator" w:id="0">
    <w:p w14:paraId="3760A0A1" w14:textId="77777777" w:rsidR="0043093B" w:rsidRDefault="0043093B" w:rsidP="003E11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2EF2B" w14:textId="77777777" w:rsidR="0006532B" w:rsidRPr="00BB367C" w:rsidRDefault="0006532B" w:rsidP="0069625D">
    <w:pPr>
      <w:ind w:left="708" w:firstLine="708"/>
      <w:jc w:val="right"/>
      <w:rPr>
        <w:rFonts w:ascii="Times New Roman" w:hAnsi="Times New Roman" w:cs="Times New Roman"/>
        <w:b/>
        <w:bCs/>
        <w:caps/>
        <w:sz w:val="24"/>
        <w:szCs w:val="24"/>
        <w:lang w:eastAsia="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D1E"/>
    <w:multiLevelType w:val="hybridMultilevel"/>
    <w:tmpl w:val="6F0C9B44"/>
    <w:lvl w:ilvl="0" w:tplc="0409000B">
      <w:start w:val="1"/>
      <w:numFmt w:val="bullet"/>
      <w:lvlText w:val=""/>
      <w:lvlJc w:val="left"/>
      <w:pPr>
        <w:ind w:left="810" w:hanging="360"/>
      </w:pPr>
      <w:rPr>
        <w:rFonts w:ascii="Wingdings" w:hAnsi="Wingdings" w:cs="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1">
    <w:nsid w:val="05D45763"/>
    <w:multiLevelType w:val="hybridMultilevel"/>
    <w:tmpl w:val="86840B0E"/>
    <w:lvl w:ilvl="0" w:tplc="30BC175A">
      <w:start w:val="23"/>
      <w:numFmt w:val="bullet"/>
      <w:lvlText w:val="-"/>
      <w:lvlJc w:val="left"/>
      <w:pPr>
        <w:ind w:left="1366" w:hanging="360"/>
      </w:pPr>
      <w:rPr>
        <w:rFonts w:ascii="Times New Roman" w:eastAsia="Times New Roman" w:hAnsi="Times New Roman" w:hint="default"/>
      </w:rPr>
    </w:lvl>
    <w:lvl w:ilvl="1" w:tplc="04020003">
      <w:start w:val="1"/>
      <w:numFmt w:val="bullet"/>
      <w:lvlText w:val="o"/>
      <w:lvlJc w:val="left"/>
      <w:pPr>
        <w:ind w:left="2086" w:hanging="360"/>
      </w:pPr>
      <w:rPr>
        <w:rFonts w:ascii="Courier New" w:hAnsi="Courier New" w:cs="Courier New" w:hint="default"/>
      </w:rPr>
    </w:lvl>
    <w:lvl w:ilvl="2" w:tplc="04020005">
      <w:start w:val="1"/>
      <w:numFmt w:val="bullet"/>
      <w:lvlText w:val=""/>
      <w:lvlJc w:val="left"/>
      <w:pPr>
        <w:ind w:left="2806" w:hanging="360"/>
      </w:pPr>
      <w:rPr>
        <w:rFonts w:ascii="Wingdings" w:hAnsi="Wingdings" w:cs="Wingdings" w:hint="default"/>
      </w:rPr>
    </w:lvl>
    <w:lvl w:ilvl="3" w:tplc="04020001">
      <w:start w:val="1"/>
      <w:numFmt w:val="bullet"/>
      <w:lvlText w:val=""/>
      <w:lvlJc w:val="left"/>
      <w:pPr>
        <w:ind w:left="3526" w:hanging="360"/>
      </w:pPr>
      <w:rPr>
        <w:rFonts w:ascii="Symbol" w:hAnsi="Symbol" w:cs="Symbol" w:hint="default"/>
      </w:rPr>
    </w:lvl>
    <w:lvl w:ilvl="4" w:tplc="04020003">
      <w:start w:val="1"/>
      <w:numFmt w:val="bullet"/>
      <w:lvlText w:val="o"/>
      <w:lvlJc w:val="left"/>
      <w:pPr>
        <w:ind w:left="4246" w:hanging="360"/>
      </w:pPr>
      <w:rPr>
        <w:rFonts w:ascii="Courier New" w:hAnsi="Courier New" w:cs="Courier New" w:hint="default"/>
      </w:rPr>
    </w:lvl>
    <w:lvl w:ilvl="5" w:tplc="04020005">
      <w:start w:val="1"/>
      <w:numFmt w:val="bullet"/>
      <w:lvlText w:val=""/>
      <w:lvlJc w:val="left"/>
      <w:pPr>
        <w:ind w:left="4966" w:hanging="360"/>
      </w:pPr>
      <w:rPr>
        <w:rFonts w:ascii="Wingdings" w:hAnsi="Wingdings" w:cs="Wingdings" w:hint="default"/>
      </w:rPr>
    </w:lvl>
    <w:lvl w:ilvl="6" w:tplc="04020001">
      <w:start w:val="1"/>
      <w:numFmt w:val="bullet"/>
      <w:lvlText w:val=""/>
      <w:lvlJc w:val="left"/>
      <w:pPr>
        <w:ind w:left="5686" w:hanging="360"/>
      </w:pPr>
      <w:rPr>
        <w:rFonts w:ascii="Symbol" w:hAnsi="Symbol" w:cs="Symbol" w:hint="default"/>
      </w:rPr>
    </w:lvl>
    <w:lvl w:ilvl="7" w:tplc="04020003">
      <w:start w:val="1"/>
      <w:numFmt w:val="bullet"/>
      <w:lvlText w:val="o"/>
      <w:lvlJc w:val="left"/>
      <w:pPr>
        <w:ind w:left="6406" w:hanging="360"/>
      </w:pPr>
      <w:rPr>
        <w:rFonts w:ascii="Courier New" w:hAnsi="Courier New" w:cs="Courier New" w:hint="default"/>
      </w:rPr>
    </w:lvl>
    <w:lvl w:ilvl="8" w:tplc="04020005">
      <w:start w:val="1"/>
      <w:numFmt w:val="bullet"/>
      <w:lvlText w:val=""/>
      <w:lvlJc w:val="left"/>
      <w:pPr>
        <w:ind w:left="7126" w:hanging="360"/>
      </w:pPr>
      <w:rPr>
        <w:rFonts w:ascii="Wingdings" w:hAnsi="Wingdings" w:cs="Wingdings" w:hint="default"/>
      </w:rPr>
    </w:lvl>
  </w:abstractNum>
  <w:abstractNum w:abstractNumId="2">
    <w:nsid w:val="0A800F5E"/>
    <w:multiLevelType w:val="multilevel"/>
    <w:tmpl w:val="B9BAB512"/>
    <w:lvl w:ilvl="0">
      <w:start w:val="10"/>
      <w:numFmt w:val="decimal"/>
      <w:lvlText w:val="%1."/>
      <w:lvlJc w:val="left"/>
      <w:pPr>
        <w:ind w:left="480" w:hanging="480"/>
      </w:pPr>
      <w:rPr>
        <w:rFonts w:ascii="Times New Roman" w:eastAsia="Times New Roman" w:hAnsi="Times New Roman" w:hint="default"/>
        <w:sz w:val="28"/>
        <w:szCs w:val="28"/>
      </w:rPr>
    </w:lvl>
    <w:lvl w:ilvl="1">
      <w:start w:val="2"/>
      <w:numFmt w:val="decimal"/>
      <w:lvlText w:val="%1.%2."/>
      <w:lvlJc w:val="left"/>
      <w:pPr>
        <w:ind w:left="622" w:hanging="48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3">
    <w:nsid w:val="174F6EF2"/>
    <w:multiLevelType w:val="hybridMultilevel"/>
    <w:tmpl w:val="94585CF2"/>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nsid w:val="18454A59"/>
    <w:multiLevelType w:val="hybridMultilevel"/>
    <w:tmpl w:val="D3CA687E"/>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5">
    <w:nsid w:val="18786FEA"/>
    <w:multiLevelType w:val="multilevel"/>
    <w:tmpl w:val="EBC23608"/>
    <w:lvl w:ilvl="0">
      <w:start w:val="1"/>
      <w:numFmt w:val="decimal"/>
      <w:lvlText w:val="%1."/>
      <w:lvlJc w:val="left"/>
      <w:pPr>
        <w:ind w:left="786" w:hanging="360"/>
      </w:pPr>
      <w:rPr>
        <w:rFonts w:hint="default"/>
        <w:b/>
        <w:bCs/>
        <w:color w:val="auto"/>
        <w:sz w:val="24"/>
        <w:szCs w:val="24"/>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6">
    <w:nsid w:val="1D295D6C"/>
    <w:multiLevelType w:val="hybridMultilevel"/>
    <w:tmpl w:val="117E720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7">
    <w:nsid w:val="1FC74AEA"/>
    <w:multiLevelType w:val="hybridMultilevel"/>
    <w:tmpl w:val="92680FF4"/>
    <w:lvl w:ilvl="0" w:tplc="0402000D">
      <w:start w:val="1"/>
      <w:numFmt w:val="bullet"/>
      <w:lvlText w:val=""/>
      <w:lvlJc w:val="left"/>
      <w:pPr>
        <w:ind w:left="720" w:hanging="360"/>
      </w:pPr>
      <w:rPr>
        <w:rFonts w:ascii="Wingdings" w:hAnsi="Wingdings" w:cs="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8">
    <w:nsid w:val="20A76AC9"/>
    <w:multiLevelType w:val="multilevel"/>
    <w:tmpl w:val="EBC23608"/>
    <w:lvl w:ilvl="0">
      <w:start w:val="1"/>
      <w:numFmt w:val="decimal"/>
      <w:lvlText w:val="%1."/>
      <w:lvlJc w:val="left"/>
      <w:pPr>
        <w:ind w:left="927" w:hanging="360"/>
      </w:pPr>
      <w:rPr>
        <w:rFonts w:hint="default"/>
        <w:b/>
        <w:bCs/>
        <w:color w:val="auto"/>
        <w:sz w:val="24"/>
        <w:szCs w:val="24"/>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9">
    <w:nsid w:val="2756371F"/>
    <w:multiLevelType w:val="hybridMultilevel"/>
    <w:tmpl w:val="58ECBDC2"/>
    <w:lvl w:ilvl="0" w:tplc="F66E6A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76D3C56"/>
    <w:multiLevelType w:val="multilevel"/>
    <w:tmpl w:val="50543CFA"/>
    <w:lvl w:ilvl="0">
      <w:start w:val="1"/>
      <w:numFmt w:val="decimal"/>
      <w:lvlText w:val="%1."/>
      <w:lvlJc w:val="left"/>
      <w:pPr>
        <w:ind w:left="786" w:hanging="360"/>
      </w:pPr>
      <w:rPr>
        <w:rFonts w:hint="default"/>
        <w:b/>
        <w:bCs/>
        <w:color w:val="000000"/>
        <w:sz w:val="24"/>
        <w:szCs w:val="24"/>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1">
    <w:nsid w:val="375B5980"/>
    <w:multiLevelType w:val="hybridMultilevel"/>
    <w:tmpl w:val="AA2276A2"/>
    <w:lvl w:ilvl="0" w:tplc="04020001">
      <w:start w:val="1"/>
      <w:numFmt w:val="bullet"/>
      <w:lvlText w:val=""/>
      <w:lvlJc w:val="left"/>
      <w:pPr>
        <w:ind w:left="786" w:hanging="360"/>
      </w:pPr>
      <w:rPr>
        <w:rFonts w:ascii="Symbol" w:hAnsi="Symbol" w:cs="Symbol" w:hint="default"/>
      </w:rPr>
    </w:lvl>
    <w:lvl w:ilvl="1" w:tplc="04020003">
      <w:start w:val="1"/>
      <w:numFmt w:val="bullet"/>
      <w:lvlText w:val="o"/>
      <w:lvlJc w:val="left"/>
      <w:pPr>
        <w:ind w:left="1506" w:hanging="360"/>
      </w:pPr>
      <w:rPr>
        <w:rFonts w:ascii="Courier New" w:hAnsi="Courier New" w:cs="Courier New" w:hint="default"/>
      </w:rPr>
    </w:lvl>
    <w:lvl w:ilvl="2" w:tplc="04020005">
      <w:start w:val="1"/>
      <w:numFmt w:val="bullet"/>
      <w:lvlText w:val=""/>
      <w:lvlJc w:val="left"/>
      <w:pPr>
        <w:ind w:left="2226" w:hanging="360"/>
      </w:pPr>
      <w:rPr>
        <w:rFonts w:ascii="Wingdings" w:hAnsi="Wingdings" w:cs="Wingdings" w:hint="default"/>
      </w:rPr>
    </w:lvl>
    <w:lvl w:ilvl="3" w:tplc="04020001">
      <w:start w:val="1"/>
      <w:numFmt w:val="bullet"/>
      <w:lvlText w:val=""/>
      <w:lvlJc w:val="left"/>
      <w:pPr>
        <w:ind w:left="2946" w:hanging="360"/>
      </w:pPr>
      <w:rPr>
        <w:rFonts w:ascii="Symbol" w:hAnsi="Symbol" w:cs="Symbol" w:hint="default"/>
      </w:rPr>
    </w:lvl>
    <w:lvl w:ilvl="4" w:tplc="04020003">
      <w:start w:val="1"/>
      <w:numFmt w:val="bullet"/>
      <w:lvlText w:val="o"/>
      <w:lvlJc w:val="left"/>
      <w:pPr>
        <w:ind w:left="3666" w:hanging="360"/>
      </w:pPr>
      <w:rPr>
        <w:rFonts w:ascii="Courier New" w:hAnsi="Courier New" w:cs="Courier New" w:hint="default"/>
      </w:rPr>
    </w:lvl>
    <w:lvl w:ilvl="5" w:tplc="04020005">
      <w:start w:val="1"/>
      <w:numFmt w:val="bullet"/>
      <w:lvlText w:val=""/>
      <w:lvlJc w:val="left"/>
      <w:pPr>
        <w:ind w:left="4386" w:hanging="360"/>
      </w:pPr>
      <w:rPr>
        <w:rFonts w:ascii="Wingdings" w:hAnsi="Wingdings" w:cs="Wingdings" w:hint="default"/>
      </w:rPr>
    </w:lvl>
    <w:lvl w:ilvl="6" w:tplc="04020001">
      <w:start w:val="1"/>
      <w:numFmt w:val="bullet"/>
      <w:lvlText w:val=""/>
      <w:lvlJc w:val="left"/>
      <w:pPr>
        <w:ind w:left="5106" w:hanging="360"/>
      </w:pPr>
      <w:rPr>
        <w:rFonts w:ascii="Symbol" w:hAnsi="Symbol" w:cs="Symbol" w:hint="default"/>
      </w:rPr>
    </w:lvl>
    <w:lvl w:ilvl="7" w:tplc="04020003">
      <w:start w:val="1"/>
      <w:numFmt w:val="bullet"/>
      <w:lvlText w:val="o"/>
      <w:lvlJc w:val="left"/>
      <w:pPr>
        <w:ind w:left="5826" w:hanging="360"/>
      </w:pPr>
      <w:rPr>
        <w:rFonts w:ascii="Courier New" w:hAnsi="Courier New" w:cs="Courier New" w:hint="default"/>
      </w:rPr>
    </w:lvl>
    <w:lvl w:ilvl="8" w:tplc="04020005">
      <w:start w:val="1"/>
      <w:numFmt w:val="bullet"/>
      <w:lvlText w:val=""/>
      <w:lvlJc w:val="left"/>
      <w:pPr>
        <w:ind w:left="6546" w:hanging="360"/>
      </w:pPr>
      <w:rPr>
        <w:rFonts w:ascii="Wingdings" w:hAnsi="Wingdings" w:cs="Wingdings" w:hint="default"/>
      </w:rPr>
    </w:lvl>
  </w:abstractNum>
  <w:abstractNum w:abstractNumId="12">
    <w:nsid w:val="3D180D06"/>
    <w:multiLevelType w:val="multilevel"/>
    <w:tmpl w:val="A7F26E9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F957B74"/>
    <w:multiLevelType w:val="hybridMultilevel"/>
    <w:tmpl w:val="E626008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E0430E7"/>
    <w:multiLevelType w:val="hybridMultilevel"/>
    <w:tmpl w:val="C9C8A90A"/>
    <w:lvl w:ilvl="0" w:tplc="55EA7C22">
      <w:start w:val="1"/>
      <w:numFmt w:val="bullet"/>
      <w:lvlText w:val="-"/>
      <w:lvlJc w:val="left"/>
      <w:pPr>
        <w:ind w:left="643" w:hanging="360"/>
      </w:pPr>
      <w:rPr>
        <w:rFonts w:ascii="Times New Roman" w:eastAsia="Times New Roman" w:hAnsi="Times New Roman"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cs="Wingdings" w:hint="default"/>
      </w:rPr>
    </w:lvl>
    <w:lvl w:ilvl="3" w:tplc="04090001">
      <w:start w:val="1"/>
      <w:numFmt w:val="bullet"/>
      <w:lvlText w:val=""/>
      <w:lvlJc w:val="left"/>
      <w:pPr>
        <w:ind w:left="2803" w:hanging="360"/>
      </w:pPr>
      <w:rPr>
        <w:rFonts w:ascii="Symbol" w:hAnsi="Symbol" w:cs="Symbol" w:hint="default"/>
      </w:rPr>
    </w:lvl>
    <w:lvl w:ilvl="4" w:tplc="04090003">
      <w:start w:val="1"/>
      <w:numFmt w:val="bullet"/>
      <w:lvlText w:val="o"/>
      <w:lvlJc w:val="left"/>
      <w:pPr>
        <w:ind w:left="3523" w:hanging="360"/>
      </w:pPr>
      <w:rPr>
        <w:rFonts w:ascii="Courier New" w:hAnsi="Courier New" w:cs="Courier New" w:hint="default"/>
      </w:rPr>
    </w:lvl>
    <w:lvl w:ilvl="5" w:tplc="04090005">
      <w:start w:val="1"/>
      <w:numFmt w:val="bullet"/>
      <w:lvlText w:val=""/>
      <w:lvlJc w:val="left"/>
      <w:pPr>
        <w:ind w:left="4243" w:hanging="360"/>
      </w:pPr>
      <w:rPr>
        <w:rFonts w:ascii="Wingdings" w:hAnsi="Wingdings" w:cs="Wingdings" w:hint="default"/>
      </w:rPr>
    </w:lvl>
    <w:lvl w:ilvl="6" w:tplc="04090001">
      <w:start w:val="1"/>
      <w:numFmt w:val="bullet"/>
      <w:lvlText w:val=""/>
      <w:lvlJc w:val="left"/>
      <w:pPr>
        <w:ind w:left="4963" w:hanging="360"/>
      </w:pPr>
      <w:rPr>
        <w:rFonts w:ascii="Symbol" w:hAnsi="Symbol" w:cs="Symbol" w:hint="default"/>
      </w:rPr>
    </w:lvl>
    <w:lvl w:ilvl="7" w:tplc="04090003">
      <w:start w:val="1"/>
      <w:numFmt w:val="bullet"/>
      <w:lvlText w:val="o"/>
      <w:lvlJc w:val="left"/>
      <w:pPr>
        <w:ind w:left="5683" w:hanging="360"/>
      </w:pPr>
      <w:rPr>
        <w:rFonts w:ascii="Courier New" w:hAnsi="Courier New" w:cs="Courier New" w:hint="default"/>
      </w:rPr>
    </w:lvl>
    <w:lvl w:ilvl="8" w:tplc="04090005">
      <w:start w:val="1"/>
      <w:numFmt w:val="bullet"/>
      <w:lvlText w:val=""/>
      <w:lvlJc w:val="left"/>
      <w:pPr>
        <w:ind w:left="6403" w:hanging="360"/>
      </w:pPr>
      <w:rPr>
        <w:rFonts w:ascii="Wingdings" w:hAnsi="Wingdings" w:cs="Wingdings" w:hint="default"/>
      </w:rPr>
    </w:lvl>
  </w:abstractNum>
  <w:abstractNum w:abstractNumId="15">
    <w:nsid w:val="4FCE4E59"/>
    <w:multiLevelType w:val="hybridMultilevel"/>
    <w:tmpl w:val="BEC62D9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4FEB35C3"/>
    <w:multiLevelType w:val="hybridMultilevel"/>
    <w:tmpl w:val="93301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FD13D1"/>
    <w:multiLevelType w:val="hybridMultilevel"/>
    <w:tmpl w:val="F64C75A0"/>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8">
    <w:nsid w:val="5B2720BA"/>
    <w:multiLevelType w:val="hybridMultilevel"/>
    <w:tmpl w:val="5A8AB308"/>
    <w:lvl w:ilvl="0" w:tplc="1AA81470">
      <w:start w:val="1"/>
      <w:numFmt w:val="bullet"/>
      <w:lvlText w:val=""/>
      <w:lvlJc w:val="left"/>
      <w:pPr>
        <w:ind w:left="1364" w:hanging="360"/>
      </w:pPr>
      <w:rPr>
        <w:rFonts w:ascii="Symbol" w:hAnsi="Symbol" w:cs="Symbol" w:hint="default"/>
      </w:rPr>
    </w:lvl>
    <w:lvl w:ilvl="1" w:tplc="04020003">
      <w:start w:val="1"/>
      <w:numFmt w:val="bullet"/>
      <w:lvlText w:val="o"/>
      <w:lvlJc w:val="left"/>
      <w:pPr>
        <w:ind w:left="2084" w:hanging="360"/>
      </w:pPr>
      <w:rPr>
        <w:rFonts w:ascii="Courier New" w:hAnsi="Courier New" w:cs="Courier New" w:hint="default"/>
      </w:rPr>
    </w:lvl>
    <w:lvl w:ilvl="2" w:tplc="04020005">
      <w:start w:val="1"/>
      <w:numFmt w:val="bullet"/>
      <w:lvlText w:val=""/>
      <w:lvlJc w:val="left"/>
      <w:pPr>
        <w:ind w:left="2804" w:hanging="360"/>
      </w:pPr>
      <w:rPr>
        <w:rFonts w:ascii="Wingdings" w:hAnsi="Wingdings" w:cs="Wingdings" w:hint="default"/>
      </w:rPr>
    </w:lvl>
    <w:lvl w:ilvl="3" w:tplc="04020001">
      <w:start w:val="1"/>
      <w:numFmt w:val="bullet"/>
      <w:lvlText w:val=""/>
      <w:lvlJc w:val="left"/>
      <w:pPr>
        <w:ind w:left="3524" w:hanging="360"/>
      </w:pPr>
      <w:rPr>
        <w:rFonts w:ascii="Symbol" w:hAnsi="Symbol" w:cs="Symbol" w:hint="default"/>
      </w:rPr>
    </w:lvl>
    <w:lvl w:ilvl="4" w:tplc="04020003">
      <w:start w:val="1"/>
      <w:numFmt w:val="bullet"/>
      <w:lvlText w:val="o"/>
      <w:lvlJc w:val="left"/>
      <w:pPr>
        <w:ind w:left="4244" w:hanging="360"/>
      </w:pPr>
      <w:rPr>
        <w:rFonts w:ascii="Courier New" w:hAnsi="Courier New" w:cs="Courier New" w:hint="default"/>
      </w:rPr>
    </w:lvl>
    <w:lvl w:ilvl="5" w:tplc="04020005">
      <w:start w:val="1"/>
      <w:numFmt w:val="bullet"/>
      <w:lvlText w:val=""/>
      <w:lvlJc w:val="left"/>
      <w:pPr>
        <w:ind w:left="4964" w:hanging="360"/>
      </w:pPr>
      <w:rPr>
        <w:rFonts w:ascii="Wingdings" w:hAnsi="Wingdings" w:cs="Wingdings" w:hint="default"/>
      </w:rPr>
    </w:lvl>
    <w:lvl w:ilvl="6" w:tplc="04020001">
      <w:start w:val="1"/>
      <w:numFmt w:val="bullet"/>
      <w:lvlText w:val=""/>
      <w:lvlJc w:val="left"/>
      <w:pPr>
        <w:ind w:left="5684" w:hanging="360"/>
      </w:pPr>
      <w:rPr>
        <w:rFonts w:ascii="Symbol" w:hAnsi="Symbol" w:cs="Symbol" w:hint="default"/>
      </w:rPr>
    </w:lvl>
    <w:lvl w:ilvl="7" w:tplc="04020003">
      <w:start w:val="1"/>
      <w:numFmt w:val="bullet"/>
      <w:lvlText w:val="o"/>
      <w:lvlJc w:val="left"/>
      <w:pPr>
        <w:ind w:left="6404" w:hanging="360"/>
      </w:pPr>
      <w:rPr>
        <w:rFonts w:ascii="Courier New" w:hAnsi="Courier New" w:cs="Courier New" w:hint="default"/>
      </w:rPr>
    </w:lvl>
    <w:lvl w:ilvl="8" w:tplc="04020005">
      <w:start w:val="1"/>
      <w:numFmt w:val="bullet"/>
      <w:lvlText w:val=""/>
      <w:lvlJc w:val="left"/>
      <w:pPr>
        <w:ind w:left="7124" w:hanging="360"/>
      </w:pPr>
      <w:rPr>
        <w:rFonts w:ascii="Wingdings" w:hAnsi="Wingdings" w:cs="Wingdings" w:hint="default"/>
      </w:rPr>
    </w:lvl>
  </w:abstractNum>
  <w:abstractNum w:abstractNumId="19">
    <w:nsid w:val="5F550EF2"/>
    <w:multiLevelType w:val="hybridMultilevel"/>
    <w:tmpl w:val="BAFE44C2"/>
    <w:lvl w:ilvl="0" w:tplc="0409000B">
      <w:start w:val="1"/>
      <w:numFmt w:val="bullet"/>
      <w:lvlText w:val=""/>
      <w:lvlJc w:val="left"/>
      <w:pPr>
        <w:ind w:left="644" w:hanging="360"/>
      </w:pPr>
      <w:rPr>
        <w:rFonts w:ascii="Wingdings" w:hAnsi="Wingdings" w:cs="Wingdings" w:hint="default"/>
      </w:rPr>
    </w:lvl>
    <w:lvl w:ilvl="1" w:tplc="15E8C65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F8954DE"/>
    <w:multiLevelType w:val="hybridMultilevel"/>
    <w:tmpl w:val="12106C8A"/>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68F965F6"/>
    <w:multiLevelType w:val="hybridMultilevel"/>
    <w:tmpl w:val="C11AA60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72613E3E"/>
    <w:multiLevelType w:val="hybridMultilevel"/>
    <w:tmpl w:val="26E463A4"/>
    <w:lvl w:ilvl="0" w:tplc="0409000B">
      <w:start w:val="1"/>
      <w:numFmt w:val="bullet"/>
      <w:lvlText w:val=""/>
      <w:lvlJc w:val="left"/>
      <w:pPr>
        <w:ind w:left="1069" w:hanging="360"/>
      </w:pPr>
      <w:rPr>
        <w:rFonts w:ascii="Wingdings" w:hAnsi="Wingdings" w:hint="default"/>
      </w:rPr>
    </w:lvl>
    <w:lvl w:ilvl="1" w:tplc="79EA83BA">
      <w:start w:val="9"/>
      <w:numFmt w:val="bullet"/>
      <w:lvlText w:val=""/>
      <w:lvlJc w:val="left"/>
      <w:pPr>
        <w:ind w:left="1440" w:hanging="360"/>
      </w:pPr>
      <w:rPr>
        <w:rFonts w:ascii="Symbol" w:eastAsia="Times New Roman" w:hAnsi="Symbol"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7E76386F"/>
    <w:multiLevelType w:val="hybridMultilevel"/>
    <w:tmpl w:val="5A20EF18"/>
    <w:lvl w:ilvl="0" w:tplc="1AA81470">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0"/>
  </w:num>
  <w:num w:numId="2">
    <w:abstractNumId w:val="18"/>
  </w:num>
  <w:num w:numId="3">
    <w:abstractNumId w:val="1"/>
  </w:num>
  <w:num w:numId="4">
    <w:abstractNumId w:val="6"/>
  </w:num>
  <w:num w:numId="5">
    <w:abstractNumId w:val="11"/>
  </w:num>
  <w:num w:numId="6">
    <w:abstractNumId w:val="4"/>
  </w:num>
  <w:num w:numId="7">
    <w:abstractNumId w:val="17"/>
  </w:num>
  <w:num w:numId="8">
    <w:abstractNumId w:val="7"/>
  </w:num>
  <w:num w:numId="9">
    <w:abstractNumId w:val="14"/>
  </w:num>
  <w:num w:numId="10">
    <w:abstractNumId w:val="23"/>
  </w:num>
  <w:num w:numId="11">
    <w:abstractNumId w:val="19"/>
  </w:num>
  <w:num w:numId="12">
    <w:abstractNumId w:val="20"/>
  </w:num>
  <w:num w:numId="13">
    <w:abstractNumId w:val="21"/>
  </w:num>
  <w:num w:numId="14">
    <w:abstractNumId w:val="0"/>
  </w:num>
  <w:num w:numId="15">
    <w:abstractNumId w:val="13"/>
  </w:num>
  <w:num w:numId="16">
    <w:abstractNumId w:val="22"/>
  </w:num>
  <w:num w:numId="17">
    <w:abstractNumId w:val="15"/>
  </w:num>
  <w:num w:numId="18">
    <w:abstractNumId w:val="8"/>
  </w:num>
  <w:num w:numId="19">
    <w:abstractNumId w:val="5"/>
  </w:num>
  <w:num w:numId="20">
    <w:abstractNumId w:val="2"/>
  </w:num>
  <w:num w:numId="21">
    <w:abstractNumId w:val="16"/>
  </w:num>
  <w:num w:numId="22">
    <w:abstractNumId w:val="9"/>
  </w:num>
  <w:num w:numId="23">
    <w:abstractNumId w:val="1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grammar="clean"/>
  <w:trackRevision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1B4"/>
    <w:rsid w:val="00002DA6"/>
    <w:rsid w:val="00004B33"/>
    <w:rsid w:val="00010D47"/>
    <w:rsid w:val="00015ED2"/>
    <w:rsid w:val="00015F2C"/>
    <w:rsid w:val="00020658"/>
    <w:rsid w:val="00023121"/>
    <w:rsid w:val="0002594B"/>
    <w:rsid w:val="00027F7D"/>
    <w:rsid w:val="000310D9"/>
    <w:rsid w:val="00032290"/>
    <w:rsid w:val="00043147"/>
    <w:rsid w:val="0004404B"/>
    <w:rsid w:val="00044432"/>
    <w:rsid w:val="00044A55"/>
    <w:rsid w:val="00045778"/>
    <w:rsid w:val="00046A9F"/>
    <w:rsid w:val="000532FE"/>
    <w:rsid w:val="00060471"/>
    <w:rsid w:val="00060F3C"/>
    <w:rsid w:val="00062C7B"/>
    <w:rsid w:val="0006532B"/>
    <w:rsid w:val="0006745F"/>
    <w:rsid w:val="00077586"/>
    <w:rsid w:val="00077C82"/>
    <w:rsid w:val="000804A2"/>
    <w:rsid w:val="00082B99"/>
    <w:rsid w:val="0008413C"/>
    <w:rsid w:val="00086261"/>
    <w:rsid w:val="0008648D"/>
    <w:rsid w:val="00097CFE"/>
    <w:rsid w:val="000A1E5E"/>
    <w:rsid w:val="000A2D25"/>
    <w:rsid w:val="000A5130"/>
    <w:rsid w:val="000A6F43"/>
    <w:rsid w:val="000B3DF5"/>
    <w:rsid w:val="000C1ED7"/>
    <w:rsid w:val="000C2765"/>
    <w:rsid w:val="000C47DD"/>
    <w:rsid w:val="000C4FA7"/>
    <w:rsid w:val="000D16B8"/>
    <w:rsid w:val="000D35EB"/>
    <w:rsid w:val="000D6554"/>
    <w:rsid w:val="000E11E0"/>
    <w:rsid w:val="00101F9C"/>
    <w:rsid w:val="00105093"/>
    <w:rsid w:val="001102D5"/>
    <w:rsid w:val="0011109F"/>
    <w:rsid w:val="001120F6"/>
    <w:rsid w:val="001144D2"/>
    <w:rsid w:val="00116C66"/>
    <w:rsid w:val="001172E1"/>
    <w:rsid w:val="00121390"/>
    <w:rsid w:val="001231A3"/>
    <w:rsid w:val="00126788"/>
    <w:rsid w:val="0013383E"/>
    <w:rsid w:val="0013568A"/>
    <w:rsid w:val="00135EC0"/>
    <w:rsid w:val="00136EFF"/>
    <w:rsid w:val="001372A6"/>
    <w:rsid w:val="0014175B"/>
    <w:rsid w:val="001509E6"/>
    <w:rsid w:val="00151AAE"/>
    <w:rsid w:val="001522AE"/>
    <w:rsid w:val="0015421F"/>
    <w:rsid w:val="00155B9C"/>
    <w:rsid w:val="00162784"/>
    <w:rsid w:val="00162917"/>
    <w:rsid w:val="00165997"/>
    <w:rsid w:val="001679B7"/>
    <w:rsid w:val="001708D9"/>
    <w:rsid w:val="00170909"/>
    <w:rsid w:val="001774B3"/>
    <w:rsid w:val="00177709"/>
    <w:rsid w:val="00180A21"/>
    <w:rsid w:val="00181D06"/>
    <w:rsid w:val="001844D4"/>
    <w:rsid w:val="0018472F"/>
    <w:rsid w:val="001923D0"/>
    <w:rsid w:val="00192B87"/>
    <w:rsid w:val="001A57EC"/>
    <w:rsid w:val="001A61DC"/>
    <w:rsid w:val="001B2BC7"/>
    <w:rsid w:val="001B39F0"/>
    <w:rsid w:val="001B5834"/>
    <w:rsid w:val="001B6EDA"/>
    <w:rsid w:val="001C2DA1"/>
    <w:rsid w:val="001C310E"/>
    <w:rsid w:val="001C4ED2"/>
    <w:rsid w:val="001C5563"/>
    <w:rsid w:val="001C662B"/>
    <w:rsid w:val="001D00E3"/>
    <w:rsid w:val="001D30C2"/>
    <w:rsid w:val="001D37CB"/>
    <w:rsid w:val="001E4083"/>
    <w:rsid w:val="001F281A"/>
    <w:rsid w:val="001F50BF"/>
    <w:rsid w:val="001F510E"/>
    <w:rsid w:val="001F6EF2"/>
    <w:rsid w:val="001F78FE"/>
    <w:rsid w:val="00202BBB"/>
    <w:rsid w:val="0020352C"/>
    <w:rsid w:val="0020419D"/>
    <w:rsid w:val="002041B2"/>
    <w:rsid w:val="00213202"/>
    <w:rsid w:val="00214103"/>
    <w:rsid w:val="00214AE5"/>
    <w:rsid w:val="00214B7E"/>
    <w:rsid w:val="00216DCB"/>
    <w:rsid w:val="0022078E"/>
    <w:rsid w:val="00220BD7"/>
    <w:rsid w:val="002325AA"/>
    <w:rsid w:val="002334BA"/>
    <w:rsid w:val="00235290"/>
    <w:rsid w:val="0023546C"/>
    <w:rsid w:val="00236E7A"/>
    <w:rsid w:val="00237B4C"/>
    <w:rsid w:val="0024155F"/>
    <w:rsid w:val="002432A0"/>
    <w:rsid w:val="00243726"/>
    <w:rsid w:val="002445DB"/>
    <w:rsid w:val="002453B0"/>
    <w:rsid w:val="0024544D"/>
    <w:rsid w:val="00246034"/>
    <w:rsid w:val="002460C3"/>
    <w:rsid w:val="002464DE"/>
    <w:rsid w:val="00254080"/>
    <w:rsid w:val="002544F3"/>
    <w:rsid w:val="00256BD1"/>
    <w:rsid w:val="00264B72"/>
    <w:rsid w:val="00264E25"/>
    <w:rsid w:val="002651CC"/>
    <w:rsid w:val="00265770"/>
    <w:rsid w:val="00265A82"/>
    <w:rsid w:val="00272637"/>
    <w:rsid w:val="002754BE"/>
    <w:rsid w:val="00285170"/>
    <w:rsid w:val="00285548"/>
    <w:rsid w:val="00286AB9"/>
    <w:rsid w:val="00287D06"/>
    <w:rsid w:val="00290387"/>
    <w:rsid w:val="002938A7"/>
    <w:rsid w:val="00294360"/>
    <w:rsid w:val="0029470F"/>
    <w:rsid w:val="002953CA"/>
    <w:rsid w:val="002A15FC"/>
    <w:rsid w:val="002A3D66"/>
    <w:rsid w:val="002A5F9B"/>
    <w:rsid w:val="002A74EE"/>
    <w:rsid w:val="002B175F"/>
    <w:rsid w:val="002B5E15"/>
    <w:rsid w:val="002B5FB7"/>
    <w:rsid w:val="002B603D"/>
    <w:rsid w:val="002B7B6D"/>
    <w:rsid w:val="002C0C58"/>
    <w:rsid w:val="002C35A5"/>
    <w:rsid w:val="002C37FC"/>
    <w:rsid w:val="002C6061"/>
    <w:rsid w:val="002C66BE"/>
    <w:rsid w:val="002C70B1"/>
    <w:rsid w:val="002D0BFC"/>
    <w:rsid w:val="002D5B12"/>
    <w:rsid w:val="002D606A"/>
    <w:rsid w:val="002D7DD5"/>
    <w:rsid w:val="002E40D4"/>
    <w:rsid w:val="002E4D29"/>
    <w:rsid w:val="002E5C87"/>
    <w:rsid w:val="002F0EF1"/>
    <w:rsid w:val="002F3C30"/>
    <w:rsid w:val="002F47BF"/>
    <w:rsid w:val="002F585B"/>
    <w:rsid w:val="002F5A3A"/>
    <w:rsid w:val="003130AD"/>
    <w:rsid w:val="00313F07"/>
    <w:rsid w:val="00316A06"/>
    <w:rsid w:val="003227DE"/>
    <w:rsid w:val="00330519"/>
    <w:rsid w:val="00344A70"/>
    <w:rsid w:val="00350B7C"/>
    <w:rsid w:val="00355DB3"/>
    <w:rsid w:val="003567B3"/>
    <w:rsid w:val="003579F1"/>
    <w:rsid w:val="003579FE"/>
    <w:rsid w:val="003601AF"/>
    <w:rsid w:val="0036247F"/>
    <w:rsid w:val="0037156A"/>
    <w:rsid w:val="00375DFD"/>
    <w:rsid w:val="00383127"/>
    <w:rsid w:val="003844DA"/>
    <w:rsid w:val="0039223C"/>
    <w:rsid w:val="003A0598"/>
    <w:rsid w:val="003A1385"/>
    <w:rsid w:val="003A5D90"/>
    <w:rsid w:val="003B0174"/>
    <w:rsid w:val="003B7CC3"/>
    <w:rsid w:val="003B7E26"/>
    <w:rsid w:val="003C068B"/>
    <w:rsid w:val="003C2799"/>
    <w:rsid w:val="003C750D"/>
    <w:rsid w:val="003D530F"/>
    <w:rsid w:val="003E11B4"/>
    <w:rsid w:val="003E199B"/>
    <w:rsid w:val="003F0354"/>
    <w:rsid w:val="003F0B1C"/>
    <w:rsid w:val="003F207B"/>
    <w:rsid w:val="003F3A4A"/>
    <w:rsid w:val="003F4D35"/>
    <w:rsid w:val="003F7994"/>
    <w:rsid w:val="00401E2A"/>
    <w:rsid w:val="004065CD"/>
    <w:rsid w:val="004143B0"/>
    <w:rsid w:val="0041520E"/>
    <w:rsid w:val="00420AE2"/>
    <w:rsid w:val="00423708"/>
    <w:rsid w:val="00425026"/>
    <w:rsid w:val="004255B8"/>
    <w:rsid w:val="004272F7"/>
    <w:rsid w:val="00430537"/>
    <w:rsid w:val="0043093B"/>
    <w:rsid w:val="00430DBA"/>
    <w:rsid w:val="00430E20"/>
    <w:rsid w:val="00436D11"/>
    <w:rsid w:val="004570E4"/>
    <w:rsid w:val="00467C8B"/>
    <w:rsid w:val="00473C89"/>
    <w:rsid w:val="00483F9C"/>
    <w:rsid w:val="004842D9"/>
    <w:rsid w:val="00487E09"/>
    <w:rsid w:val="00490F29"/>
    <w:rsid w:val="0049285A"/>
    <w:rsid w:val="00495A99"/>
    <w:rsid w:val="004A17FA"/>
    <w:rsid w:val="004A40B4"/>
    <w:rsid w:val="004A68E8"/>
    <w:rsid w:val="004B5864"/>
    <w:rsid w:val="004B60DA"/>
    <w:rsid w:val="004C0206"/>
    <w:rsid w:val="004C11FB"/>
    <w:rsid w:val="004C5AF6"/>
    <w:rsid w:val="004D0822"/>
    <w:rsid w:val="004D1EEE"/>
    <w:rsid w:val="004E0FDB"/>
    <w:rsid w:val="004F4673"/>
    <w:rsid w:val="004F758F"/>
    <w:rsid w:val="004F7805"/>
    <w:rsid w:val="00500892"/>
    <w:rsid w:val="00501A57"/>
    <w:rsid w:val="00501F7B"/>
    <w:rsid w:val="00503C8E"/>
    <w:rsid w:val="00506351"/>
    <w:rsid w:val="00506723"/>
    <w:rsid w:val="0050793B"/>
    <w:rsid w:val="00507F35"/>
    <w:rsid w:val="005104B2"/>
    <w:rsid w:val="00512A1E"/>
    <w:rsid w:val="00515BD5"/>
    <w:rsid w:val="005200B7"/>
    <w:rsid w:val="00526930"/>
    <w:rsid w:val="00530066"/>
    <w:rsid w:val="00536D99"/>
    <w:rsid w:val="0054484F"/>
    <w:rsid w:val="00550BA0"/>
    <w:rsid w:val="00552D81"/>
    <w:rsid w:val="00552F43"/>
    <w:rsid w:val="00556920"/>
    <w:rsid w:val="00563058"/>
    <w:rsid w:val="005653CA"/>
    <w:rsid w:val="00565B87"/>
    <w:rsid w:val="0056797B"/>
    <w:rsid w:val="00570B34"/>
    <w:rsid w:val="00577097"/>
    <w:rsid w:val="00580D49"/>
    <w:rsid w:val="00582D2C"/>
    <w:rsid w:val="005865CE"/>
    <w:rsid w:val="0058706A"/>
    <w:rsid w:val="0058752E"/>
    <w:rsid w:val="00591D07"/>
    <w:rsid w:val="005931D9"/>
    <w:rsid w:val="0059554B"/>
    <w:rsid w:val="005959AC"/>
    <w:rsid w:val="005A03EC"/>
    <w:rsid w:val="005A2715"/>
    <w:rsid w:val="005A6506"/>
    <w:rsid w:val="005A6D15"/>
    <w:rsid w:val="005B157D"/>
    <w:rsid w:val="005B1804"/>
    <w:rsid w:val="005C04E1"/>
    <w:rsid w:val="005C5381"/>
    <w:rsid w:val="005D2D6D"/>
    <w:rsid w:val="005D43CA"/>
    <w:rsid w:val="005E6665"/>
    <w:rsid w:val="005E704D"/>
    <w:rsid w:val="005E7F43"/>
    <w:rsid w:val="005F087A"/>
    <w:rsid w:val="005F1ED7"/>
    <w:rsid w:val="005F280C"/>
    <w:rsid w:val="005F63C7"/>
    <w:rsid w:val="006016A3"/>
    <w:rsid w:val="0060217F"/>
    <w:rsid w:val="00604C81"/>
    <w:rsid w:val="00606E9C"/>
    <w:rsid w:val="00620D60"/>
    <w:rsid w:val="006248CA"/>
    <w:rsid w:val="006273FB"/>
    <w:rsid w:val="00627ACD"/>
    <w:rsid w:val="00631727"/>
    <w:rsid w:val="00633632"/>
    <w:rsid w:val="00636E07"/>
    <w:rsid w:val="00652A52"/>
    <w:rsid w:val="00656E74"/>
    <w:rsid w:val="00657F46"/>
    <w:rsid w:val="006603AC"/>
    <w:rsid w:val="0066051F"/>
    <w:rsid w:val="00660E01"/>
    <w:rsid w:val="0066188C"/>
    <w:rsid w:val="0066635D"/>
    <w:rsid w:val="006807AB"/>
    <w:rsid w:val="0068163B"/>
    <w:rsid w:val="0068413E"/>
    <w:rsid w:val="0069625D"/>
    <w:rsid w:val="00696E5D"/>
    <w:rsid w:val="006A3128"/>
    <w:rsid w:val="006A682E"/>
    <w:rsid w:val="006A6FDE"/>
    <w:rsid w:val="006B0BD7"/>
    <w:rsid w:val="006B25CD"/>
    <w:rsid w:val="006B2C3A"/>
    <w:rsid w:val="006B3572"/>
    <w:rsid w:val="006C0424"/>
    <w:rsid w:val="006C3D6F"/>
    <w:rsid w:val="006D2BB4"/>
    <w:rsid w:val="006D4055"/>
    <w:rsid w:val="006E2167"/>
    <w:rsid w:val="006E30D0"/>
    <w:rsid w:val="006E4701"/>
    <w:rsid w:val="006E646D"/>
    <w:rsid w:val="006E702D"/>
    <w:rsid w:val="006E7D6A"/>
    <w:rsid w:val="006F0C99"/>
    <w:rsid w:val="006F33E6"/>
    <w:rsid w:val="007007E4"/>
    <w:rsid w:val="00705C23"/>
    <w:rsid w:val="00707854"/>
    <w:rsid w:val="00713AA7"/>
    <w:rsid w:val="007178A3"/>
    <w:rsid w:val="0072096F"/>
    <w:rsid w:val="00721327"/>
    <w:rsid w:val="007249A6"/>
    <w:rsid w:val="00727B66"/>
    <w:rsid w:val="00730098"/>
    <w:rsid w:val="00730720"/>
    <w:rsid w:val="00732D0A"/>
    <w:rsid w:val="00740DE3"/>
    <w:rsid w:val="0075109A"/>
    <w:rsid w:val="00754099"/>
    <w:rsid w:val="007568D6"/>
    <w:rsid w:val="00760731"/>
    <w:rsid w:val="0076101A"/>
    <w:rsid w:val="00763E3F"/>
    <w:rsid w:val="00764615"/>
    <w:rsid w:val="007660B9"/>
    <w:rsid w:val="00775F7D"/>
    <w:rsid w:val="007770D2"/>
    <w:rsid w:val="007811E0"/>
    <w:rsid w:val="00792FE2"/>
    <w:rsid w:val="007939AF"/>
    <w:rsid w:val="007943F8"/>
    <w:rsid w:val="00795592"/>
    <w:rsid w:val="00797F3D"/>
    <w:rsid w:val="007A3C83"/>
    <w:rsid w:val="007A7565"/>
    <w:rsid w:val="007A7EAE"/>
    <w:rsid w:val="007B2F22"/>
    <w:rsid w:val="007C62E8"/>
    <w:rsid w:val="007D37C6"/>
    <w:rsid w:val="007D448F"/>
    <w:rsid w:val="007E2D86"/>
    <w:rsid w:val="007E317F"/>
    <w:rsid w:val="007E4B45"/>
    <w:rsid w:val="007E56F1"/>
    <w:rsid w:val="007E6ED4"/>
    <w:rsid w:val="007F39EF"/>
    <w:rsid w:val="008003BD"/>
    <w:rsid w:val="00800751"/>
    <w:rsid w:val="00805E9B"/>
    <w:rsid w:val="008209B7"/>
    <w:rsid w:val="00825249"/>
    <w:rsid w:val="008272CA"/>
    <w:rsid w:val="00827914"/>
    <w:rsid w:val="00831174"/>
    <w:rsid w:val="008329C8"/>
    <w:rsid w:val="008356FB"/>
    <w:rsid w:val="00835CFF"/>
    <w:rsid w:val="008364E0"/>
    <w:rsid w:val="008366CE"/>
    <w:rsid w:val="008408D2"/>
    <w:rsid w:val="0084679A"/>
    <w:rsid w:val="00847A78"/>
    <w:rsid w:val="00851437"/>
    <w:rsid w:val="00852901"/>
    <w:rsid w:val="00855F77"/>
    <w:rsid w:val="008605E6"/>
    <w:rsid w:val="00860C19"/>
    <w:rsid w:val="00861D37"/>
    <w:rsid w:val="00870971"/>
    <w:rsid w:val="00870B9A"/>
    <w:rsid w:val="00871523"/>
    <w:rsid w:val="00875335"/>
    <w:rsid w:val="00876D2F"/>
    <w:rsid w:val="00881069"/>
    <w:rsid w:val="00882E9A"/>
    <w:rsid w:val="0088415F"/>
    <w:rsid w:val="0088420A"/>
    <w:rsid w:val="00885BED"/>
    <w:rsid w:val="00892920"/>
    <w:rsid w:val="00893242"/>
    <w:rsid w:val="00894461"/>
    <w:rsid w:val="00896B7B"/>
    <w:rsid w:val="0089742D"/>
    <w:rsid w:val="008A0536"/>
    <w:rsid w:val="008A2571"/>
    <w:rsid w:val="008A49FD"/>
    <w:rsid w:val="008B1151"/>
    <w:rsid w:val="008B39E9"/>
    <w:rsid w:val="008B44C7"/>
    <w:rsid w:val="008B66FE"/>
    <w:rsid w:val="008C3040"/>
    <w:rsid w:val="008C3E37"/>
    <w:rsid w:val="008C3EF0"/>
    <w:rsid w:val="008D45D1"/>
    <w:rsid w:val="008D5705"/>
    <w:rsid w:val="008D7904"/>
    <w:rsid w:val="008E14ED"/>
    <w:rsid w:val="008E244D"/>
    <w:rsid w:val="008E2CE1"/>
    <w:rsid w:val="008E6C87"/>
    <w:rsid w:val="008F1F16"/>
    <w:rsid w:val="009013B4"/>
    <w:rsid w:val="0090428F"/>
    <w:rsid w:val="00904F18"/>
    <w:rsid w:val="00905B8F"/>
    <w:rsid w:val="00910CCC"/>
    <w:rsid w:val="009112F9"/>
    <w:rsid w:val="0091397C"/>
    <w:rsid w:val="00920E2E"/>
    <w:rsid w:val="009257A2"/>
    <w:rsid w:val="009259DF"/>
    <w:rsid w:val="009346C3"/>
    <w:rsid w:val="00940A6D"/>
    <w:rsid w:val="00941AD1"/>
    <w:rsid w:val="00942A0F"/>
    <w:rsid w:val="00945863"/>
    <w:rsid w:val="0095104E"/>
    <w:rsid w:val="00953521"/>
    <w:rsid w:val="00956D34"/>
    <w:rsid w:val="009600F7"/>
    <w:rsid w:val="00960AF8"/>
    <w:rsid w:val="00960C6C"/>
    <w:rsid w:val="00961AC6"/>
    <w:rsid w:val="009665CC"/>
    <w:rsid w:val="0096757D"/>
    <w:rsid w:val="0097175A"/>
    <w:rsid w:val="0097207C"/>
    <w:rsid w:val="009734AB"/>
    <w:rsid w:val="009801D1"/>
    <w:rsid w:val="00980EA8"/>
    <w:rsid w:val="00981CE4"/>
    <w:rsid w:val="00981E22"/>
    <w:rsid w:val="009846E4"/>
    <w:rsid w:val="0098472B"/>
    <w:rsid w:val="009867C9"/>
    <w:rsid w:val="00987B61"/>
    <w:rsid w:val="009977AA"/>
    <w:rsid w:val="009979F6"/>
    <w:rsid w:val="00997F69"/>
    <w:rsid w:val="009A0806"/>
    <w:rsid w:val="009A0ECC"/>
    <w:rsid w:val="009A3E01"/>
    <w:rsid w:val="009A3FC6"/>
    <w:rsid w:val="009A58B3"/>
    <w:rsid w:val="009B629F"/>
    <w:rsid w:val="009B6BF1"/>
    <w:rsid w:val="009C121D"/>
    <w:rsid w:val="009C4CCC"/>
    <w:rsid w:val="009C707B"/>
    <w:rsid w:val="009C72A2"/>
    <w:rsid w:val="009D44D0"/>
    <w:rsid w:val="009D5F61"/>
    <w:rsid w:val="009D752A"/>
    <w:rsid w:val="009E116E"/>
    <w:rsid w:val="009F240C"/>
    <w:rsid w:val="009F773E"/>
    <w:rsid w:val="00A0289B"/>
    <w:rsid w:val="00A04C30"/>
    <w:rsid w:val="00A0622D"/>
    <w:rsid w:val="00A0753C"/>
    <w:rsid w:val="00A07FBA"/>
    <w:rsid w:val="00A11228"/>
    <w:rsid w:val="00A14AB1"/>
    <w:rsid w:val="00A21022"/>
    <w:rsid w:val="00A33B2F"/>
    <w:rsid w:val="00A33BBC"/>
    <w:rsid w:val="00A402DB"/>
    <w:rsid w:val="00A40ECF"/>
    <w:rsid w:val="00A45C21"/>
    <w:rsid w:val="00A47F69"/>
    <w:rsid w:val="00A54983"/>
    <w:rsid w:val="00A54E14"/>
    <w:rsid w:val="00A55920"/>
    <w:rsid w:val="00A57603"/>
    <w:rsid w:val="00A604EB"/>
    <w:rsid w:val="00A61878"/>
    <w:rsid w:val="00A61F68"/>
    <w:rsid w:val="00A64B92"/>
    <w:rsid w:val="00A731C2"/>
    <w:rsid w:val="00A77A5D"/>
    <w:rsid w:val="00A81730"/>
    <w:rsid w:val="00A85714"/>
    <w:rsid w:val="00A87C45"/>
    <w:rsid w:val="00A908A8"/>
    <w:rsid w:val="00A93EEC"/>
    <w:rsid w:val="00A948B2"/>
    <w:rsid w:val="00A956E8"/>
    <w:rsid w:val="00AA0256"/>
    <w:rsid w:val="00AA5C19"/>
    <w:rsid w:val="00AA6F7C"/>
    <w:rsid w:val="00AB0B6C"/>
    <w:rsid w:val="00AB15E2"/>
    <w:rsid w:val="00AB24CC"/>
    <w:rsid w:val="00AB4F24"/>
    <w:rsid w:val="00AC4BF8"/>
    <w:rsid w:val="00AC55F3"/>
    <w:rsid w:val="00AC7512"/>
    <w:rsid w:val="00AD1F03"/>
    <w:rsid w:val="00AD6DE9"/>
    <w:rsid w:val="00AE0371"/>
    <w:rsid w:val="00AE227F"/>
    <w:rsid w:val="00AE310B"/>
    <w:rsid w:val="00AE529B"/>
    <w:rsid w:val="00AE67F9"/>
    <w:rsid w:val="00AF0505"/>
    <w:rsid w:val="00AF05A8"/>
    <w:rsid w:val="00AF0749"/>
    <w:rsid w:val="00AF0D3B"/>
    <w:rsid w:val="00AF14B7"/>
    <w:rsid w:val="00AF5A06"/>
    <w:rsid w:val="00AF6B0D"/>
    <w:rsid w:val="00B02A95"/>
    <w:rsid w:val="00B03245"/>
    <w:rsid w:val="00B05847"/>
    <w:rsid w:val="00B11174"/>
    <w:rsid w:val="00B1120A"/>
    <w:rsid w:val="00B13321"/>
    <w:rsid w:val="00B15F7E"/>
    <w:rsid w:val="00B21ADF"/>
    <w:rsid w:val="00B27297"/>
    <w:rsid w:val="00B3489A"/>
    <w:rsid w:val="00B36BBF"/>
    <w:rsid w:val="00B42458"/>
    <w:rsid w:val="00B43647"/>
    <w:rsid w:val="00B439AF"/>
    <w:rsid w:val="00B63E9B"/>
    <w:rsid w:val="00B7418C"/>
    <w:rsid w:val="00B743FE"/>
    <w:rsid w:val="00B803E2"/>
    <w:rsid w:val="00B80AF4"/>
    <w:rsid w:val="00B914E9"/>
    <w:rsid w:val="00B92470"/>
    <w:rsid w:val="00B94FBD"/>
    <w:rsid w:val="00B964F3"/>
    <w:rsid w:val="00B96AAA"/>
    <w:rsid w:val="00BA2325"/>
    <w:rsid w:val="00BA413E"/>
    <w:rsid w:val="00BA5047"/>
    <w:rsid w:val="00BB1992"/>
    <w:rsid w:val="00BB367C"/>
    <w:rsid w:val="00BB3C64"/>
    <w:rsid w:val="00BC439A"/>
    <w:rsid w:val="00BC62E8"/>
    <w:rsid w:val="00BC6F11"/>
    <w:rsid w:val="00BC75BA"/>
    <w:rsid w:val="00BD0244"/>
    <w:rsid w:val="00BD197A"/>
    <w:rsid w:val="00BD22E5"/>
    <w:rsid w:val="00BD4138"/>
    <w:rsid w:val="00BD7BD9"/>
    <w:rsid w:val="00BE3710"/>
    <w:rsid w:val="00BF0696"/>
    <w:rsid w:val="00BF2996"/>
    <w:rsid w:val="00BF34ED"/>
    <w:rsid w:val="00BF6181"/>
    <w:rsid w:val="00BF7026"/>
    <w:rsid w:val="00C01323"/>
    <w:rsid w:val="00C037D6"/>
    <w:rsid w:val="00C053AB"/>
    <w:rsid w:val="00C101BE"/>
    <w:rsid w:val="00C21B5B"/>
    <w:rsid w:val="00C22E24"/>
    <w:rsid w:val="00C24600"/>
    <w:rsid w:val="00C30334"/>
    <w:rsid w:val="00C3196E"/>
    <w:rsid w:val="00C34F08"/>
    <w:rsid w:val="00C35B0D"/>
    <w:rsid w:val="00C40D99"/>
    <w:rsid w:val="00C40F23"/>
    <w:rsid w:val="00C42B9F"/>
    <w:rsid w:val="00C437E6"/>
    <w:rsid w:val="00C44DEB"/>
    <w:rsid w:val="00C45EA0"/>
    <w:rsid w:val="00C4750F"/>
    <w:rsid w:val="00C50692"/>
    <w:rsid w:val="00C5082F"/>
    <w:rsid w:val="00C56932"/>
    <w:rsid w:val="00C70019"/>
    <w:rsid w:val="00C708A4"/>
    <w:rsid w:val="00C7134D"/>
    <w:rsid w:val="00C72F7D"/>
    <w:rsid w:val="00C80A58"/>
    <w:rsid w:val="00C83B74"/>
    <w:rsid w:val="00C83D52"/>
    <w:rsid w:val="00C83DB4"/>
    <w:rsid w:val="00C87C5E"/>
    <w:rsid w:val="00C91317"/>
    <w:rsid w:val="00C937AA"/>
    <w:rsid w:val="00C97EFD"/>
    <w:rsid w:val="00CB286A"/>
    <w:rsid w:val="00CB3EE1"/>
    <w:rsid w:val="00CB42FF"/>
    <w:rsid w:val="00CB7004"/>
    <w:rsid w:val="00CB7717"/>
    <w:rsid w:val="00CB7B42"/>
    <w:rsid w:val="00CB7D68"/>
    <w:rsid w:val="00CC0206"/>
    <w:rsid w:val="00CC1B89"/>
    <w:rsid w:val="00CD0D00"/>
    <w:rsid w:val="00CD4FFF"/>
    <w:rsid w:val="00CD5496"/>
    <w:rsid w:val="00CE0949"/>
    <w:rsid w:val="00CE16C1"/>
    <w:rsid w:val="00CE5CF0"/>
    <w:rsid w:val="00CF3D1C"/>
    <w:rsid w:val="00CF5D55"/>
    <w:rsid w:val="00D0491A"/>
    <w:rsid w:val="00D054C5"/>
    <w:rsid w:val="00D07ECD"/>
    <w:rsid w:val="00D108F5"/>
    <w:rsid w:val="00D10A1D"/>
    <w:rsid w:val="00D12D78"/>
    <w:rsid w:val="00D17D8D"/>
    <w:rsid w:val="00D25748"/>
    <w:rsid w:val="00D30875"/>
    <w:rsid w:val="00D325D2"/>
    <w:rsid w:val="00D44902"/>
    <w:rsid w:val="00D461B2"/>
    <w:rsid w:val="00D47837"/>
    <w:rsid w:val="00D511E7"/>
    <w:rsid w:val="00D51241"/>
    <w:rsid w:val="00D52925"/>
    <w:rsid w:val="00D558A6"/>
    <w:rsid w:val="00D61965"/>
    <w:rsid w:val="00D62009"/>
    <w:rsid w:val="00D62264"/>
    <w:rsid w:val="00D66F4A"/>
    <w:rsid w:val="00D67EE8"/>
    <w:rsid w:val="00D72902"/>
    <w:rsid w:val="00D72E27"/>
    <w:rsid w:val="00D73AE3"/>
    <w:rsid w:val="00D75EEA"/>
    <w:rsid w:val="00D83E3B"/>
    <w:rsid w:val="00D8499E"/>
    <w:rsid w:val="00D870FE"/>
    <w:rsid w:val="00D9004C"/>
    <w:rsid w:val="00D905A0"/>
    <w:rsid w:val="00D944BC"/>
    <w:rsid w:val="00DA4034"/>
    <w:rsid w:val="00DA49DE"/>
    <w:rsid w:val="00DB16BF"/>
    <w:rsid w:val="00DB3DAF"/>
    <w:rsid w:val="00DB5133"/>
    <w:rsid w:val="00DC0D2E"/>
    <w:rsid w:val="00DC165E"/>
    <w:rsid w:val="00DC192C"/>
    <w:rsid w:val="00DC1B27"/>
    <w:rsid w:val="00DC466F"/>
    <w:rsid w:val="00DC5080"/>
    <w:rsid w:val="00DC5306"/>
    <w:rsid w:val="00DC763C"/>
    <w:rsid w:val="00DC7645"/>
    <w:rsid w:val="00DC77D6"/>
    <w:rsid w:val="00DD2279"/>
    <w:rsid w:val="00DD4516"/>
    <w:rsid w:val="00DD6686"/>
    <w:rsid w:val="00DD7BE0"/>
    <w:rsid w:val="00DF1D09"/>
    <w:rsid w:val="00DF2B8A"/>
    <w:rsid w:val="00DF4170"/>
    <w:rsid w:val="00E0383F"/>
    <w:rsid w:val="00E04BDB"/>
    <w:rsid w:val="00E06975"/>
    <w:rsid w:val="00E121C0"/>
    <w:rsid w:val="00E1236A"/>
    <w:rsid w:val="00E1351F"/>
    <w:rsid w:val="00E17699"/>
    <w:rsid w:val="00E2133C"/>
    <w:rsid w:val="00E22481"/>
    <w:rsid w:val="00E22898"/>
    <w:rsid w:val="00E24C67"/>
    <w:rsid w:val="00E25A0F"/>
    <w:rsid w:val="00E30E45"/>
    <w:rsid w:val="00E312CF"/>
    <w:rsid w:val="00E3359B"/>
    <w:rsid w:val="00E33FFC"/>
    <w:rsid w:val="00E350F5"/>
    <w:rsid w:val="00E37557"/>
    <w:rsid w:val="00E37584"/>
    <w:rsid w:val="00E42F11"/>
    <w:rsid w:val="00E47744"/>
    <w:rsid w:val="00E53588"/>
    <w:rsid w:val="00E5591B"/>
    <w:rsid w:val="00E56AC4"/>
    <w:rsid w:val="00E64A25"/>
    <w:rsid w:val="00E64C6F"/>
    <w:rsid w:val="00E74488"/>
    <w:rsid w:val="00E82063"/>
    <w:rsid w:val="00E82BF5"/>
    <w:rsid w:val="00E84064"/>
    <w:rsid w:val="00E85773"/>
    <w:rsid w:val="00E93E5C"/>
    <w:rsid w:val="00EA01B3"/>
    <w:rsid w:val="00EA04F5"/>
    <w:rsid w:val="00EA3E53"/>
    <w:rsid w:val="00EA5906"/>
    <w:rsid w:val="00EB00A3"/>
    <w:rsid w:val="00EB0777"/>
    <w:rsid w:val="00EB21EA"/>
    <w:rsid w:val="00EB248B"/>
    <w:rsid w:val="00EB7F04"/>
    <w:rsid w:val="00EC2C25"/>
    <w:rsid w:val="00EC59B6"/>
    <w:rsid w:val="00EC5A80"/>
    <w:rsid w:val="00EC7CA5"/>
    <w:rsid w:val="00ED05AD"/>
    <w:rsid w:val="00ED5429"/>
    <w:rsid w:val="00EE0D68"/>
    <w:rsid w:val="00EE2723"/>
    <w:rsid w:val="00EE4A30"/>
    <w:rsid w:val="00EE6582"/>
    <w:rsid w:val="00F028EC"/>
    <w:rsid w:val="00F06864"/>
    <w:rsid w:val="00F10FB5"/>
    <w:rsid w:val="00F1274C"/>
    <w:rsid w:val="00F12C32"/>
    <w:rsid w:val="00F15A26"/>
    <w:rsid w:val="00F15E41"/>
    <w:rsid w:val="00F161CB"/>
    <w:rsid w:val="00F21396"/>
    <w:rsid w:val="00F22168"/>
    <w:rsid w:val="00F257DE"/>
    <w:rsid w:val="00F31C28"/>
    <w:rsid w:val="00F3502D"/>
    <w:rsid w:val="00F36A49"/>
    <w:rsid w:val="00F36C91"/>
    <w:rsid w:val="00F376A6"/>
    <w:rsid w:val="00F37857"/>
    <w:rsid w:val="00F409FD"/>
    <w:rsid w:val="00F42175"/>
    <w:rsid w:val="00F5021C"/>
    <w:rsid w:val="00F50C2F"/>
    <w:rsid w:val="00F52B1A"/>
    <w:rsid w:val="00F530C9"/>
    <w:rsid w:val="00F53887"/>
    <w:rsid w:val="00F5394D"/>
    <w:rsid w:val="00F57E1D"/>
    <w:rsid w:val="00F6083E"/>
    <w:rsid w:val="00F60BA3"/>
    <w:rsid w:val="00F610E0"/>
    <w:rsid w:val="00F656D1"/>
    <w:rsid w:val="00F6687C"/>
    <w:rsid w:val="00F66C37"/>
    <w:rsid w:val="00F73958"/>
    <w:rsid w:val="00F743A9"/>
    <w:rsid w:val="00F77CA6"/>
    <w:rsid w:val="00F844C9"/>
    <w:rsid w:val="00F85AAA"/>
    <w:rsid w:val="00F91310"/>
    <w:rsid w:val="00F94ADE"/>
    <w:rsid w:val="00F97E0F"/>
    <w:rsid w:val="00FA3ECB"/>
    <w:rsid w:val="00FA4D8D"/>
    <w:rsid w:val="00FB076A"/>
    <w:rsid w:val="00FB1365"/>
    <w:rsid w:val="00FB3A15"/>
    <w:rsid w:val="00FB5D00"/>
    <w:rsid w:val="00FB7FD0"/>
    <w:rsid w:val="00FC123B"/>
    <w:rsid w:val="00FC31E1"/>
    <w:rsid w:val="00FC6C6A"/>
    <w:rsid w:val="00FC7A1A"/>
    <w:rsid w:val="00FD1333"/>
    <w:rsid w:val="00FD642F"/>
    <w:rsid w:val="00FD7093"/>
    <w:rsid w:val="00FD71F1"/>
    <w:rsid w:val="00FD7318"/>
    <w:rsid w:val="00FE05B1"/>
    <w:rsid w:val="00FE23AA"/>
    <w:rsid w:val="00FF29B7"/>
    <w:rsid w:val="00FF5F4D"/>
    <w:rsid w:val="00FF799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C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B4"/>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1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1B4"/>
    <w:rPr>
      <w:rFonts w:ascii="Tahoma" w:eastAsia="Times New Roman" w:hAnsi="Tahoma" w:cs="Tahoma"/>
      <w:sz w:val="16"/>
      <w:szCs w:val="16"/>
      <w:lang w:val="bg-BG"/>
    </w:rPr>
  </w:style>
  <w:style w:type="character" w:styleId="Hyperlink">
    <w:name w:val="Hyperlink"/>
    <w:basedOn w:val="DefaultParagraphFont"/>
    <w:uiPriority w:val="99"/>
    <w:rsid w:val="003E11B4"/>
    <w:rPr>
      <w:color w:val="0000FF"/>
      <w:u w:val="single"/>
    </w:rPr>
  </w:style>
  <w:style w:type="paragraph" w:styleId="ListParagraph">
    <w:name w:val="List Paragraph"/>
    <w:aliases w:val="List Paragraph1,List1,List Paragraph11,List Paragraph111"/>
    <w:basedOn w:val="Normal"/>
    <w:link w:val="ListParagraphChar"/>
    <w:uiPriority w:val="34"/>
    <w:qFormat/>
    <w:rsid w:val="003E11B4"/>
    <w:pPr>
      <w:ind w:left="720"/>
    </w:pPr>
    <w:rPr>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Car Car"/>
    <w:basedOn w:val="Normal"/>
    <w:link w:val="FootnoteTextChar"/>
    <w:uiPriority w:val="99"/>
    <w:semiHidden/>
    <w:rsid w:val="003E11B4"/>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3E11B4"/>
    <w:rPr>
      <w:rFonts w:ascii="Times New Roman" w:hAnsi="Times New Roman" w:cs="Times New Roman"/>
      <w:sz w:val="20"/>
      <w:szCs w:val="20"/>
      <w:lang w:val="en-GB" w:eastAsia="en-GB"/>
    </w:rPr>
  </w:style>
  <w:style w:type="character" w:styleId="FootnoteReference">
    <w:name w:val="footnote reference"/>
    <w:aliases w:val="Footnote symbol"/>
    <w:basedOn w:val="DefaultParagraphFont"/>
    <w:uiPriority w:val="99"/>
    <w:semiHidden/>
    <w:rsid w:val="003E11B4"/>
    <w:rPr>
      <w:vertAlign w:val="superscript"/>
    </w:rPr>
  </w:style>
  <w:style w:type="table" w:styleId="TableGrid">
    <w:name w:val="Table Grid"/>
    <w:basedOn w:val="TableNormal"/>
    <w:uiPriority w:val="99"/>
    <w:rsid w:val="003E11B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E11B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E11B4"/>
    <w:rPr>
      <w:rFonts w:ascii="Calibri" w:eastAsia="Times New Roman" w:hAnsi="Calibri" w:cs="Calibri"/>
      <w:lang w:val="bg-BG"/>
    </w:rPr>
  </w:style>
  <w:style w:type="character" w:styleId="CommentReference">
    <w:name w:val="annotation reference"/>
    <w:basedOn w:val="DefaultParagraphFont"/>
    <w:uiPriority w:val="99"/>
    <w:semiHidden/>
    <w:rsid w:val="003E11B4"/>
    <w:rPr>
      <w:sz w:val="16"/>
      <w:szCs w:val="16"/>
    </w:rPr>
  </w:style>
  <w:style w:type="paragraph" w:styleId="CommentText">
    <w:name w:val="annotation text"/>
    <w:basedOn w:val="Normal"/>
    <w:link w:val="CommentTextChar"/>
    <w:uiPriority w:val="99"/>
    <w:semiHidden/>
    <w:rsid w:val="003E11B4"/>
    <w:pPr>
      <w:spacing w:line="240" w:lineRule="auto"/>
    </w:pPr>
    <w:rPr>
      <w:sz w:val="20"/>
      <w:szCs w:val="20"/>
    </w:rPr>
  </w:style>
  <w:style w:type="character" w:customStyle="1" w:styleId="CommentTextChar">
    <w:name w:val="Comment Text Char"/>
    <w:basedOn w:val="DefaultParagraphFont"/>
    <w:link w:val="CommentText"/>
    <w:uiPriority w:val="99"/>
    <w:locked/>
    <w:rsid w:val="003E11B4"/>
    <w:rPr>
      <w:rFonts w:ascii="Calibri" w:eastAsia="Times New Roman" w:hAnsi="Calibri" w:cs="Calibri"/>
      <w:sz w:val="20"/>
      <w:szCs w:val="20"/>
      <w:lang w:val="bg-BG"/>
    </w:rPr>
  </w:style>
  <w:style w:type="paragraph" w:styleId="Title">
    <w:name w:val="Title"/>
    <w:basedOn w:val="Normal"/>
    <w:next w:val="Normal"/>
    <w:link w:val="TitleChar"/>
    <w:uiPriority w:val="99"/>
    <w:qFormat/>
    <w:rsid w:val="003E11B4"/>
    <w:pPr>
      <w:snapToGrid w:val="0"/>
      <w:spacing w:after="480" w:line="240" w:lineRule="auto"/>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99"/>
    <w:locked/>
    <w:rsid w:val="003E11B4"/>
    <w:rPr>
      <w:rFonts w:ascii="Times New Roman" w:hAnsi="Times New Roman" w:cs="Times New Roman"/>
      <w:b/>
      <w:bCs/>
      <w:sz w:val="20"/>
      <w:szCs w:val="20"/>
      <w:lang w:val="bg-BG"/>
    </w:rPr>
  </w:style>
  <w:style w:type="character" w:customStyle="1" w:styleId="ListParagraphChar">
    <w:name w:val="List Paragraph Char"/>
    <w:aliases w:val="List Paragraph1 Char,List1 Char,List Paragraph11 Char,List Paragraph111 Char"/>
    <w:link w:val="ListParagraph"/>
    <w:uiPriority w:val="34"/>
    <w:locked/>
    <w:rsid w:val="003E11B4"/>
    <w:rPr>
      <w:rFonts w:ascii="Calibri" w:eastAsia="Times New Roman" w:hAnsi="Calibri" w:cs="Calibri"/>
      <w:lang w:val="bg-BG"/>
    </w:rPr>
  </w:style>
  <w:style w:type="paragraph" w:customStyle="1" w:styleId="Text2">
    <w:name w:val="Text 2"/>
    <w:basedOn w:val="Normal"/>
    <w:uiPriority w:val="99"/>
    <w:rsid w:val="003E11B4"/>
    <w:pPr>
      <w:tabs>
        <w:tab w:val="left" w:pos="2302"/>
      </w:tabs>
      <w:spacing w:after="240" w:line="240" w:lineRule="auto"/>
      <w:ind w:left="1202"/>
      <w:jc w:val="both"/>
    </w:pPr>
    <w:rPr>
      <w:rFonts w:ascii="Times New Roman" w:eastAsia="Times New Roman" w:hAnsi="Times New Roman" w:cs="Times New Roman"/>
      <w:sz w:val="24"/>
      <w:szCs w:val="24"/>
      <w:lang w:eastAsia="bg-BG"/>
    </w:rPr>
  </w:style>
  <w:style w:type="paragraph" w:styleId="Header">
    <w:name w:val="header"/>
    <w:basedOn w:val="Normal"/>
    <w:link w:val="HeaderChar"/>
    <w:uiPriority w:val="99"/>
    <w:semiHidden/>
    <w:rsid w:val="0087152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871523"/>
    <w:rPr>
      <w:rFonts w:ascii="Calibri" w:eastAsia="Times New Roman" w:hAnsi="Calibri" w:cs="Calibri"/>
      <w:lang w:val="bg-BG"/>
    </w:rPr>
  </w:style>
  <w:style w:type="paragraph" w:styleId="CommentSubject">
    <w:name w:val="annotation subject"/>
    <w:basedOn w:val="CommentText"/>
    <w:next w:val="CommentText"/>
    <w:link w:val="CommentSubjectChar"/>
    <w:uiPriority w:val="99"/>
    <w:semiHidden/>
    <w:rsid w:val="00BF2996"/>
    <w:rPr>
      <w:b/>
      <w:bCs/>
    </w:rPr>
  </w:style>
  <w:style w:type="character" w:customStyle="1" w:styleId="CommentSubjectChar">
    <w:name w:val="Comment Subject Char"/>
    <w:basedOn w:val="CommentTextChar"/>
    <w:link w:val="CommentSubject"/>
    <w:uiPriority w:val="99"/>
    <w:semiHidden/>
    <w:locked/>
    <w:rsid w:val="00BF2996"/>
    <w:rPr>
      <w:rFonts w:ascii="Calibri" w:eastAsia="Times New Roman" w:hAnsi="Calibri" w:cs="Calibri"/>
      <w:b/>
      <w:bCs/>
      <w:sz w:val="20"/>
      <w:szCs w:val="20"/>
      <w:lang w:val="bg-BG"/>
    </w:rPr>
  </w:style>
  <w:style w:type="paragraph" w:styleId="Revision">
    <w:name w:val="Revision"/>
    <w:hidden/>
    <w:uiPriority w:val="99"/>
    <w:semiHidden/>
    <w:rsid w:val="00DC763C"/>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B4"/>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11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11B4"/>
    <w:rPr>
      <w:rFonts w:ascii="Tahoma" w:eastAsia="Times New Roman" w:hAnsi="Tahoma" w:cs="Tahoma"/>
      <w:sz w:val="16"/>
      <w:szCs w:val="16"/>
      <w:lang w:val="bg-BG"/>
    </w:rPr>
  </w:style>
  <w:style w:type="character" w:styleId="Hyperlink">
    <w:name w:val="Hyperlink"/>
    <w:basedOn w:val="DefaultParagraphFont"/>
    <w:uiPriority w:val="99"/>
    <w:rsid w:val="003E11B4"/>
    <w:rPr>
      <w:color w:val="0000FF"/>
      <w:u w:val="single"/>
    </w:rPr>
  </w:style>
  <w:style w:type="paragraph" w:styleId="ListParagraph">
    <w:name w:val="List Paragraph"/>
    <w:aliases w:val="List Paragraph1,List1,List Paragraph11,List Paragraph111"/>
    <w:basedOn w:val="Normal"/>
    <w:link w:val="ListParagraphChar"/>
    <w:uiPriority w:val="34"/>
    <w:qFormat/>
    <w:rsid w:val="003E11B4"/>
    <w:pPr>
      <w:ind w:left="720"/>
    </w:pPr>
    <w:rPr>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Car Car"/>
    <w:basedOn w:val="Normal"/>
    <w:link w:val="FootnoteTextChar"/>
    <w:uiPriority w:val="99"/>
    <w:semiHidden/>
    <w:rsid w:val="003E11B4"/>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locked/>
    <w:rsid w:val="003E11B4"/>
    <w:rPr>
      <w:rFonts w:ascii="Times New Roman" w:hAnsi="Times New Roman" w:cs="Times New Roman"/>
      <w:sz w:val="20"/>
      <w:szCs w:val="20"/>
      <w:lang w:val="en-GB" w:eastAsia="en-GB"/>
    </w:rPr>
  </w:style>
  <w:style w:type="character" w:styleId="FootnoteReference">
    <w:name w:val="footnote reference"/>
    <w:aliases w:val="Footnote symbol"/>
    <w:basedOn w:val="DefaultParagraphFont"/>
    <w:uiPriority w:val="99"/>
    <w:semiHidden/>
    <w:rsid w:val="003E11B4"/>
    <w:rPr>
      <w:vertAlign w:val="superscript"/>
    </w:rPr>
  </w:style>
  <w:style w:type="table" w:styleId="TableGrid">
    <w:name w:val="Table Grid"/>
    <w:basedOn w:val="TableNormal"/>
    <w:uiPriority w:val="99"/>
    <w:rsid w:val="003E11B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E11B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3E11B4"/>
    <w:rPr>
      <w:rFonts w:ascii="Calibri" w:eastAsia="Times New Roman" w:hAnsi="Calibri" w:cs="Calibri"/>
      <w:lang w:val="bg-BG"/>
    </w:rPr>
  </w:style>
  <w:style w:type="character" w:styleId="CommentReference">
    <w:name w:val="annotation reference"/>
    <w:basedOn w:val="DefaultParagraphFont"/>
    <w:uiPriority w:val="99"/>
    <w:semiHidden/>
    <w:rsid w:val="003E11B4"/>
    <w:rPr>
      <w:sz w:val="16"/>
      <w:szCs w:val="16"/>
    </w:rPr>
  </w:style>
  <w:style w:type="paragraph" w:styleId="CommentText">
    <w:name w:val="annotation text"/>
    <w:basedOn w:val="Normal"/>
    <w:link w:val="CommentTextChar"/>
    <w:uiPriority w:val="99"/>
    <w:semiHidden/>
    <w:rsid w:val="003E11B4"/>
    <w:pPr>
      <w:spacing w:line="240" w:lineRule="auto"/>
    </w:pPr>
    <w:rPr>
      <w:sz w:val="20"/>
      <w:szCs w:val="20"/>
    </w:rPr>
  </w:style>
  <w:style w:type="character" w:customStyle="1" w:styleId="CommentTextChar">
    <w:name w:val="Comment Text Char"/>
    <w:basedOn w:val="DefaultParagraphFont"/>
    <w:link w:val="CommentText"/>
    <w:uiPriority w:val="99"/>
    <w:locked/>
    <w:rsid w:val="003E11B4"/>
    <w:rPr>
      <w:rFonts w:ascii="Calibri" w:eastAsia="Times New Roman" w:hAnsi="Calibri" w:cs="Calibri"/>
      <w:sz w:val="20"/>
      <w:szCs w:val="20"/>
      <w:lang w:val="bg-BG"/>
    </w:rPr>
  </w:style>
  <w:style w:type="paragraph" w:styleId="Title">
    <w:name w:val="Title"/>
    <w:basedOn w:val="Normal"/>
    <w:next w:val="Normal"/>
    <w:link w:val="TitleChar"/>
    <w:uiPriority w:val="99"/>
    <w:qFormat/>
    <w:rsid w:val="003E11B4"/>
    <w:pPr>
      <w:snapToGrid w:val="0"/>
      <w:spacing w:after="480" w:line="240" w:lineRule="auto"/>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99"/>
    <w:locked/>
    <w:rsid w:val="003E11B4"/>
    <w:rPr>
      <w:rFonts w:ascii="Times New Roman" w:hAnsi="Times New Roman" w:cs="Times New Roman"/>
      <w:b/>
      <w:bCs/>
      <w:sz w:val="20"/>
      <w:szCs w:val="20"/>
      <w:lang w:val="bg-BG"/>
    </w:rPr>
  </w:style>
  <w:style w:type="character" w:customStyle="1" w:styleId="ListParagraphChar">
    <w:name w:val="List Paragraph Char"/>
    <w:aliases w:val="List Paragraph1 Char,List1 Char,List Paragraph11 Char,List Paragraph111 Char"/>
    <w:link w:val="ListParagraph"/>
    <w:uiPriority w:val="34"/>
    <w:locked/>
    <w:rsid w:val="003E11B4"/>
    <w:rPr>
      <w:rFonts w:ascii="Calibri" w:eastAsia="Times New Roman" w:hAnsi="Calibri" w:cs="Calibri"/>
      <w:lang w:val="bg-BG"/>
    </w:rPr>
  </w:style>
  <w:style w:type="paragraph" w:customStyle="1" w:styleId="Text2">
    <w:name w:val="Text 2"/>
    <w:basedOn w:val="Normal"/>
    <w:uiPriority w:val="99"/>
    <w:rsid w:val="003E11B4"/>
    <w:pPr>
      <w:tabs>
        <w:tab w:val="left" w:pos="2302"/>
      </w:tabs>
      <w:spacing w:after="240" w:line="240" w:lineRule="auto"/>
      <w:ind w:left="1202"/>
      <w:jc w:val="both"/>
    </w:pPr>
    <w:rPr>
      <w:rFonts w:ascii="Times New Roman" w:eastAsia="Times New Roman" w:hAnsi="Times New Roman" w:cs="Times New Roman"/>
      <w:sz w:val="24"/>
      <w:szCs w:val="24"/>
      <w:lang w:eastAsia="bg-BG"/>
    </w:rPr>
  </w:style>
  <w:style w:type="paragraph" w:styleId="Header">
    <w:name w:val="header"/>
    <w:basedOn w:val="Normal"/>
    <w:link w:val="HeaderChar"/>
    <w:uiPriority w:val="99"/>
    <w:semiHidden/>
    <w:rsid w:val="0087152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871523"/>
    <w:rPr>
      <w:rFonts w:ascii="Calibri" w:eastAsia="Times New Roman" w:hAnsi="Calibri" w:cs="Calibri"/>
      <w:lang w:val="bg-BG"/>
    </w:rPr>
  </w:style>
  <w:style w:type="paragraph" w:styleId="CommentSubject">
    <w:name w:val="annotation subject"/>
    <w:basedOn w:val="CommentText"/>
    <w:next w:val="CommentText"/>
    <w:link w:val="CommentSubjectChar"/>
    <w:uiPriority w:val="99"/>
    <w:semiHidden/>
    <w:rsid w:val="00BF2996"/>
    <w:rPr>
      <w:b/>
      <w:bCs/>
    </w:rPr>
  </w:style>
  <w:style w:type="character" w:customStyle="1" w:styleId="CommentSubjectChar">
    <w:name w:val="Comment Subject Char"/>
    <w:basedOn w:val="CommentTextChar"/>
    <w:link w:val="CommentSubject"/>
    <w:uiPriority w:val="99"/>
    <w:semiHidden/>
    <w:locked/>
    <w:rsid w:val="00BF2996"/>
    <w:rPr>
      <w:rFonts w:ascii="Calibri" w:eastAsia="Times New Roman" w:hAnsi="Calibri" w:cs="Calibri"/>
      <w:b/>
      <w:bCs/>
      <w:sz w:val="20"/>
      <w:szCs w:val="20"/>
      <w:lang w:val="bg-BG"/>
    </w:rPr>
  </w:style>
  <w:style w:type="paragraph" w:styleId="Revision">
    <w:name w:val="Revision"/>
    <w:hidden/>
    <w:uiPriority w:val="99"/>
    <w:semiHidden/>
    <w:rsid w:val="00DC763C"/>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095">
      <w:bodyDiv w:val="1"/>
      <w:marLeft w:val="0"/>
      <w:marRight w:val="0"/>
      <w:marTop w:val="0"/>
      <w:marBottom w:val="0"/>
      <w:divBdr>
        <w:top w:val="none" w:sz="0" w:space="0" w:color="auto"/>
        <w:left w:val="none" w:sz="0" w:space="0" w:color="auto"/>
        <w:bottom w:val="none" w:sz="0" w:space="0" w:color="auto"/>
        <w:right w:val="none" w:sz="0" w:space="0" w:color="auto"/>
      </w:divBdr>
    </w:div>
    <w:div w:id="15742228">
      <w:bodyDiv w:val="1"/>
      <w:marLeft w:val="0"/>
      <w:marRight w:val="0"/>
      <w:marTop w:val="0"/>
      <w:marBottom w:val="0"/>
      <w:divBdr>
        <w:top w:val="none" w:sz="0" w:space="0" w:color="auto"/>
        <w:left w:val="none" w:sz="0" w:space="0" w:color="auto"/>
        <w:bottom w:val="none" w:sz="0" w:space="0" w:color="auto"/>
        <w:right w:val="none" w:sz="0" w:space="0" w:color="auto"/>
      </w:divBdr>
    </w:div>
    <w:div w:id="17775354">
      <w:bodyDiv w:val="1"/>
      <w:marLeft w:val="0"/>
      <w:marRight w:val="0"/>
      <w:marTop w:val="0"/>
      <w:marBottom w:val="0"/>
      <w:divBdr>
        <w:top w:val="none" w:sz="0" w:space="0" w:color="auto"/>
        <w:left w:val="none" w:sz="0" w:space="0" w:color="auto"/>
        <w:bottom w:val="none" w:sz="0" w:space="0" w:color="auto"/>
        <w:right w:val="none" w:sz="0" w:space="0" w:color="auto"/>
      </w:divBdr>
    </w:div>
    <w:div w:id="115488391">
      <w:bodyDiv w:val="1"/>
      <w:marLeft w:val="0"/>
      <w:marRight w:val="0"/>
      <w:marTop w:val="0"/>
      <w:marBottom w:val="0"/>
      <w:divBdr>
        <w:top w:val="none" w:sz="0" w:space="0" w:color="auto"/>
        <w:left w:val="none" w:sz="0" w:space="0" w:color="auto"/>
        <w:bottom w:val="none" w:sz="0" w:space="0" w:color="auto"/>
        <w:right w:val="none" w:sz="0" w:space="0" w:color="auto"/>
      </w:divBdr>
    </w:div>
    <w:div w:id="175585943">
      <w:bodyDiv w:val="1"/>
      <w:marLeft w:val="0"/>
      <w:marRight w:val="0"/>
      <w:marTop w:val="0"/>
      <w:marBottom w:val="0"/>
      <w:divBdr>
        <w:top w:val="none" w:sz="0" w:space="0" w:color="auto"/>
        <w:left w:val="none" w:sz="0" w:space="0" w:color="auto"/>
        <w:bottom w:val="none" w:sz="0" w:space="0" w:color="auto"/>
        <w:right w:val="none" w:sz="0" w:space="0" w:color="auto"/>
      </w:divBdr>
    </w:div>
    <w:div w:id="282931003">
      <w:bodyDiv w:val="1"/>
      <w:marLeft w:val="0"/>
      <w:marRight w:val="0"/>
      <w:marTop w:val="0"/>
      <w:marBottom w:val="0"/>
      <w:divBdr>
        <w:top w:val="none" w:sz="0" w:space="0" w:color="auto"/>
        <w:left w:val="none" w:sz="0" w:space="0" w:color="auto"/>
        <w:bottom w:val="none" w:sz="0" w:space="0" w:color="auto"/>
        <w:right w:val="none" w:sz="0" w:space="0" w:color="auto"/>
      </w:divBdr>
    </w:div>
    <w:div w:id="356003179">
      <w:bodyDiv w:val="1"/>
      <w:marLeft w:val="0"/>
      <w:marRight w:val="0"/>
      <w:marTop w:val="0"/>
      <w:marBottom w:val="0"/>
      <w:divBdr>
        <w:top w:val="none" w:sz="0" w:space="0" w:color="auto"/>
        <w:left w:val="none" w:sz="0" w:space="0" w:color="auto"/>
        <w:bottom w:val="none" w:sz="0" w:space="0" w:color="auto"/>
        <w:right w:val="none" w:sz="0" w:space="0" w:color="auto"/>
      </w:divBdr>
    </w:div>
    <w:div w:id="475219229">
      <w:bodyDiv w:val="1"/>
      <w:marLeft w:val="0"/>
      <w:marRight w:val="0"/>
      <w:marTop w:val="0"/>
      <w:marBottom w:val="0"/>
      <w:divBdr>
        <w:top w:val="none" w:sz="0" w:space="0" w:color="auto"/>
        <w:left w:val="none" w:sz="0" w:space="0" w:color="auto"/>
        <w:bottom w:val="none" w:sz="0" w:space="0" w:color="auto"/>
        <w:right w:val="none" w:sz="0" w:space="0" w:color="auto"/>
      </w:divBdr>
    </w:div>
    <w:div w:id="545220256">
      <w:bodyDiv w:val="1"/>
      <w:marLeft w:val="0"/>
      <w:marRight w:val="0"/>
      <w:marTop w:val="0"/>
      <w:marBottom w:val="0"/>
      <w:divBdr>
        <w:top w:val="none" w:sz="0" w:space="0" w:color="auto"/>
        <w:left w:val="none" w:sz="0" w:space="0" w:color="auto"/>
        <w:bottom w:val="none" w:sz="0" w:space="0" w:color="auto"/>
        <w:right w:val="none" w:sz="0" w:space="0" w:color="auto"/>
      </w:divBdr>
    </w:div>
    <w:div w:id="756370457">
      <w:bodyDiv w:val="1"/>
      <w:marLeft w:val="0"/>
      <w:marRight w:val="0"/>
      <w:marTop w:val="0"/>
      <w:marBottom w:val="0"/>
      <w:divBdr>
        <w:top w:val="none" w:sz="0" w:space="0" w:color="auto"/>
        <w:left w:val="none" w:sz="0" w:space="0" w:color="auto"/>
        <w:bottom w:val="none" w:sz="0" w:space="0" w:color="auto"/>
        <w:right w:val="none" w:sz="0" w:space="0" w:color="auto"/>
      </w:divBdr>
    </w:div>
    <w:div w:id="787436163">
      <w:bodyDiv w:val="1"/>
      <w:marLeft w:val="0"/>
      <w:marRight w:val="0"/>
      <w:marTop w:val="0"/>
      <w:marBottom w:val="0"/>
      <w:divBdr>
        <w:top w:val="none" w:sz="0" w:space="0" w:color="auto"/>
        <w:left w:val="none" w:sz="0" w:space="0" w:color="auto"/>
        <w:bottom w:val="none" w:sz="0" w:space="0" w:color="auto"/>
        <w:right w:val="none" w:sz="0" w:space="0" w:color="auto"/>
      </w:divBdr>
    </w:div>
    <w:div w:id="880168563">
      <w:bodyDiv w:val="1"/>
      <w:marLeft w:val="0"/>
      <w:marRight w:val="0"/>
      <w:marTop w:val="0"/>
      <w:marBottom w:val="0"/>
      <w:divBdr>
        <w:top w:val="none" w:sz="0" w:space="0" w:color="auto"/>
        <w:left w:val="none" w:sz="0" w:space="0" w:color="auto"/>
        <w:bottom w:val="none" w:sz="0" w:space="0" w:color="auto"/>
        <w:right w:val="none" w:sz="0" w:space="0" w:color="auto"/>
      </w:divBdr>
    </w:div>
    <w:div w:id="1015038952">
      <w:bodyDiv w:val="1"/>
      <w:marLeft w:val="0"/>
      <w:marRight w:val="0"/>
      <w:marTop w:val="0"/>
      <w:marBottom w:val="0"/>
      <w:divBdr>
        <w:top w:val="none" w:sz="0" w:space="0" w:color="auto"/>
        <w:left w:val="none" w:sz="0" w:space="0" w:color="auto"/>
        <w:bottom w:val="none" w:sz="0" w:space="0" w:color="auto"/>
        <w:right w:val="none" w:sz="0" w:space="0" w:color="auto"/>
      </w:divBdr>
    </w:div>
    <w:div w:id="1026716577">
      <w:bodyDiv w:val="1"/>
      <w:marLeft w:val="0"/>
      <w:marRight w:val="0"/>
      <w:marTop w:val="0"/>
      <w:marBottom w:val="0"/>
      <w:divBdr>
        <w:top w:val="none" w:sz="0" w:space="0" w:color="auto"/>
        <w:left w:val="none" w:sz="0" w:space="0" w:color="auto"/>
        <w:bottom w:val="none" w:sz="0" w:space="0" w:color="auto"/>
        <w:right w:val="none" w:sz="0" w:space="0" w:color="auto"/>
      </w:divBdr>
    </w:div>
    <w:div w:id="1043408577">
      <w:bodyDiv w:val="1"/>
      <w:marLeft w:val="0"/>
      <w:marRight w:val="0"/>
      <w:marTop w:val="0"/>
      <w:marBottom w:val="0"/>
      <w:divBdr>
        <w:top w:val="none" w:sz="0" w:space="0" w:color="auto"/>
        <w:left w:val="none" w:sz="0" w:space="0" w:color="auto"/>
        <w:bottom w:val="none" w:sz="0" w:space="0" w:color="auto"/>
        <w:right w:val="none" w:sz="0" w:space="0" w:color="auto"/>
      </w:divBdr>
    </w:div>
    <w:div w:id="1223521578">
      <w:bodyDiv w:val="1"/>
      <w:marLeft w:val="0"/>
      <w:marRight w:val="0"/>
      <w:marTop w:val="0"/>
      <w:marBottom w:val="0"/>
      <w:divBdr>
        <w:top w:val="none" w:sz="0" w:space="0" w:color="auto"/>
        <w:left w:val="none" w:sz="0" w:space="0" w:color="auto"/>
        <w:bottom w:val="none" w:sz="0" w:space="0" w:color="auto"/>
        <w:right w:val="none" w:sz="0" w:space="0" w:color="auto"/>
      </w:divBdr>
    </w:div>
    <w:div w:id="1430391598">
      <w:bodyDiv w:val="1"/>
      <w:marLeft w:val="0"/>
      <w:marRight w:val="0"/>
      <w:marTop w:val="0"/>
      <w:marBottom w:val="0"/>
      <w:divBdr>
        <w:top w:val="none" w:sz="0" w:space="0" w:color="auto"/>
        <w:left w:val="none" w:sz="0" w:space="0" w:color="auto"/>
        <w:bottom w:val="none" w:sz="0" w:space="0" w:color="auto"/>
        <w:right w:val="none" w:sz="0" w:space="0" w:color="auto"/>
      </w:divBdr>
    </w:div>
    <w:div w:id="1466582295">
      <w:bodyDiv w:val="1"/>
      <w:marLeft w:val="0"/>
      <w:marRight w:val="0"/>
      <w:marTop w:val="0"/>
      <w:marBottom w:val="0"/>
      <w:divBdr>
        <w:top w:val="none" w:sz="0" w:space="0" w:color="auto"/>
        <w:left w:val="none" w:sz="0" w:space="0" w:color="auto"/>
        <w:bottom w:val="none" w:sz="0" w:space="0" w:color="auto"/>
        <w:right w:val="none" w:sz="0" w:space="0" w:color="auto"/>
      </w:divBdr>
    </w:div>
    <w:div w:id="1489590622">
      <w:bodyDiv w:val="1"/>
      <w:marLeft w:val="0"/>
      <w:marRight w:val="0"/>
      <w:marTop w:val="0"/>
      <w:marBottom w:val="0"/>
      <w:divBdr>
        <w:top w:val="none" w:sz="0" w:space="0" w:color="auto"/>
        <w:left w:val="none" w:sz="0" w:space="0" w:color="auto"/>
        <w:bottom w:val="none" w:sz="0" w:space="0" w:color="auto"/>
        <w:right w:val="none" w:sz="0" w:space="0" w:color="auto"/>
      </w:divBdr>
    </w:div>
    <w:div w:id="1665085692">
      <w:bodyDiv w:val="1"/>
      <w:marLeft w:val="0"/>
      <w:marRight w:val="0"/>
      <w:marTop w:val="0"/>
      <w:marBottom w:val="0"/>
      <w:divBdr>
        <w:top w:val="none" w:sz="0" w:space="0" w:color="auto"/>
        <w:left w:val="none" w:sz="0" w:space="0" w:color="auto"/>
        <w:bottom w:val="none" w:sz="0" w:space="0" w:color="auto"/>
        <w:right w:val="none" w:sz="0" w:space="0" w:color="auto"/>
      </w:divBdr>
    </w:div>
    <w:div w:id="1702586472">
      <w:bodyDiv w:val="1"/>
      <w:marLeft w:val="0"/>
      <w:marRight w:val="0"/>
      <w:marTop w:val="0"/>
      <w:marBottom w:val="0"/>
      <w:divBdr>
        <w:top w:val="none" w:sz="0" w:space="0" w:color="auto"/>
        <w:left w:val="none" w:sz="0" w:space="0" w:color="auto"/>
        <w:bottom w:val="none" w:sz="0" w:space="0" w:color="auto"/>
        <w:right w:val="none" w:sz="0" w:space="0" w:color="auto"/>
      </w:divBdr>
    </w:div>
    <w:div w:id="1929457663">
      <w:bodyDiv w:val="1"/>
      <w:marLeft w:val="0"/>
      <w:marRight w:val="0"/>
      <w:marTop w:val="0"/>
      <w:marBottom w:val="0"/>
      <w:divBdr>
        <w:top w:val="none" w:sz="0" w:space="0" w:color="auto"/>
        <w:left w:val="none" w:sz="0" w:space="0" w:color="auto"/>
        <w:bottom w:val="none" w:sz="0" w:space="0" w:color="auto"/>
        <w:right w:val="none" w:sz="0" w:space="0" w:color="auto"/>
      </w:divBdr>
    </w:div>
    <w:div w:id="1937322823">
      <w:marLeft w:val="0"/>
      <w:marRight w:val="0"/>
      <w:marTop w:val="0"/>
      <w:marBottom w:val="0"/>
      <w:divBdr>
        <w:top w:val="none" w:sz="0" w:space="0" w:color="auto"/>
        <w:left w:val="none" w:sz="0" w:space="0" w:color="auto"/>
        <w:bottom w:val="none" w:sz="0" w:space="0" w:color="auto"/>
        <w:right w:val="none" w:sz="0" w:space="0" w:color="auto"/>
      </w:divBdr>
    </w:div>
    <w:div w:id="1937322824">
      <w:marLeft w:val="0"/>
      <w:marRight w:val="0"/>
      <w:marTop w:val="0"/>
      <w:marBottom w:val="0"/>
      <w:divBdr>
        <w:top w:val="none" w:sz="0" w:space="0" w:color="auto"/>
        <w:left w:val="none" w:sz="0" w:space="0" w:color="auto"/>
        <w:bottom w:val="none" w:sz="0" w:space="0" w:color="auto"/>
        <w:right w:val="none" w:sz="0" w:space="0" w:color="auto"/>
      </w:divBdr>
    </w:div>
    <w:div w:id="1937322825">
      <w:marLeft w:val="0"/>
      <w:marRight w:val="0"/>
      <w:marTop w:val="0"/>
      <w:marBottom w:val="0"/>
      <w:divBdr>
        <w:top w:val="none" w:sz="0" w:space="0" w:color="auto"/>
        <w:left w:val="none" w:sz="0" w:space="0" w:color="auto"/>
        <w:bottom w:val="none" w:sz="0" w:space="0" w:color="auto"/>
        <w:right w:val="none" w:sz="0" w:space="0" w:color="auto"/>
      </w:divBdr>
    </w:div>
    <w:div w:id="1937322826">
      <w:marLeft w:val="0"/>
      <w:marRight w:val="0"/>
      <w:marTop w:val="0"/>
      <w:marBottom w:val="0"/>
      <w:divBdr>
        <w:top w:val="none" w:sz="0" w:space="0" w:color="auto"/>
        <w:left w:val="none" w:sz="0" w:space="0" w:color="auto"/>
        <w:bottom w:val="none" w:sz="0" w:space="0" w:color="auto"/>
        <w:right w:val="none" w:sz="0" w:space="0" w:color="auto"/>
      </w:divBdr>
    </w:div>
    <w:div w:id="1999765730">
      <w:bodyDiv w:val="1"/>
      <w:marLeft w:val="0"/>
      <w:marRight w:val="0"/>
      <w:marTop w:val="0"/>
      <w:marBottom w:val="0"/>
      <w:divBdr>
        <w:top w:val="none" w:sz="0" w:space="0" w:color="auto"/>
        <w:left w:val="none" w:sz="0" w:space="0" w:color="auto"/>
        <w:bottom w:val="none" w:sz="0" w:space="0" w:color="auto"/>
        <w:right w:val="none" w:sz="0" w:space="0" w:color="auto"/>
      </w:divBdr>
    </w:div>
    <w:div w:id="2002194990">
      <w:bodyDiv w:val="1"/>
      <w:marLeft w:val="0"/>
      <w:marRight w:val="0"/>
      <w:marTop w:val="0"/>
      <w:marBottom w:val="0"/>
      <w:divBdr>
        <w:top w:val="none" w:sz="0" w:space="0" w:color="auto"/>
        <w:left w:val="none" w:sz="0" w:space="0" w:color="auto"/>
        <w:bottom w:val="none" w:sz="0" w:space="0" w:color="auto"/>
        <w:right w:val="none" w:sz="0" w:space="0" w:color="auto"/>
      </w:divBdr>
    </w:div>
    <w:div w:id="2020547399">
      <w:bodyDiv w:val="1"/>
      <w:marLeft w:val="0"/>
      <w:marRight w:val="0"/>
      <w:marTop w:val="0"/>
      <w:marBottom w:val="0"/>
      <w:divBdr>
        <w:top w:val="none" w:sz="0" w:space="0" w:color="auto"/>
        <w:left w:val="none" w:sz="0" w:space="0" w:color="auto"/>
        <w:bottom w:val="none" w:sz="0" w:space="0" w:color="auto"/>
        <w:right w:val="none" w:sz="0" w:space="0" w:color="auto"/>
      </w:divBdr>
    </w:div>
    <w:div w:id="214434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pis://Base=NARH&amp;DocCode=2016&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3B390-6D20-4717-BC79-979F949B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4255</Words>
  <Characters>24258</Characters>
  <Application>Microsoft Office Word</Application>
  <DocSecurity>0</DocSecurity>
  <Lines>202</Lines>
  <Paragraphs>56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mzh</Company>
  <LinksUpToDate>false</LinksUpToDate>
  <CharactersWithSpaces>28457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vshristova</dc:creator>
  <cp:lastModifiedBy>Atanas Manolov</cp:lastModifiedBy>
  <cp:revision>16</cp:revision>
  <cp:lastPrinted>2019-10-28T13:17:00Z</cp:lastPrinted>
  <dcterms:created xsi:type="dcterms:W3CDTF">2021-10-05T11:25:00Z</dcterms:created>
  <dcterms:modified xsi:type="dcterms:W3CDTF">2021-10-18T12:56:00Z</dcterms:modified>
</cp:coreProperties>
</file>