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D9970A" w14:textId="77777777" w:rsidR="00694F91" w:rsidRPr="000A5C28" w:rsidRDefault="00D058DD" w:rsidP="00694F91">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lang w:val="en-US"/>
        </w:rPr>
        <w:t xml:space="preserve">        </w:t>
      </w:r>
      <w:r w:rsidR="00694F91">
        <w:rPr>
          <w:rFonts w:ascii="Times New Roman" w:hAnsi="Times New Roman" w:cs="Times New Roman"/>
          <w:b/>
          <w:bCs/>
          <w:snapToGrid w:val="0"/>
          <w:sz w:val="24"/>
          <w:szCs w:val="24"/>
        </w:rPr>
        <w:t>Приложение № 2</w:t>
      </w:r>
    </w:p>
    <w:p w14:paraId="4684428F" w14:textId="5552BC8C" w:rsidR="00694F91" w:rsidRPr="006C7362" w:rsidRDefault="00694F91" w:rsidP="00694F91">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r w:rsidR="00D267FB">
        <w:rPr>
          <w:rFonts w:ascii="Times New Roman" w:hAnsi="Times New Roman" w:cs="Times New Roman"/>
          <w:b/>
          <w:bCs/>
          <w:snapToGrid w:val="0"/>
          <w:sz w:val="24"/>
          <w:szCs w:val="24"/>
        </w:rPr>
        <w:t xml:space="preserve">                          </w:t>
      </w:r>
      <w:r w:rsidRPr="000A5C28">
        <w:rPr>
          <w:rFonts w:ascii="Times New Roman" w:hAnsi="Times New Roman" w:cs="Times New Roman"/>
          <w:b/>
          <w:bCs/>
          <w:snapToGrid w:val="0"/>
          <w:sz w:val="24"/>
          <w:szCs w:val="24"/>
        </w:rPr>
        <w:t xml:space="preserve">към Заповед </w:t>
      </w:r>
      <w:r w:rsidR="00D267FB">
        <w:rPr>
          <w:rFonts w:ascii="Times New Roman" w:hAnsi="Times New Roman" w:cs="Times New Roman"/>
          <w:b/>
          <w:bCs/>
          <w:snapToGrid w:val="0"/>
          <w:sz w:val="24"/>
          <w:szCs w:val="24"/>
        </w:rPr>
        <w:t xml:space="preserve">№ </w:t>
      </w:r>
      <w:bookmarkStart w:id="0" w:name="_GoBack"/>
      <w:r w:rsidR="006C7362">
        <w:rPr>
          <w:rFonts w:ascii="Times New Roman" w:hAnsi="Times New Roman" w:cs="Times New Roman"/>
          <w:b/>
          <w:bCs/>
          <w:snapToGrid w:val="0"/>
          <w:sz w:val="24"/>
          <w:szCs w:val="24"/>
        </w:rPr>
        <w:t>МДР-ПП-09-153/04.11.2021</w:t>
      </w:r>
      <w:bookmarkEnd w:id="0"/>
    </w:p>
    <w:p w14:paraId="5AFA3F50"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4D5BD852"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5786B015"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651DFDDA" w14:textId="77777777" w:rsidR="00694F91" w:rsidRPr="00D93C16" w:rsidRDefault="00694F91" w:rsidP="00694F91">
      <w:pPr>
        <w:spacing w:after="0" w:line="360" w:lineRule="auto"/>
        <w:jc w:val="center"/>
        <w:rPr>
          <w:rFonts w:ascii="Times New Roman" w:hAnsi="Times New Roman" w:cs="Times New Roman"/>
          <w:b/>
          <w:bCs/>
          <w:sz w:val="24"/>
          <w:szCs w:val="24"/>
        </w:rPr>
      </w:pPr>
    </w:p>
    <w:p w14:paraId="4AA0876F" w14:textId="77777777" w:rsidR="00694F91" w:rsidRPr="00D93C16" w:rsidRDefault="00694F91" w:rsidP="00694F91">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14:paraId="0B78951A" w14:textId="77777777" w:rsidR="00694F91" w:rsidRPr="00D93C16" w:rsidRDefault="00694F91" w:rsidP="00694F91">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14:paraId="2BFCCFE0"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14:paraId="1CBF9E84"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p>
    <w:p w14:paraId="7E30F522"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14:paraId="3739089F" w14:textId="77777777" w:rsidR="00694F91" w:rsidRPr="00DD3E3A" w:rsidRDefault="00694F91" w:rsidP="00694F91">
      <w:pPr>
        <w:spacing w:after="100" w:afterAutospacing="1" w:line="240" w:lineRule="auto"/>
        <w:jc w:val="center"/>
        <w:rPr>
          <w:b/>
          <w:bCs/>
          <w:sz w:val="28"/>
          <w:szCs w:val="28"/>
        </w:rPr>
      </w:pPr>
    </w:p>
    <w:p w14:paraId="220C8B90" w14:textId="77777777" w:rsidR="00694F91" w:rsidRPr="00DD3E3A" w:rsidRDefault="00694F91" w:rsidP="00694F91">
      <w:pPr>
        <w:spacing w:after="100" w:afterAutospacing="1" w:line="240" w:lineRule="auto"/>
        <w:jc w:val="center"/>
        <w:rPr>
          <w:b/>
          <w:bCs/>
          <w:sz w:val="28"/>
          <w:szCs w:val="28"/>
        </w:rPr>
      </w:pPr>
    </w:p>
    <w:p w14:paraId="5652D7F2" w14:textId="77777777" w:rsidR="00694F91" w:rsidRPr="00DD3E3A" w:rsidRDefault="00694F91" w:rsidP="00694F91">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14:paraId="43334770" w14:textId="6393F513" w:rsidR="005802E2" w:rsidRPr="006236E8" w:rsidRDefault="00694F91" w:rsidP="005802E2">
      <w:pPr>
        <w:spacing w:after="100" w:afterAutospacing="1" w:line="240" w:lineRule="auto"/>
        <w:jc w:val="center"/>
        <w:rPr>
          <w:rFonts w:ascii="Times New Roman" w:hAnsi="Times New Roman" w:cs="Times New Roman"/>
          <w:b/>
          <w:bCs/>
          <w:sz w:val="24"/>
          <w:szCs w:val="24"/>
        </w:rPr>
      </w:pPr>
      <w:r w:rsidRPr="00DD3E3A">
        <w:rPr>
          <w:b/>
          <w:bCs/>
          <w:sz w:val="36"/>
          <w:szCs w:val="36"/>
        </w:rPr>
        <w:t xml:space="preserve"> </w:t>
      </w:r>
      <w:r w:rsidR="00F863D0" w:rsidRPr="00766993">
        <w:rPr>
          <w:rFonts w:ascii="Times New Roman" w:hAnsi="Times New Roman" w:cs="Times New Roman"/>
          <w:b/>
          <w:bCs/>
          <w:sz w:val="24"/>
          <w:szCs w:val="24"/>
        </w:rPr>
        <w:t>BG</w:t>
      </w:r>
      <w:r w:rsidR="00F863D0" w:rsidRPr="006236E8">
        <w:rPr>
          <w:rFonts w:ascii="Times New Roman" w:hAnsi="Times New Roman" w:cs="Times New Roman"/>
          <w:b/>
          <w:bCs/>
          <w:sz w:val="24"/>
          <w:szCs w:val="24"/>
        </w:rPr>
        <w:t>14</w:t>
      </w:r>
      <w:r w:rsidR="00F863D0" w:rsidRPr="00766993">
        <w:rPr>
          <w:rFonts w:ascii="Times New Roman" w:hAnsi="Times New Roman" w:cs="Times New Roman"/>
          <w:b/>
          <w:bCs/>
          <w:sz w:val="24"/>
          <w:szCs w:val="24"/>
          <w:lang w:val="en-US"/>
        </w:rPr>
        <w:t>MFOP</w:t>
      </w:r>
      <w:r w:rsidR="00F863D0" w:rsidRPr="006236E8">
        <w:rPr>
          <w:rFonts w:ascii="Times New Roman" w:hAnsi="Times New Roman" w:cs="Times New Roman"/>
          <w:b/>
          <w:bCs/>
          <w:sz w:val="24"/>
          <w:szCs w:val="24"/>
        </w:rPr>
        <w:t>001-4.0</w:t>
      </w:r>
      <w:r w:rsidR="00CB66C3">
        <w:rPr>
          <w:rFonts w:ascii="Times New Roman" w:hAnsi="Times New Roman" w:cs="Times New Roman"/>
          <w:b/>
          <w:bCs/>
          <w:sz w:val="24"/>
          <w:szCs w:val="24"/>
        </w:rPr>
        <w:t>9</w:t>
      </w:r>
      <w:r w:rsidR="00B16E67" w:rsidRPr="006236E8">
        <w:rPr>
          <w:rFonts w:ascii="Times New Roman" w:hAnsi="Times New Roman" w:cs="Times New Roman"/>
          <w:b/>
          <w:bCs/>
          <w:sz w:val="24"/>
          <w:szCs w:val="24"/>
        </w:rPr>
        <w:t>7</w:t>
      </w:r>
    </w:p>
    <w:p w14:paraId="21487C70"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МИРГ „НЕСЕБЪР-МЕСЕМВРИЯ“</w:t>
      </w:r>
    </w:p>
    <w:p w14:paraId="74DAABFA" w14:textId="77777777" w:rsidR="00694F91" w:rsidRPr="00E202E4" w:rsidRDefault="00694F91" w:rsidP="00694F91">
      <w:pPr>
        <w:spacing w:after="240"/>
        <w:jc w:val="center"/>
        <w:rPr>
          <w:b/>
          <w:bCs/>
          <w:sz w:val="28"/>
          <w:szCs w:val="28"/>
        </w:rPr>
      </w:pPr>
    </w:p>
    <w:p w14:paraId="0404871E" w14:textId="77777777" w:rsidR="00694F91" w:rsidRDefault="00694F91" w:rsidP="00694F91">
      <w:pPr>
        <w:spacing w:after="0" w:line="240" w:lineRule="auto"/>
        <w:jc w:val="center"/>
      </w:pPr>
    </w:p>
    <w:p w14:paraId="3CC02F97" w14:textId="65C115B5" w:rsidR="00694F91" w:rsidRPr="00CB66C3" w:rsidRDefault="00694F91" w:rsidP="00694F91">
      <w:pPr>
        <w:pStyle w:val="3"/>
        <w:jc w:val="center"/>
        <w:rPr>
          <w:rFonts w:ascii="Times New Roman" w:eastAsia="Times New Roman" w:hAnsi="Times New Roman"/>
          <w:b/>
        </w:rPr>
      </w:pPr>
      <w:bookmarkStart w:id="1" w:name="_Toc497818034"/>
      <w:r w:rsidRPr="00CB66C3">
        <w:rPr>
          <w:rFonts w:ascii="Times New Roman" w:hAnsi="Times New Roman"/>
          <w:b/>
          <w:color w:val="auto"/>
        </w:rPr>
        <w:t xml:space="preserve">Мярка </w:t>
      </w:r>
      <w:bookmarkEnd w:id="1"/>
      <w:r w:rsidR="006236E8">
        <w:rPr>
          <w:rFonts w:ascii="Times New Roman" w:hAnsi="Times New Roman"/>
          <w:b/>
          <w:color w:val="auto"/>
        </w:rPr>
        <w:t>2.2 „</w:t>
      </w:r>
      <w:r w:rsidRPr="00CB66C3">
        <w:rPr>
          <w:rFonts w:ascii="Times New Roman" w:hAnsi="Times New Roman"/>
          <w:b/>
          <w:color w:val="auto"/>
        </w:rPr>
        <w:t>Подкрепа за създаване на нови услуги за населението в рибарската територия”</w:t>
      </w:r>
    </w:p>
    <w:p w14:paraId="33EE7558" w14:textId="77777777" w:rsidR="00694F91" w:rsidRDefault="00694F91" w:rsidP="00694F9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14:paraId="5E18815E" w14:textId="77777777" w:rsidR="00694F91" w:rsidRPr="00A908A8" w:rsidRDefault="00694F91" w:rsidP="00694F91">
      <w:pPr>
        <w:spacing w:after="0" w:line="360" w:lineRule="auto"/>
        <w:jc w:val="center"/>
        <w:rPr>
          <w:rFonts w:ascii="Times New Roman" w:hAnsi="Times New Roman" w:cs="Times New Roman"/>
          <w:b/>
          <w:bCs/>
          <w:sz w:val="24"/>
          <w:szCs w:val="24"/>
        </w:rPr>
      </w:pPr>
    </w:p>
    <w:p w14:paraId="6D27C92A" w14:textId="77777777" w:rsidR="00694F91" w:rsidRDefault="00694F91" w:rsidP="00694F91">
      <w:pPr>
        <w:pStyle w:val="12"/>
        <w:spacing w:before="0" w:line="360" w:lineRule="auto"/>
        <w:rPr>
          <w:rFonts w:ascii="Times New Roman" w:hAnsi="Times New Roman"/>
          <w:sz w:val="24"/>
          <w:szCs w:val="24"/>
          <w:lang w:val="bg-BG"/>
        </w:rPr>
      </w:pPr>
    </w:p>
    <w:p w14:paraId="2A5D3E2E" w14:textId="77777777" w:rsidR="00694F91" w:rsidRDefault="00694F91" w:rsidP="00694F91">
      <w:pPr>
        <w:pStyle w:val="12"/>
        <w:spacing w:before="0" w:line="360" w:lineRule="auto"/>
        <w:rPr>
          <w:rFonts w:ascii="Times New Roman" w:hAnsi="Times New Roman"/>
          <w:sz w:val="24"/>
          <w:szCs w:val="24"/>
          <w:lang w:val="bg-BG"/>
        </w:rPr>
      </w:pPr>
    </w:p>
    <w:p w14:paraId="5627302B" w14:textId="77777777" w:rsidR="00694F91" w:rsidRPr="00361FE2" w:rsidRDefault="00694F91" w:rsidP="00694F91"/>
    <w:p w14:paraId="386FCA12" w14:textId="77777777" w:rsidR="00694F91" w:rsidRDefault="00694F91" w:rsidP="00694F91">
      <w:pPr>
        <w:pStyle w:val="12"/>
        <w:spacing w:before="0" w:line="360" w:lineRule="auto"/>
        <w:rPr>
          <w:rFonts w:ascii="Times New Roman" w:hAnsi="Times New Roman"/>
          <w:sz w:val="24"/>
          <w:szCs w:val="24"/>
          <w:lang w:val="bg-BG"/>
        </w:rPr>
      </w:pPr>
    </w:p>
    <w:p w14:paraId="33A7F652" w14:textId="77777777" w:rsidR="00694F91" w:rsidRDefault="00694F91" w:rsidP="00694F91">
      <w:pPr>
        <w:pStyle w:val="12"/>
        <w:spacing w:before="0" w:line="360" w:lineRule="auto"/>
        <w:rPr>
          <w:rFonts w:ascii="Times New Roman" w:hAnsi="Times New Roman"/>
          <w:sz w:val="24"/>
          <w:szCs w:val="24"/>
          <w:lang w:val="bg-BG"/>
        </w:rPr>
      </w:pPr>
    </w:p>
    <w:p w14:paraId="4DA18333" w14:textId="77777777" w:rsidR="00694F91" w:rsidRDefault="00694F91" w:rsidP="00694F91">
      <w:pPr>
        <w:pStyle w:val="12"/>
        <w:spacing w:before="0" w:line="360" w:lineRule="auto"/>
        <w:rPr>
          <w:rFonts w:ascii="Times New Roman" w:hAnsi="Times New Roman"/>
          <w:sz w:val="24"/>
          <w:szCs w:val="24"/>
          <w:lang w:val="bg-BG"/>
        </w:rPr>
      </w:pPr>
    </w:p>
    <w:p w14:paraId="48332C72" w14:textId="77777777" w:rsidR="00694F91" w:rsidRPr="00361FE2" w:rsidRDefault="00694F91" w:rsidP="00694F91"/>
    <w:p w14:paraId="6E3CE0FC" w14:textId="77777777" w:rsidR="00694F91" w:rsidRDefault="00694F91" w:rsidP="00694F91">
      <w:pPr>
        <w:pStyle w:val="12"/>
        <w:spacing w:before="0" w:line="360" w:lineRule="auto"/>
        <w:rPr>
          <w:rFonts w:ascii="Times New Roman" w:hAnsi="Times New Roman"/>
          <w:sz w:val="24"/>
          <w:szCs w:val="24"/>
          <w:lang w:val="bg-BG"/>
        </w:rPr>
      </w:pPr>
    </w:p>
    <w:p w14:paraId="30902001" w14:textId="77777777" w:rsidR="00694F91" w:rsidRDefault="00694F91" w:rsidP="00694F91">
      <w:pPr>
        <w:pStyle w:val="12"/>
        <w:spacing w:before="0" w:line="360" w:lineRule="auto"/>
        <w:rPr>
          <w:rFonts w:ascii="Times New Roman" w:hAnsi="Times New Roman"/>
          <w:sz w:val="24"/>
          <w:szCs w:val="24"/>
          <w:lang w:val="bg-BG"/>
        </w:rPr>
      </w:pPr>
    </w:p>
    <w:p w14:paraId="242894F7" w14:textId="77777777" w:rsidR="00694F91" w:rsidRDefault="00694F91" w:rsidP="00694F91">
      <w:pPr>
        <w:pStyle w:val="12"/>
        <w:spacing w:before="0" w:line="360" w:lineRule="auto"/>
        <w:rPr>
          <w:rFonts w:ascii="Times New Roman" w:hAnsi="Times New Roman"/>
          <w:sz w:val="24"/>
          <w:szCs w:val="24"/>
          <w:lang w:val="bg-BG"/>
        </w:rPr>
      </w:pPr>
    </w:p>
    <w:p w14:paraId="43E78FF6" w14:textId="77777777" w:rsidR="00694F91" w:rsidRPr="00F158FD" w:rsidRDefault="00694F91" w:rsidP="00694F91"/>
    <w:p w14:paraId="258AAE1B" w14:textId="77777777" w:rsidR="00694F91" w:rsidRDefault="00694F91" w:rsidP="00694F91">
      <w:pPr>
        <w:pStyle w:val="12"/>
        <w:spacing w:before="0" w:line="360" w:lineRule="auto"/>
        <w:rPr>
          <w:rFonts w:ascii="Times New Roman" w:hAnsi="Times New Roman"/>
          <w:sz w:val="24"/>
          <w:szCs w:val="24"/>
          <w:lang w:val="bg-BG"/>
        </w:rPr>
      </w:pPr>
    </w:p>
    <w:p w14:paraId="5445FE33" w14:textId="77777777" w:rsidR="00694F91" w:rsidRDefault="00694F91" w:rsidP="00694F91">
      <w:pPr>
        <w:pStyle w:val="12"/>
        <w:spacing w:before="0" w:line="360" w:lineRule="auto"/>
        <w:rPr>
          <w:rFonts w:ascii="Times New Roman" w:hAnsi="Times New Roman"/>
          <w:sz w:val="24"/>
          <w:szCs w:val="24"/>
          <w:lang w:val="bg-BG"/>
        </w:rPr>
      </w:pPr>
    </w:p>
    <w:p w14:paraId="1C35D3CE" w14:textId="77777777" w:rsidR="00694F91" w:rsidRPr="006236E8" w:rsidRDefault="00694F91" w:rsidP="00694F91">
      <w:pPr>
        <w:pStyle w:val="12"/>
        <w:spacing w:before="0" w:line="360" w:lineRule="auto"/>
        <w:rPr>
          <w:rFonts w:ascii="Times New Roman" w:hAnsi="Times New Roman"/>
          <w:sz w:val="24"/>
          <w:szCs w:val="24"/>
          <w:lang w:val="bg-BG"/>
        </w:rPr>
      </w:pPr>
      <w:r w:rsidRPr="00A908A8">
        <w:rPr>
          <w:rFonts w:ascii="Times New Roman" w:hAnsi="Times New Roman"/>
          <w:sz w:val="24"/>
          <w:szCs w:val="24"/>
        </w:rPr>
        <w:t>Съдържание</w:t>
      </w:r>
    </w:p>
    <w:p w14:paraId="580B412E" w14:textId="77777777" w:rsidR="00694F91" w:rsidRPr="006236E8" w:rsidRDefault="00694F91" w:rsidP="00694F91">
      <w:pPr>
        <w:spacing w:after="0" w:line="360" w:lineRule="auto"/>
        <w:rPr>
          <w:rFonts w:ascii="Times New Roman" w:hAnsi="Times New Roman" w:cs="Times New Roman"/>
          <w:sz w:val="24"/>
          <w:szCs w:val="24"/>
        </w:rPr>
      </w:pPr>
    </w:p>
    <w:p w14:paraId="72D3174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1.</w:t>
      </w:r>
      <w:r w:rsidRPr="00CB66C3">
        <w:rPr>
          <w:rFonts w:ascii="Times New Roman" w:hAnsi="Times New Roman" w:cs="Times New Roman"/>
          <w:sz w:val="24"/>
          <w:szCs w:val="24"/>
        </w:rPr>
        <w:tab/>
        <w:t>Техническо изпълнение на проектите</w:t>
      </w:r>
      <w:r w:rsidRPr="00CB66C3">
        <w:rPr>
          <w:rFonts w:ascii="Times New Roman" w:hAnsi="Times New Roman" w:cs="Times New Roman"/>
          <w:sz w:val="24"/>
          <w:szCs w:val="24"/>
        </w:rPr>
        <w:tab/>
      </w:r>
      <w:r w:rsidRPr="00CB66C3">
        <w:rPr>
          <w:rFonts w:ascii="Times New Roman" w:hAnsi="Times New Roman" w:cs="Times New Roman"/>
          <w:sz w:val="24"/>
          <w:szCs w:val="24"/>
        </w:rPr>
        <w:tab/>
      </w:r>
      <w:r w:rsidRPr="00CB66C3">
        <w:rPr>
          <w:rFonts w:ascii="Times New Roman" w:hAnsi="Times New Roman" w:cs="Times New Roman"/>
          <w:sz w:val="24"/>
          <w:szCs w:val="24"/>
        </w:rPr>
        <w:tab/>
        <w:t>3</w:t>
      </w:r>
    </w:p>
    <w:p w14:paraId="27318D5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2.</w:t>
      </w:r>
      <w:r w:rsidRPr="00CB66C3">
        <w:rPr>
          <w:rFonts w:ascii="Times New Roman" w:hAnsi="Times New Roman" w:cs="Times New Roman"/>
          <w:sz w:val="24"/>
          <w:szCs w:val="24"/>
        </w:rPr>
        <w:tab/>
        <w:t>Финансово изпълнение на проектите и плащане.</w:t>
      </w:r>
      <w:r w:rsidRPr="00CB66C3">
        <w:rPr>
          <w:rFonts w:ascii="Times New Roman" w:hAnsi="Times New Roman" w:cs="Times New Roman"/>
          <w:sz w:val="24"/>
          <w:szCs w:val="24"/>
        </w:rPr>
        <w:tab/>
        <w:t>10</w:t>
      </w:r>
    </w:p>
    <w:p w14:paraId="3308D8A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3.</w:t>
      </w:r>
      <w:r w:rsidRPr="00CB66C3">
        <w:rPr>
          <w:rFonts w:ascii="Times New Roman" w:hAnsi="Times New Roman" w:cs="Times New Roman"/>
          <w:sz w:val="24"/>
          <w:szCs w:val="24"/>
        </w:rPr>
        <w:tab/>
        <w:t>Мерки за информиране и публичност</w:t>
      </w:r>
      <w:r w:rsidRPr="00CB66C3">
        <w:rPr>
          <w:rFonts w:ascii="Times New Roman" w:hAnsi="Times New Roman" w:cs="Times New Roman"/>
          <w:sz w:val="24"/>
          <w:szCs w:val="24"/>
        </w:rPr>
        <w:tab/>
      </w:r>
      <w:r w:rsidRPr="00CB66C3">
        <w:rPr>
          <w:rFonts w:ascii="Times New Roman" w:hAnsi="Times New Roman" w:cs="Times New Roman"/>
          <w:sz w:val="24"/>
          <w:szCs w:val="24"/>
        </w:rPr>
        <w:tab/>
      </w:r>
      <w:r w:rsidRPr="00CB66C3">
        <w:rPr>
          <w:rFonts w:ascii="Times New Roman" w:hAnsi="Times New Roman" w:cs="Times New Roman"/>
          <w:sz w:val="24"/>
          <w:szCs w:val="24"/>
        </w:rPr>
        <w:tab/>
        <w:t>11</w:t>
      </w:r>
    </w:p>
    <w:p w14:paraId="756CCE37"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4.</w:t>
      </w:r>
      <w:r w:rsidRPr="00CB66C3">
        <w:rPr>
          <w:rFonts w:ascii="Times New Roman" w:hAnsi="Times New Roman" w:cs="Times New Roman"/>
          <w:sz w:val="24"/>
          <w:szCs w:val="24"/>
        </w:rPr>
        <w:tab/>
        <w:t>Приложения към Условията за изпълнение:</w:t>
      </w:r>
      <w:r w:rsidRPr="00CB66C3">
        <w:rPr>
          <w:rFonts w:ascii="Times New Roman" w:hAnsi="Times New Roman" w:cs="Times New Roman"/>
          <w:sz w:val="24"/>
          <w:szCs w:val="24"/>
        </w:rPr>
        <w:tab/>
      </w:r>
      <w:r w:rsidRPr="00CB66C3">
        <w:rPr>
          <w:rFonts w:ascii="Times New Roman" w:hAnsi="Times New Roman" w:cs="Times New Roman"/>
          <w:sz w:val="24"/>
          <w:szCs w:val="24"/>
        </w:rPr>
        <w:tab/>
        <w:t>12</w:t>
      </w:r>
    </w:p>
    <w:p w14:paraId="6A3019BA" w14:textId="77777777" w:rsidR="00CB66C3" w:rsidRPr="00CB66C3" w:rsidRDefault="00CB66C3" w:rsidP="00CB66C3">
      <w:pPr>
        <w:jc w:val="both"/>
        <w:rPr>
          <w:rFonts w:ascii="Times New Roman" w:hAnsi="Times New Roman" w:cs="Times New Roman"/>
          <w:sz w:val="24"/>
          <w:szCs w:val="24"/>
        </w:rPr>
      </w:pPr>
    </w:p>
    <w:p w14:paraId="5257D740" w14:textId="77777777" w:rsidR="00CB66C3" w:rsidRPr="00CB66C3" w:rsidRDefault="00CB66C3" w:rsidP="00CB66C3">
      <w:pPr>
        <w:jc w:val="both"/>
        <w:rPr>
          <w:rFonts w:ascii="Times New Roman" w:hAnsi="Times New Roman" w:cs="Times New Roman"/>
          <w:sz w:val="24"/>
          <w:szCs w:val="24"/>
        </w:rPr>
      </w:pPr>
    </w:p>
    <w:p w14:paraId="0EE9948F" w14:textId="77777777" w:rsidR="00CB66C3" w:rsidRPr="00CB66C3" w:rsidRDefault="00CB66C3" w:rsidP="00CB66C3">
      <w:pPr>
        <w:jc w:val="both"/>
        <w:rPr>
          <w:rFonts w:ascii="Times New Roman" w:hAnsi="Times New Roman" w:cs="Times New Roman"/>
          <w:sz w:val="24"/>
          <w:szCs w:val="24"/>
        </w:rPr>
      </w:pPr>
    </w:p>
    <w:p w14:paraId="31F4F16A" w14:textId="77777777" w:rsidR="00CB66C3" w:rsidRPr="00CB66C3" w:rsidRDefault="00CB66C3" w:rsidP="00CB66C3">
      <w:pPr>
        <w:jc w:val="both"/>
        <w:rPr>
          <w:rFonts w:ascii="Times New Roman" w:hAnsi="Times New Roman" w:cs="Times New Roman"/>
          <w:sz w:val="24"/>
          <w:szCs w:val="24"/>
        </w:rPr>
      </w:pPr>
    </w:p>
    <w:p w14:paraId="1CDE4394" w14:textId="77777777" w:rsidR="00CB66C3" w:rsidRPr="00CB66C3" w:rsidRDefault="00CB66C3" w:rsidP="00CB66C3">
      <w:pPr>
        <w:jc w:val="both"/>
        <w:rPr>
          <w:rFonts w:ascii="Times New Roman" w:hAnsi="Times New Roman" w:cs="Times New Roman"/>
          <w:sz w:val="24"/>
          <w:szCs w:val="24"/>
        </w:rPr>
      </w:pPr>
    </w:p>
    <w:p w14:paraId="15D356F7" w14:textId="77777777" w:rsidR="00CB66C3" w:rsidRPr="00CB66C3" w:rsidRDefault="00CB66C3" w:rsidP="00CB66C3">
      <w:pPr>
        <w:jc w:val="both"/>
        <w:rPr>
          <w:rFonts w:ascii="Times New Roman" w:hAnsi="Times New Roman" w:cs="Times New Roman"/>
          <w:sz w:val="24"/>
          <w:szCs w:val="24"/>
        </w:rPr>
      </w:pPr>
    </w:p>
    <w:p w14:paraId="67BBFF2B" w14:textId="77777777" w:rsidR="00CB66C3" w:rsidRPr="00CB66C3" w:rsidRDefault="00CB66C3" w:rsidP="00CB66C3">
      <w:pPr>
        <w:jc w:val="both"/>
        <w:rPr>
          <w:rFonts w:ascii="Times New Roman" w:hAnsi="Times New Roman" w:cs="Times New Roman"/>
          <w:sz w:val="24"/>
          <w:szCs w:val="24"/>
        </w:rPr>
      </w:pPr>
    </w:p>
    <w:p w14:paraId="323912BA" w14:textId="77777777" w:rsidR="00CB66C3" w:rsidRPr="00CB66C3" w:rsidRDefault="00CB66C3" w:rsidP="00CB66C3">
      <w:pPr>
        <w:jc w:val="both"/>
        <w:rPr>
          <w:rFonts w:ascii="Times New Roman" w:hAnsi="Times New Roman" w:cs="Times New Roman"/>
          <w:sz w:val="24"/>
          <w:szCs w:val="24"/>
        </w:rPr>
      </w:pPr>
    </w:p>
    <w:p w14:paraId="529037F2" w14:textId="77777777" w:rsidR="00CB66C3" w:rsidRPr="00CB66C3" w:rsidRDefault="00CB66C3" w:rsidP="00CB66C3">
      <w:pPr>
        <w:jc w:val="both"/>
        <w:rPr>
          <w:rFonts w:ascii="Times New Roman" w:hAnsi="Times New Roman" w:cs="Times New Roman"/>
          <w:sz w:val="24"/>
          <w:szCs w:val="24"/>
        </w:rPr>
      </w:pPr>
    </w:p>
    <w:p w14:paraId="01BF189B" w14:textId="77777777" w:rsidR="00CB66C3" w:rsidRPr="00CB66C3" w:rsidRDefault="00CB66C3" w:rsidP="00CB66C3">
      <w:pPr>
        <w:jc w:val="both"/>
        <w:rPr>
          <w:rFonts w:ascii="Times New Roman" w:hAnsi="Times New Roman" w:cs="Times New Roman"/>
          <w:sz w:val="24"/>
          <w:szCs w:val="24"/>
        </w:rPr>
      </w:pPr>
    </w:p>
    <w:p w14:paraId="1B1FB60C" w14:textId="77777777" w:rsidR="00CB66C3" w:rsidRPr="00CB66C3" w:rsidRDefault="00CB66C3" w:rsidP="00CB66C3">
      <w:pPr>
        <w:jc w:val="both"/>
        <w:rPr>
          <w:rFonts w:ascii="Times New Roman" w:hAnsi="Times New Roman" w:cs="Times New Roman"/>
          <w:sz w:val="24"/>
          <w:szCs w:val="24"/>
        </w:rPr>
      </w:pPr>
    </w:p>
    <w:p w14:paraId="1D86908C" w14:textId="77777777" w:rsidR="00CB66C3" w:rsidRPr="00CB66C3" w:rsidRDefault="00CB66C3" w:rsidP="00CB66C3">
      <w:pPr>
        <w:jc w:val="both"/>
        <w:rPr>
          <w:rFonts w:ascii="Times New Roman" w:hAnsi="Times New Roman" w:cs="Times New Roman"/>
          <w:sz w:val="24"/>
          <w:szCs w:val="24"/>
        </w:rPr>
      </w:pPr>
    </w:p>
    <w:p w14:paraId="4E640860" w14:textId="77777777" w:rsidR="00CB66C3" w:rsidRPr="00CB66C3" w:rsidRDefault="00CB66C3" w:rsidP="00CB66C3">
      <w:pPr>
        <w:jc w:val="both"/>
        <w:rPr>
          <w:rFonts w:ascii="Times New Roman" w:hAnsi="Times New Roman" w:cs="Times New Roman"/>
          <w:sz w:val="24"/>
          <w:szCs w:val="24"/>
        </w:rPr>
      </w:pPr>
    </w:p>
    <w:p w14:paraId="6EA2299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1.Техническо изпълнение на проектите</w:t>
      </w:r>
    </w:p>
    <w:p w14:paraId="5E2229B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14:paraId="5FA85E8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ВАЖНО! След подписване на административен договор за предоставяне на безвъзмездна финансова помощ бенефициентът следва в срок до 6 месеца да има избран изпълнител и сключен с него договор за предвидените дейности, както и да е започнало изпълнението на проекта.</w:t>
      </w:r>
    </w:p>
    <w:p w14:paraId="593F283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 Бизнес плана към Условията за кандидатстване и времевия график за изпълнение на проекта във Формуляра за кандидатстване. </w:t>
      </w:r>
    </w:p>
    <w:p w14:paraId="66F701F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срок до 20 работни дни от датата на получаването на документацията по проведения избор, УО на ПМДР извършва последващия контрол за законосъобразност на проведените процедури.    </w:t>
      </w:r>
    </w:p>
    <w:p w14:paraId="2D13A38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Бенефициентът трябва да представи чрез ИСУН 2020 мотивирано искане до УО на ПМДР за сключване на допълнително споразумение към административния договор за предоставяне на безвъзмездна финансова помощ във връзка с избор на изпълнители.</w:t>
      </w:r>
    </w:p>
    <w:p w14:paraId="6575EF8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1.1. Бенефициентите, възложители съгласно Закона за обществените поръчки</w:t>
      </w:r>
    </w:p>
    <w:p w14:paraId="7872D45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възложители съгласно Закона за обществените поръчки, са длъжни да провеждат обществени поръчки за избор на изпълнител/и на дейностите по проекта след сключване на административния договор с изключение на обществените поръчки за избор на изпълнител/и за разходи допустими за финансиране, извършени от кандидата преди подаването на формуляра за кандидатстване по програмата, но не по-рано от 01.01.2014 г.,  съгласно раздел 14. от Условията за кандидатстване..</w:t>
      </w:r>
    </w:p>
    <w:p w14:paraId="68485C8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УО осъществява последващ контрол на проведената/ите от бенефициентите процедура/и за възлагане на обществена поръчка на етап сключен от бенефициента договор с избрания изпълнител.</w:t>
      </w:r>
    </w:p>
    <w:p w14:paraId="3B1281E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свързана с провеждането на обществената поръчка, като задължително го уведомява за това чрез модул „Комуникация “.</w:t>
      </w:r>
    </w:p>
    <w:p w14:paraId="500F6DF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Искането за разяснение се изпраща чрез ИСУН 2020 посредством електронния профил на бенефициента, Срокът </w:t>
      </w:r>
      <w:r w:rsidRPr="00CB66C3">
        <w:rPr>
          <w:rFonts w:ascii="Times New Roman" w:hAnsi="Times New Roman" w:cs="Times New Roman"/>
          <w:sz w:val="24"/>
          <w:szCs w:val="24"/>
        </w:rPr>
        <w:lastRenderedPageBreak/>
        <w:t>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предоставена само по искане на УО на ПМДР.</w:t>
      </w:r>
    </w:p>
    <w:p w14:paraId="7AFA62C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14:paraId="72ACB2D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 случай на установяване на нередности по смисъла на чл. 2, т. 36 и 38 от Регламент (ЕС) № 1303/2013 в проведената процедура, УО на ПМДР налага финансова корекция по реда на чл. 70 и следващите от ЗУСЕСИФ.</w:t>
      </w:r>
    </w:p>
    <w:p w14:paraId="66563C8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договори за безвъзмездна финансова помощ (Приложение № 9).</w:t>
      </w:r>
    </w:p>
    <w:p w14:paraId="155CA6B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установени в акта по чл. 69, ал. 6 от ЗУСЕСИФ - Наредбата за администриране на нередности по Европейските структурни и инвестиционни фондове, приета с Постановление № 173 на Министерския съвет от 2016 г. (ДВ, бр. 57 от 2016г.) и съобразно подписаната от него Декларация за нередности по образец.</w:t>
      </w:r>
    </w:p>
    <w:p w14:paraId="1E75742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1.2. Бенефициентите, възложители съгласно Постановление № 160 на Министерския съвет от 2016 г.</w:t>
      </w:r>
    </w:p>
    <w:p w14:paraId="1AF4FD2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могат да провеждат процедури за избор на изпълнител по следния ред:</w:t>
      </w:r>
    </w:p>
    <w:p w14:paraId="43A112A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А. „Процедура за избор с публична покана“ по реда на Постановление № 160 на Министерския съвет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 (обн., ДВ, бр. 52 от 2016 г.) (ПМС № 160 от 2016 г.).</w:t>
      </w:r>
    </w:p>
    <w:p w14:paraId="1555FED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ВАЖНО!!! При провеждане на процедури за избор на изпълнител бенефициентите следва да прилагат Указание на УО на ПМДР на ПМС 160/2016 г., одобрено с докладна записка 93-3936 от 30.07.2020 г. </w:t>
      </w:r>
    </w:p>
    <w:p w14:paraId="1F1F4ED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Същото може да бъде намерено на следния интернет адрес: https://www.eufunds.bg/bg/pmdr/node/5313 .</w:t>
      </w:r>
    </w:p>
    <w:p w14:paraId="0F20267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Когато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14:paraId="5F70319D"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Съгласно чл. 50, ал. 2 и 3 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 и когато прогнозната стойност за:</w:t>
      </w:r>
    </w:p>
    <w:p w14:paraId="6E2C4F7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строителство, в т. ч. съфинансирането от страна на бенефициента, без данък върху добавената стойност, е равна или по-висока от 50 000 лв.;</w:t>
      </w:r>
    </w:p>
    <w:p w14:paraId="34F0821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доставки или услуги, в т. ч. съфинансирането от страна на бенефициента, без данък върху добавената стойност, е равна или по-висока от 30 000 лв.</w:t>
      </w:r>
    </w:p>
    <w:p w14:paraId="09BC40E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p>
    <w:p w14:paraId="16133B8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Кандидатите, за изпълнители на дейностите, посочени в публичната покана следва да отговарят на следните две кумулативни изисквания:</w:t>
      </w:r>
    </w:p>
    <w:p w14:paraId="7AE09BA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от ПМС № 160 от 2016 г. Списъкът следва да съдържа минимум следната информация: дата, страни, предмет, стойност на договора/ите, да е придружен от препоръки/референции за добро изпълнение и подпис на лицето, което е законен представител на кандидата;</w:t>
      </w:r>
    </w:p>
    <w:p w14:paraId="15C0A3E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общият оборот и/или за оборота, който се отнася до предмета на поръчката да е най-много за последните 3 приключили финансови години, в зависимост от датата, на която кандидатът е учреден или е започнал дейността си, при спазване разпоредбите на чл. 3 от ПМС № 160 от 01.07.2016 г. Изискването за специфичен оборот се доказва от оферента със справка-декларация, подписана от законния представител на кандидата. Справката трябва да е придружена от Отчет за приходите и разходите за съответните приключили финансови години, в зависимост от датата на която кандидатът е учреден или започнал дейността си. Ако отчетите за приходите и разходите са публично обявени, се извършва справка в съответния регистър. </w:t>
      </w:r>
    </w:p>
    <w:p w14:paraId="1A5B770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Тези изисквания са кумулативни и кандидатите за изпълнители, трябва да отговарят задължително на тях.</w:t>
      </w:r>
    </w:p>
    <w:p w14:paraId="41F3342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14:paraId="2A24440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и не може да бъде по-кратък от 21 дни от публикуването на поканата – за стоително-монтажни работи и разходи за закупуване на оборудване по индивидуално технологично/техническо задание. За всички останали разходи за доставки и услуги, крайният срок за подаване на офертите в процедурата не може да бъде по-кратък от 7 дни от публикуването на поканата.</w:t>
      </w:r>
    </w:p>
    <w:p w14:paraId="4C52E9E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с публична покана. Задължително се представят посочените документи в Приложение № 16 „Документи за осъществяване на последващ контрол на проведена процедура „Избор с публична покана“ по чл. 50, ал. 1 от ЗУСЕСИФ и ПМС № 160 от 2016 г.“.</w:t>
      </w:r>
      <w:r w:rsidRPr="00CB66C3">
        <w:rPr>
          <w:rFonts w:ascii="Times New Roman" w:hAnsi="Times New Roman" w:cs="Times New Roman"/>
          <w:sz w:val="24"/>
          <w:szCs w:val="24"/>
        </w:rPr>
        <w:tab/>
      </w:r>
    </w:p>
    <w:p w14:paraId="23E34A1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Б. Избор на изпълнител „Чрез представяне на поне две съпоставими, независими и конкурентни оферти“:  </w:t>
      </w:r>
    </w:p>
    <w:p w14:paraId="619CFBD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когато прогнозната стойност е за:</w:t>
      </w:r>
    </w:p>
    <w:p w14:paraId="5E7536A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строителство, в т. ч. съфинансирането от страна на бенефициента, без данък върху добавената стойност, е по-малка от 50 000 лв.;</w:t>
      </w:r>
    </w:p>
    <w:p w14:paraId="51BE613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доставки и/или услуги, в т.ч. съфинансирането от страна на бенефициента, без данък върху добавената стойност, е по-малка от 30 000 лв.</w:t>
      </w:r>
    </w:p>
    <w:p w14:paraId="0FA4257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този случай Бенефициентите предоставят поне две съпоставими, независими и конкурентни оферти, към които могат да бъдат прилагани официални каталози от производители/оторизирани доставчици, съдържащи цена, характеристика/функционал-ност/описание, които не противоречат на заложените в одобрения проект. </w:t>
      </w:r>
    </w:p>
    <w:p w14:paraId="273E1FB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регистърът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1552C4D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ВАЖНО: „Независими оферти“ са 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офертата на друг кандидат, не може да представя самостоятелна оферта. Едно физическо или юридическо лице може да участва само в едно обединение.</w:t>
      </w:r>
    </w:p>
    <w:p w14:paraId="2356F3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„Официален каталог“ е продуктов каталог издаден от производител, официален представител на производителя или от официален вносител, който е публичен и общо приложим към всички партньори/клиенти, т.е. не е създаден за целите на конкретната подадена оферта.</w:t>
      </w:r>
    </w:p>
    <w:p w14:paraId="59CA5AF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Оферентите следва да отговарят на следните две кумулативни условия:</w:t>
      </w:r>
    </w:p>
    <w:p w14:paraId="430F868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w:t>
      </w:r>
    </w:p>
    <w:p w14:paraId="45A98F2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Ако отчетите за приходите и разходите са публично обявени, се извършва справка в съответния регистър.</w:t>
      </w:r>
    </w:p>
    <w:p w14:paraId="14E5093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Тези изисквания са кумулативни и кандидатите за изпълнители, трябва да отговарят задължително на тях. В случай, че 2-те комулативни условия не са изпълнени Управляващият орган на ПМДР няма да одобри БФП за съответния разход.</w:t>
      </w:r>
    </w:p>
    <w:p w14:paraId="319FFC4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 строителство, оферентите следва да имат право да извършват такава дейност и да са вписани в съответните регистри на държавата, в която са регистрирани/установени.</w:t>
      </w:r>
    </w:p>
    <w:p w14:paraId="619DA2C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p>
    <w:p w14:paraId="7779AF1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на изпълнител „Чрез </w:t>
      </w:r>
      <w:r w:rsidRPr="00CB66C3">
        <w:rPr>
          <w:rFonts w:ascii="Times New Roman" w:hAnsi="Times New Roman" w:cs="Times New Roman"/>
          <w:sz w:val="24"/>
          <w:szCs w:val="24"/>
        </w:rPr>
        <w:lastRenderedPageBreak/>
        <w:t xml:space="preserve">представяне на поне две съпоставими независими оферти“ като задължително го уведомява за това чрез модул „Кореспонденция“. В този случай бенефициентът представя на УО на ПМДР, чрез ИСУН 2020, минимум следните документи: </w:t>
      </w:r>
    </w:p>
    <w:p w14:paraId="123ECB3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събраните поне 2 оферти; </w:t>
      </w:r>
    </w:p>
    <w:p w14:paraId="0E05D55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обосновка в свободен текст за направения избор на база на събраните оферти; </w:t>
      </w:r>
    </w:p>
    <w:p w14:paraId="10D74454"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документите доказващи, че оферентът отговаря на кумулативните изисквания, посочени по-горе.;</w:t>
      </w:r>
    </w:p>
    <w:p w14:paraId="2D65017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сключен договор, предметът и параметрите на който трябва да съответстват на избраната оферта.</w:t>
      </w:r>
    </w:p>
    <w:p w14:paraId="16F5050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по процедурите по букви А и Б.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предоставени само по искане на УО на ПМДР. </w:t>
      </w:r>
    </w:p>
    <w:p w14:paraId="50CD864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14:paraId="77A50AE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случай на установена нередност по смисъла на чл. 2, т. 36 и 38 от Регламент (ЕС) № 1303/2013 в проведената процедура, УО на ПМДР налага финансова корекция по реда на чл.70 и следващите от ЗУСЕСИФ. </w:t>
      </w:r>
    </w:p>
    <w:p w14:paraId="119F900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административни договори за предоставяне на безвъзмездна финансова помощ (Приложение № 9). </w:t>
      </w:r>
    </w:p>
    <w:p w14:paraId="3165A6ED"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На основание чл. 69, ал. 6 от ЗУСЕСИФ, 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на Наредбата за администриране на нередности по Европейските структурни и инвестиционни фондове, приета с Постановление № 173 на Министерския съвет от 2016 г. (обн., ДВ, бр. 57 от 2016г.) и съобразно подписаната от него Декларация за нередности по образец.</w:t>
      </w:r>
    </w:p>
    <w:p w14:paraId="23C19D07"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и раздел VIII от Общите условия..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14:paraId="55B1E19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Съгласно правилата на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 от 20 декември 2013г.) (Регламент (ЕС) № 1303/2013) и Споразумението за делегиране на функции от УО на ПМДР на Междинното звено /МЗ/ - Държавен фонд „Земеделие“ – Разплащателна агенция (ДФЗ-РА), последното следва да извърши проверки за удостоверяване на административните, финансовите, техническите и физическите аспекти от изпълнението на одобрените проекти. Проверките могат да бъдат както административни – проверка на документи, така и проверки на място за изпълнение на дейностите, заложени по одобрения проект. </w:t>
      </w:r>
    </w:p>
    <w:p w14:paraId="24286C1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Бенефициентът следва в срок от 10 дни преди провеждане на информационна кампания да уведоми УО на ПМДР, за да бъде планирано посещение на място.</w:t>
      </w:r>
    </w:p>
    <w:p w14:paraId="3DC6BEF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Управляващият орган на ПМДР извършва задължителни проверки преди подписване на договори и мониторингови проверки на изпълнените проекти на база извадка (проверките са административни и проверки на място).  </w:t>
      </w:r>
    </w:p>
    <w:p w14:paraId="0C97D33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Междинното звено – ДФЗ-РА извършва административни проверки и проверки на място преди плащане по реда установен в Общите условия към административните договори за предоставяне на безвъзмездна финансова помощ. МИРГ извършва мониторинг на изпълнението на стратегията за ВОМР и предоставя на УО на ПМДР данните за резултатите от извършените проверки. УО (чрез ДФЗ-РА, съгласно делегираните функции) по своя преценка и на база оценка на риска може да извършва допълнителни проверки на изпълнението на проектните приложения по съответния прием.</w:t>
      </w:r>
    </w:p>
    <w:p w14:paraId="378E5FD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 подаване на искане за междинно/окончателно плащане бенефициентът предоставя чрез ИСУН 2020 и междинен/финален отчет за изпълнението на проекта, ДФЗ-РА ще извършва задължителни проверки. В случай че бъдат констатирани несъответствия, разходите за съответните дейности няма да бъдат признати, като ще бъдат прилагани съответни европейски и национални норми.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и проверяващи институции с цел извършването на проверка на място на резултатите от изпълнението на проекта.</w:t>
      </w:r>
    </w:p>
    <w:p w14:paraId="6BFE73F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 xml:space="preserve">Бенефициентът е задължен да докладва и отчита изпълнението на проекта в съответните отчетни форми и документи чрез ИСУН 2020. </w:t>
      </w:r>
    </w:p>
    <w:p w14:paraId="1BB2EC6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 случай на неизпълнение на индикаторите за резултати, заложени в проектното предложение, на бенефициента могат да бъдат наложени финансови корекции съгласно разпоредбите на 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от 28 март 2017г.  (обн., ДВ, бр. 57 от 2017 г.).</w:t>
      </w:r>
    </w:p>
    <w:p w14:paraId="3A23C4A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2.</w:t>
      </w:r>
      <w:r w:rsidRPr="00CB66C3">
        <w:rPr>
          <w:rFonts w:ascii="Times New Roman" w:hAnsi="Times New Roman" w:cs="Times New Roman"/>
          <w:sz w:val="24"/>
          <w:szCs w:val="24"/>
        </w:rPr>
        <w:tab/>
        <w:t>Финансово изпълнение на проектите и плащане.</w:t>
      </w:r>
    </w:p>
    <w:p w14:paraId="093CB62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не могат да бъдат заявявани и за тях не може да бъде предоставена безвъзмездна финансова помощ, вкл. по други проекти и по други програми.</w:t>
      </w:r>
    </w:p>
    <w:p w14:paraId="7923D9F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Бенефициентът е задължен да поддържа отделни счетоводни аналитични сметка/подсметка или отделна счетоводна система за допустимите разходи по проекта/ите и използването на средствата от безвъзмездната финансова помощ, съгласно изискванията на чл. 57, ал. 1, т.5 от ЗУСЕСИФ.</w:t>
      </w:r>
    </w:p>
    <w:p w14:paraId="6F6CD71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Максималният размер на безвъзмездната финансова помощ задължително се посочва в административния договор за предоставяне на безвъзмездна финансова помощ. Този размер се основава на бюджета, формиран на база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максимален,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14:paraId="3D84F7A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Кандидатите следва да вземат под внимание Указание на УО на ПМДР за регламентиране и отчитане на възнагражденията на екипите за изпълнение на проекти, което е публикувано и може да бъде намерено на следния интернет адрес: https://www.eufunds.bg/bg/pmdr/node/5279.</w:t>
      </w:r>
    </w:p>
    <w:p w14:paraId="311DC19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Недопустими са промени в бюджета на одобрения проект, водещи до увеличаване на първоначално договорения процент и размер на безвъзмездната финансова помощ по договора.</w:t>
      </w:r>
    </w:p>
    <w:p w14:paraId="5D97DA3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Във връзка с разпоредбите на чл. 4, т. 3 от Регламент (ЕО, ЕВРАТОМ) No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p>
    <w:p w14:paraId="259AC067"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тяхното извършване са определени в административния договор и Общите условия към него.</w:t>
      </w:r>
    </w:p>
    <w:p w14:paraId="3CD3FC2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14:paraId="2B7CF148" w14:textId="2991AF35"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ВАЖНО: Бенефициентите общини имат право да им бъдат възстановени разходи за ДДС съгласно разпоредбите на ПМС за изпълнението на държавния бюджет на Република България</w:t>
      </w:r>
      <w:r w:rsidR="00163ABE">
        <w:rPr>
          <w:rFonts w:ascii="Times New Roman" w:hAnsi="Times New Roman" w:cs="Times New Roman"/>
          <w:sz w:val="24"/>
          <w:szCs w:val="24"/>
        </w:rPr>
        <w:t>.</w:t>
      </w:r>
    </w:p>
    <w:p w14:paraId="734128D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3.</w:t>
      </w:r>
      <w:r w:rsidRPr="00CB66C3">
        <w:rPr>
          <w:rFonts w:ascii="Times New Roman" w:hAnsi="Times New Roman" w:cs="Times New Roman"/>
          <w:sz w:val="24"/>
          <w:szCs w:val="24"/>
        </w:rPr>
        <w:tab/>
        <w:t>Мерки за информиране и публичност</w:t>
      </w:r>
    </w:p>
    <w:p w14:paraId="25C8266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Всички бенефициенти трябва да прилагат подходящи мерки за публичност и информираност съгласно правилата на Приложение XII от Регламент (ЕС) № 1303/2013.</w:t>
      </w:r>
    </w:p>
    <w:p w14:paraId="0A76321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14:paraId="736C225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По време на изпълнението на даден проект бенефициентът информира обществеността за получената от ЕФМДР подкрепа като:</w:t>
      </w:r>
    </w:p>
    <w:p w14:paraId="166E9E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14:paraId="2CC568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14:paraId="2C48E7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Плакатът следва да съдържа следната текстова и визуална информация:</w:t>
      </w:r>
    </w:p>
    <w:p w14:paraId="03E7EF8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емблемата на ЕС и упоменаването „Европейски съюз“;</w:t>
      </w:r>
    </w:p>
    <w:p w14:paraId="73DBF53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наименованието на съфинансиращия фонд - Европейски фонд за морско дело и рибарство;</w:t>
      </w:r>
    </w:p>
    <w:p w14:paraId="585A1DA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общото лого за програмен период 2014-2020 г.;</w:t>
      </w:r>
    </w:p>
    <w:p w14:paraId="1430B38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наименованието на Програмата за  морско дело и рибарство 2014-2020 г.;</w:t>
      </w:r>
    </w:p>
    <w:p w14:paraId="2B64722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наименованието на проекта;</w:t>
      </w:r>
    </w:p>
    <w:p w14:paraId="477B09E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общата стойност на проекта, както и размера на европейското и националното съфинансиране, представени в български лева;</w:t>
      </w:r>
    </w:p>
    <w:p w14:paraId="5638637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 начална и крайна дата на изпълнение на проекта.</w:t>
      </w:r>
    </w:p>
    <w:p w14:paraId="4C4CF06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14:paraId="3EAF51E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14:paraId="66E68E8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p>
    <w:p w14:paraId="35F75319" w14:textId="1331FE7A"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https://www.</w:t>
      </w:r>
      <w:r w:rsidR="0044374E">
        <w:rPr>
          <w:rFonts w:ascii="Times New Roman" w:hAnsi="Times New Roman" w:cs="Times New Roman"/>
          <w:sz w:val="24"/>
          <w:szCs w:val="24"/>
        </w:rPr>
        <w:t>eufunds.bg/bg/taxonomy/term/609</w:t>
      </w:r>
    </w:p>
    <w:p w14:paraId="6C3BAF6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На същата страница могат да бъдат намерени и векторните варианти на логото на ПМДР.</w:t>
      </w:r>
    </w:p>
    <w:p w14:paraId="48C62ED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ВАЖНО! Неспазването на правилата за информиране и публичност (визуализация) от страна на бенефициента може да доведе до непризнаване на част или на цялата стойност на извършените по проекта разходи.</w:t>
      </w:r>
    </w:p>
    <w:p w14:paraId="7600795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4. Приложения към Условията за изпълнение:</w:t>
      </w:r>
    </w:p>
    <w:p w14:paraId="0B3D2E5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1А - Таблица за одобрени инвестиционни разходи;</w:t>
      </w:r>
    </w:p>
    <w:p w14:paraId="4527B11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7 - Декларация за упражняване правото на данъчен кредит;</w:t>
      </w:r>
    </w:p>
    <w:p w14:paraId="1EC2D339" w14:textId="77777777" w:rsid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8 - Aдминистративен договор за безвъзмездна финансова помощ по Програма за морско дело и рибарство 2014-2020 г.;</w:t>
      </w:r>
    </w:p>
    <w:p w14:paraId="2DB0A13A" w14:textId="004989C1" w:rsidR="00264651" w:rsidRPr="00CB66C3" w:rsidRDefault="00264651" w:rsidP="00CB66C3">
      <w:pPr>
        <w:jc w:val="both"/>
        <w:rPr>
          <w:rFonts w:ascii="Times New Roman" w:hAnsi="Times New Roman" w:cs="Times New Roman"/>
          <w:sz w:val="24"/>
          <w:szCs w:val="24"/>
        </w:rPr>
      </w:pPr>
      <w:r w:rsidRPr="00264651">
        <w:rPr>
          <w:rFonts w:ascii="Times New Roman" w:hAnsi="Times New Roman" w:cs="Times New Roman"/>
          <w:sz w:val="24"/>
          <w:szCs w:val="24"/>
        </w:rPr>
        <w:t>Приложение № 8-1 – Декларации към АДБФП;</w:t>
      </w:r>
    </w:p>
    <w:p w14:paraId="332DE6D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9 - Общи условия към финансираните по Програма за морско дело и рибарство 2014-2020 г. административни договори за предоставяне на безвъзмездна финансова помощ;</w:t>
      </w:r>
    </w:p>
    <w:p w14:paraId="02FD4AE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10 - Банкова гаранция;</w:t>
      </w:r>
    </w:p>
    <w:p w14:paraId="4A2F4B5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11 - Заявление за профил за достъп на ръководител на бенефициента до ИСУН 2020;</w:t>
      </w:r>
    </w:p>
    <w:p w14:paraId="136B51F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12 - Заявление за профил за достъп на упълномощени от бенефициента лица до ИСУН 2020;</w:t>
      </w:r>
    </w:p>
    <w:p w14:paraId="1734EC3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lastRenderedPageBreak/>
        <w:t>Приложение № 13 - Списък с изискуеми документи към Искане за авансово плащане;</w:t>
      </w:r>
    </w:p>
    <w:p w14:paraId="6455DDC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14 - Списък с изискуеми документи към Искане за междинно/окончателно плащане;</w:t>
      </w:r>
    </w:p>
    <w:p w14:paraId="4D2919A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15 – Декларация за втора употреба;</w:t>
      </w:r>
    </w:p>
    <w:p w14:paraId="3CCA85D2" w14:textId="77777777" w:rsid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16 – Документи за осъществяване на последващ контрол на проведена процедура „Избор с публична покана“ по чл. 50, ал. 1 от ЗУСЕСИФ и ПМС 160/01.07.2016 г.;</w:t>
      </w:r>
    </w:p>
    <w:p w14:paraId="0ADF8782" w14:textId="24C826EC" w:rsidR="0044374E" w:rsidRPr="00CB66C3" w:rsidRDefault="0044374E" w:rsidP="00CB66C3">
      <w:pPr>
        <w:jc w:val="both"/>
        <w:rPr>
          <w:rFonts w:ascii="Times New Roman" w:hAnsi="Times New Roman" w:cs="Times New Roman"/>
          <w:sz w:val="24"/>
          <w:szCs w:val="24"/>
        </w:rPr>
      </w:pPr>
      <w:r w:rsidRPr="0044374E">
        <w:rPr>
          <w:rFonts w:ascii="Times New Roman" w:hAnsi="Times New Roman" w:cs="Times New Roman"/>
          <w:sz w:val="24"/>
          <w:szCs w:val="24"/>
        </w:rPr>
        <w:t>Приложение № 17- декларации УИ</w:t>
      </w:r>
    </w:p>
    <w:p w14:paraId="407C94D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18 - Методика за размера на финансовите корекции;</w:t>
      </w:r>
    </w:p>
    <w:p w14:paraId="0665F35D"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Декларация № 1 за МСП</w:t>
      </w:r>
    </w:p>
    <w:p w14:paraId="415418A1" w14:textId="1035FDAC" w:rsidR="00D22E3D" w:rsidRPr="00F21464"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Декларация № 7 липса на промяна в обстоятелствата</w:t>
      </w:r>
    </w:p>
    <w:sectPr w:rsidR="00D22E3D" w:rsidRPr="00F21464" w:rsidSect="00E93C67">
      <w:headerReference w:type="default" r:id="rId8"/>
      <w:footerReference w:type="default" r:id="rId9"/>
      <w:headerReference w:type="first" r:id="rId10"/>
      <w:footerReference w:type="first" r:id="rId11"/>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4F6091" w14:textId="77777777" w:rsidR="009C4B5F" w:rsidRDefault="009C4B5F" w:rsidP="002D4DC8">
      <w:pPr>
        <w:spacing w:after="0" w:line="240" w:lineRule="auto"/>
      </w:pPr>
      <w:r>
        <w:separator/>
      </w:r>
    </w:p>
  </w:endnote>
  <w:endnote w:type="continuationSeparator" w:id="0">
    <w:p w14:paraId="62B1FCE7" w14:textId="77777777" w:rsidR="009C4B5F" w:rsidRDefault="009C4B5F"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20B0502040204020203"/>
    <w:charset w:val="01"/>
    <w:family w:val="roman"/>
    <w:notTrueType/>
    <w:pitch w:val="variable"/>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7AEAA2" w14:textId="77777777"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01880ADE" w14:textId="77777777"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FA1D13" w14:textId="77777777"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03A3BE4" w14:textId="77777777"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2D7FF3" w14:textId="77777777" w:rsidR="009C4B5F" w:rsidRDefault="009C4B5F" w:rsidP="002D4DC8">
      <w:pPr>
        <w:spacing w:after="0" w:line="240" w:lineRule="auto"/>
      </w:pPr>
      <w:r>
        <w:separator/>
      </w:r>
    </w:p>
  </w:footnote>
  <w:footnote w:type="continuationSeparator" w:id="0">
    <w:p w14:paraId="63D8AF19" w14:textId="77777777" w:rsidR="009C4B5F" w:rsidRDefault="009C4B5F"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572708"/>
      <w:docPartObj>
        <w:docPartGallery w:val="Page Numbers (Top of Page)"/>
        <w:docPartUnique/>
      </w:docPartObj>
    </w:sdtPr>
    <w:sdtEndPr>
      <w:rPr>
        <w:noProof/>
      </w:rPr>
    </w:sdtEndPr>
    <w:sdtContent>
      <w:p w14:paraId="43529670" w14:textId="2A8CDF20" w:rsidR="001A36F3" w:rsidRDefault="001A36F3" w:rsidP="00AB25FB">
        <w:pPr>
          <w:pStyle w:val="a8"/>
          <w:jc w:val="center"/>
          <w:rPr>
            <w:noProof/>
          </w:rPr>
        </w:pPr>
        <w:r>
          <w:fldChar w:fldCharType="begin"/>
        </w:r>
        <w:r>
          <w:instrText xml:space="preserve"> PAGE   \* MERGEFORMAT </w:instrText>
        </w:r>
        <w:r>
          <w:fldChar w:fldCharType="separate"/>
        </w:r>
        <w:r w:rsidR="006C7362">
          <w:rPr>
            <w:noProof/>
          </w:rPr>
          <w:t>3</w:t>
        </w:r>
        <w:r>
          <w:rPr>
            <w:noProof/>
          </w:rPr>
          <w:fldChar w:fldCharType="end"/>
        </w:r>
      </w:p>
    </w:sdtContent>
  </w:sdt>
  <w:p w14:paraId="52621669" w14:textId="77777777"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EBED9D" w14:textId="77777777"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422F76B8" wp14:editId="31EA358E">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011551B8" wp14:editId="29ECBE1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A460FD6" wp14:editId="6CDA7E03">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27516"/>
    <w:rsid w:val="0003025B"/>
    <w:rsid w:val="000324EC"/>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15B6"/>
    <w:rsid w:val="000949F1"/>
    <w:rsid w:val="000A5228"/>
    <w:rsid w:val="000A7596"/>
    <w:rsid w:val="000B1032"/>
    <w:rsid w:val="000B1D1E"/>
    <w:rsid w:val="000D1671"/>
    <w:rsid w:val="000D25D9"/>
    <w:rsid w:val="000D599B"/>
    <w:rsid w:val="000D5C2E"/>
    <w:rsid w:val="000D7B8A"/>
    <w:rsid w:val="000E2628"/>
    <w:rsid w:val="001011FE"/>
    <w:rsid w:val="001021AD"/>
    <w:rsid w:val="00103349"/>
    <w:rsid w:val="00112A0E"/>
    <w:rsid w:val="00114C1F"/>
    <w:rsid w:val="001276B0"/>
    <w:rsid w:val="00132752"/>
    <w:rsid w:val="00145434"/>
    <w:rsid w:val="00146BDF"/>
    <w:rsid w:val="0015403E"/>
    <w:rsid w:val="00163ABE"/>
    <w:rsid w:val="00177580"/>
    <w:rsid w:val="00181D8B"/>
    <w:rsid w:val="00182E02"/>
    <w:rsid w:val="00184982"/>
    <w:rsid w:val="0018750E"/>
    <w:rsid w:val="001A1BF1"/>
    <w:rsid w:val="001A36F3"/>
    <w:rsid w:val="001B25E6"/>
    <w:rsid w:val="001C1C49"/>
    <w:rsid w:val="001C64B8"/>
    <w:rsid w:val="001D5FAA"/>
    <w:rsid w:val="001E0CF0"/>
    <w:rsid w:val="001F00C4"/>
    <w:rsid w:val="00205AE9"/>
    <w:rsid w:val="0021140A"/>
    <w:rsid w:val="00213B7C"/>
    <w:rsid w:val="002224C6"/>
    <w:rsid w:val="0022546B"/>
    <w:rsid w:val="0026076D"/>
    <w:rsid w:val="00263CAA"/>
    <w:rsid w:val="00264651"/>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83480"/>
    <w:rsid w:val="003911B6"/>
    <w:rsid w:val="003B19D4"/>
    <w:rsid w:val="003D19FB"/>
    <w:rsid w:val="003D5454"/>
    <w:rsid w:val="003E5270"/>
    <w:rsid w:val="003E537B"/>
    <w:rsid w:val="003F51FD"/>
    <w:rsid w:val="003F6F50"/>
    <w:rsid w:val="00407D10"/>
    <w:rsid w:val="00410A31"/>
    <w:rsid w:val="004121B1"/>
    <w:rsid w:val="004123CC"/>
    <w:rsid w:val="0041283E"/>
    <w:rsid w:val="00412D72"/>
    <w:rsid w:val="00430616"/>
    <w:rsid w:val="00430BD1"/>
    <w:rsid w:val="0043669C"/>
    <w:rsid w:val="00436F3E"/>
    <w:rsid w:val="0044374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2D86"/>
    <w:rsid w:val="00565975"/>
    <w:rsid w:val="005802E2"/>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36E8"/>
    <w:rsid w:val="006247EB"/>
    <w:rsid w:val="00625311"/>
    <w:rsid w:val="00641D67"/>
    <w:rsid w:val="00650504"/>
    <w:rsid w:val="0065644E"/>
    <w:rsid w:val="00673B5A"/>
    <w:rsid w:val="006823D9"/>
    <w:rsid w:val="00686592"/>
    <w:rsid w:val="0069287E"/>
    <w:rsid w:val="00693A38"/>
    <w:rsid w:val="00693CB6"/>
    <w:rsid w:val="00694F91"/>
    <w:rsid w:val="006A49AC"/>
    <w:rsid w:val="006A68AA"/>
    <w:rsid w:val="006A77C9"/>
    <w:rsid w:val="006B03E9"/>
    <w:rsid w:val="006C7362"/>
    <w:rsid w:val="006D3F30"/>
    <w:rsid w:val="006E01C0"/>
    <w:rsid w:val="006E173D"/>
    <w:rsid w:val="006E2CF9"/>
    <w:rsid w:val="006F1BE0"/>
    <w:rsid w:val="006F57DA"/>
    <w:rsid w:val="00712140"/>
    <w:rsid w:val="00724492"/>
    <w:rsid w:val="00734B7F"/>
    <w:rsid w:val="00761BAD"/>
    <w:rsid w:val="00763634"/>
    <w:rsid w:val="007722B0"/>
    <w:rsid w:val="00776B12"/>
    <w:rsid w:val="00777171"/>
    <w:rsid w:val="007872AD"/>
    <w:rsid w:val="007A1C37"/>
    <w:rsid w:val="007A540F"/>
    <w:rsid w:val="007C5C69"/>
    <w:rsid w:val="007C7773"/>
    <w:rsid w:val="007D5700"/>
    <w:rsid w:val="007E106B"/>
    <w:rsid w:val="007E530E"/>
    <w:rsid w:val="007E5E01"/>
    <w:rsid w:val="007E726A"/>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5F"/>
    <w:rsid w:val="009C4BDE"/>
    <w:rsid w:val="009C4C97"/>
    <w:rsid w:val="009E194D"/>
    <w:rsid w:val="009F1387"/>
    <w:rsid w:val="009F5161"/>
    <w:rsid w:val="00A0546C"/>
    <w:rsid w:val="00A15F06"/>
    <w:rsid w:val="00A33197"/>
    <w:rsid w:val="00A33AEE"/>
    <w:rsid w:val="00A33BAC"/>
    <w:rsid w:val="00A3459D"/>
    <w:rsid w:val="00A46C3F"/>
    <w:rsid w:val="00A5367B"/>
    <w:rsid w:val="00A53EA7"/>
    <w:rsid w:val="00A56134"/>
    <w:rsid w:val="00A60DBD"/>
    <w:rsid w:val="00A632D9"/>
    <w:rsid w:val="00A7407F"/>
    <w:rsid w:val="00A748BF"/>
    <w:rsid w:val="00A8185A"/>
    <w:rsid w:val="00A824EA"/>
    <w:rsid w:val="00A90DC1"/>
    <w:rsid w:val="00A96BBC"/>
    <w:rsid w:val="00AA28F8"/>
    <w:rsid w:val="00AA2B1D"/>
    <w:rsid w:val="00AA5943"/>
    <w:rsid w:val="00AB25FB"/>
    <w:rsid w:val="00AB5CE9"/>
    <w:rsid w:val="00AC260D"/>
    <w:rsid w:val="00AC745D"/>
    <w:rsid w:val="00AE058E"/>
    <w:rsid w:val="00AE2C86"/>
    <w:rsid w:val="00AE371B"/>
    <w:rsid w:val="00AE4ADD"/>
    <w:rsid w:val="00B16E67"/>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B7277"/>
    <w:rsid w:val="00BC2E39"/>
    <w:rsid w:val="00BC3365"/>
    <w:rsid w:val="00BD2919"/>
    <w:rsid w:val="00BD47B0"/>
    <w:rsid w:val="00BF18A6"/>
    <w:rsid w:val="00BF75DA"/>
    <w:rsid w:val="00C4046E"/>
    <w:rsid w:val="00C50409"/>
    <w:rsid w:val="00C50D9E"/>
    <w:rsid w:val="00C54CDC"/>
    <w:rsid w:val="00C55CF8"/>
    <w:rsid w:val="00C801DA"/>
    <w:rsid w:val="00C815DD"/>
    <w:rsid w:val="00C91135"/>
    <w:rsid w:val="00CB3DE3"/>
    <w:rsid w:val="00CB66C3"/>
    <w:rsid w:val="00CC000B"/>
    <w:rsid w:val="00CC08E0"/>
    <w:rsid w:val="00CC7DF2"/>
    <w:rsid w:val="00CD3DC5"/>
    <w:rsid w:val="00CE0532"/>
    <w:rsid w:val="00CF2384"/>
    <w:rsid w:val="00D02745"/>
    <w:rsid w:val="00D058DD"/>
    <w:rsid w:val="00D05D6D"/>
    <w:rsid w:val="00D061B4"/>
    <w:rsid w:val="00D22288"/>
    <w:rsid w:val="00D22E3D"/>
    <w:rsid w:val="00D23587"/>
    <w:rsid w:val="00D267FB"/>
    <w:rsid w:val="00D36560"/>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E6F74"/>
    <w:rsid w:val="00DF728A"/>
    <w:rsid w:val="00DF7E4A"/>
    <w:rsid w:val="00E11990"/>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579A1"/>
    <w:rsid w:val="00F62325"/>
    <w:rsid w:val="00F62372"/>
    <w:rsid w:val="00F62506"/>
    <w:rsid w:val="00F72216"/>
    <w:rsid w:val="00F80789"/>
    <w:rsid w:val="00F85654"/>
    <w:rsid w:val="00F863D0"/>
    <w:rsid w:val="00F96D60"/>
    <w:rsid w:val="00F9733B"/>
    <w:rsid w:val="00FA494B"/>
    <w:rsid w:val="00FA58AC"/>
    <w:rsid w:val="00FB1843"/>
    <w:rsid w:val="00FB451F"/>
    <w:rsid w:val="00FB6B8E"/>
    <w:rsid w:val="00FC6AB6"/>
    <w:rsid w:val="00FD5FFF"/>
    <w:rsid w:val="00FD7FEC"/>
    <w:rsid w:val="00FE0324"/>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AEA5E1"/>
  <w15:docId w15:val="{02632366-1FA2-4914-AF4E-30BB5498A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694F9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694F91"/>
    <w:rPr>
      <w:rFonts w:ascii="Calibri" w:hAnsi="Calibri" w:cs="Calibri"/>
      <w:sz w:val="22"/>
      <w:szCs w:val="22"/>
      <w:lang w:val="bg-BG" w:eastAsia="en-US"/>
    </w:rPr>
  </w:style>
  <w:style w:type="character" w:customStyle="1" w:styleId="indented">
    <w:name w:val="indented"/>
    <w:basedOn w:val="a0"/>
    <w:uiPriority w:val="99"/>
    <w:rsid w:val="00694F91"/>
  </w:style>
  <w:style w:type="character" w:styleId="af7">
    <w:name w:val="annotation reference"/>
    <w:basedOn w:val="a0"/>
    <w:uiPriority w:val="99"/>
    <w:semiHidden/>
    <w:unhideWhenUsed/>
    <w:rsid w:val="000324EC"/>
    <w:rPr>
      <w:sz w:val="16"/>
      <w:szCs w:val="16"/>
    </w:rPr>
  </w:style>
  <w:style w:type="paragraph" w:styleId="af8">
    <w:name w:val="annotation text"/>
    <w:basedOn w:val="a"/>
    <w:link w:val="af9"/>
    <w:uiPriority w:val="99"/>
    <w:semiHidden/>
    <w:unhideWhenUsed/>
    <w:rsid w:val="000324EC"/>
    <w:pPr>
      <w:spacing w:line="240" w:lineRule="auto"/>
    </w:pPr>
    <w:rPr>
      <w:sz w:val="20"/>
      <w:szCs w:val="20"/>
    </w:rPr>
  </w:style>
  <w:style w:type="character" w:customStyle="1" w:styleId="af9">
    <w:name w:val="Текст на коментар Знак"/>
    <w:basedOn w:val="a0"/>
    <w:link w:val="af8"/>
    <w:uiPriority w:val="99"/>
    <w:semiHidden/>
    <w:rsid w:val="000324EC"/>
    <w:rPr>
      <w:sz w:val="20"/>
      <w:szCs w:val="20"/>
    </w:rPr>
  </w:style>
  <w:style w:type="paragraph" w:styleId="afa">
    <w:name w:val="annotation subject"/>
    <w:basedOn w:val="af8"/>
    <w:next w:val="af8"/>
    <w:link w:val="afb"/>
    <w:uiPriority w:val="99"/>
    <w:semiHidden/>
    <w:unhideWhenUsed/>
    <w:rsid w:val="000324EC"/>
    <w:rPr>
      <w:b/>
      <w:bCs/>
    </w:rPr>
  </w:style>
  <w:style w:type="character" w:customStyle="1" w:styleId="afb">
    <w:name w:val="Предмет на коментар Знак"/>
    <w:basedOn w:val="af9"/>
    <w:link w:val="afa"/>
    <w:uiPriority w:val="99"/>
    <w:semiHidden/>
    <w:rsid w:val="000324E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1948389463">
      <w:bodyDiv w:val="1"/>
      <w:marLeft w:val="0"/>
      <w:marRight w:val="0"/>
      <w:marTop w:val="0"/>
      <w:marBottom w:val="0"/>
      <w:divBdr>
        <w:top w:val="none" w:sz="0" w:space="0" w:color="auto"/>
        <w:left w:val="none" w:sz="0" w:space="0" w:color="auto"/>
        <w:bottom w:val="none" w:sz="0" w:space="0" w:color="auto"/>
        <w:right w:val="none" w:sz="0" w:space="0" w:color="auto"/>
      </w:divBdr>
      <w:divsChild>
        <w:div w:id="1860853216">
          <w:marLeft w:val="0"/>
          <w:marRight w:val="0"/>
          <w:marTop w:val="0"/>
          <w:marBottom w:val="0"/>
          <w:divBdr>
            <w:top w:val="none" w:sz="0" w:space="0" w:color="auto"/>
            <w:left w:val="none" w:sz="0" w:space="0" w:color="auto"/>
            <w:bottom w:val="none" w:sz="0" w:space="0" w:color="auto"/>
            <w:right w:val="none" w:sz="0" w:space="0" w:color="auto"/>
          </w:divBdr>
        </w:div>
        <w:div w:id="128597156">
          <w:marLeft w:val="0"/>
          <w:marRight w:val="0"/>
          <w:marTop w:val="0"/>
          <w:marBottom w:val="0"/>
          <w:divBdr>
            <w:top w:val="none" w:sz="0" w:space="0" w:color="auto"/>
            <w:left w:val="none" w:sz="0" w:space="0" w:color="auto"/>
            <w:bottom w:val="none" w:sz="0" w:space="0" w:color="auto"/>
            <w:right w:val="none" w:sz="0" w:space="0" w:color="auto"/>
          </w:divBdr>
        </w:div>
        <w:div w:id="1827936475">
          <w:marLeft w:val="0"/>
          <w:marRight w:val="0"/>
          <w:marTop w:val="0"/>
          <w:marBottom w:val="0"/>
          <w:divBdr>
            <w:top w:val="none" w:sz="0" w:space="0" w:color="auto"/>
            <w:left w:val="none" w:sz="0" w:space="0" w:color="auto"/>
            <w:bottom w:val="none" w:sz="0" w:space="0" w:color="auto"/>
            <w:right w:val="none" w:sz="0" w:space="0" w:color="auto"/>
          </w:divBdr>
        </w:div>
        <w:div w:id="524444337">
          <w:marLeft w:val="0"/>
          <w:marRight w:val="0"/>
          <w:marTop w:val="0"/>
          <w:marBottom w:val="0"/>
          <w:divBdr>
            <w:top w:val="none" w:sz="0" w:space="0" w:color="auto"/>
            <w:left w:val="none" w:sz="0" w:space="0" w:color="auto"/>
            <w:bottom w:val="none" w:sz="0" w:space="0" w:color="auto"/>
            <w:right w:val="none" w:sz="0" w:space="0" w:color="auto"/>
          </w:divBdr>
        </w:div>
        <w:div w:id="11609730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580689-CBE9-4D3B-AD97-D88C912DC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4182</Words>
  <Characters>23842</Characters>
  <Application>Microsoft Office Word</Application>
  <DocSecurity>0</DocSecurity>
  <Lines>198</Lines>
  <Paragraphs>55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27969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HP</cp:lastModifiedBy>
  <cp:revision>18</cp:revision>
  <cp:lastPrinted>2018-11-22T10:50:00Z</cp:lastPrinted>
  <dcterms:created xsi:type="dcterms:W3CDTF">2019-10-02T11:39:00Z</dcterms:created>
  <dcterms:modified xsi:type="dcterms:W3CDTF">2021-11-04T14:16:00Z</dcterms:modified>
</cp:coreProperties>
</file>