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2278" w:rsidRDefault="00962278" w:rsidP="007F4E6D">
      <w:pPr>
        <w:tabs>
          <w:tab w:val="center" w:pos="4536"/>
          <w:tab w:val="right" w:pos="9072"/>
        </w:tabs>
        <w:spacing w:after="0" w:line="240" w:lineRule="auto"/>
        <w:jc w:val="right"/>
        <w:rPr>
          <w:rFonts w:ascii="Arial" w:hAnsi="Arial" w:cs="Arial"/>
          <w:b/>
          <w:bCs/>
        </w:rPr>
      </w:pPr>
    </w:p>
    <w:p w:rsidR="000732EA" w:rsidRPr="00017139" w:rsidRDefault="000732EA" w:rsidP="007F4E6D">
      <w:pPr>
        <w:tabs>
          <w:tab w:val="center" w:pos="4536"/>
          <w:tab w:val="right" w:pos="9072"/>
        </w:tabs>
        <w:spacing w:after="0" w:line="240" w:lineRule="auto"/>
        <w:jc w:val="right"/>
        <w:rPr>
          <w:rFonts w:ascii="Arial" w:hAnsi="Arial" w:cs="Arial"/>
          <w:b/>
          <w:bCs/>
          <w:lang w:val="en-US"/>
        </w:rPr>
      </w:pPr>
      <w:r w:rsidRPr="002471DD">
        <w:rPr>
          <w:rFonts w:ascii="Arial" w:hAnsi="Arial" w:cs="Arial"/>
          <w:b/>
          <w:bCs/>
        </w:rPr>
        <w:t>Приложение №</w:t>
      </w:r>
      <w:r w:rsidR="002D4163" w:rsidRPr="002471DD">
        <w:rPr>
          <w:rFonts w:ascii="Arial" w:hAnsi="Arial" w:cs="Arial"/>
          <w:b/>
          <w:bCs/>
        </w:rPr>
        <w:t xml:space="preserve"> </w:t>
      </w:r>
      <w:r w:rsidR="00017139">
        <w:rPr>
          <w:rFonts w:ascii="Arial" w:hAnsi="Arial" w:cs="Arial"/>
          <w:b/>
          <w:bCs/>
          <w:lang w:val="en-US"/>
        </w:rPr>
        <w:t>5</w:t>
      </w:r>
      <w:bookmarkStart w:id="0" w:name="_GoBack"/>
      <w:bookmarkEnd w:id="0"/>
    </w:p>
    <w:p w:rsidR="000732EA" w:rsidRPr="002471DD" w:rsidRDefault="000732EA" w:rsidP="00C1144B">
      <w:pPr>
        <w:spacing w:after="0" w:line="240" w:lineRule="auto"/>
        <w:rPr>
          <w:rFonts w:ascii="Arial" w:hAnsi="Arial" w:cs="Arial"/>
          <w:b/>
          <w:bCs/>
          <w:snapToGrid w:val="0"/>
          <w:kern w:val="28"/>
        </w:rPr>
      </w:pPr>
    </w:p>
    <w:p w:rsidR="00162AC3" w:rsidRDefault="00162AC3" w:rsidP="00C1144B">
      <w:pPr>
        <w:spacing w:after="0" w:line="240" w:lineRule="auto"/>
        <w:rPr>
          <w:rFonts w:ascii="Arial" w:hAnsi="Arial" w:cs="Arial"/>
          <w:b/>
          <w:bCs/>
          <w:snapToGrid w:val="0"/>
          <w:kern w:val="28"/>
          <w:lang w:val="en-US"/>
        </w:rPr>
      </w:pPr>
    </w:p>
    <w:p w:rsidR="000732EA" w:rsidRPr="002471DD" w:rsidRDefault="000732EA" w:rsidP="00C1144B">
      <w:pPr>
        <w:spacing w:after="0" w:line="240" w:lineRule="auto"/>
        <w:rPr>
          <w:rFonts w:ascii="Arial" w:hAnsi="Arial" w:cs="Arial"/>
          <w:b/>
          <w:bCs/>
          <w:snapToGrid w:val="0"/>
          <w:kern w:val="28"/>
        </w:rPr>
      </w:pPr>
      <w:r w:rsidRPr="002471DD">
        <w:rPr>
          <w:rFonts w:ascii="Arial" w:hAnsi="Arial" w:cs="Arial"/>
          <w:b/>
          <w:bCs/>
          <w:snapToGrid w:val="0"/>
          <w:kern w:val="28"/>
          <w:lang w:val="en-US"/>
        </w:rPr>
        <w:t xml:space="preserve">I. </w:t>
      </w:r>
      <w:r w:rsidRPr="002471DD">
        <w:rPr>
          <w:rFonts w:ascii="Arial" w:hAnsi="Arial" w:cs="Arial"/>
          <w:b/>
          <w:bCs/>
          <w:snapToGrid w:val="0"/>
          <w:kern w:val="28"/>
        </w:rPr>
        <w:t>ИЗПОЛЗВАНИ СЪКРАЩЕНИЯ</w:t>
      </w:r>
    </w:p>
    <w:p w:rsidR="000732EA" w:rsidRPr="002471DD" w:rsidRDefault="000732EA" w:rsidP="00C1144B">
      <w:pPr>
        <w:spacing w:after="0" w:line="240" w:lineRule="auto"/>
        <w:rPr>
          <w:rFonts w:ascii="Arial" w:hAnsi="Arial" w:cs="Arial"/>
          <w:b/>
          <w:bCs/>
          <w:snapToGrid w:val="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0"/>
        <w:gridCol w:w="7311"/>
      </w:tblGrid>
      <w:tr w:rsidR="00EA0F19" w:rsidRPr="00EA0F19" w:rsidTr="00BA4B68">
        <w:trPr>
          <w:jc w:val="center"/>
        </w:trPr>
        <w:tc>
          <w:tcPr>
            <w:tcW w:w="1124" w:type="pct"/>
            <w:shd w:val="clear" w:color="auto" w:fill="D9D9D9"/>
          </w:tcPr>
          <w:p w:rsidR="00EA0F19" w:rsidRPr="00EA0F19" w:rsidRDefault="00EA0F19" w:rsidP="000651BE">
            <w:pPr>
              <w:spacing w:before="120" w:after="120" w:line="120" w:lineRule="auto"/>
              <w:ind w:left="288" w:right="288"/>
              <w:rPr>
                <w:rFonts w:ascii="Arial" w:hAnsi="Arial" w:cs="Arial"/>
                <w:b/>
                <w:bCs/>
                <w:snapToGrid w:val="0"/>
              </w:rPr>
            </w:pPr>
            <w:r w:rsidRPr="00EA0F19">
              <w:rPr>
                <w:rFonts w:ascii="Arial" w:hAnsi="Arial" w:cs="Arial"/>
                <w:b/>
                <w:bCs/>
                <w:snapToGrid w:val="0"/>
              </w:rPr>
              <w:t>ВЕИ</w:t>
            </w:r>
          </w:p>
        </w:tc>
        <w:tc>
          <w:tcPr>
            <w:tcW w:w="3876" w:type="pct"/>
            <w:shd w:val="clear" w:color="auto" w:fill="F3F3F3"/>
          </w:tcPr>
          <w:p w:rsidR="00EA0F19" w:rsidRPr="00EA0F19" w:rsidRDefault="00EA0F19" w:rsidP="000651BE">
            <w:pPr>
              <w:spacing w:before="120" w:after="120" w:line="120" w:lineRule="auto"/>
              <w:ind w:left="288" w:right="288"/>
              <w:rPr>
                <w:rFonts w:ascii="Arial" w:hAnsi="Arial" w:cs="Arial"/>
                <w:b/>
                <w:bCs/>
                <w:snapToGrid w:val="0"/>
              </w:rPr>
            </w:pPr>
            <w:r w:rsidRPr="00EA0F19">
              <w:rPr>
                <w:rFonts w:ascii="Arial" w:hAnsi="Arial" w:cs="Arial"/>
                <w:b/>
                <w:bCs/>
                <w:snapToGrid w:val="0"/>
              </w:rPr>
              <w:t>Възобновяеми енергийни източници</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ДДС</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Данък добавена стойност</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ДМА</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Дълготрайни материални активи</w:t>
            </w:r>
          </w:p>
        </w:tc>
      </w:tr>
      <w:tr w:rsidR="000732EA" w:rsidRPr="002471DD" w:rsidTr="00BA4B68">
        <w:trPr>
          <w:trHeight w:val="324"/>
          <w:jc w:val="center"/>
        </w:trPr>
        <w:tc>
          <w:tcPr>
            <w:tcW w:w="1124" w:type="pct"/>
            <w:shd w:val="clear" w:color="auto" w:fill="D9D9D9"/>
          </w:tcPr>
          <w:p w:rsidR="000732EA" w:rsidRPr="002471DD" w:rsidRDefault="000732EA" w:rsidP="003C61FF">
            <w:pPr>
              <w:spacing w:before="120" w:after="120" w:line="120" w:lineRule="auto"/>
              <w:ind w:left="288" w:right="288"/>
              <w:rPr>
                <w:rFonts w:ascii="Arial" w:hAnsi="Arial" w:cs="Arial"/>
                <w:b/>
                <w:bCs/>
                <w:snapToGrid w:val="0"/>
                <w:lang w:val="en-US"/>
              </w:rPr>
            </w:pPr>
            <w:r w:rsidRPr="002471DD">
              <w:rPr>
                <w:rFonts w:ascii="Arial" w:hAnsi="Arial" w:cs="Arial"/>
                <w:b/>
                <w:bCs/>
                <w:snapToGrid w:val="0"/>
              </w:rPr>
              <w:t>ДНА</w:t>
            </w:r>
          </w:p>
        </w:tc>
        <w:tc>
          <w:tcPr>
            <w:tcW w:w="3876" w:type="pct"/>
            <w:shd w:val="clear" w:color="auto" w:fill="F3F3F3"/>
          </w:tcPr>
          <w:p w:rsidR="000732EA" w:rsidRPr="002471DD" w:rsidRDefault="000732EA" w:rsidP="003C61FF">
            <w:pPr>
              <w:spacing w:before="120" w:after="120" w:line="120" w:lineRule="auto"/>
              <w:ind w:left="288" w:right="288"/>
              <w:rPr>
                <w:rFonts w:ascii="Arial" w:hAnsi="Arial" w:cs="Arial"/>
                <w:b/>
                <w:bCs/>
                <w:snapToGrid w:val="0"/>
                <w:lang w:val="en-US"/>
              </w:rPr>
            </w:pPr>
            <w:r w:rsidRPr="002471DD">
              <w:rPr>
                <w:rFonts w:ascii="Arial" w:hAnsi="Arial" w:cs="Arial"/>
                <w:b/>
                <w:bCs/>
                <w:snapToGrid w:val="0"/>
              </w:rPr>
              <w:t>Дълготрайни нематериални активи</w:t>
            </w:r>
          </w:p>
        </w:tc>
      </w:tr>
      <w:tr w:rsidR="000732EA" w:rsidRPr="002471DD" w:rsidTr="00BA4B68">
        <w:trPr>
          <w:jc w:val="center"/>
        </w:trPr>
        <w:tc>
          <w:tcPr>
            <w:tcW w:w="1124" w:type="pct"/>
            <w:shd w:val="clear" w:color="auto" w:fill="D9D9D9"/>
          </w:tcPr>
          <w:p w:rsidR="000732EA" w:rsidRPr="002471DD" w:rsidDel="00C47DC3"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ДФЗ</w:t>
            </w:r>
          </w:p>
        </w:tc>
        <w:tc>
          <w:tcPr>
            <w:tcW w:w="3876" w:type="pct"/>
            <w:shd w:val="clear" w:color="auto" w:fill="F3F3F3"/>
          </w:tcPr>
          <w:p w:rsidR="000732EA" w:rsidRPr="002471DD" w:rsidDel="00C47DC3" w:rsidRDefault="000732EA" w:rsidP="00C1144B">
            <w:pPr>
              <w:spacing w:before="120" w:after="0" w:line="120" w:lineRule="auto"/>
              <w:ind w:left="289" w:right="289"/>
              <w:rPr>
                <w:rFonts w:ascii="Arial" w:hAnsi="Arial" w:cs="Arial"/>
                <w:b/>
                <w:bCs/>
                <w:snapToGrid w:val="0"/>
              </w:rPr>
            </w:pPr>
            <w:r w:rsidRPr="002471DD">
              <w:rPr>
                <w:rFonts w:ascii="Arial" w:hAnsi="Arial" w:cs="Arial"/>
                <w:b/>
                <w:bCs/>
                <w:snapToGrid w:val="0"/>
              </w:rPr>
              <w:t>Държавен фонд „Земеделие”</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ДФЗ-РА</w:t>
            </w:r>
          </w:p>
        </w:tc>
        <w:tc>
          <w:tcPr>
            <w:tcW w:w="3876" w:type="pct"/>
            <w:shd w:val="clear" w:color="auto" w:fill="F3F3F3"/>
          </w:tcPr>
          <w:p w:rsidR="000732EA" w:rsidRPr="002471DD" w:rsidRDefault="000732EA" w:rsidP="00C1144B">
            <w:pPr>
              <w:spacing w:before="120" w:after="0" w:line="120" w:lineRule="auto"/>
              <w:ind w:left="289" w:right="289"/>
              <w:rPr>
                <w:rFonts w:ascii="Arial" w:hAnsi="Arial" w:cs="Arial"/>
                <w:b/>
                <w:bCs/>
                <w:snapToGrid w:val="0"/>
              </w:rPr>
            </w:pPr>
            <w:r w:rsidRPr="002471DD">
              <w:rPr>
                <w:rFonts w:ascii="Arial" w:hAnsi="Arial" w:cs="Arial"/>
                <w:b/>
                <w:bCs/>
                <w:snapToGrid w:val="0"/>
              </w:rPr>
              <w:t>Държавен фонд „Земеделие”-Разплащателна агенция</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ДОПК</w:t>
            </w:r>
          </w:p>
        </w:tc>
        <w:tc>
          <w:tcPr>
            <w:tcW w:w="3876" w:type="pct"/>
            <w:shd w:val="clear" w:color="auto" w:fill="F3F3F3"/>
          </w:tcPr>
          <w:p w:rsidR="000732EA" w:rsidRPr="002471DD" w:rsidRDefault="000732EA" w:rsidP="00C1144B">
            <w:pPr>
              <w:spacing w:before="120" w:after="0" w:line="120" w:lineRule="auto"/>
              <w:ind w:left="289" w:right="289"/>
              <w:rPr>
                <w:rFonts w:ascii="Arial" w:hAnsi="Arial" w:cs="Arial"/>
                <w:b/>
                <w:bCs/>
                <w:snapToGrid w:val="0"/>
              </w:rPr>
            </w:pPr>
            <w:r w:rsidRPr="002471DD">
              <w:rPr>
                <w:rFonts w:ascii="Arial" w:hAnsi="Arial" w:cs="Arial"/>
                <w:b/>
                <w:bCs/>
                <w:snapToGrid w:val="0"/>
              </w:rPr>
              <w:t>Данъчно-осигурител</w:t>
            </w:r>
            <w:r w:rsidRPr="002471DD">
              <w:rPr>
                <w:rFonts w:ascii="Arial" w:hAnsi="Arial" w:cs="Arial"/>
                <w:b/>
                <w:bCs/>
                <w:snapToGrid w:val="0"/>
                <w:lang w:val="en-US"/>
              </w:rPr>
              <w:t>en</w:t>
            </w:r>
            <w:r w:rsidRPr="002471DD">
              <w:rPr>
                <w:rFonts w:ascii="Arial" w:hAnsi="Arial" w:cs="Arial"/>
                <w:b/>
                <w:bCs/>
                <w:snapToGrid w:val="0"/>
              </w:rPr>
              <w:t xml:space="preserve"> процесуален кодекс</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ЕК</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Европейска комисия</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ЕО</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Европейска общност</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ЕС</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Европейски съюз</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ЕСИФ</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Европейски структурни и инвестиционни фондове</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ЕФМДР</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Европейски фонд за морско дело и рибарство</w:t>
            </w:r>
          </w:p>
        </w:tc>
      </w:tr>
      <w:tr w:rsidR="000732EA" w:rsidRPr="002471DD" w:rsidTr="00BA4B68">
        <w:trPr>
          <w:trHeight w:val="418"/>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ЗЗД</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Закон за задълженията и договорите</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ЗМСП</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Закон за малките и средните предприятия</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ЗОП</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Закон за обществените поръчки</w:t>
            </w:r>
          </w:p>
        </w:tc>
      </w:tr>
      <w:tr w:rsidR="000732EA" w:rsidRPr="002471DD" w:rsidTr="00EA0F19">
        <w:trPr>
          <w:trHeight w:val="616"/>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ЗУСЕСИФ</w:t>
            </w:r>
          </w:p>
        </w:tc>
        <w:tc>
          <w:tcPr>
            <w:tcW w:w="3876" w:type="pct"/>
            <w:shd w:val="clear" w:color="auto" w:fill="F3F3F3"/>
          </w:tcPr>
          <w:p w:rsidR="000732EA" w:rsidRPr="002471DD" w:rsidRDefault="000732EA" w:rsidP="00162AC3">
            <w:pPr>
              <w:spacing w:before="120" w:after="120" w:line="240" w:lineRule="auto"/>
              <w:ind w:left="289" w:right="289"/>
              <w:rPr>
                <w:rFonts w:ascii="Arial" w:hAnsi="Arial" w:cs="Arial"/>
                <w:b/>
                <w:bCs/>
                <w:snapToGrid w:val="0"/>
              </w:rPr>
            </w:pPr>
            <w:r w:rsidRPr="002471DD">
              <w:rPr>
                <w:rFonts w:ascii="Arial" w:hAnsi="Arial" w:cs="Arial"/>
                <w:b/>
                <w:bCs/>
                <w:snapToGrid w:val="0"/>
              </w:rPr>
              <w:t>Закон за управление на средствата от европейските структурни и инвестиционни фондове</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ИСУН</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Информационна система за управление и наблюдение</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ИАРА</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Изпълнителна агенция по рибарство и аквакултури</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КЕП</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Квалифициран електронен подпис</w:t>
            </w:r>
          </w:p>
        </w:tc>
      </w:tr>
      <w:tr w:rsidR="000732EA" w:rsidRPr="002471DD" w:rsidTr="00BA4B68">
        <w:trPr>
          <w:jc w:val="center"/>
        </w:trPr>
        <w:tc>
          <w:tcPr>
            <w:tcW w:w="1124" w:type="pct"/>
            <w:shd w:val="clear" w:color="auto" w:fill="D9D9D9"/>
          </w:tcPr>
          <w:p w:rsidR="000732EA" w:rsidRPr="002471DD" w:rsidDel="00215B67"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МЗХ</w:t>
            </w:r>
            <w:r w:rsidR="00FE1AAF" w:rsidRPr="002471DD">
              <w:rPr>
                <w:rFonts w:ascii="Arial" w:hAnsi="Arial" w:cs="Arial"/>
                <w:b/>
                <w:bCs/>
                <w:snapToGrid w:val="0"/>
              </w:rPr>
              <w:t>Г</w:t>
            </w:r>
          </w:p>
        </w:tc>
        <w:tc>
          <w:tcPr>
            <w:tcW w:w="3876" w:type="pct"/>
            <w:shd w:val="clear" w:color="auto" w:fill="F3F3F3"/>
          </w:tcPr>
          <w:p w:rsidR="000732EA" w:rsidRPr="002471DD" w:rsidDel="00215B67" w:rsidRDefault="00FE1AAF"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Министерство на земеделието, храните и горите</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МС</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Министерски съвет</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МСП</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Малки и средни предприятия</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НСИ</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Национален статистически институт</w:t>
            </w:r>
          </w:p>
        </w:tc>
      </w:tr>
      <w:tr w:rsidR="000732EA" w:rsidRPr="002471DD" w:rsidTr="00BA4B68">
        <w:trPr>
          <w:trHeight w:val="445"/>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lang w:val="en-US"/>
              </w:rPr>
            </w:pPr>
            <w:r w:rsidRPr="002471DD">
              <w:rPr>
                <w:rFonts w:ascii="Arial" w:hAnsi="Arial" w:cs="Arial"/>
                <w:b/>
                <w:bCs/>
                <w:snapToGrid w:val="0"/>
              </w:rPr>
              <w:t>ПМС</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lang w:val="en-US"/>
              </w:rPr>
            </w:pPr>
            <w:r w:rsidRPr="002471DD">
              <w:rPr>
                <w:rFonts w:ascii="Arial" w:hAnsi="Arial" w:cs="Arial"/>
                <w:b/>
                <w:bCs/>
                <w:snapToGrid w:val="0"/>
              </w:rPr>
              <w:t>Постановление на Министерски съвет</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ПМДР</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Програма за морско дело и рибарство 2014 - 2020</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СМР</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Строително-монтажни работи</w:t>
            </w:r>
          </w:p>
        </w:tc>
      </w:tr>
      <w:tr w:rsidR="00FB0DB8" w:rsidRPr="002471DD" w:rsidTr="00BA4B68">
        <w:trPr>
          <w:jc w:val="center"/>
        </w:trPr>
        <w:tc>
          <w:tcPr>
            <w:tcW w:w="1124" w:type="pct"/>
            <w:shd w:val="clear" w:color="auto" w:fill="D9D9D9"/>
          </w:tcPr>
          <w:p w:rsidR="00FB0DB8" w:rsidRPr="002471DD" w:rsidRDefault="00FB0DB8" w:rsidP="00452D04">
            <w:pPr>
              <w:spacing w:before="120" w:after="120" w:line="120" w:lineRule="auto"/>
              <w:ind w:left="288" w:right="288"/>
              <w:rPr>
                <w:rFonts w:ascii="Arial" w:hAnsi="Arial" w:cs="Arial"/>
                <w:b/>
                <w:bCs/>
                <w:snapToGrid w:val="0"/>
              </w:rPr>
            </w:pPr>
            <w:r w:rsidRPr="002471DD">
              <w:rPr>
                <w:rFonts w:ascii="Arial" w:hAnsi="Arial" w:cs="Arial"/>
                <w:b/>
                <w:bCs/>
                <w:snapToGrid w:val="0"/>
              </w:rPr>
              <w:t>УО</w:t>
            </w:r>
          </w:p>
        </w:tc>
        <w:tc>
          <w:tcPr>
            <w:tcW w:w="3876" w:type="pct"/>
            <w:shd w:val="clear" w:color="auto" w:fill="F3F3F3"/>
          </w:tcPr>
          <w:p w:rsidR="00FB0DB8" w:rsidRPr="002471DD" w:rsidRDefault="00FB0DB8" w:rsidP="00452D04">
            <w:pPr>
              <w:spacing w:before="120" w:after="120" w:line="120" w:lineRule="auto"/>
              <w:ind w:left="288" w:right="288"/>
              <w:rPr>
                <w:rFonts w:ascii="Arial" w:hAnsi="Arial" w:cs="Arial"/>
                <w:b/>
                <w:bCs/>
                <w:snapToGrid w:val="0"/>
              </w:rPr>
            </w:pPr>
            <w:r w:rsidRPr="002471DD">
              <w:rPr>
                <w:rFonts w:ascii="Arial" w:hAnsi="Arial" w:cs="Arial"/>
                <w:b/>
                <w:bCs/>
                <w:snapToGrid w:val="0"/>
              </w:rPr>
              <w:t>Управляващ орган</w:t>
            </w:r>
          </w:p>
        </w:tc>
      </w:tr>
      <w:tr w:rsidR="000732EA" w:rsidRPr="002471DD" w:rsidTr="00BA4B68">
        <w:trPr>
          <w:trHeight w:val="324"/>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ФК</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Формуляр за кандидатстване</w:t>
            </w:r>
          </w:p>
        </w:tc>
      </w:tr>
    </w:tbl>
    <w:p w:rsidR="000732EA" w:rsidRPr="002471DD" w:rsidRDefault="000732EA">
      <w:pPr>
        <w:rPr>
          <w:rFonts w:ascii="Arial" w:hAnsi="Arial" w:cs="Arial"/>
        </w:rPr>
      </w:pPr>
    </w:p>
    <w:p w:rsidR="000732EA" w:rsidRPr="002471DD" w:rsidRDefault="000732EA" w:rsidP="00F56BC0">
      <w:pPr>
        <w:spacing w:after="0" w:line="240" w:lineRule="auto"/>
        <w:rPr>
          <w:rFonts w:ascii="Arial" w:hAnsi="Arial" w:cs="Arial"/>
          <w:b/>
          <w:bCs/>
          <w:snapToGrid w:val="0"/>
          <w:kern w:val="28"/>
        </w:rPr>
      </w:pPr>
      <w:r w:rsidRPr="002471DD">
        <w:rPr>
          <w:rFonts w:ascii="Arial" w:hAnsi="Arial" w:cs="Arial"/>
          <w:b/>
          <w:bCs/>
          <w:snapToGrid w:val="0"/>
          <w:kern w:val="28"/>
          <w:lang w:val="en-US"/>
        </w:rPr>
        <w:t xml:space="preserve">II. </w:t>
      </w:r>
      <w:r w:rsidRPr="002471DD">
        <w:rPr>
          <w:rFonts w:ascii="Arial" w:hAnsi="Arial" w:cs="Arial"/>
          <w:b/>
          <w:bCs/>
          <w:snapToGrid w:val="0"/>
          <w:kern w:val="28"/>
        </w:rPr>
        <w:t>ОСНОВНИ ДЕФИНИЦИИ</w:t>
      </w:r>
    </w:p>
    <w:p w:rsidR="000732EA" w:rsidRPr="002471DD" w:rsidRDefault="000732EA" w:rsidP="00F56BC0">
      <w:pPr>
        <w:spacing w:after="0" w:line="240" w:lineRule="auto"/>
        <w:rPr>
          <w:rFonts w:ascii="Arial" w:hAnsi="Arial" w:cs="Arial"/>
          <w:b/>
          <w:bCs/>
          <w:snapToGrid w:val="0"/>
          <w:kern w:val="28"/>
        </w:rPr>
      </w:pPr>
    </w:p>
    <w:tbl>
      <w:tblPr>
        <w:tblW w:w="9180" w:type="dxa"/>
        <w:jc w:val="center"/>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 xml:space="preserve">Административен договор за </w:t>
            </w:r>
            <w:r>
              <w:rPr>
                <w:rFonts w:ascii="Arial" w:hAnsi="Arial" w:cs="Arial"/>
                <w:b/>
                <w:bCs/>
                <w:snapToGrid w:val="0"/>
              </w:rPr>
              <w:t xml:space="preserve">предоставяне  на </w:t>
            </w:r>
            <w:r w:rsidRPr="00F13D9A">
              <w:rPr>
                <w:rFonts w:ascii="Arial" w:hAnsi="Arial" w:cs="Arial"/>
                <w:b/>
                <w:bCs/>
                <w:snapToGrid w:val="0"/>
              </w:rPr>
              <w:t>безвъзмездна финансова помощ</w:t>
            </w:r>
          </w:p>
          <w:p w:rsidR="00F13D9A" w:rsidRPr="00F13D9A" w:rsidRDefault="00F13D9A" w:rsidP="00F13D9A">
            <w:pPr>
              <w:spacing w:before="120" w:after="120" w:line="240" w:lineRule="auto"/>
              <w:rPr>
                <w:rFonts w:ascii="Arial" w:hAnsi="Arial" w:cs="Arial"/>
                <w:b/>
                <w:bCs/>
                <w:snapToGrid w:val="0"/>
              </w:rPr>
            </w:pPr>
            <w:r>
              <w:rPr>
                <w:rFonts w:ascii="Arial" w:hAnsi="Arial" w:cs="Arial"/>
                <w:b/>
                <w:bCs/>
                <w:snapToGrid w:val="0"/>
              </w:rPr>
              <w:t>(АДПБФП)</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w:t>
            </w:r>
            <w:r>
              <w:rPr>
                <w:rFonts w:ascii="Arial" w:hAnsi="Arial" w:cs="Arial"/>
                <w:snapToGrid w:val="0"/>
              </w:rPr>
              <w:t xml:space="preserve"> и със съгласието на бенефициер</w:t>
            </w:r>
            <w:r w:rsidRPr="00F13D9A">
              <w:rPr>
                <w:rFonts w:ascii="Arial" w:hAnsi="Arial" w:cs="Arial"/>
                <w:snapToGrid w:val="0"/>
              </w:rPr>
              <w:t>а се създава</w:t>
            </w:r>
            <w:r>
              <w:rPr>
                <w:rFonts w:ascii="Arial" w:hAnsi="Arial" w:cs="Arial"/>
                <w:snapToGrid w:val="0"/>
              </w:rPr>
              <w:t>т за бенефициер</w:t>
            </w:r>
            <w:r w:rsidRPr="00F13D9A">
              <w:rPr>
                <w:rFonts w:ascii="Arial" w:hAnsi="Arial" w:cs="Arial"/>
                <w:snapToGrid w:val="0"/>
              </w:rPr>
              <w:t xml:space="preserve">а права и задължения по изпълнението на одобрения проект. Административният договор се оформя в писмено споразумение между ръководителя на </w:t>
            </w:r>
            <w:r w:rsidR="0096055D">
              <w:rPr>
                <w:rFonts w:ascii="Arial" w:hAnsi="Arial" w:cs="Arial"/>
                <w:snapToGrid w:val="0"/>
              </w:rPr>
              <w:t>Управляващия орган и бенефициер</w:t>
            </w:r>
            <w:r w:rsidRPr="00F13D9A">
              <w:rPr>
                <w:rFonts w:ascii="Arial" w:hAnsi="Arial" w:cs="Arial"/>
                <w:snapToGrid w:val="0"/>
              </w:rPr>
              <w:t>а, заместващо издаването на административен акт.</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Авансово плащане</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 xml:space="preserve">Плащане след одобрение на проекта и преди извършване на инвестиционните разходи при условията описани в Общите условия </w:t>
            </w:r>
            <w:r>
              <w:rPr>
                <w:rFonts w:ascii="Arial" w:hAnsi="Arial" w:cs="Arial"/>
                <w:snapToGrid w:val="0"/>
              </w:rPr>
              <w:t xml:space="preserve">към </w:t>
            </w:r>
            <w:r w:rsidRPr="00F13D9A">
              <w:rPr>
                <w:rFonts w:ascii="Arial" w:hAnsi="Arial" w:cs="Arial"/>
                <w:snapToGrid w:val="0"/>
              </w:rPr>
              <w:t>АД</w:t>
            </w:r>
            <w:r w:rsidR="00066058">
              <w:rPr>
                <w:rFonts w:ascii="Arial" w:hAnsi="Arial" w:cs="Arial"/>
                <w:snapToGrid w:val="0"/>
              </w:rPr>
              <w:t>П</w:t>
            </w:r>
            <w:r w:rsidRPr="00F13D9A">
              <w:rPr>
                <w:rFonts w:ascii="Arial" w:hAnsi="Arial" w:cs="Arial"/>
                <w:snapToGrid w:val="0"/>
              </w:rPr>
              <w:t xml:space="preserve">БФП </w:t>
            </w:r>
            <w:r>
              <w:rPr>
                <w:rFonts w:ascii="Arial" w:hAnsi="Arial" w:cs="Arial"/>
                <w:snapToGrid w:val="0"/>
              </w:rPr>
              <w:t>и Условията за изпълнение</w:t>
            </w:r>
            <w:r w:rsidRPr="00F13D9A">
              <w:rPr>
                <w:rFonts w:ascii="Arial" w:hAnsi="Arial" w:cs="Arial"/>
                <w:snapToGrid w:val="0"/>
              </w:rPr>
              <w:t>.</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Безвъзмездна финансова помощ</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Средства, предоставени от ПМДР, включително съответното национално съфинансиране, с цел изпълнението на одобрен проект, насочен към постигане на определени резултати.</w:t>
            </w:r>
          </w:p>
        </w:tc>
      </w:tr>
      <w:tr w:rsidR="00F13D9A" w:rsidRPr="00F13D9A" w:rsidTr="00F13D9A">
        <w:trPr>
          <w:trHeight w:val="643"/>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Pr>
                <w:rFonts w:ascii="Arial" w:hAnsi="Arial" w:cs="Arial"/>
                <w:b/>
                <w:bCs/>
                <w:snapToGrid w:val="0"/>
              </w:rPr>
              <w:t>Бенефициер</w:t>
            </w:r>
            <w:r w:rsidRPr="00F13D9A">
              <w:rPr>
                <w:rFonts w:ascii="Arial" w:hAnsi="Arial" w:cs="Arial"/>
                <w:b/>
                <w:bCs/>
                <w:snapToGrid w:val="0"/>
              </w:rPr>
              <w:t xml:space="preserve"> на безвъзмездна финансова помощ</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Лицата, посочени в чл. 2, пар.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(предишен член 87 от Договора з</w:t>
            </w:r>
            <w:r w:rsidR="0096055D">
              <w:rPr>
                <w:rFonts w:ascii="Arial" w:hAnsi="Arial" w:cs="Arial"/>
                <w:snapToGrid w:val="0"/>
              </w:rPr>
              <w:t>а създаване на ЕО), бенефициер</w:t>
            </w:r>
            <w:r w:rsidRPr="00F13D9A">
              <w:rPr>
                <w:rFonts w:ascii="Arial" w:hAnsi="Arial" w:cs="Arial"/>
                <w:snapToGrid w:val="0"/>
              </w:rPr>
              <w:t xml:space="preserve">ите са публични или частни предприятия, които изпълняват отделен проект и получават публична помощ. </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Възобновяеми енергийни източници</w:t>
            </w:r>
          </w:p>
        </w:tc>
        <w:tc>
          <w:tcPr>
            <w:tcW w:w="6932" w:type="dxa"/>
            <w:shd w:val="clear" w:color="auto" w:fill="F3F3F3"/>
          </w:tcPr>
          <w:p w:rsidR="00F13D9A" w:rsidRPr="00F13D9A" w:rsidRDefault="00F13D9A" w:rsidP="00F13D9A">
            <w:pPr>
              <w:spacing w:before="120" w:after="120" w:line="240" w:lineRule="auto"/>
              <w:rPr>
                <w:rFonts w:ascii="Arial" w:hAnsi="Arial" w:cs="Arial"/>
                <w:snapToGrid w:val="0"/>
              </w:rPr>
            </w:pPr>
            <w:r w:rsidRPr="00F13D9A">
              <w:rPr>
                <w:rFonts w:ascii="Arial" w:hAnsi="Arial" w:cs="Arial"/>
                <w:snapToGrid w:val="0"/>
              </w:rPr>
              <w:t xml:space="preserve">Вятърна, слънчева, аеротермална, геотермална, хидротермална и, водноелектрическа енергия, биомаса, сметищен газ, газ от пречиствателни инсталации за отпадни води и биогазове. </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Видове с пазарен потенциал</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Видове, за които средносрочните прогнози показват, че е вероятно пазарното търсене да надвиши предлагането</w:t>
            </w:r>
            <w:r w:rsidRPr="00F13D9A">
              <w:rPr>
                <w:rFonts w:ascii="Arial" w:eastAsia="EUAlbertina-Regular-Identity-H" w:hAnsi="Arial" w:cs="Arial"/>
              </w:rPr>
              <w:t>.</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Воден обект</w:t>
            </w:r>
          </w:p>
        </w:tc>
        <w:tc>
          <w:tcPr>
            <w:tcW w:w="6932" w:type="dxa"/>
            <w:shd w:val="clear" w:color="auto" w:fill="F3F3F3"/>
          </w:tcPr>
          <w:p w:rsidR="00F13D9A" w:rsidRPr="00F13D9A" w:rsidRDefault="00F13D9A" w:rsidP="00F13D9A">
            <w:pPr>
              <w:widowControl w:val="0"/>
              <w:autoSpaceDE w:val="0"/>
              <w:autoSpaceDN w:val="0"/>
              <w:adjustRightInd w:val="0"/>
              <w:spacing w:before="120" w:after="120" w:line="240" w:lineRule="auto"/>
              <w:jc w:val="both"/>
              <w:rPr>
                <w:rFonts w:ascii="Arial" w:hAnsi="Arial" w:cs="Arial"/>
                <w:snapToGrid w:val="0"/>
              </w:rPr>
            </w:pPr>
            <w:r w:rsidRPr="00F13D9A">
              <w:rPr>
                <w:rFonts w:ascii="Arial" w:hAnsi="Arial" w:cs="Arial"/>
                <w:snapToGrid w:val="0"/>
              </w:rPr>
              <w:t>Постоянно или временно съсредоточаване на води със съответни граници, обем и воден режим в земните недра и в естествено или изкуствено създадени форми на релефа заедно с принадлежащите към тях земи.</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Водовземане</w:t>
            </w:r>
          </w:p>
        </w:tc>
        <w:tc>
          <w:tcPr>
            <w:tcW w:w="6932" w:type="dxa"/>
            <w:shd w:val="clear" w:color="auto" w:fill="F3F3F3"/>
          </w:tcPr>
          <w:p w:rsidR="00F13D9A" w:rsidRPr="00F13D9A" w:rsidRDefault="00F13D9A" w:rsidP="00F13D9A">
            <w:pPr>
              <w:widowControl w:val="0"/>
              <w:autoSpaceDE w:val="0"/>
              <w:autoSpaceDN w:val="0"/>
              <w:adjustRightInd w:val="0"/>
              <w:spacing w:before="120" w:after="120" w:line="240" w:lineRule="auto"/>
              <w:jc w:val="both"/>
              <w:rPr>
                <w:rFonts w:ascii="Arial" w:hAnsi="Arial" w:cs="Arial"/>
                <w:snapToGrid w:val="0"/>
              </w:rPr>
            </w:pPr>
            <w:r w:rsidRPr="00F13D9A">
              <w:rPr>
                <w:rFonts w:ascii="Arial" w:hAnsi="Arial" w:cs="Arial"/>
                <w:snapToGrid w:val="0"/>
              </w:rPr>
              <w:t>Обхваща всички дейности, свързани с отнемане на води от водните обекти и/или отклоняването им от тях, както и използването на енергията на водата</w:t>
            </w:r>
            <w:r>
              <w:rPr>
                <w:rFonts w:ascii="Arial" w:hAnsi="Arial" w:cs="Arial"/>
                <w:snapToGrid w:val="0"/>
              </w:rPr>
              <w:t>.</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Група предприятия</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lastRenderedPageBreak/>
              <w:t>Дата на започване на работата</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F13D9A" w:rsidRPr="00F13D9A" w:rsidTr="00F13D9A">
        <w:trPr>
          <w:trHeight w:val="895"/>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Дейност</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Допустими за финансиране разходи</w:t>
            </w:r>
          </w:p>
        </w:tc>
        <w:tc>
          <w:tcPr>
            <w:tcW w:w="6932" w:type="dxa"/>
            <w:shd w:val="clear" w:color="auto" w:fill="F3F3F3"/>
          </w:tcPr>
          <w:p w:rsidR="00F13D9A" w:rsidRPr="00F13D9A" w:rsidRDefault="00F13D9A" w:rsidP="00F13D9A">
            <w:pPr>
              <w:spacing w:before="120" w:after="120" w:line="240" w:lineRule="auto"/>
              <w:jc w:val="both"/>
              <w:rPr>
                <w:rFonts w:ascii="Arial" w:hAnsi="Arial" w:cs="Arial"/>
              </w:rPr>
            </w:pPr>
            <w:r w:rsidRPr="00F13D9A">
              <w:rPr>
                <w:rFonts w:ascii="Arial" w:hAnsi="Arial" w:cs="Arial"/>
                <w:snapToGrid w:val="0"/>
              </w:rPr>
              <w:t>Допустими за финансиране разходи е общата сума от всички плаща</w:t>
            </w:r>
            <w:r w:rsidR="0096055D">
              <w:rPr>
                <w:rFonts w:ascii="Arial" w:hAnsi="Arial" w:cs="Arial"/>
                <w:snapToGrid w:val="0"/>
              </w:rPr>
              <w:t>ния за одобрените на бенефициер</w:t>
            </w:r>
            <w:r w:rsidRPr="00F13D9A">
              <w:rPr>
                <w:rFonts w:ascii="Arial" w:hAnsi="Arial" w:cs="Arial"/>
                <w:snapToGrid w:val="0"/>
              </w:rPr>
              <w:t>а инвестиции</w:t>
            </w:r>
            <w:r w:rsidR="00066058">
              <w:rPr>
                <w:rFonts w:ascii="Arial" w:hAnsi="Arial" w:cs="Arial"/>
                <w:snapToGrid w:val="0"/>
              </w:rPr>
              <w:t>.</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 xml:space="preserve">Енергийна ефективност </w:t>
            </w:r>
          </w:p>
          <w:p w:rsidR="00F13D9A" w:rsidRPr="00F13D9A" w:rsidRDefault="00F13D9A" w:rsidP="00F13D9A">
            <w:pPr>
              <w:spacing w:before="120" w:after="120" w:line="240" w:lineRule="auto"/>
              <w:rPr>
                <w:rFonts w:ascii="Arial" w:hAnsi="Arial" w:cs="Arial"/>
                <w:b/>
                <w:bCs/>
                <w:snapToGrid w:val="0"/>
              </w:rPr>
            </w:pP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Количеството спестена енергия, определено чрез измерване и/или оценка на потреблението преди и след прилагането на мярка за повишаване на енергийната ефективност, като същевременно се осигурява нормализиране на външните условия, които оказват въздействие върху потреблението на енергия.</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Изпълнител, оп</w:t>
            </w:r>
            <w:r>
              <w:rPr>
                <w:rFonts w:ascii="Arial" w:hAnsi="Arial" w:cs="Arial"/>
                <w:b/>
                <w:bCs/>
                <w:snapToGrid w:val="0"/>
              </w:rPr>
              <w:t>ределен от страна на бенефициер</w:t>
            </w:r>
            <w:r w:rsidRPr="00F13D9A">
              <w:rPr>
                <w:rFonts w:ascii="Arial" w:hAnsi="Arial" w:cs="Arial"/>
                <w:b/>
                <w:bCs/>
                <w:snapToGrid w:val="0"/>
              </w:rPr>
              <w:t xml:space="preserve">а </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Изпълнители на дейности по прое</w:t>
            </w:r>
            <w:r w:rsidR="00066058">
              <w:rPr>
                <w:rFonts w:ascii="Arial" w:hAnsi="Arial" w:cs="Arial"/>
                <w:snapToGrid w:val="0"/>
              </w:rPr>
              <w:t>кта, възложени им от бенефициер</w:t>
            </w:r>
            <w:r w:rsidRPr="00F13D9A">
              <w:rPr>
                <w:rFonts w:ascii="Arial" w:hAnsi="Arial" w:cs="Arial"/>
                <w:snapToGrid w:val="0"/>
              </w:rPr>
              <w:t>ите на безвъзмездна финансова помощ. Изпълн</w:t>
            </w:r>
            <w:r w:rsidR="0096055D">
              <w:rPr>
                <w:rFonts w:ascii="Arial" w:hAnsi="Arial" w:cs="Arial"/>
                <w:snapToGrid w:val="0"/>
              </w:rPr>
              <w:t>ителите от страна на бенефициер</w:t>
            </w:r>
            <w:r w:rsidRPr="00F13D9A">
              <w:rPr>
                <w:rFonts w:ascii="Arial" w:hAnsi="Arial" w:cs="Arial"/>
                <w:snapToGrid w:val="0"/>
              </w:rPr>
              <w:t>а не са партньори и се определят в съответствие с разпоредбите на чл. 54 от ЗУСЕСИФ, а именно след сключване на АД</w:t>
            </w:r>
            <w:r w:rsidR="00066058">
              <w:rPr>
                <w:rFonts w:ascii="Arial" w:hAnsi="Arial" w:cs="Arial"/>
                <w:snapToGrid w:val="0"/>
              </w:rPr>
              <w:t>ПБФП бенефициер</w:t>
            </w:r>
            <w:r w:rsidRPr="00F13D9A">
              <w:rPr>
                <w:rFonts w:ascii="Arial" w:hAnsi="Arial" w:cs="Arial"/>
                <w:snapToGrid w:val="0"/>
              </w:rPr>
              <w:t>ът е задължен да проведе предвидените процедури за избор на изпълнител</w:t>
            </w:r>
            <w:r w:rsidR="00066058">
              <w:rPr>
                <w:rFonts w:ascii="Arial" w:hAnsi="Arial" w:cs="Arial"/>
                <w:snapToGrid w:val="0"/>
              </w:rPr>
              <w:t>.</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Икономически оператор</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Всяко физическо или юридическо лице, както и другите органи, участващи в реализирането на помощта от ЕФМДР, с изключение на държавата при изпълнение на нейните правомощия на публична власт.</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Икономическа жизнеспособност</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Определяне на икономическия ефект от инвестицията, измерен в положително парично изражение към началния момент на инвестиционния период</w:t>
            </w:r>
            <w:r w:rsidR="00066058">
              <w:rPr>
                <w:rFonts w:ascii="Arial" w:hAnsi="Arial" w:cs="Arial"/>
                <w:snapToGrid w:val="0"/>
              </w:rPr>
              <w:t>.</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Кандидати</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F13D9A" w:rsidRPr="00F13D9A" w:rsidTr="00F13D9A">
        <w:trPr>
          <w:trHeight w:val="965"/>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Мярка</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Мярка е набор от операции</w:t>
            </w:r>
            <w:r w:rsidR="00066058">
              <w:rPr>
                <w:rFonts w:ascii="Arial" w:hAnsi="Arial" w:cs="Arial"/>
                <w:snapToGrid w:val="0"/>
              </w:rPr>
              <w:t>.</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 xml:space="preserve">Материални </w:t>
            </w:r>
            <w:r w:rsidRPr="00F13D9A">
              <w:rPr>
                <w:rFonts w:ascii="Arial" w:hAnsi="Arial" w:cs="Arial"/>
                <w:b/>
                <w:bCs/>
                <w:snapToGrid w:val="0"/>
              </w:rPr>
              <w:lastRenderedPageBreak/>
              <w:t>активи</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lastRenderedPageBreak/>
              <w:t xml:space="preserve">По смисъла на чл. 2, пар. 29 от Регламент (ЕО) № 651/2014 „материални активи" означава активи, състоящи се от земя, </w:t>
            </w:r>
            <w:r w:rsidRPr="00F13D9A">
              <w:rPr>
                <w:rFonts w:ascii="Arial" w:hAnsi="Arial" w:cs="Arial"/>
                <w:snapToGrid w:val="0"/>
              </w:rPr>
              <w:lastRenderedPageBreak/>
              <w:t>сгради, съоръжения, машини и оборудване.</w:t>
            </w:r>
          </w:p>
        </w:tc>
      </w:tr>
      <w:tr w:rsidR="00F13D9A" w:rsidRPr="00F13D9A" w:rsidTr="00F13D9A">
        <w:trPr>
          <w:trHeight w:val="593"/>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lastRenderedPageBreak/>
              <w:t xml:space="preserve">Място на изпълнение на проекта </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Мястото на физическото осъществяване на инвестицията.</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Междинно плащане</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Плащане за обособена част от одобрената и извършена инвестиция.</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Микро, малки и средни предприятия</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Предприятия, които отговарят на определението съгласно Закона за малките и средни предприятия и изпълняват критериите, посочени в приложение I към Регламент  (ЕО) № 651/2014</w:t>
            </w:r>
            <w:r w:rsidRPr="00F13D9A">
              <w:rPr>
                <w:rFonts w:ascii="Arial" w:hAnsi="Arial" w:cs="Arial"/>
              </w:rPr>
              <w:t xml:space="preserve"> </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Нематериални активи</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Активи, които нямат физически или финансов израз, като патенти, лицензи, ноу- хау или друга интелектуална собственост.</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 xml:space="preserve">Нередност </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Съгласно чл.2, пар.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Нови видове риба</w:t>
            </w:r>
          </w:p>
        </w:tc>
        <w:tc>
          <w:tcPr>
            <w:tcW w:w="6932" w:type="dxa"/>
            <w:shd w:val="clear" w:color="auto" w:fill="F3F3F3"/>
          </w:tcPr>
          <w:p w:rsidR="00F13D9A" w:rsidRPr="00F13D9A" w:rsidRDefault="00F13D9A" w:rsidP="00F13D9A">
            <w:pPr>
              <w:widowControl w:val="0"/>
              <w:autoSpaceDE w:val="0"/>
              <w:autoSpaceDN w:val="0"/>
              <w:adjustRightInd w:val="0"/>
              <w:spacing w:before="120" w:after="120" w:line="240" w:lineRule="auto"/>
              <w:jc w:val="both"/>
              <w:rPr>
                <w:rFonts w:ascii="Arial" w:hAnsi="Arial" w:cs="Arial"/>
                <w:snapToGrid w:val="0"/>
              </w:rPr>
            </w:pPr>
            <w:r w:rsidRPr="00F13D9A">
              <w:rPr>
                <w:rFonts w:ascii="Arial" w:hAnsi="Arial" w:cs="Arial"/>
                <w:snapToGrid w:val="0"/>
              </w:rPr>
              <w:t>Видове, за които производството на аквакултури в Република България е слабо развито или не съществува и за които има благоприятни пазарни перспективи.</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Независими оферти</w:t>
            </w:r>
          </w:p>
        </w:tc>
        <w:tc>
          <w:tcPr>
            <w:tcW w:w="6932" w:type="dxa"/>
            <w:shd w:val="clear" w:color="auto" w:fill="F3F3F3"/>
          </w:tcPr>
          <w:p w:rsidR="00F13D9A" w:rsidRPr="00F13D9A" w:rsidRDefault="00F13D9A" w:rsidP="00066058">
            <w:pPr>
              <w:autoSpaceDE w:val="0"/>
              <w:autoSpaceDN w:val="0"/>
              <w:spacing w:after="0" w:line="240" w:lineRule="auto"/>
              <w:rPr>
                <w:rFonts w:ascii="Arial" w:eastAsia="Times New Roman" w:hAnsi="Arial" w:cs="Arial"/>
              </w:rPr>
            </w:pPr>
            <w:r w:rsidRPr="00F13D9A">
              <w:rPr>
                <w:rFonts w:ascii="Arial" w:eastAsia="Times New Roman" w:hAnsi="Arial" w:cs="Arial"/>
              </w:rPr>
              <w:t xml:space="preserve">Оферти, подадени от лица, които не се намират в следната свързаност помежду си или спрямо кандидата: </w:t>
            </w:r>
          </w:p>
          <w:p w:rsidR="00F13D9A" w:rsidRPr="00F13D9A" w:rsidRDefault="00F13D9A" w:rsidP="00066058">
            <w:pPr>
              <w:autoSpaceDE w:val="0"/>
              <w:autoSpaceDN w:val="0"/>
              <w:spacing w:after="0" w:line="240" w:lineRule="auto"/>
              <w:ind w:firstLine="237"/>
              <w:rPr>
                <w:rFonts w:ascii="Arial" w:eastAsia="Times New Roman" w:hAnsi="Arial" w:cs="Arial"/>
              </w:rPr>
            </w:pPr>
            <w:r w:rsidRPr="00F13D9A">
              <w:rPr>
                <w:rFonts w:ascii="Arial" w:eastAsia="Times New Roman" w:hAnsi="Arial" w:cs="Arial"/>
              </w:rPr>
              <w:t xml:space="preserve">а) едното участва в управлението на дружеството на другото; </w:t>
            </w:r>
          </w:p>
          <w:p w:rsidR="00F13D9A" w:rsidRPr="00F13D9A" w:rsidRDefault="00F13D9A" w:rsidP="00066058">
            <w:pPr>
              <w:autoSpaceDE w:val="0"/>
              <w:autoSpaceDN w:val="0"/>
              <w:spacing w:after="0" w:line="240" w:lineRule="auto"/>
              <w:ind w:firstLine="237"/>
              <w:rPr>
                <w:rFonts w:ascii="Arial" w:eastAsia="Times New Roman" w:hAnsi="Arial" w:cs="Arial"/>
              </w:rPr>
            </w:pPr>
            <w:r w:rsidRPr="00F13D9A">
              <w:rPr>
                <w:rFonts w:ascii="Arial" w:eastAsia="Times New Roman" w:hAnsi="Arial" w:cs="Arial"/>
              </w:rPr>
              <w:t xml:space="preserve">б) съдружници; </w:t>
            </w:r>
          </w:p>
          <w:p w:rsidR="00F13D9A" w:rsidRPr="00F13D9A" w:rsidRDefault="00F13D9A" w:rsidP="00066058">
            <w:pPr>
              <w:autoSpaceDE w:val="0"/>
              <w:autoSpaceDN w:val="0"/>
              <w:spacing w:after="0" w:line="240" w:lineRule="auto"/>
              <w:ind w:firstLine="237"/>
              <w:rPr>
                <w:rFonts w:ascii="Arial" w:eastAsia="Times New Roman" w:hAnsi="Arial" w:cs="Arial"/>
              </w:rPr>
            </w:pPr>
            <w:r w:rsidRPr="00F13D9A">
              <w:rPr>
                <w:rFonts w:ascii="Arial" w:eastAsia="Times New Roman" w:hAnsi="Arial" w:cs="Arial"/>
              </w:rPr>
              <w:t xml:space="preserve">в) съвместно контролират пряко трето лице; </w:t>
            </w:r>
          </w:p>
          <w:p w:rsidR="00F13D9A" w:rsidRPr="00F13D9A" w:rsidRDefault="00F13D9A" w:rsidP="00066058">
            <w:pPr>
              <w:autoSpaceDE w:val="0"/>
              <w:autoSpaceDN w:val="0"/>
              <w:spacing w:after="0" w:line="240" w:lineRule="auto"/>
              <w:ind w:firstLine="237"/>
              <w:rPr>
                <w:rFonts w:ascii="Arial" w:eastAsia="Times New Roman" w:hAnsi="Arial" w:cs="Arial"/>
              </w:rPr>
            </w:pPr>
            <w:r w:rsidRPr="00F13D9A">
              <w:rPr>
                <w:rFonts w:ascii="Arial" w:eastAsia="Times New Roman" w:hAnsi="Arial" w:cs="Arial"/>
              </w:rPr>
              <w:t xml:space="preserve">г) участват пряко в управлението или капитала на друго лице, поради което между тях могат да се уговарят условия, различни от обичайните; </w:t>
            </w:r>
          </w:p>
          <w:p w:rsidR="00F13D9A" w:rsidRPr="00F13D9A" w:rsidRDefault="00F13D9A" w:rsidP="00066058">
            <w:pPr>
              <w:autoSpaceDE w:val="0"/>
              <w:autoSpaceDN w:val="0"/>
              <w:spacing w:after="0" w:line="240" w:lineRule="auto"/>
              <w:ind w:firstLine="237"/>
              <w:rPr>
                <w:rFonts w:ascii="Arial" w:eastAsia="Times New Roman" w:hAnsi="Arial" w:cs="Arial"/>
              </w:rPr>
            </w:pPr>
            <w:r w:rsidRPr="00F13D9A">
              <w:rPr>
                <w:rFonts w:ascii="Arial" w:eastAsia="Times New Roman" w:hAnsi="Arial" w:cs="Arial"/>
              </w:rPr>
              <w:t xml:space="preserve">д) едното лице притежава повече от половината от броя на гласовете в общото събрание на другото лице; </w:t>
            </w:r>
          </w:p>
          <w:p w:rsidR="00F13D9A" w:rsidRPr="00F13D9A" w:rsidRDefault="00F13D9A" w:rsidP="00066058">
            <w:pPr>
              <w:autoSpaceDE w:val="0"/>
              <w:autoSpaceDN w:val="0"/>
              <w:spacing w:after="0" w:line="240" w:lineRule="auto"/>
              <w:ind w:firstLine="237"/>
              <w:rPr>
                <w:rFonts w:ascii="Arial" w:eastAsia="Times New Roman" w:hAnsi="Arial" w:cs="Arial"/>
              </w:rPr>
            </w:pPr>
            <w:r w:rsidRPr="00F13D9A">
              <w:rPr>
                <w:rFonts w:ascii="Arial" w:eastAsia="Times New Roman" w:hAnsi="Arial" w:cs="Arial"/>
              </w:rPr>
              <w:t xml:space="preserve">е) лицата, чиято дейност се контролира пряко или косвено от трето лице - физическо или юридическо; </w:t>
            </w:r>
          </w:p>
          <w:p w:rsidR="00F13D9A" w:rsidRPr="00F13D9A" w:rsidRDefault="00F13D9A" w:rsidP="00066058">
            <w:pPr>
              <w:autoSpaceDE w:val="0"/>
              <w:autoSpaceDN w:val="0"/>
              <w:spacing w:after="0" w:line="240" w:lineRule="auto"/>
              <w:ind w:firstLine="237"/>
              <w:rPr>
                <w:rFonts w:ascii="Arial" w:eastAsia="Times New Roman" w:hAnsi="Arial" w:cs="Arial"/>
              </w:rPr>
            </w:pPr>
            <w:r w:rsidRPr="00F13D9A">
              <w:rPr>
                <w:rFonts w:ascii="Arial" w:eastAsia="Times New Roman" w:hAnsi="Arial" w:cs="Arial"/>
              </w:rPr>
              <w:t>ж) лицата, едното от които е търговски представител на другото.</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rPr>
            </w:pPr>
            <w:r w:rsidRPr="00F13D9A">
              <w:rPr>
                <w:rFonts w:ascii="Arial" w:hAnsi="Arial" w:cs="Arial"/>
                <w:b/>
              </w:rPr>
              <w:t>Обект за производство на храни</w:t>
            </w:r>
          </w:p>
        </w:tc>
        <w:tc>
          <w:tcPr>
            <w:tcW w:w="6932" w:type="dxa"/>
            <w:shd w:val="clear" w:color="auto" w:fill="F3F3F3"/>
          </w:tcPr>
          <w:p w:rsidR="00F13D9A" w:rsidRPr="00F13D9A" w:rsidRDefault="00F13D9A" w:rsidP="00F13D9A">
            <w:pPr>
              <w:spacing w:before="120" w:after="120" w:line="240" w:lineRule="auto"/>
              <w:rPr>
                <w:rFonts w:ascii="Arial" w:hAnsi="Arial" w:cs="Arial"/>
              </w:rPr>
            </w:pPr>
            <w:r w:rsidRPr="00F13D9A">
              <w:rPr>
                <w:rFonts w:ascii="Arial" w:hAnsi="Arial" w:cs="Arial"/>
              </w:rPr>
              <w:t>Всяко помещение или сграда, в което се извършва добив, частична или цялостна преработка, приготвяне, пакетиране, препакетиране, бутилиране, етикетиране и съхранение на храни, предназначени за консумация от човека.</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Оперативни разходи</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Административните разходи и разходите, свързани с поддръжка и експлоатация на активите.</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 xml:space="preserve">Обект за </w:t>
            </w:r>
            <w:r w:rsidRPr="00F13D9A">
              <w:rPr>
                <w:rFonts w:ascii="Arial" w:hAnsi="Arial" w:cs="Arial"/>
                <w:b/>
                <w:bCs/>
                <w:snapToGrid w:val="0"/>
              </w:rPr>
              <w:lastRenderedPageBreak/>
              <w:t>производство на продукти, получени от странични животински продукти (СЖП)</w:t>
            </w:r>
          </w:p>
        </w:tc>
        <w:tc>
          <w:tcPr>
            <w:tcW w:w="6932" w:type="dxa"/>
            <w:shd w:val="clear" w:color="auto" w:fill="F3F3F3"/>
          </w:tcPr>
          <w:p w:rsidR="00F13D9A" w:rsidRPr="00F13D9A" w:rsidRDefault="00F13D9A" w:rsidP="00066058">
            <w:pPr>
              <w:widowControl w:val="0"/>
              <w:autoSpaceDE w:val="0"/>
              <w:autoSpaceDN w:val="0"/>
              <w:adjustRightInd w:val="0"/>
              <w:spacing w:before="120" w:after="120" w:line="240" w:lineRule="auto"/>
              <w:jc w:val="both"/>
              <w:rPr>
                <w:rFonts w:ascii="Arial" w:hAnsi="Arial" w:cs="Arial"/>
                <w:snapToGrid w:val="0"/>
              </w:rPr>
            </w:pPr>
            <w:r w:rsidRPr="00F13D9A">
              <w:rPr>
                <w:rFonts w:ascii="Arial" w:hAnsi="Arial" w:cs="Arial"/>
                <w:snapToGrid w:val="0"/>
              </w:rPr>
              <w:lastRenderedPageBreak/>
              <w:t xml:space="preserve">Всяко предприятие за преработване на продукти от животински </w:t>
            </w:r>
            <w:r w:rsidRPr="00F13D9A">
              <w:rPr>
                <w:rFonts w:ascii="Arial" w:hAnsi="Arial" w:cs="Arial"/>
                <w:snapToGrid w:val="0"/>
              </w:rPr>
              <w:lastRenderedPageBreak/>
              <w:t>произход (в т.ч. и водни животни), които не са предназначени или са негодни за консумация от хора</w:t>
            </w:r>
            <w:r w:rsidR="00066058">
              <w:rPr>
                <w:rFonts w:ascii="Arial" w:hAnsi="Arial" w:cs="Arial"/>
                <w:snapToGrid w:val="0"/>
              </w:rPr>
              <w:t>.</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lastRenderedPageBreak/>
              <w:t>Официален каталог</w:t>
            </w:r>
          </w:p>
        </w:tc>
        <w:tc>
          <w:tcPr>
            <w:tcW w:w="6932" w:type="dxa"/>
            <w:shd w:val="clear" w:color="auto" w:fill="F3F3F3"/>
          </w:tcPr>
          <w:p w:rsidR="00F13D9A" w:rsidRPr="00F13D9A" w:rsidRDefault="00F13D9A" w:rsidP="00F13D9A">
            <w:pPr>
              <w:widowControl w:val="0"/>
              <w:autoSpaceDE w:val="0"/>
              <w:autoSpaceDN w:val="0"/>
              <w:adjustRightInd w:val="0"/>
              <w:spacing w:before="120" w:after="120" w:line="240" w:lineRule="auto"/>
              <w:jc w:val="both"/>
              <w:rPr>
                <w:rFonts w:ascii="Arial" w:hAnsi="Arial" w:cs="Arial"/>
                <w:snapToGrid w:val="0"/>
              </w:rPr>
            </w:pPr>
            <w:r w:rsidRPr="00F13D9A">
              <w:rPr>
                <w:rFonts w:ascii="Arial" w:hAnsi="Arial" w:cs="Arial"/>
                <w:snapToGrid w:val="0"/>
              </w:rPr>
              <w:t>Продуктов каталог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Програма</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Програма е отделен документ, изготвен от държавата членка и одобрен от Комисията, съдържащ съгласуван пакет от приоритети на Съюза, които да бъдат постигнати с помощта от ЕФМДР.</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Приоритет на Съюза</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Приоритет на Съюза е един от приоритетите в дадена програма, съставен от група мерки, които са свързани и имат конкретни измерими цели.</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Предприятие</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 xml:space="preserve">Проектно предложение </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Прилежаща инфраструктура</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Прилежаща инфраструктура е техническата инфраструктура по смисъла на § 5, т. 31 от допълнителните разпоредби на Закона за устройство на територията, както и други сгради и съоръжения на територията им, свързани с обслужване на извършваните на тази територия дейности, включително - водопроводна и канализационна инсталация, транспортни съоръжения, захранващи и отвеждащи инсталации - електричество, вода, гориво и районно осветление.</w:t>
            </w:r>
          </w:p>
        </w:tc>
      </w:tr>
      <w:tr w:rsidR="00F13D9A" w:rsidRPr="00F13D9A" w:rsidTr="00F13D9A">
        <w:trPr>
          <w:jc w:val="center"/>
        </w:trPr>
        <w:tc>
          <w:tcPr>
            <w:tcW w:w="2248" w:type="dxa"/>
            <w:shd w:val="clear" w:color="auto" w:fill="E6E6E6"/>
          </w:tcPr>
          <w:p w:rsidR="00F13D9A" w:rsidRPr="00F13D9A" w:rsidRDefault="00F13D9A" w:rsidP="00066058">
            <w:pPr>
              <w:spacing w:before="120" w:after="120" w:line="240" w:lineRule="auto"/>
              <w:jc w:val="both"/>
              <w:rPr>
                <w:rFonts w:ascii="Arial" w:hAnsi="Arial" w:cs="Arial"/>
                <w:b/>
                <w:bCs/>
                <w:u w:val="single"/>
              </w:rPr>
            </w:pPr>
            <w:r w:rsidRPr="00F13D9A">
              <w:rPr>
                <w:rFonts w:ascii="Arial" w:eastAsia="Times New Roman" w:hAnsi="Arial" w:cs="Arial"/>
                <w:b/>
              </w:rPr>
              <w:t>Преработка на риба и други водни организми</w:t>
            </w:r>
          </w:p>
        </w:tc>
        <w:tc>
          <w:tcPr>
            <w:tcW w:w="6932" w:type="dxa"/>
            <w:shd w:val="clear" w:color="auto" w:fill="F3F3F3"/>
          </w:tcPr>
          <w:p w:rsidR="00F13D9A" w:rsidRPr="00F13D9A" w:rsidRDefault="00F13D9A" w:rsidP="00066058">
            <w:pPr>
              <w:spacing w:before="120" w:after="120" w:line="240" w:lineRule="auto"/>
              <w:jc w:val="both"/>
              <w:rPr>
                <w:rFonts w:ascii="Arial" w:hAnsi="Arial" w:cs="Arial"/>
              </w:rPr>
            </w:pPr>
            <w:r w:rsidRPr="00F13D9A">
              <w:rPr>
                <w:rFonts w:ascii="Arial" w:eastAsia="Times New Roman" w:hAnsi="Arial" w:cs="Arial"/>
              </w:rPr>
              <w:t>Химическо или физическо преработване, като топлинна обработка, опушване, осоляване, дехидратация или мариноване на пресни, охладени или замразени продукти, комбинирани или не с други хранителни продукти, или комбинация с други процеси</w:t>
            </w:r>
            <w:r w:rsidR="00066058">
              <w:rPr>
                <w:rFonts w:ascii="Arial" w:eastAsia="Times New Roman" w:hAnsi="Arial" w:cs="Arial"/>
              </w:rPr>
              <w:t xml:space="preserve"> и т.н.</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Пускане на пазара</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Пускане на пазара означава притежаването на преработени п</w:t>
            </w:r>
            <w:r w:rsidR="00066058">
              <w:rPr>
                <w:rFonts w:ascii="Arial" w:hAnsi="Arial" w:cs="Arial"/>
                <w:snapToGrid w:val="0"/>
              </w:rPr>
              <w:t>родукти от риболов и аквакултури</w:t>
            </w:r>
            <w:r w:rsidRPr="00F13D9A">
              <w:rPr>
                <w:rFonts w:ascii="Arial" w:hAnsi="Arial" w:cs="Arial"/>
                <w:snapToGrid w:val="0"/>
              </w:rPr>
              <w:t xml:space="preserve"> с цел продажба, в това число предлагането за продажба или всяка друга форма на прехвърляне, безплатно или срещу заплащане, продажбата, разпространението и други форми на прехвърляне</w:t>
            </w:r>
            <w:r w:rsidRPr="00F13D9A">
              <w:rPr>
                <w:rFonts w:ascii="Arial" w:hAnsi="Arial" w:cs="Arial"/>
              </w:rPr>
              <w:t>.</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 xml:space="preserve">Ръководител на Управляващия </w:t>
            </w:r>
            <w:r w:rsidRPr="00F13D9A">
              <w:rPr>
                <w:rFonts w:ascii="Arial" w:hAnsi="Arial" w:cs="Arial"/>
                <w:b/>
                <w:bCs/>
                <w:snapToGrid w:val="0"/>
              </w:rPr>
              <w:lastRenderedPageBreak/>
              <w:t>орган</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lastRenderedPageBreak/>
              <w:t xml:space="preserve">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w:t>
            </w:r>
            <w:r w:rsidRPr="00F13D9A">
              <w:rPr>
                <w:rFonts w:ascii="Arial" w:hAnsi="Arial" w:cs="Arial"/>
                <w:snapToGrid w:val="0"/>
              </w:rPr>
              <w:lastRenderedPageBreak/>
              <w:t>оправомощено от него лице.</w:t>
            </w:r>
          </w:p>
        </w:tc>
      </w:tr>
      <w:tr w:rsidR="00F13D9A" w:rsidRPr="00F13D9A" w:rsidTr="00F13D9A">
        <w:trPr>
          <w:jc w:val="center"/>
        </w:trPr>
        <w:tc>
          <w:tcPr>
            <w:tcW w:w="2248" w:type="dxa"/>
            <w:shd w:val="clear" w:color="auto" w:fill="E6E6E6"/>
          </w:tcPr>
          <w:p w:rsidR="00F13D9A" w:rsidRPr="00F13D9A" w:rsidDel="00152AAB" w:rsidRDefault="00F13D9A" w:rsidP="00F13D9A">
            <w:pPr>
              <w:spacing w:before="120" w:after="120" w:line="240" w:lineRule="auto"/>
              <w:rPr>
                <w:rFonts w:ascii="Arial" w:hAnsi="Arial" w:cs="Arial"/>
                <w:b/>
                <w:bCs/>
                <w:snapToGrid w:val="0"/>
              </w:rPr>
            </w:pPr>
            <w:r w:rsidRPr="00F13D9A">
              <w:rPr>
                <w:rFonts w:ascii="Arial" w:hAnsi="Arial" w:cs="Arial"/>
                <w:b/>
                <w:bCs/>
                <w:snapToGrid w:val="0"/>
              </w:rPr>
              <w:lastRenderedPageBreak/>
              <w:t>Ресурсна ефективност</w:t>
            </w:r>
          </w:p>
        </w:tc>
        <w:tc>
          <w:tcPr>
            <w:tcW w:w="6932" w:type="dxa"/>
            <w:shd w:val="clear" w:color="auto" w:fill="F3F3F3"/>
          </w:tcPr>
          <w:p w:rsidR="00F13D9A" w:rsidRPr="00F13D9A" w:rsidRDefault="00F13D9A" w:rsidP="00F13D9A">
            <w:pPr>
              <w:widowControl w:val="0"/>
              <w:autoSpaceDE w:val="0"/>
              <w:autoSpaceDN w:val="0"/>
              <w:adjustRightInd w:val="0"/>
              <w:spacing w:before="120" w:after="120" w:line="240" w:lineRule="auto"/>
              <w:jc w:val="both"/>
              <w:rPr>
                <w:rFonts w:ascii="Arial" w:hAnsi="Arial" w:cs="Arial"/>
              </w:rPr>
            </w:pPr>
            <w:r w:rsidRPr="00F13D9A">
              <w:rPr>
                <w:rFonts w:ascii="Arial" w:hAnsi="Arial" w:cs="Arial"/>
                <w:snapToGrid w:val="0"/>
              </w:rPr>
              <w:t xml:space="preserve">Използване на изчерпаемите природни ресурси по устойчив начин, намалявайки въздействието върху околната среда. </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Сектор</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Сектор е набор от дейности, насочени към изпълнение на дадена мярка</w:t>
            </w:r>
            <w:r w:rsidR="00066058">
              <w:rPr>
                <w:rFonts w:ascii="Arial" w:hAnsi="Arial" w:cs="Arial"/>
                <w:snapToGrid w:val="0"/>
              </w:rPr>
              <w:t>.</w:t>
            </w:r>
          </w:p>
        </w:tc>
      </w:tr>
      <w:tr w:rsidR="00F13D9A" w:rsidRPr="00F13D9A" w:rsidTr="00F13D9A">
        <w:trPr>
          <w:jc w:val="center"/>
        </w:trPr>
        <w:tc>
          <w:tcPr>
            <w:tcW w:w="2248" w:type="dxa"/>
            <w:shd w:val="clear" w:color="auto" w:fill="E6E6E6"/>
          </w:tcPr>
          <w:p w:rsidR="00F13D9A" w:rsidRPr="00F13D9A" w:rsidRDefault="00F13D9A" w:rsidP="00066058">
            <w:pPr>
              <w:spacing w:before="120" w:after="120" w:line="240" w:lineRule="auto"/>
              <w:rPr>
                <w:rFonts w:ascii="Arial" w:hAnsi="Arial" w:cs="Arial"/>
                <w:b/>
                <w:bCs/>
                <w:snapToGrid w:val="0"/>
              </w:rPr>
            </w:pPr>
            <w:r w:rsidRPr="00F13D9A">
              <w:rPr>
                <w:rFonts w:ascii="Arial" w:hAnsi="Arial" w:cs="Arial"/>
                <w:b/>
                <w:bCs/>
                <w:snapToGrid w:val="0"/>
              </w:rPr>
              <w:t xml:space="preserve">Сектор </w:t>
            </w:r>
            <w:r w:rsidR="00066058">
              <w:rPr>
                <w:rFonts w:ascii="Arial" w:hAnsi="Arial" w:cs="Arial"/>
                <w:b/>
                <w:bCs/>
                <w:snapToGrid w:val="0"/>
              </w:rPr>
              <w:t>Рибарство</w:t>
            </w:r>
          </w:p>
        </w:tc>
        <w:tc>
          <w:tcPr>
            <w:tcW w:w="6932" w:type="dxa"/>
            <w:shd w:val="clear" w:color="auto" w:fill="F3F3F3"/>
          </w:tcPr>
          <w:p w:rsidR="00F13D9A" w:rsidRPr="00F13D9A" w:rsidRDefault="00F13D9A" w:rsidP="00F13D9A">
            <w:pPr>
              <w:spacing w:before="120" w:after="120" w:line="240" w:lineRule="auto"/>
              <w:jc w:val="both"/>
              <w:rPr>
                <w:rFonts w:ascii="Arial" w:hAnsi="Arial" w:cs="Arial"/>
              </w:rPr>
            </w:pPr>
            <w:r w:rsidRPr="00F13D9A">
              <w:rPr>
                <w:rFonts w:ascii="Arial" w:hAnsi="Arial" w:cs="Arial"/>
                <w:snapToGrid w:val="0"/>
              </w:rPr>
              <w:t xml:space="preserve">Секторът на икономиката, който включва всички дейности по производство, преработка и предлагане на пазара на продукти от риболов </w:t>
            </w:r>
            <w:r w:rsidR="00066058">
              <w:rPr>
                <w:rFonts w:ascii="Arial" w:hAnsi="Arial" w:cs="Arial"/>
                <w:snapToGrid w:val="0"/>
              </w:rPr>
              <w:t>и/</w:t>
            </w:r>
            <w:r w:rsidRPr="00F13D9A">
              <w:rPr>
                <w:rFonts w:ascii="Arial" w:hAnsi="Arial" w:cs="Arial"/>
                <w:snapToGrid w:val="0"/>
              </w:rPr>
              <w:t>или аквакултури.</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Съпоставими оферти</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Оферти, които се сравняват на базата на:</w:t>
            </w:r>
          </w:p>
          <w:p w:rsidR="00F13D9A" w:rsidRPr="00F13D9A" w:rsidRDefault="00F13D9A" w:rsidP="00066058">
            <w:pPr>
              <w:spacing w:before="120" w:after="120" w:line="240" w:lineRule="auto"/>
              <w:ind w:firstLine="237"/>
              <w:jc w:val="both"/>
              <w:rPr>
                <w:rFonts w:ascii="Arial" w:hAnsi="Arial" w:cs="Arial"/>
                <w:snapToGrid w:val="0"/>
              </w:rPr>
            </w:pPr>
            <w:r w:rsidRPr="00F13D9A">
              <w:rPr>
                <w:rFonts w:ascii="Arial" w:hAnsi="Arial" w:cs="Arial"/>
                <w:snapToGrid w:val="0"/>
              </w:rPr>
              <w:t xml:space="preserve">а) еднотипни основни технически характеристики; </w:t>
            </w:r>
          </w:p>
          <w:p w:rsidR="00F13D9A" w:rsidRPr="00F13D9A" w:rsidRDefault="00F13D9A" w:rsidP="00066058">
            <w:pPr>
              <w:spacing w:before="120" w:after="120" w:line="240" w:lineRule="auto"/>
              <w:ind w:firstLine="237"/>
              <w:jc w:val="both"/>
              <w:rPr>
                <w:rFonts w:ascii="Arial" w:hAnsi="Arial" w:cs="Arial"/>
                <w:snapToGrid w:val="0"/>
              </w:rPr>
            </w:pPr>
            <w:r w:rsidRPr="00F13D9A">
              <w:rPr>
                <w:rFonts w:ascii="Arial" w:hAnsi="Arial" w:cs="Arial"/>
                <w:snapToGrid w:val="0"/>
              </w:rPr>
              <w:t xml:space="preserve">б) общ капацитет на оборудването; </w:t>
            </w:r>
          </w:p>
          <w:p w:rsidR="00F13D9A" w:rsidRPr="00F13D9A" w:rsidRDefault="00F13D9A" w:rsidP="00066058">
            <w:pPr>
              <w:spacing w:before="120" w:after="120" w:line="240" w:lineRule="auto"/>
              <w:ind w:firstLine="237"/>
              <w:jc w:val="both"/>
              <w:rPr>
                <w:rFonts w:ascii="Arial" w:hAnsi="Arial" w:cs="Arial"/>
                <w:snapToGrid w:val="0"/>
              </w:rPr>
            </w:pPr>
            <w:r w:rsidRPr="00F13D9A">
              <w:rPr>
                <w:rFonts w:ascii="Arial" w:hAnsi="Arial" w:cs="Arial"/>
                <w:snapToGrid w:val="0"/>
              </w:rPr>
              <w:t>в) количествено-стойностни сметки.</w:t>
            </w:r>
          </w:p>
        </w:tc>
      </w:tr>
      <w:tr w:rsidR="00F13D9A" w:rsidRPr="00F13D9A" w:rsidTr="00F13D9A">
        <w:trPr>
          <w:trHeight w:val="730"/>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Страничен животински продукт</w:t>
            </w:r>
          </w:p>
        </w:tc>
        <w:tc>
          <w:tcPr>
            <w:tcW w:w="6932" w:type="dxa"/>
            <w:shd w:val="clear" w:color="auto" w:fill="F3F3F3"/>
          </w:tcPr>
          <w:p w:rsidR="00F13D9A" w:rsidRPr="00F13D9A" w:rsidRDefault="00F13D9A" w:rsidP="00066058">
            <w:pPr>
              <w:spacing w:before="120" w:after="120" w:line="240" w:lineRule="auto"/>
              <w:rPr>
                <w:rFonts w:ascii="Arial" w:hAnsi="Arial" w:cs="Arial"/>
                <w:snapToGrid w:val="0"/>
              </w:rPr>
            </w:pPr>
            <w:r w:rsidRPr="00F13D9A">
              <w:rPr>
                <w:rFonts w:ascii="Arial" w:eastAsia="Times New Roman" w:hAnsi="Arial" w:cs="Arial"/>
              </w:rPr>
              <w:t>Продукт, получен при преработка на продукти от животински произход в преработвателно предприятие, които не са предназначени за консумация от хора.</w:t>
            </w:r>
          </w:p>
        </w:tc>
      </w:tr>
      <w:tr w:rsidR="00F13D9A" w:rsidRPr="00F13D9A" w:rsidTr="00F13D9A">
        <w:trPr>
          <w:jc w:val="center"/>
        </w:trPr>
        <w:tc>
          <w:tcPr>
            <w:tcW w:w="2248" w:type="dxa"/>
            <w:shd w:val="clear" w:color="auto" w:fill="E6E6E6"/>
          </w:tcPr>
          <w:p w:rsidR="00F13D9A" w:rsidRPr="00F13D9A" w:rsidRDefault="00F13D9A" w:rsidP="00066058">
            <w:pPr>
              <w:spacing w:before="120" w:after="120" w:line="240" w:lineRule="auto"/>
              <w:rPr>
                <w:rFonts w:ascii="Arial" w:hAnsi="Arial" w:cs="Arial"/>
                <w:b/>
                <w:bCs/>
                <w:snapToGrid w:val="0"/>
              </w:rPr>
            </w:pPr>
            <w:r w:rsidRPr="00F13D9A">
              <w:rPr>
                <w:rFonts w:ascii="Arial" w:hAnsi="Arial" w:cs="Arial"/>
                <w:b/>
                <w:bCs/>
                <w:snapToGrid w:val="0"/>
              </w:rPr>
              <w:t>Традиционн</w:t>
            </w:r>
            <w:r w:rsidR="00066058">
              <w:rPr>
                <w:rFonts w:ascii="Arial" w:hAnsi="Arial" w:cs="Arial"/>
                <w:b/>
                <w:bCs/>
                <w:snapToGrid w:val="0"/>
              </w:rPr>
              <w:t>и аквакултури</w:t>
            </w:r>
          </w:p>
        </w:tc>
        <w:tc>
          <w:tcPr>
            <w:tcW w:w="6932" w:type="dxa"/>
            <w:shd w:val="clear" w:color="auto" w:fill="F3F3F3"/>
          </w:tcPr>
          <w:p w:rsidR="00F13D9A" w:rsidRPr="00F13D9A" w:rsidRDefault="00F13D9A" w:rsidP="00066058">
            <w:pPr>
              <w:widowControl w:val="0"/>
              <w:autoSpaceDE w:val="0"/>
              <w:autoSpaceDN w:val="0"/>
              <w:adjustRightInd w:val="0"/>
              <w:spacing w:before="120" w:after="120" w:line="240" w:lineRule="auto"/>
              <w:jc w:val="both"/>
              <w:rPr>
                <w:rFonts w:ascii="Arial" w:hAnsi="Arial" w:cs="Arial"/>
                <w:snapToGrid w:val="0"/>
              </w:rPr>
            </w:pPr>
            <w:r w:rsidRPr="00F13D9A">
              <w:rPr>
                <w:rFonts w:ascii="Arial" w:hAnsi="Arial" w:cs="Arial"/>
                <w:snapToGrid w:val="0"/>
              </w:rPr>
              <w:t>Обичайни практики, които са свързани с екстензивно</w:t>
            </w:r>
            <w:r w:rsidR="00066058">
              <w:rPr>
                <w:rFonts w:ascii="Arial" w:hAnsi="Arial" w:cs="Arial"/>
                <w:snapToGrid w:val="0"/>
              </w:rPr>
              <w:t>,</w:t>
            </w:r>
            <w:r w:rsidRPr="00F13D9A">
              <w:rPr>
                <w:rFonts w:ascii="Arial" w:hAnsi="Arial" w:cs="Arial"/>
                <w:snapToGrid w:val="0"/>
              </w:rPr>
              <w:t xml:space="preserve"> полуинтензивно </w:t>
            </w:r>
            <w:r w:rsidR="00066058">
              <w:rPr>
                <w:rFonts w:ascii="Arial" w:hAnsi="Arial" w:cs="Arial"/>
                <w:snapToGrid w:val="0"/>
              </w:rPr>
              <w:t xml:space="preserve">или интензивно </w:t>
            </w:r>
            <w:r w:rsidRPr="00F13D9A">
              <w:rPr>
                <w:rFonts w:ascii="Arial" w:hAnsi="Arial" w:cs="Arial"/>
                <w:snapToGrid w:val="0"/>
              </w:rPr>
              <w:t>отглеждане на шаранови и пъстървови видове в естествени или изкуствени водоеми.</w:t>
            </w:r>
          </w:p>
        </w:tc>
      </w:tr>
    </w:tbl>
    <w:p w:rsidR="000732EA" w:rsidRPr="002471DD" w:rsidRDefault="000732EA" w:rsidP="00EA642B">
      <w:pPr>
        <w:rPr>
          <w:rFonts w:ascii="Arial" w:hAnsi="Arial" w:cs="Arial"/>
          <w:lang w:val="ru-RU"/>
        </w:rPr>
      </w:pPr>
    </w:p>
    <w:sectPr w:rsidR="000732EA" w:rsidRPr="002471DD" w:rsidSect="00962278">
      <w:headerReference w:type="first" r:id="rId8"/>
      <w:pgSz w:w="11906" w:h="16838"/>
      <w:pgMar w:top="1417" w:right="1274"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697F" w:rsidRDefault="0009697F" w:rsidP="00364204">
      <w:pPr>
        <w:spacing w:after="0" w:line="240" w:lineRule="auto"/>
      </w:pPr>
      <w:r>
        <w:separator/>
      </w:r>
    </w:p>
  </w:endnote>
  <w:endnote w:type="continuationSeparator" w:id="0">
    <w:p w:rsidR="0009697F" w:rsidRDefault="0009697F"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EUAlbertina-Regular-Identity-H">
    <w:altName w:val="MS Gothic"/>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697F" w:rsidRDefault="0009697F" w:rsidP="00364204">
      <w:pPr>
        <w:spacing w:after="0" w:line="240" w:lineRule="auto"/>
      </w:pPr>
      <w:r>
        <w:separator/>
      </w:r>
    </w:p>
  </w:footnote>
  <w:footnote w:type="continuationSeparator" w:id="0">
    <w:p w:rsidR="0009697F" w:rsidRDefault="0009697F" w:rsidP="003642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15" w:type="dxa"/>
      <w:jc w:val="center"/>
      <w:tblInd w:w="-171" w:type="dxa"/>
      <w:tblLayout w:type="fixed"/>
      <w:tblLook w:val="04A0" w:firstRow="1" w:lastRow="0" w:firstColumn="1" w:lastColumn="0" w:noHBand="0" w:noVBand="1"/>
    </w:tblPr>
    <w:tblGrid>
      <w:gridCol w:w="2890"/>
      <w:gridCol w:w="4393"/>
      <w:gridCol w:w="2632"/>
    </w:tblGrid>
    <w:tr w:rsidR="00502470" w:rsidRPr="00502470" w:rsidTr="00502470">
      <w:trPr>
        <w:jc w:val="center"/>
      </w:trPr>
      <w:tc>
        <w:tcPr>
          <w:tcW w:w="2889" w:type="dxa"/>
          <w:hideMark/>
        </w:tcPr>
        <w:p w:rsidR="00502470" w:rsidRPr="00502470" w:rsidRDefault="00502470" w:rsidP="00502470">
          <w:pPr>
            <w:tabs>
              <w:tab w:val="center" w:pos="4703"/>
              <w:tab w:val="right" w:pos="9406"/>
            </w:tabs>
            <w:autoSpaceDE w:val="0"/>
            <w:autoSpaceDN w:val="0"/>
            <w:adjustRightInd w:val="0"/>
            <w:spacing w:after="30" w:line="240" w:lineRule="auto"/>
            <w:jc w:val="center"/>
            <w:rPr>
              <w:rFonts w:ascii="Arial" w:eastAsia="Times New Roman" w:hAnsi="Arial" w:cs="Arial"/>
              <w:sz w:val="16"/>
              <w:szCs w:val="16"/>
              <w:lang w:val="en-US"/>
            </w:rPr>
          </w:pPr>
          <w:r w:rsidRPr="00502470">
            <w:rPr>
              <w:rFonts w:ascii="Arial" w:eastAsia="Times New Roman" w:hAnsi="Arial" w:cs="Arial"/>
              <w:noProof/>
              <w:sz w:val="16"/>
              <w:szCs w:val="16"/>
              <w:lang w:val="en-US"/>
            </w:rPr>
            <w:drawing>
              <wp:inline distT="0" distB="0" distL="0" distR="0" wp14:anchorId="46B4842A" wp14:editId="1EA07F28">
                <wp:extent cx="946150" cy="643890"/>
                <wp:effectExtent l="0" t="0" r="635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6150" cy="643890"/>
                        </a:xfrm>
                        <a:prstGeom prst="rect">
                          <a:avLst/>
                        </a:prstGeom>
                        <a:noFill/>
                        <a:ln>
                          <a:noFill/>
                        </a:ln>
                      </pic:spPr>
                    </pic:pic>
                  </a:graphicData>
                </a:graphic>
              </wp:inline>
            </w:drawing>
          </w:r>
        </w:p>
        <w:p w:rsidR="00502470" w:rsidRPr="00502470" w:rsidRDefault="00502470" w:rsidP="00502470">
          <w:pPr>
            <w:tabs>
              <w:tab w:val="center" w:pos="4703"/>
              <w:tab w:val="right" w:pos="9406"/>
            </w:tabs>
            <w:autoSpaceDE w:val="0"/>
            <w:autoSpaceDN w:val="0"/>
            <w:adjustRightInd w:val="0"/>
            <w:spacing w:after="30" w:line="240" w:lineRule="auto"/>
            <w:jc w:val="center"/>
            <w:rPr>
              <w:rFonts w:ascii="Arial" w:eastAsia="Times New Roman" w:hAnsi="Arial" w:cs="Arial"/>
              <w:b/>
              <w:sz w:val="14"/>
              <w:szCs w:val="14"/>
            </w:rPr>
          </w:pPr>
          <w:r w:rsidRPr="00502470">
            <w:rPr>
              <w:rFonts w:ascii="Arial" w:eastAsia="Times New Roman" w:hAnsi="Arial" w:cs="Arial"/>
              <w:b/>
              <w:sz w:val="14"/>
              <w:szCs w:val="14"/>
            </w:rPr>
            <w:t>ЕВРОПЕЙСКИ СЪЮЗ</w:t>
          </w:r>
        </w:p>
        <w:p w:rsidR="00502470" w:rsidRPr="00502470" w:rsidRDefault="00502470" w:rsidP="00502470">
          <w:pPr>
            <w:tabs>
              <w:tab w:val="center" w:pos="4703"/>
              <w:tab w:val="right" w:pos="9406"/>
            </w:tabs>
            <w:autoSpaceDE w:val="0"/>
            <w:autoSpaceDN w:val="0"/>
            <w:adjustRightInd w:val="0"/>
            <w:spacing w:after="30" w:line="240" w:lineRule="auto"/>
            <w:jc w:val="center"/>
            <w:rPr>
              <w:rFonts w:ascii="Arial" w:eastAsia="Times New Roman" w:hAnsi="Arial" w:cs="Arial"/>
              <w:b/>
              <w:sz w:val="14"/>
              <w:szCs w:val="14"/>
              <w:lang w:val="en-US"/>
            </w:rPr>
          </w:pPr>
          <w:r w:rsidRPr="00502470">
            <w:rPr>
              <w:rFonts w:ascii="Arial" w:eastAsia="Times New Roman" w:hAnsi="Arial" w:cs="Arial"/>
              <w:b/>
              <w:sz w:val="14"/>
              <w:szCs w:val="14"/>
            </w:rPr>
            <w:t>ЕВРОПЕЙСКИ ФОНД</w:t>
          </w:r>
          <w:r w:rsidRPr="00502470">
            <w:rPr>
              <w:rFonts w:ascii="Arial" w:eastAsia="Times New Roman" w:hAnsi="Arial" w:cs="Arial"/>
              <w:b/>
              <w:sz w:val="14"/>
              <w:szCs w:val="14"/>
              <w:lang w:val="en-US"/>
            </w:rPr>
            <w:t xml:space="preserve"> </w:t>
          </w:r>
          <w:r w:rsidRPr="00502470">
            <w:rPr>
              <w:rFonts w:ascii="Arial" w:eastAsia="Times New Roman" w:hAnsi="Arial" w:cs="Arial"/>
              <w:b/>
              <w:sz w:val="14"/>
              <w:szCs w:val="14"/>
            </w:rPr>
            <w:t>ЗА</w:t>
          </w:r>
        </w:p>
        <w:p w:rsidR="00502470" w:rsidRPr="00502470" w:rsidRDefault="00502470" w:rsidP="00502470">
          <w:pPr>
            <w:tabs>
              <w:tab w:val="center" w:pos="4703"/>
              <w:tab w:val="right" w:pos="9406"/>
            </w:tabs>
            <w:autoSpaceDE w:val="0"/>
            <w:autoSpaceDN w:val="0"/>
            <w:adjustRightInd w:val="0"/>
            <w:spacing w:after="30" w:line="240" w:lineRule="auto"/>
            <w:jc w:val="center"/>
            <w:rPr>
              <w:rFonts w:ascii="Arial" w:eastAsia="Times New Roman" w:hAnsi="Arial" w:cs="Arial"/>
            </w:rPr>
          </w:pPr>
          <w:r w:rsidRPr="00502470">
            <w:rPr>
              <w:rFonts w:ascii="Arial" w:eastAsia="Times New Roman" w:hAnsi="Arial" w:cs="Arial"/>
              <w:b/>
              <w:sz w:val="14"/>
              <w:szCs w:val="14"/>
            </w:rPr>
            <w:t>МОРСКО ДЕЛО И РИБАРСТВО</w:t>
          </w:r>
        </w:p>
      </w:tc>
      <w:tc>
        <w:tcPr>
          <w:tcW w:w="4390" w:type="dxa"/>
        </w:tcPr>
        <w:p w:rsidR="00502470" w:rsidRPr="00502470" w:rsidRDefault="00502470" w:rsidP="00502470">
          <w:pPr>
            <w:tabs>
              <w:tab w:val="center" w:pos="4703"/>
              <w:tab w:val="right" w:pos="9406"/>
            </w:tabs>
            <w:autoSpaceDE w:val="0"/>
            <w:autoSpaceDN w:val="0"/>
            <w:adjustRightInd w:val="0"/>
            <w:spacing w:after="30" w:line="240" w:lineRule="auto"/>
            <w:jc w:val="center"/>
            <w:rPr>
              <w:rFonts w:ascii="Times New Roman CYR" w:eastAsia="Times New Roman" w:hAnsi="Times New Roman CYR" w:cs="Times New Roman"/>
              <w:sz w:val="24"/>
              <w:szCs w:val="24"/>
              <w:lang w:val="en-US"/>
            </w:rPr>
          </w:pPr>
        </w:p>
        <w:p w:rsidR="00502470" w:rsidRPr="00502470" w:rsidRDefault="00502470" w:rsidP="00502470">
          <w:pPr>
            <w:tabs>
              <w:tab w:val="center" w:pos="4703"/>
              <w:tab w:val="right" w:pos="9406"/>
            </w:tabs>
            <w:autoSpaceDE w:val="0"/>
            <w:autoSpaceDN w:val="0"/>
            <w:adjustRightInd w:val="0"/>
            <w:spacing w:after="30" w:line="240" w:lineRule="auto"/>
            <w:jc w:val="center"/>
            <w:rPr>
              <w:rFonts w:ascii="Arial" w:eastAsia="Times New Roman" w:hAnsi="Arial" w:cs="Arial"/>
              <w:lang w:val="en-US"/>
            </w:rPr>
          </w:pPr>
          <w:r w:rsidRPr="00502470">
            <w:rPr>
              <w:rFonts w:ascii="Times New Roman CYR" w:eastAsia="Times New Roman" w:hAnsi="Times New Roman CYR" w:cs="Times New Roman"/>
              <w:sz w:val="24"/>
              <w:szCs w:val="24"/>
              <w:lang w:val="en-US"/>
            </w:rPr>
            <w:object w:dxaOrig="4320" w:dyaOrig="1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53.85pt" o:ole="">
                <v:imagedata r:id="rId2" o:title=""/>
              </v:shape>
              <o:OLEObject Type="Embed" ProgID="Photoshop.Image.13" ShapeID="_x0000_i1025" DrawAspect="Content" ObjectID="_1695745563" r:id="rId3">
                <o:FieldCodes>\s</o:FieldCodes>
              </o:OLEObject>
            </w:object>
          </w:r>
        </w:p>
      </w:tc>
      <w:tc>
        <w:tcPr>
          <w:tcW w:w="2630" w:type="dxa"/>
          <w:hideMark/>
        </w:tcPr>
        <w:p w:rsidR="00502470" w:rsidRPr="00502470" w:rsidRDefault="00502470" w:rsidP="00502470">
          <w:pPr>
            <w:tabs>
              <w:tab w:val="center" w:pos="4703"/>
              <w:tab w:val="right" w:pos="9406"/>
            </w:tabs>
            <w:autoSpaceDE w:val="0"/>
            <w:autoSpaceDN w:val="0"/>
            <w:adjustRightInd w:val="0"/>
            <w:spacing w:after="30" w:line="240" w:lineRule="auto"/>
            <w:jc w:val="center"/>
            <w:rPr>
              <w:rFonts w:ascii="Arial" w:eastAsia="Times New Roman" w:hAnsi="Arial" w:cs="Arial"/>
            </w:rPr>
          </w:pPr>
          <w:r w:rsidRPr="00502470">
            <w:rPr>
              <w:rFonts w:ascii="Arial" w:eastAsia="Times New Roman" w:hAnsi="Arial" w:cs="Arial"/>
              <w:noProof/>
              <w:lang w:val="en-US"/>
            </w:rPr>
            <w:drawing>
              <wp:inline distT="0" distB="0" distL="0" distR="0" wp14:anchorId="0F1FB555" wp14:editId="69765427">
                <wp:extent cx="1431290" cy="10890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31290" cy="1089025"/>
                        </a:xfrm>
                        <a:prstGeom prst="rect">
                          <a:avLst/>
                        </a:prstGeom>
                        <a:noFill/>
                        <a:ln>
                          <a:noFill/>
                        </a:ln>
                      </pic:spPr>
                    </pic:pic>
                  </a:graphicData>
                </a:graphic>
              </wp:inline>
            </w:drawing>
          </w:r>
        </w:p>
      </w:tc>
    </w:tr>
  </w:tbl>
  <w:p w:rsidR="004C34DC" w:rsidRDefault="004C34DC" w:rsidP="00962278">
    <w:pPr>
      <w:pStyle w:val="Header"/>
      <w:ind w:left="-85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44B"/>
    <w:rsid w:val="0000173C"/>
    <w:rsid w:val="00006FB7"/>
    <w:rsid w:val="00010B2B"/>
    <w:rsid w:val="00015702"/>
    <w:rsid w:val="00015CD3"/>
    <w:rsid w:val="00017139"/>
    <w:rsid w:val="00020E0B"/>
    <w:rsid w:val="00021DCF"/>
    <w:rsid w:val="00022A25"/>
    <w:rsid w:val="0003699C"/>
    <w:rsid w:val="0004005C"/>
    <w:rsid w:val="00045584"/>
    <w:rsid w:val="00055646"/>
    <w:rsid w:val="000568E4"/>
    <w:rsid w:val="00062143"/>
    <w:rsid w:val="00062992"/>
    <w:rsid w:val="00063E6D"/>
    <w:rsid w:val="00064021"/>
    <w:rsid w:val="00066058"/>
    <w:rsid w:val="00072438"/>
    <w:rsid w:val="00072F3A"/>
    <w:rsid w:val="000732EA"/>
    <w:rsid w:val="000739F3"/>
    <w:rsid w:val="00073FB3"/>
    <w:rsid w:val="00076331"/>
    <w:rsid w:val="00076E97"/>
    <w:rsid w:val="00086031"/>
    <w:rsid w:val="000918DC"/>
    <w:rsid w:val="0009697F"/>
    <w:rsid w:val="000972C6"/>
    <w:rsid w:val="000A0132"/>
    <w:rsid w:val="000A31A3"/>
    <w:rsid w:val="000A41D7"/>
    <w:rsid w:val="000B15DA"/>
    <w:rsid w:val="000B2C66"/>
    <w:rsid w:val="000B38AD"/>
    <w:rsid w:val="000B5B48"/>
    <w:rsid w:val="000B6360"/>
    <w:rsid w:val="000C2069"/>
    <w:rsid w:val="000C2624"/>
    <w:rsid w:val="000C2A46"/>
    <w:rsid w:val="000C6413"/>
    <w:rsid w:val="000C731A"/>
    <w:rsid w:val="000D040C"/>
    <w:rsid w:val="000D418B"/>
    <w:rsid w:val="000D54FB"/>
    <w:rsid w:val="000D635B"/>
    <w:rsid w:val="000D7708"/>
    <w:rsid w:val="000D7F0D"/>
    <w:rsid w:val="000E43C4"/>
    <w:rsid w:val="000E4FFF"/>
    <w:rsid w:val="000F630F"/>
    <w:rsid w:val="000F70C0"/>
    <w:rsid w:val="00111530"/>
    <w:rsid w:val="00112DD2"/>
    <w:rsid w:val="0011687D"/>
    <w:rsid w:val="001200E5"/>
    <w:rsid w:val="001252BD"/>
    <w:rsid w:val="0012614C"/>
    <w:rsid w:val="001316E7"/>
    <w:rsid w:val="001334BA"/>
    <w:rsid w:val="001375DA"/>
    <w:rsid w:val="00143A1B"/>
    <w:rsid w:val="00145E84"/>
    <w:rsid w:val="00147A80"/>
    <w:rsid w:val="00151B68"/>
    <w:rsid w:val="00152AAB"/>
    <w:rsid w:val="001566B9"/>
    <w:rsid w:val="00162AC3"/>
    <w:rsid w:val="001637DA"/>
    <w:rsid w:val="00164729"/>
    <w:rsid w:val="001675DC"/>
    <w:rsid w:val="00175B92"/>
    <w:rsid w:val="00176AD2"/>
    <w:rsid w:val="00177AF4"/>
    <w:rsid w:val="00181746"/>
    <w:rsid w:val="001826B1"/>
    <w:rsid w:val="00182A02"/>
    <w:rsid w:val="001838B7"/>
    <w:rsid w:val="0019069B"/>
    <w:rsid w:val="001A28D8"/>
    <w:rsid w:val="001A5EA5"/>
    <w:rsid w:val="001B57E3"/>
    <w:rsid w:val="001B61A7"/>
    <w:rsid w:val="001B7152"/>
    <w:rsid w:val="001B7529"/>
    <w:rsid w:val="001C0946"/>
    <w:rsid w:val="001C4B67"/>
    <w:rsid w:val="001C6A0D"/>
    <w:rsid w:val="001C72A5"/>
    <w:rsid w:val="001D5A23"/>
    <w:rsid w:val="001E4B67"/>
    <w:rsid w:val="001F5359"/>
    <w:rsid w:val="001F600E"/>
    <w:rsid w:val="0020136B"/>
    <w:rsid w:val="0020486D"/>
    <w:rsid w:val="00207A2E"/>
    <w:rsid w:val="00211133"/>
    <w:rsid w:val="00212D53"/>
    <w:rsid w:val="00215B67"/>
    <w:rsid w:val="0021679D"/>
    <w:rsid w:val="00226267"/>
    <w:rsid w:val="002264C4"/>
    <w:rsid w:val="00227E3D"/>
    <w:rsid w:val="00235B58"/>
    <w:rsid w:val="002368DE"/>
    <w:rsid w:val="002407B4"/>
    <w:rsid w:val="00244AB1"/>
    <w:rsid w:val="002471DD"/>
    <w:rsid w:val="00247C0D"/>
    <w:rsid w:val="0025551B"/>
    <w:rsid w:val="00262C14"/>
    <w:rsid w:val="00263978"/>
    <w:rsid w:val="002678DC"/>
    <w:rsid w:val="002678EC"/>
    <w:rsid w:val="00267C70"/>
    <w:rsid w:val="00282397"/>
    <w:rsid w:val="0028583C"/>
    <w:rsid w:val="002938F6"/>
    <w:rsid w:val="00294A6E"/>
    <w:rsid w:val="002A463F"/>
    <w:rsid w:val="002A570D"/>
    <w:rsid w:val="002A6026"/>
    <w:rsid w:val="002A68AB"/>
    <w:rsid w:val="002A756D"/>
    <w:rsid w:val="002B20F2"/>
    <w:rsid w:val="002D1D65"/>
    <w:rsid w:val="002D3C81"/>
    <w:rsid w:val="002D4163"/>
    <w:rsid w:val="002D690B"/>
    <w:rsid w:val="002E1645"/>
    <w:rsid w:val="002E2BA2"/>
    <w:rsid w:val="002F1DE4"/>
    <w:rsid w:val="003009F4"/>
    <w:rsid w:val="00307722"/>
    <w:rsid w:val="00311B06"/>
    <w:rsid w:val="00311D57"/>
    <w:rsid w:val="003148CA"/>
    <w:rsid w:val="00322E2E"/>
    <w:rsid w:val="003234D8"/>
    <w:rsid w:val="0032781F"/>
    <w:rsid w:val="003279C8"/>
    <w:rsid w:val="00330698"/>
    <w:rsid w:val="0034150B"/>
    <w:rsid w:val="00350A75"/>
    <w:rsid w:val="0035728A"/>
    <w:rsid w:val="00362DF7"/>
    <w:rsid w:val="00364204"/>
    <w:rsid w:val="003724BA"/>
    <w:rsid w:val="00380C77"/>
    <w:rsid w:val="00384049"/>
    <w:rsid w:val="003874FA"/>
    <w:rsid w:val="00392471"/>
    <w:rsid w:val="003B215B"/>
    <w:rsid w:val="003C0505"/>
    <w:rsid w:val="003C61FF"/>
    <w:rsid w:val="003D55AF"/>
    <w:rsid w:val="003D5F84"/>
    <w:rsid w:val="003E2225"/>
    <w:rsid w:val="003E7DFA"/>
    <w:rsid w:val="003F1B63"/>
    <w:rsid w:val="00402F9D"/>
    <w:rsid w:val="00403D6C"/>
    <w:rsid w:val="00413F4A"/>
    <w:rsid w:val="0041700B"/>
    <w:rsid w:val="004178C8"/>
    <w:rsid w:val="004239C6"/>
    <w:rsid w:val="00425D7E"/>
    <w:rsid w:val="00425E58"/>
    <w:rsid w:val="00434D2A"/>
    <w:rsid w:val="00443FF4"/>
    <w:rsid w:val="00447512"/>
    <w:rsid w:val="00462DB5"/>
    <w:rsid w:val="00474DD5"/>
    <w:rsid w:val="00475096"/>
    <w:rsid w:val="0048123E"/>
    <w:rsid w:val="00481A7A"/>
    <w:rsid w:val="00487B87"/>
    <w:rsid w:val="00493731"/>
    <w:rsid w:val="004A4EDF"/>
    <w:rsid w:val="004A70AC"/>
    <w:rsid w:val="004B2CDE"/>
    <w:rsid w:val="004B7A91"/>
    <w:rsid w:val="004C34DC"/>
    <w:rsid w:val="004D1F8F"/>
    <w:rsid w:val="004D2620"/>
    <w:rsid w:val="004D5276"/>
    <w:rsid w:val="004E15B4"/>
    <w:rsid w:val="004E6D9F"/>
    <w:rsid w:val="004F0EBC"/>
    <w:rsid w:val="004F4FD4"/>
    <w:rsid w:val="00502470"/>
    <w:rsid w:val="00502F9C"/>
    <w:rsid w:val="005061BC"/>
    <w:rsid w:val="005155E4"/>
    <w:rsid w:val="005164BE"/>
    <w:rsid w:val="0052367D"/>
    <w:rsid w:val="00524720"/>
    <w:rsid w:val="005353D6"/>
    <w:rsid w:val="00535B80"/>
    <w:rsid w:val="00546428"/>
    <w:rsid w:val="005625D2"/>
    <w:rsid w:val="00562CDD"/>
    <w:rsid w:val="0058618B"/>
    <w:rsid w:val="00590097"/>
    <w:rsid w:val="00592CBE"/>
    <w:rsid w:val="00594151"/>
    <w:rsid w:val="005A1E22"/>
    <w:rsid w:val="005B109C"/>
    <w:rsid w:val="005C0D98"/>
    <w:rsid w:val="005C3A6A"/>
    <w:rsid w:val="005D31D2"/>
    <w:rsid w:val="005D5D2C"/>
    <w:rsid w:val="005E04B9"/>
    <w:rsid w:val="005E3ADC"/>
    <w:rsid w:val="005F29EF"/>
    <w:rsid w:val="005F60BA"/>
    <w:rsid w:val="006049DC"/>
    <w:rsid w:val="00607779"/>
    <w:rsid w:val="00614F74"/>
    <w:rsid w:val="00617FB1"/>
    <w:rsid w:val="00621A1D"/>
    <w:rsid w:val="00622B69"/>
    <w:rsid w:val="00624B99"/>
    <w:rsid w:val="0062729B"/>
    <w:rsid w:val="006331C5"/>
    <w:rsid w:val="0063446A"/>
    <w:rsid w:val="006351CD"/>
    <w:rsid w:val="00655AB9"/>
    <w:rsid w:val="00656EF9"/>
    <w:rsid w:val="00657202"/>
    <w:rsid w:val="00666644"/>
    <w:rsid w:val="006675E7"/>
    <w:rsid w:val="006724EB"/>
    <w:rsid w:val="006725FF"/>
    <w:rsid w:val="00676C92"/>
    <w:rsid w:val="00681EEC"/>
    <w:rsid w:val="00685CF2"/>
    <w:rsid w:val="006932EA"/>
    <w:rsid w:val="006A083B"/>
    <w:rsid w:val="006A0A22"/>
    <w:rsid w:val="006A6F3E"/>
    <w:rsid w:val="006B35B9"/>
    <w:rsid w:val="006B487F"/>
    <w:rsid w:val="006C0465"/>
    <w:rsid w:val="006C1B23"/>
    <w:rsid w:val="006C3975"/>
    <w:rsid w:val="006C568F"/>
    <w:rsid w:val="006C7B36"/>
    <w:rsid w:val="006D243B"/>
    <w:rsid w:val="006D298D"/>
    <w:rsid w:val="006D5204"/>
    <w:rsid w:val="006D6FEC"/>
    <w:rsid w:val="006E2472"/>
    <w:rsid w:val="006E44A8"/>
    <w:rsid w:val="006E74DD"/>
    <w:rsid w:val="006F213F"/>
    <w:rsid w:val="006F5552"/>
    <w:rsid w:val="00702FD4"/>
    <w:rsid w:val="0070342F"/>
    <w:rsid w:val="00705673"/>
    <w:rsid w:val="007057A0"/>
    <w:rsid w:val="007110EB"/>
    <w:rsid w:val="007268F0"/>
    <w:rsid w:val="00734B42"/>
    <w:rsid w:val="00741F45"/>
    <w:rsid w:val="0074385D"/>
    <w:rsid w:val="0074466E"/>
    <w:rsid w:val="007446B4"/>
    <w:rsid w:val="0074665C"/>
    <w:rsid w:val="007558EE"/>
    <w:rsid w:val="007607F2"/>
    <w:rsid w:val="00763BBE"/>
    <w:rsid w:val="00764CC7"/>
    <w:rsid w:val="0078029D"/>
    <w:rsid w:val="00784610"/>
    <w:rsid w:val="00785637"/>
    <w:rsid w:val="00792531"/>
    <w:rsid w:val="00797CE5"/>
    <w:rsid w:val="007B2C0A"/>
    <w:rsid w:val="007B5F5A"/>
    <w:rsid w:val="007B5FF0"/>
    <w:rsid w:val="007B60CB"/>
    <w:rsid w:val="007D6007"/>
    <w:rsid w:val="007D6939"/>
    <w:rsid w:val="007E18D5"/>
    <w:rsid w:val="007E4C7D"/>
    <w:rsid w:val="007F18FB"/>
    <w:rsid w:val="007F2FD6"/>
    <w:rsid w:val="007F33A5"/>
    <w:rsid w:val="007F4E6D"/>
    <w:rsid w:val="007F75CF"/>
    <w:rsid w:val="00805079"/>
    <w:rsid w:val="0080517F"/>
    <w:rsid w:val="0082616B"/>
    <w:rsid w:val="00831362"/>
    <w:rsid w:val="008423D6"/>
    <w:rsid w:val="00856250"/>
    <w:rsid w:val="00857CD1"/>
    <w:rsid w:val="00862EEE"/>
    <w:rsid w:val="008643CC"/>
    <w:rsid w:val="00870D1D"/>
    <w:rsid w:val="00874BCA"/>
    <w:rsid w:val="00875618"/>
    <w:rsid w:val="00876423"/>
    <w:rsid w:val="00876B7B"/>
    <w:rsid w:val="00880021"/>
    <w:rsid w:val="00884591"/>
    <w:rsid w:val="00886F43"/>
    <w:rsid w:val="00891900"/>
    <w:rsid w:val="008977A5"/>
    <w:rsid w:val="008A3B65"/>
    <w:rsid w:val="008A6DEA"/>
    <w:rsid w:val="008B2FDA"/>
    <w:rsid w:val="008C3AA9"/>
    <w:rsid w:val="008D14DB"/>
    <w:rsid w:val="008D1EB8"/>
    <w:rsid w:val="008D22C2"/>
    <w:rsid w:val="008D2567"/>
    <w:rsid w:val="008D3EBC"/>
    <w:rsid w:val="008D51DE"/>
    <w:rsid w:val="008E041B"/>
    <w:rsid w:val="008E441D"/>
    <w:rsid w:val="008E4D35"/>
    <w:rsid w:val="008E5DAD"/>
    <w:rsid w:val="008F2DBC"/>
    <w:rsid w:val="008F7FA1"/>
    <w:rsid w:val="00905707"/>
    <w:rsid w:val="0091098E"/>
    <w:rsid w:val="00911F09"/>
    <w:rsid w:val="009200B0"/>
    <w:rsid w:val="009228BD"/>
    <w:rsid w:val="0092427B"/>
    <w:rsid w:val="0092451D"/>
    <w:rsid w:val="00924D9B"/>
    <w:rsid w:val="0093063E"/>
    <w:rsid w:val="009337A0"/>
    <w:rsid w:val="00933BB0"/>
    <w:rsid w:val="00934B28"/>
    <w:rsid w:val="00936946"/>
    <w:rsid w:val="0094081C"/>
    <w:rsid w:val="0095447F"/>
    <w:rsid w:val="00960116"/>
    <w:rsid w:val="0096055D"/>
    <w:rsid w:val="00962278"/>
    <w:rsid w:val="009722FA"/>
    <w:rsid w:val="0097382E"/>
    <w:rsid w:val="0097778A"/>
    <w:rsid w:val="009806F6"/>
    <w:rsid w:val="009838DA"/>
    <w:rsid w:val="00984ACE"/>
    <w:rsid w:val="009873E6"/>
    <w:rsid w:val="00990553"/>
    <w:rsid w:val="009944A0"/>
    <w:rsid w:val="00996564"/>
    <w:rsid w:val="00997616"/>
    <w:rsid w:val="009A1C60"/>
    <w:rsid w:val="009B112E"/>
    <w:rsid w:val="009B4C46"/>
    <w:rsid w:val="009C126B"/>
    <w:rsid w:val="009C14E4"/>
    <w:rsid w:val="009C371A"/>
    <w:rsid w:val="009D368C"/>
    <w:rsid w:val="009D632B"/>
    <w:rsid w:val="009E4145"/>
    <w:rsid w:val="009F6C1F"/>
    <w:rsid w:val="009F7BB2"/>
    <w:rsid w:val="00A14845"/>
    <w:rsid w:val="00A1789B"/>
    <w:rsid w:val="00A23F44"/>
    <w:rsid w:val="00A26995"/>
    <w:rsid w:val="00A32D97"/>
    <w:rsid w:val="00A33C33"/>
    <w:rsid w:val="00A424A9"/>
    <w:rsid w:val="00A4406C"/>
    <w:rsid w:val="00A5137A"/>
    <w:rsid w:val="00A63BD6"/>
    <w:rsid w:val="00A641AE"/>
    <w:rsid w:val="00A6487E"/>
    <w:rsid w:val="00A74057"/>
    <w:rsid w:val="00A90EA8"/>
    <w:rsid w:val="00A9474B"/>
    <w:rsid w:val="00AA5F85"/>
    <w:rsid w:val="00AA6CEA"/>
    <w:rsid w:val="00AB66B3"/>
    <w:rsid w:val="00AC5A69"/>
    <w:rsid w:val="00AC6F3F"/>
    <w:rsid w:val="00AD2903"/>
    <w:rsid w:val="00AD39DA"/>
    <w:rsid w:val="00AE06FF"/>
    <w:rsid w:val="00AE1C6B"/>
    <w:rsid w:val="00AE24E9"/>
    <w:rsid w:val="00AE2CB0"/>
    <w:rsid w:val="00AE5DD7"/>
    <w:rsid w:val="00AF0B89"/>
    <w:rsid w:val="00AF1339"/>
    <w:rsid w:val="00B219EC"/>
    <w:rsid w:val="00B37378"/>
    <w:rsid w:val="00B4410C"/>
    <w:rsid w:val="00B464A5"/>
    <w:rsid w:val="00B47A1F"/>
    <w:rsid w:val="00B50A28"/>
    <w:rsid w:val="00B54D6C"/>
    <w:rsid w:val="00B570F3"/>
    <w:rsid w:val="00B6075D"/>
    <w:rsid w:val="00B61EDF"/>
    <w:rsid w:val="00B67D8E"/>
    <w:rsid w:val="00B71DD6"/>
    <w:rsid w:val="00B72654"/>
    <w:rsid w:val="00B84D34"/>
    <w:rsid w:val="00BA020E"/>
    <w:rsid w:val="00BA0725"/>
    <w:rsid w:val="00BA1F8B"/>
    <w:rsid w:val="00BA42F2"/>
    <w:rsid w:val="00BA4B68"/>
    <w:rsid w:val="00BB6A9C"/>
    <w:rsid w:val="00BC06E5"/>
    <w:rsid w:val="00BC1105"/>
    <w:rsid w:val="00BE4123"/>
    <w:rsid w:val="00BF171D"/>
    <w:rsid w:val="00BF4272"/>
    <w:rsid w:val="00C1144B"/>
    <w:rsid w:val="00C13758"/>
    <w:rsid w:val="00C15636"/>
    <w:rsid w:val="00C15669"/>
    <w:rsid w:val="00C22321"/>
    <w:rsid w:val="00C227AA"/>
    <w:rsid w:val="00C25883"/>
    <w:rsid w:val="00C267AF"/>
    <w:rsid w:val="00C31ADB"/>
    <w:rsid w:val="00C35A51"/>
    <w:rsid w:val="00C470C9"/>
    <w:rsid w:val="00C47DC3"/>
    <w:rsid w:val="00C522D2"/>
    <w:rsid w:val="00C5289A"/>
    <w:rsid w:val="00C52B48"/>
    <w:rsid w:val="00C60101"/>
    <w:rsid w:val="00C62A80"/>
    <w:rsid w:val="00C6404E"/>
    <w:rsid w:val="00C64722"/>
    <w:rsid w:val="00C67B6D"/>
    <w:rsid w:val="00C71963"/>
    <w:rsid w:val="00C77AA5"/>
    <w:rsid w:val="00C83BE5"/>
    <w:rsid w:val="00C86681"/>
    <w:rsid w:val="00C86B99"/>
    <w:rsid w:val="00C9459B"/>
    <w:rsid w:val="00C94D8B"/>
    <w:rsid w:val="00CA0298"/>
    <w:rsid w:val="00CA3BB0"/>
    <w:rsid w:val="00CB0C05"/>
    <w:rsid w:val="00CB1F3D"/>
    <w:rsid w:val="00CB2BAC"/>
    <w:rsid w:val="00CD7910"/>
    <w:rsid w:val="00CD7E90"/>
    <w:rsid w:val="00CE0F27"/>
    <w:rsid w:val="00CE22F6"/>
    <w:rsid w:val="00CF0900"/>
    <w:rsid w:val="00CF3655"/>
    <w:rsid w:val="00CF381D"/>
    <w:rsid w:val="00CF43B4"/>
    <w:rsid w:val="00D012AB"/>
    <w:rsid w:val="00D077BE"/>
    <w:rsid w:val="00D2259E"/>
    <w:rsid w:val="00D31E18"/>
    <w:rsid w:val="00D36B65"/>
    <w:rsid w:val="00D4539E"/>
    <w:rsid w:val="00D45B42"/>
    <w:rsid w:val="00D52BA3"/>
    <w:rsid w:val="00D55DC2"/>
    <w:rsid w:val="00D60C13"/>
    <w:rsid w:val="00D64092"/>
    <w:rsid w:val="00D72880"/>
    <w:rsid w:val="00D73B92"/>
    <w:rsid w:val="00D772ED"/>
    <w:rsid w:val="00D77E99"/>
    <w:rsid w:val="00D87F1F"/>
    <w:rsid w:val="00D921E7"/>
    <w:rsid w:val="00D95F55"/>
    <w:rsid w:val="00DA3619"/>
    <w:rsid w:val="00DA7D10"/>
    <w:rsid w:val="00DB71E7"/>
    <w:rsid w:val="00DC0C42"/>
    <w:rsid w:val="00DC3BB0"/>
    <w:rsid w:val="00DC6250"/>
    <w:rsid w:val="00DF058E"/>
    <w:rsid w:val="00DF094A"/>
    <w:rsid w:val="00DF2DF7"/>
    <w:rsid w:val="00DF5409"/>
    <w:rsid w:val="00DF5C02"/>
    <w:rsid w:val="00DF71C8"/>
    <w:rsid w:val="00DF7E05"/>
    <w:rsid w:val="00E106DD"/>
    <w:rsid w:val="00E12165"/>
    <w:rsid w:val="00E12A25"/>
    <w:rsid w:val="00E14334"/>
    <w:rsid w:val="00E17201"/>
    <w:rsid w:val="00E20EE5"/>
    <w:rsid w:val="00E32E04"/>
    <w:rsid w:val="00E3367D"/>
    <w:rsid w:val="00E3715F"/>
    <w:rsid w:val="00E406A0"/>
    <w:rsid w:val="00E42994"/>
    <w:rsid w:val="00E43262"/>
    <w:rsid w:val="00E46C1F"/>
    <w:rsid w:val="00E533AE"/>
    <w:rsid w:val="00E551E0"/>
    <w:rsid w:val="00E57E34"/>
    <w:rsid w:val="00E6244E"/>
    <w:rsid w:val="00E64FAA"/>
    <w:rsid w:val="00E747E0"/>
    <w:rsid w:val="00E80306"/>
    <w:rsid w:val="00E86682"/>
    <w:rsid w:val="00E86997"/>
    <w:rsid w:val="00E875F2"/>
    <w:rsid w:val="00E90AF5"/>
    <w:rsid w:val="00E93695"/>
    <w:rsid w:val="00EA0F19"/>
    <w:rsid w:val="00EA1E54"/>
    <w:rsid w:val="00EA2897"/>
    <w:rsid w:val="00EA6339"/>
    <w:rsid w:val="00EA642B"/>
    <w:rsid w:val="00EB0D94"/>
    <w:rsid w:val="00EC138B"/>
    <w:rsid w:val="00EC488A"/>
    <w:rsid w:val="00EC6570"/>
    <w:rsid w:val="00ED30B5"/>
    <w:rsid w:val="00ED5603"/>
    <w:rsid w:val="00EE748A"/>
    <w:rsid w:val="00EE7F6C"/>
    <w:rsid w:val="00EF4CD3"/>
    <w:rsid w:val="00EF577E"/>
    <w:rsid w:val="00F03A5E"/>
    <w:rsid w:val="00F06A3C"/>
    <w:rsid w:val="00F13D9A"/>
    <w:rsid w:val="00F2146C"/>
    <w:rsid w:val="00F23E9F"/>
    <w:rsid w:val="00F25879"/>
    <w:rsid w:val="00F27089"/>
    <w:rsid w:val="00F27621"/>
    <w:rsid w:val="00F3168C"/>
    <w:rsid w:val="00F31835"/>
    <w:rsid w:val="00F378E4"/>
    <w:rsid w:val="00F45FF7"/>
    <w:rsid w:val="00F46AA0"/>
    <w:rsid w:val="00F514B4"/>
    <w:rsid w:val="00F56BC0"/>
    <w:rsid w:val="00F60537"/>
    <w:rsid w:val="00F61968"/>
    <w:rsid w:val="00F66C39"/>
    <w:rsid w:val="00F702F0"/>
    <w:rsid w:val="00F74603"/>
    <w:rsid w:val="00F83726"/>
    <w:rsid w:val="00F91C08"/>
    <w:rsid w:val="00F96072"/>
    <w:rsid w:val="00F9650F"/>
    <w:rsid w:val="00FA3D37"/>
    <w:rsid w:val="00FA5DAD"/>
    <w:rsid w:val="00FA5F9A"/>
    <w:rsid w:val="00FA620A"/>
    <w:rsid w:val="00FA668E"/>
    <w:rsid w:val="00FB0DB8"/>
    <w:rsid w:val="00FB4412"/>
    <w:rsid w:val="00FB5B7F"/>
    <w:rsid w:val="00FC646C"/>
    <w:rsid w:val="00FD2BCA"/>
    <w:rsid w:val="00FE0108"/>
    <w:rsid w:val="00FE1A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412"/>
    <w:pPr>
      <w:spacing w:after="200" w:line="276" w:lineRule="auto"/>
    </w:pPr>
    <w:rPr>
      <w:rFonts w:cs="Calibri"/>
      <w:sz w:val="2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364204"/>
  </w:style>
  <w:style w:type="paragraph" w:styleId="Footer">
    <w:name w:val="footer"/>
    <w:basedOn w:val="Normal"/>
    <w:link w:val="FooterChar"/>
    <w:uiPriority w:val="99"/>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64204"/>
  </w:style>
  <w:style w:type="paragraph" w:styleId="FootnoteText">
    <w:name w:val="footnote text"/>
    <w:basedOn w:val="Normal"/>
    <w:link w:val="FootnoteTextChar"/>
    <w:uiPriority w:val="99"/>
    <w:semiHidden/>
    <w:rsid w:val="0082616B"/>
    <w:pPr>
      <w:spacing w:after="0" w:line="240" w:lineRule="auto"/>
    </w:pPr>
    <w:rPr>
      <w:sz w:val="20"/>
      <w:szCs w:val="20"/>
    </w:rPr>
  </w:style>
  <w:style w:type="character" w:customStyle="1" w:styleId="FootnoteTextChar">
    <w:name w:val="Footnote Text Char"/>
    <w:basedOn w:val="DefaultParagraphFont"/>
    <w:link w:val="FootnoteText"/>
    <w:uiPriority w:val="99"/>
    <w:locked/>
    <w:rsid w:val="0082616B"/>
    <w:rPr>
      <w:sz w:val="20"/>
      <w:szCs w:val="20"/>
    </w:rPr>
  </w:style>
  <w:style w:type="paragraph" w:styleId="BalloonText">
    <w:name w:val="Balloon Text"/>
    <w:basedOn w:val="Normal"/>
    <w:link w:val="BalloonTextChar"/>
    <w:uiPriority w:val="99"/>
    <w:semiHidden/>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F4E6D"/>
    <w:rPr>
      <w:rFonts w:ascii="Tahoma" w:hAnsi="Tahoma" w:cs="Tahoma"/>
      <w:sz w:val="16"/>
      <w:szCs w:val="16"/>
    </w:rPr>
  </w:style>
  <w:style w:type="paragraph" w:styleId="ListParagraph">
    <w:name w:val="List Paragraph"/>
    <w:aliases w:val="List Paragraph1,List1,Списък на абзаци,List Paragraph11"/>
    <w:basedOn w:val="Normal"/>
    <w:link w:val="ListParagraphChar"/>
    <w:uiPriority w:val="99"/>
    <w:qFormat/>
    <w:rsid w:val="007F4E6D"/>
    <w:pPr>
      <w:ind w:left="720"/>
    </w:pPr>
  </w:style>
  <w:style w:type="character" w:styleId="FootnoteReference">
    <w:name w:val="footnote reference"/>
    <w:aliases w:val="Footnote symbol"/>
    <w:basedOn w:val="DefaultParagraphFont"/>
    <w:uiPriority w:val="99"/>
    <w:semiHidden/>
    <w:rsid w:val="000568E4"/>
    <w:rPr>
      <w:vertAlign w:val="superscript"/>
    </w:rPr>
  </w:style>
  <w:style w:type="character" w:styleId="CommentReference">
    <w:name w:val="annotation reference"/>
    <w:basedOn w:val="DefaultParagraphFont"/>
    <w:uiPriority w:val="99"/>
    <w:semiHidden/>
    <w:rsid w:val="006D243B"/>
    <w:rPr>
      <w:sz w:val="16"/>
      <w:szCs w:val="16"/>
    </w:rPr>
  </w:style>
  <w:style w:type="paragraph" w:styleId="CommentText">
    <w:name w:val="annotation text"/>
    <w:basedOn w:val="Normal"/>
    <w:link w:val="CommentTextChar"/>
    <w:uiPriority w:val="99"/>
    <w:semiHidden/>
    <w:rsid w:val="006D243B"/>
    <w:pPr>
      <w:spacing w:line="240" w:lineRule="auto"/>
    </w:pPr>
    <w:rPr>
      <w:sz w:val="20"/>
      <w:szCs w:val="20"/>
    </w:rPr>
  </w:style>
  <w:style w:type="character" w:customStyle="1" w:styleId="CommentTextChar">
    <w:name w:val="Comment Text Char"/>
    <w:basedOn w:val="DefaultParagraphFont"/>
    <w:link w:val="CommentText"/>
    <w:uiPriority w:val="99"/>
    <w:semiHidden/>
    <w:locked/>
    <w:rsid w:val="006D243B"/>
    <w:rPr>
      <w:sz w:val="20"/>
      <w:szCs w:val="20"/>
    </w:rPr>
  </w:style>
  <w:style w:type="paragraph" w:styleId="CommentSubject">
    <w:name w:val="annotation subject"/>
    <w:basedOn w:val="CommentText"/>
    <w:next w:val="CommentText"/>
    <w:link w:val="CommentSubjectChar"/>
    <w:uiPriority w:val="99"/>
    <w:semiHidden/>
    <w:rsid w:val="006D243B"/>
    <w:rPr>
      <w:b/>
      <w:bCs/>
    </w:rPr>
  </w:style>
  <w:style w:type="character" w:customStyle="1" w:styleId="CommentSubjectChar">
    <w:name w:val="Comment Subject Char"/>
    <w:basedOn w:val="CommentTextChar"/>
    <w:link w:val="CommentSubject"/>
    <w:uiPriority w:val="99"/>
    <w:semiHidden/>
    <w:locked/>
    <w:rsid w:val="006D243B"/>
    <w:rPr>
      <w:b/>
      <w:bCs/>
      <w:sz w:val="20"/>
      <w:szCs w:val="20"/>
    </w:rPr>
  </w:style>
  <w:style w:type="paragraph" w:styleId="NormalWeb">
    <w:name w:val="Normal (Web)"/>
    <w:basedOn w:val="Normal"/>
    <w:uiPriority w:val="99"/>
    <w:semiHidden/>
    <w:rsid w:val="00262C14"/>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ListParagraphChar">
    <w:name w:val="List Paragraph Char"/>
    <w:aliases w:val="List Paragraph1 Char,List1 Char,Списък на абзаци Char,List Paragraph11 Char"/>
    <w:link w:val="ListParagraph"/>
    <w:uiPriority w:val="99"/>
    <w:locked/>
    <w:rsid w:val="001C4B67"/>
  </w:style>
  <w:style w:type="character" w:customStyle="1" w:styleId="apple-converted-space">
    <w:name w:val="apple-converted-space"/>
    <w:basedOn w:val="DefaultParagraphFont"/>
    <w:uiPriority w:val="99"/>
    <w:rsid w:val="007F2F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412"/>
    <w:pPr>
      <w:spacing w:after="200" w:line="276" w:lineRule="auto"/>
    </w:pPr>
    <w:rPr>
      <w:rFonts w:cs="Calibri"/>
      <w:sz w:val="2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364204"/>
  </w:style>
  <w:style w:type="paragraph" w:styleId="Footer">
    <w:name w:val="footer"/>
    <w:basedOn w:val="Normal"/>
    <w:link w:val="FooterChar"/>
    <w:uiPriority w:val="99"/>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64204"/>
  </w:style>
  <w:style w:type="paragraph" w:styleId="FootnoteText">
    <w:name w:val="footnote text"/>
    <w:basedOn w:val="Normal"/>
    <w:link w:val="FootnoteTextChar"/>
    <w:uiPriority w:val="99"/>
    <w:semiHidden/>
    <w:rsid w:val="0082616B"/>
    <w:pPr>
      <w:spacing w:after="0" w:line="240" w:lineRule="auto"/>
    </w:pPr>
    <w:rPr>
      <w:sz w:val="20"/>
      <w:szCs w:val="20"/>
    </w:rPr>
  </w:style>
  <w:style w:type="character" w:customStyle="1" w:styleId="FootnoteTextChar">
    <w:name w:val="Footnote Text Char"/>
    <w:basedOn w:val="DefaultParagraphFont"/>
    <w:link w:val="FootnoteText"/>
    <w:uiPriority w:val="99"/>
    <w:locked/>
    <w:rsid w:val="0082616B"/>
    <w:rPr>
      <w:sz w:val="20"/>
      <w:szCs w:val="20"/>
    </w:rPr>
  </w:style>
  <w:style w:type="paragraph" w:styleId="BalloonText">
    <w:name w:val="Balloon Text"/>
    <w:basedOn w:val="Normal"/>
    <w:link w:val="BalloonTextChar"/>
    <w:uiPriority w:val="99"/>
    <w:semiHidden/>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F4E6D"/>
    <w:rPr>
      <w:rFonts w:ascii="Tahoma" w:hAnsi="Tahoma" w:cs="Tahoma"/>
      <w:sz w:val="16"/>
      <w:szCs w:val="16"/>
    </w:rPr>
  </w:style>
  <w:style w:type="paragraph" w:styleId="ListParagraph">
    <w:name w:val="List Paragraph"/>
    <w:aliases w:val="List Paragraph1,List1,Списък на абзаци,List Paragraph11"/>
    <w:basedOn w:val="Normal"/>
    <w:link w:val="ListParagraphChar"/>
    <w:uiPriority w:val="99"/>
    <w:qFormat/>
    <w:rsid w:val="007F4E6D"/>
    <w:pPr>
      <w:ind w:left="720"/>
    </w:pPr>
  </w:style>
  <w:style w:type="character" w:styleId="FootnoteReference">
    <w:name w:val="footnote reference"/>
    <w:aliases w:val="Footnote symbol"/>
    <w:basedOn w:val="DefaultParagraphFont"/>
    <w:uiPriority w:val="99"/>
    <w:semiHidden/>
    <w:rsid w:val="000568E4"/>
    <w:rPr>
      <w:vertAlign w:val="superscript"/>
    </w:rPr>
  </w:style>
  <w:style w:type="character" w:styleId="CommentReference">
    <w:name w:val="annotation reference"/>
    <w:basedOn w:val="DefaultParagraphFont"/>
    <w:uiPriority w:val="99"/>
    <w:semiHidden/>
    <w:rsid w:val="006D243B"/>
    <w:rPr>
      <w:sz w:val="16"/>
      <w:szCs w:val="16"/>
    </w:rPr>
  </w:style>
  <w:style w:type="paragraph" w:styleId="CommentText">
    <w:name w:val="annotation text"/>
    <w:basedOn w:val="Normal"/>
    <w:link w:val="CommentTextChar"/>
    <w:uiPriority w:val="99"/>
    <w:semiHidden/>
    <w:rsid w:val="006D243B"/>
    <w:pPr>
      <w:spacing w:line="240" w:lineRule="auto"/>
    </w:pPr>
    <w:rPr>
      <w:sz w:val="20"/>
      <w:szCs w:val="20"/>
    </w:rPr>
  </w:style>
  <w:style w:type="character" w:customStyle="1" w:styleId="CommentTextChar">
    <w:name w:val="Comment Text Char"/>
    <w:basedOn w:val="DefaultParagraphFont"/>
    <w:link w:val="CommentText"/>
    <w:uiPriority w:val="99"/>
    <w:semiHidden/>
    <w:locked/>
    <w:rsid w:val="006D243B"/>
    <w:rPr>
      <w:sz w:val="20"/>
      <w:szCs w:val="20"/>
    </w:rPr>
  </w:style>
  <w:style w:type="paragraph" w:styleId="CommentSubject">
    <w:name w:val="annotation subject"/>
    <w:basedOn w:val="CommentText"/>
    <w:next w:val="CommentText"/>
    <w:link w:val="CommentSubjectChar"/>
    <w:uiPriority w:val="99"/>
    <w:semiHidden/>
    <w:rsid w:val="006D243B"/>
    <w:rPr>
      <w:b/>
      <w:bCs/>
    </w:rPr>
  </w:style>
  <w:style w:type="character" w:customStyle="1" w:styleId="CommentSubjectChar">
    <w:name w:val="Comment Subject Char"/>
    <w:basedOn w:val="CommentTextChar"/>
    <w:link w:val="CommentSubject"/>
    <w:uiPriority w:val="99"/>
    <w:semiHidden/>
    <w:locked/>
    <w:rsid w:val="006D243B"/>
    <w:rPr>
      <w:b/>
      <w:bCs/>
      <w:sz w:val="20"/>
      <w:szCs w:val="20"/>
    </w:rPr>
  </w:style>
  <w:style w:type="paragraph" w:styleId="NormalWeb">
    <w:name w:val="Normal (Web)"/>
    <w:basedOn w:val="Normal"/>
    <w:uiPriority w:val="99"/>
    <w:semiHidden/>
    <w:rsid w:val="00262C14"/>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ListParagraphChar">
    <w:name w:val="List Paragraph Char"/>
    <w:aliases w:val="List Paragraph1 Char,List1 Char,Списък на абзаци Char,List Paragraph11 Char"/>
    <w:link w:val="ListParagraph"/>
    <w:uiPriority w:val="99"/>
    <w:locked/>
    <w:rsid w:val="001C4B67"/>
  </w:style>
  <w:style w:type="character" w:customStyle="1" w:styleId="apple-converted-space">
    <w:name w:val="apple-converted-space"/>
    <w:basedOn w:val="DefaultParagraphFont"/>
    <w:uiPriority w:val="99"/>
    <w:rsid w:val="007F2F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63399">
      <w:bodyDiv w:val="1"/>
      <w:marLeft w:val="0"/>
      <w:marRight w:val="0"/>
      <w:marTop w:val="0"/>
      <w:marBottom w:val="0"/>
      <w:divBdr>
        <w:top w:val="none" w:sz="0" w:space="0" w:color="auto"/>
        <w:left w:val="none" w:sz="0" w:space="0" w:color="auto"/>
        <w:bottom w:val="none" w:sz="0" w:space="0" w:color="auto"/>
        <w:right w:val="none" w:sz="0" w:space="0" w:color="auto"/>
      </w:divBdr>
      <w:divsChild>
        <w:div w:id="1228566986">
          <w:marLeft w:val="0"/>
          <w:marRight w:val="0"/>
          <w:marTop w:val="0"/>
          <w:marBottom w:val="0"/>
          <w:divBdr>
            <w:top w:val="none" w:sz="0" w:space="0" w:color="auto"/>
            <w:left w:val="none" w:sz="0" w:space="0" w:color="auto"/>
            <w:bottom w:val="none" w:sz="0" w:space="0" w:color="auto"/>
            <w:right w:val="none" w:sz="0" w:space="0" w:color="auto"/>
          </w:divBdr>
        </w:div>
        <w:div w:id="1932545091">
          <w:marLeft w:val="0"/>
          <w:marRight w:val="0"/>
          <w:marTop w:val="0"/>
          <w:marBottom w:val="0"/>
          <w:divBdr>
            <w:top w:val="none" w:sz="0" w:space="0" w:color="auto"/>
            <w:left w:val="none" w:sz="0" w:space="0" w:color="auto"/>
            <w:bottom w:val="none" w:sz="0" w:space="0" w:color="auto"/>
            <w:right w:val="none" w:sz="0" w:space="0" w:color="auto"/>
          </w:divBdr>
        </w:div>
        <w:div w:id="1365868223">
          <w:marLeft w:val="0"/>
          <w:marRight w:val="0"/>
          <w:marTop w:val="0"/>
          <w:marBottom w:val="0"/>
          <w:divBdr>
            <w:top w:val="none" w:sz="0" w:space="0" w:color="auto"/>
            <w:left w:val="none" w:sz="0" w:space="0" w:color="auto"/>
            <w:bottom w:val="none" w:sz="0" w:space="0" w:color="auto"/>
            <w:right w:val="none" w:sz="0" w:space="0" w:color="auto"/>
          </w:divBdr>
        </w:div>
        <w:div w:id="278799508">
          <w:marLeft w:val="0"/>
          <w:marRight w:val="0"/>
          <w:marTop w:val="0"/>
          <w:marBottom w:val="0"/>
          <w:divBdr>
            <w:top w:val="none" w:sz="0" w:space="0" w:color="auto"/>
            <w:left w:val="none" w:sz="0" w:space="0" w:color="auto"/>
            <w:bottom w:val="none" w:sz="0" w:space="0" w:color="auto"/>
            <w:right w:val="none" w:sz="0" w:space="0" w:color="auto"/>
          </w:divBdr>
        </w:div>
        <w:div w:id="1232083309">
          <w:marLeft w:val="0"/>
          <w:marRight w:val="0"/>
          <w:marTop w:val="0"/>
          <w:marBottom w:val="0"/>
          <w:divBdr>
            <w:top w:val="none" w:sz="0" w:space="0" w:color="auto"/>
            <w:left w:val="none" w:sz="0" w:space="0" w:color="auto"/>
            <w:bottom w:val="none" w:sz="0" w:space="0" w:color="auto"/>
            <w:right w:val="none" w:sz="0" w:space="0" w:color="auto"/>
          </w:divBdr>
        </w:div>
        <w:div w:id="2055688361">
          <w:marLeft w:val="0"/>
          <w:marRight w:val="0"/>
          <w:marTop w:val="0"/>
          <w:marBottom w:val="0"/>
          <w:divBdr>
            <w:top w:val="none" w:sz="0" w:space="0" w:color="auto"/>
            <w:left w:val="none" w:sz="0" w:space="0" w:color="auto"/>
            <w:bottom w:val="none" w:sz="0" w:space="0" w:color="auto"/>
            <w:right w:val="none" w:sz="0" w:space="0" w:color="auto"/>
          </w:divBdr>
        </w:div>
      </w:divsChild>
    </w:div>
    <w:div w:id="530647186">
      <w:bodyDiv w:val="1"/>
      <w:marLeft w:val="0"/>
      <w:marRight w:val="0"/>
      <w:marTop w:val="0"/>
      <w:marBottom w:val="0"/>
      <w:divBdr>
        <w:top w:val="none" w:sz="0" w:space="0" w:color="auto"/>
        <w:left w:val="none" w:sz="0" w:space="0" w:color="auto"/>
        <w:bottom w:val="none" w:sz="0" w:space="0" w:color="auto"/>
        <w:right w:val="none" w:sz="0" w:space="0" w:color="auto"/>
      </w:divBdr>
      <w:divsChild>
        <w:div w:id="1976132810">
          <w:marLeft w:val="0"/>
          <w:marRight w:val="0"/>
          <w:marTop w:val="0"/>
          <w:marBottom w:val="0"/>
          <w:divBdr>
            <w:top w:val="none" w:sz="0" w:space="0" w:color="auto"/>
            <w:left w:val="none" w:sz="0" w:space="0" w:color="auto"/>
            <w:bottom w:val="none" w:sz="0" w:space="0" w:color="auto"/>
            <w:right w:val="none" w:sz="0" w:space="0" w:color="auto"/>
          </w:divBdr>
        </w:div>
        <w:div w:id="1246256947">
          <w:marLeft w:val="0"/>
          <w:marRight w:val="0"/>
          <w:marTop w:val="0"/>
          <w:marBottom w:val="0"/>
          <w:divBdr>
            <w:top w:val="none" w:sz="0" w:space="0" w:color="auto"/>
            <w:left w:val="none" w:sz="0" w:space="0" w:color="auto"/>
            <w:bottom w:val="none" w:sz="0" w:space="0" w:color="auto"/>
            <w:right w:val="none" w:sz="0" w:space="0" w:color="auto"/>
          </w:divBdr>
        </w:div>
        <w:div w:id="1465536290">
          <w:marLeft w:val="0"/>
          <w:marRight w:val="0"/>
          <w:marTop w:val="0"/>
          <w:marBottom w:val="0"/>
          <w:divBdr>
            <w:top w:val="none" w:sz="0" w:space="0" w:color="auto"/>
            <w:left w:val="none" w:sz="0" w:space="0" w:color="auto"/>
            <w:bottom w:val="none" w:sz="0" w:space="0" w:color="auto"/>
            <w:right w:val="none" w:sz="0" w:space="0" w:color="auto"/>
          </w:divBdr>
        </w:div>
        <w:div w:id="1552379191">
          <w:marLeft w:val="0"/>
          <w:marRight w:val="0"/>
          <w:marTop w:val="0"/>
          <w:marBottom w:val="0"/>
          <w:divBdr>
            <w:top w:val="none" w:sz="0" w:space="0" w:color="auto"/>
            <w:left w:val="none" w:sz="0" w:space="0" w:color="auto"/>
            <w:bottom w:val="none" w:sz="0" w:space="0" w:color="auto"/>
            <w:right w:val="none" w:sz="0" w:space="0" w:color="auto"/>
          </w:divBdr>
        </w:div>
        <w:div w:id="1905985668">
          <w:marLeft w:val="0"/>
          <w:marRight w:val="0"/>
          <w:marTop w:val="0"/>
          <w:marBottom w:val="0"/>
          <w:divBdr>
            <w:top w:val="none" w:sz="0" w:space="0" w:color="auto"/>
            <w:left w:val="none" w:sz="0" w:space="0" w:color="auto"/>
            <w:bottom w:val="none" w:sz="0" w:space="0" w:color="auto"/>
            <w:right w:val="none" w:sz="0" w:space="0" w:color="auto"/>
          </w:divBdr>
        </w:div>
        <w:div w:id="1116751106">
          <w:marLeft w:val="0"/>
          <w:marRight w:val="0"/>
          <w:marTop w:val="0"/>
          <w:marBottom w:val="0"/>
          <w:divBdr>
            <w:top w:val="none" w:sz="0" w:space="0" w:color="auto"/>
            <w:left w:val="none" w:sz="0" w:space="0" w:color="auto"/>
            <w:bottom w:val="none" w:sz="0" w:space="0" w:color="auto"/>
            <w:right w:val="none" w:sz="0" w:space="0" w:color="auto"/>
          </w:divBdr>
        </w:div>
        <w:div w:id="2023043697">
          <w:marLeft w:val="0"/>
          <w:marRight w:val="0"/>
          <w:marTop w:val="0"/>
          <w:marBottom w:val="0"/>
          <w:divBdr>
            <w:top w:val="none" w:sz="0" w:space="0" w:color="auto"/>
            <w:left w:val="none" w:sz="0" w:space="0" w:color="auto"/>
            <w:bottom w:val="none" w:sz="0" w:space="0" w:color="auto"/>
            <w:right w:val="none" w:sz="0" w:space="0" w:color="auto"/>
          </w:divBdr>
        </w:div>
      </w:divsChild>
    </w:div>
    <w:div w:id="589042530">
      <w:bodyDiv w:val="1"/>
      <w:marLeft w:val="0"/>
      <w:marRight w:val="0"/>
      <w:marTop w:val="0"/>
      <w:marBottom w:val="0"/>
      <w:divBdr>
        <w:top w:val="none" w:sz="0" w:space="0" w:color="auto"/>
        <w:left w:val="none" w:sz="0" w:space="0" w:color="auto"/>
        <w:bottom w:val="none" w:sz="0" w:space="0" w:color="auto"/>
        <w:right w:val="none" w:sz="0" w:space="0" w:color="auto"/>
      </w:divBdr>
      <w:divsChild>
        <w:div w:id="1731539347">
          <w:marLeft w:val="0"/>
          <w:marRight w:val="0"/>
          <w:marTop w:val="0"/>
          <w:marBottom w:val="0"/>
          <w:divBdr>
            <w:top w:val="none" w:sz="0" w:space="0" w:color="auto"/>
            <w:left w:val="none" w:sz="0" w:space="0" w:color="auto"/>
            <w:bottom w:val="none" w:sz="0" w:space="0" w:color="auto"/>
            <w:right w:val="none" w:sz="0" w:space="0" w:color="auto"/>
          </w:divBdr>
        </w:div>
        <w:div w:id="1725176894">
          <w:marLeft w:val="0"/>
          <w:marRight w:val="0"/>
          <w:marTop w:val="0"/>
          <w:marBottom w:val="0"/>
          <w:divBdr>
            <w:top w:val="none" w:sz="0" w:space="0" w:color="auto"/>
            <w:left w:val="none" w:sz="0" w:space="0" w:color="auto"/>
            <w:bottom w:val="none" w:sz="0" w:space="0" w:color="auto"/>
            <w:right w:val="none" w:sz="0" w:space="0" w:color="auto"/>
          </w:divBdr>
        </w:div>
        <w:div w:id="2141796824">
          <w:marLeft w:val="0"/>
          <w:marRight w:val="0"/>
          <w:marTop w:val="0"/>
          <w:marBottom w:val="0"/>
          <w:divBdr>
            <w:top w:val="none" w:sz="0" w:space="0" w:color="auto"/>
            <w:left w:val="none" w:sz="0" w:space="0" w:color="auto"/>
            <w:bottom w:val="none" w:sz="0" w:space="0" w:color="auto"/>
            <w:right w:val="none" w:sz="0" w:space="0" w:color="auto"/>
          </w:divBdr>
        </w:div>
        <w:div w:id="754593046">
          <w:marLeft w:val="0"/>
          <w:marRight w:val="0"/>
          <w:marTop w:val="0"/>
          <w:marBottom w:val="0"/>
          <w:divBdr>
            <w:top w:val="none" w:sz="0" w:space="0" w:color="auto"/>
            <w:left w:val="none" w:sz="0" w:space="0" w:color="auto"/>
            <w:bottom w:val="none" w:sz="0" w:space="0" w:color="auto"/>
            <w:right w:val="none" w:sz="0" w:space="0" w:color="auto"/>
          </w:divBdr>
        </w:div>
        <w:div w:id="737635403">
          <w:marLeft w:val="0"/>
          <w:marRight w:val="0"/>
          <w:marTop w:val="0"/>
          <w:marBottom w:val="0"/>
          <w:divBdr>
            <w:top w:val="none" w:sz="0" w:space="0" w:color="auto"/>
            <w:left w:val="none" w:sz="0" w:space="0" w:color="auto"/>
            <w:bottom w:val="none" w:sz="0" w:space="0" w:color="auto"/>
            <w:right w:val="none" w:sz="0" w:space="0" w:color="auto"/>
          </w:divBdr>
        </w:div>
      </w:divsChild>
    </w:div>
    <w:div w:id="948700618">
      <w:bodyDiv w:val="1"/>
      <w:marLeft w:val="0"/>
      <w:marRight w:val="0"/>
      <w:marTop w:val="0"/>
      <w:marBottom w:val="0"/>
      <w:divBdr>
        <w:top w:val="none" w:sz="0" w:space="0" w:color="auto"/>
        <w:left w:val="none" w:sz="0" w:space="0" w:color="auto"/>
        <w:bottom w:val="none" w:sz="0" w:space="0" w:color="auto"/>
        <w:right w:val="none" w:sz="0" w:space="0" w:color="auto"/>
      </w:divBdr>
      <w:divsChild>
        <w:div w:id="1536431903">
          <w:marLeft w:val="0"/>
          <w:marRight w:val="0"/>
          <w:marTop w:val="0"/>
          <w:marBottom w:val="0"/>
          <w:divBdr>
            <w:top w:val="none" w:sz="0" w:space="0" w:color="auto"/>
            <w:left w:val="none" w:sz="0" w:space="0" w:color="auto"/>
            <w:bottom w:val="none" w:sz="0" w:space="0" w:color="auto"/>
            <w:right w:val="none" w:sz="0" w:space="0" w:color="auto"/>
          </w:divBdr>
        </w:div>
        <w:div w:id="12417614">
          <w:marLeft w:val="0"/>
          <w:marRight w:val="0"/>
          <w:marTop w:val="0"/>
          <w:marBottom w:val="0"/>
          <w:divBdr>
            <w:top w:val="none" w:sz="0" w:space="0" w:color="auto"/>
            <w:left w:val="none" w:sz="0" w:space="0" w:color="auto"/>
            <w:bottom w:val="none" w:sz="0" w:space="0" w:color="auto"/>
            <w:right w:val="none" w:sz="0" w:space="0" w:color="auto"/>
          </w:divBdr>
        </w:div>
        <w:div w:id="890307236">
          <w:marLeft w:val="0"/>
          <w:marRight w:val="0"/>
          <w:marTop w:val="0"/>
          <w:marBottom w:val="0"/>
          <w:divBdr>
            <w:top w:val="none" w:sz="0" w:space="0" w:color="auto"/>
            <w:left w:val="none" w:sz="0" w:space="0" w:color="auto"/>
            <w:bottom w:val="none" w:sz="0" w:space="0" w:color="auto"/>
            <w:right w:val="none" w:sz="0" w:space="0" w:color="auto"/>
          </w:divBdr>
        </w:div>
        <w:div w:id="1665888943">
          <w:marLeft w:val="0"/>
          <w:marRight w:val="0"/>
          <w:marTop w:val="0"/>
          <w:marBottom w:val="0"/>
          <w:divBdr>
            <w:top w:val="none" w:sz="0" w:space="0" w:color="auto"/>
            <w:left w:val="none" w:sz="0" w:space="0" w:color="auto"/>
            <w:bottom w:val="none" w:sz="0" w:space="0" w:color="auto"/>
            <w:right w:val="none" w:sz="0" w:space="0" w:color="auto"/>
          </w:divBdr>
        </w:div>
        <w:div w:id="1440250818">
          <w:marLeft w:val="0"/>
          <w:marRight w:val="0"/>
          <w:marTop w:val="0"/>
          <w:marBottom w:val="0"/>
          <w:divBdr>
            <w:top w:val="none" w:sz="0" w:space="0" w:color="auto"/>
            <w:left w:val="none" w:sz="0" w:space="0" w:color="auto"/>
            <w:bottom w:val="none" w:sz="0" w:space="0" w:color="auto"/>
            <w:right w:val="none" w:sz="0" w:space="0" w:color="auto"/>
          </w:divBdr>
        </w:div>
        <w:div w:id="1585525715">
          <w:marLeft w:val="0"/>
          <w:marRight w:val="0"/>
          <w:marTop w:val="0"/>
          <w:marBottom w:val="0"/>
          <w:divBdr>
            <w:top w:val="none" w:sz="0" w:space="0" w:color="auto"/>
            <w:left w:val="none" w:sz="0" w:space="0" w:color="auto"/>
            <w:bottom w:val="none" w:sz="0" w:space="0" w:color="auto"/>
            <w:right w:val="none" w:sz="0" w:space="0" w:color="auto"/>
          </w:divBdr>
        </w:div>
        <w:div w:id="1271232837">
          <w:marLeft w:val="0"/>
          <w:marRight w:val="0"/>
          <w:marTop w:val="0"/>
          <w:marBottom w:val="0"/>
          <w:divBdr>
            <w:top w:val="none" w:sz="0" w:space="0" w:color="auto"/>
            <w:left w:val="none" w:sz="0" w:space="0" w:color="auto"/>
            <w:bottom w:val="none" w:sz="0" w:space="0" w:color="auto"/>
            <w:right w:val="none" w:sz="0" w:space="0" w:color="auto"/>
          </w:divBdr>
        </w:div>
        <w:div w:id="122431615">
          <w:marLeft w:val="0"/>
          <w:marRight w:val="0"/>
          <w:marTop w:val="0"/>
          <w:marBottom w:val="0"/>
          <w:divBdr>
            <w:top w:val="none" w:sz="0" w:space="0" w:color="auto"/>
            <w:left w:val="none" w:sz="0" w:space="0" w:color="auto"/>
            <w:bottom w:val="none" w:sz="0" w:space="0" w:color="auto"/>
            <w:right w:val="none" w:sz="0" w:space="0" w:color="auto"/>
          </w:divBdr>
        </w:div>
        <w:div w:id="306979967">
          <w:marLeft w:val="0"/>
          <w:marRight w:val="0"/>
          <w:marTop w:val="0"/>
          <w:marBottom w:val="0"/>
          <w:divBdr>
            <w:top w:val="none" w:sz="0" w:space="0" w:color="auto"/>
            <w:left w:val="none" w:sz="0" w:space="0" w:color="auto"/>
            <w:bottom w:val="none" w:sz="0" w:space="0" w:color="auto"/>
            <w:right w:val="none" w:sz="0" w:space="0" w:color="auto"/>
          </w:divBdr>
        </w:div>
        <w:div w:id="943654249">
          <w:marLeft w:val="0"/>
          <w:marRight w:val="0"/>
          <w:marTop w:val="0"/>
          <w:marBottom w:val="0"/>
          <w:divBdr>
            <w:top w:val="none" w:sz="0" w:space="0" w:color="auto"/>
            <w:left w:val="none" w:sz="0" w:space="0" w:color="auto"/>
            <w:bottom w:val="none" w:sz="0" w:space="0" w:color="auto"/>
            <w:right w:val="none" w:sz="0" w:space="0" w:color="auto"/>
          </w:divBdr>
        </w:div>
        <w:div w:id="505244991">
          <w:marLeft w:val="0"/>
          <w:marRight w:val="0"/>
          <w:marTop w:val="0"/>
          <w:marBottom w:val="0"/>
          <w:divBdr>
            <w:top w:val="none" w:sz="0" w:space="0" w:color="auto"/>
            <w:left w:val="none" w:sz="0" w:space="0" w:color="auto"/>
            <w:bottom w:val="none" w:sz="0" w:space="0" w:color="auto"/>
            <w:right w:val="none" w:sz="0" w:space="0" w:color="auto"/>
          </w:divBdr>
        </w:div>
        <w:div w:id="1036196870">
          <w:marLeft w:val="0"/>
          <w:marRight w:val="0"/>
          <w:marTop w:val="0"/>
          <w:marBottom w:val="0"/>
          <w:divBdr>
            <w:top w:val="none" w:sz="0" w:space="0" w:color="auto"/>
            <w:left w:val="none" w:sz="0" w:space="0" w:color="auto"/>
            <w:bottom w:val="none" w:sz="0" w:space="0" w:color="auto"/>
            <w:right w:val="none" w:sz="0" w:space="0" w:color="auto"/>
          </w:divBdr>
        </w:div>
        <w:div w:id="364329794">
          <w:marLeft w:val="0"/>
          <w:marRight w:val="0"/>
          <w:marTop w:val="0"/>
          <w:marBottom w:val="0"/>
          <w:divBdr>
            <w:top w:val="none" w:sz="0" w:space="0" w:color="auto"/>
            <w:left w:val="none" w:sz="0" w:space="0" w:color="auto"/>
            <w:bottom w:val="none" w:sz="0" w:space="0" w:color="auto"/>
            <w:right w:val="none" w:sz="0" w:space="0" w:color="auto"/>
          </w:divBdr>
        </w:div>
        <w:div w:id="1773279308">
          <w:marLeft w:val="0"/>
          <w:marRight w:val="0"/>
          <w:marTop w:val="0"/>
          <w:marBottom w:val="0"/>
          <w:divBdr>
            <w:top w:val="none" w:sz="0" w:space="0" w:color="auto"/>
            <w:left w:val="none" w:sz="0" w:space="0" w:color="auto"/>
            <w:bottom w:val="none" w:sz="0" w:space="0" w:color="auto"/>
            <w:right w:val="none" w:sz="0" w:space="0" w:color="auto"/>
          </w:divBdr>
        </w:div>
        <w:div w:id="1017345877">
          <w:marLeft w:val="0"/>
          <w:marRight w:val="0"/>
          <w:marTop w:val="0"/>
          <w:marBottom w:val="0"/>
          <w:divBdr>
            <w:top w:val="none" w:sz="0" w:space="0" w:color="auto"/>
            <w:left w:val="none" w:sz="0" w:space="0" w:color="auto"/>
            <w:bottom w:val="none" w:sz="0" w:space="0" w:color="auto"/>
            <w:right w:val="none" w:sz="0" w:space="0" w:color="auto"/>
          </w:divBdr>
        </w:div>
        <w:div w:id="566844139">
          <w:marLeft w:val="0"/>
          <w:marRight w:val="0"/>
          <w:marTop w:val="0"/>
          <w:marBottom w:val="0"/>
          <w:divBdr>
            <w:top w:val="none" w:sz="0" w:space="0" w:color="auto"/>
            <w:left w:val="none" w:sz="0" w:space="0" w:color="auto"/>
            <w:bottom w:val="none" w:sz="0" w:space="0" w:color="auto"/>
            <w:right w:val="none" w:sz="0" w:space="0" w:color="auto"/>
          </w:divBdr>
        </w:div>
        <w:div w:id="19399199">
          <w:marLeft w:val="0"/>
          <w:marRight w:val="0"/>
          <w:marTop w:val="0"/>
          <w:marBottom w:val="0"/>
          <w:divBdr>
            <w:top w:val="none" w:sz="0" w:space="0" w:color="auto"/>
            <w:left w:val="none" w:sz="0" w:space="0" w:color="auto"/>
            <w:bottom w:val="none" w:sz="0" w:space="0" w:color="auto"/>
            <w:right w:val="none" w:sz="0" w:space="0" w:color="auto"/>
          </w:divBdr>
        </w:div>
        <w:div w:id="1827282130">
          <w:marLeft w:val="0"/>
          <w:marRight w:val="0"/>
          <w:marTop w:val="0"/>
          <w:marBottom w:val="0"/>
          <w:divBdr>
            <w:top w:val="none" w:sz="0" w:space="0" w:color="auto"/>
            <w:left w:val="none" w:sz="0" w:space="0" w:color="auto"/>
            <w:bottom w:val="none" w:sz="0" w:space="0" w:color="auto"/>
            <w:right w:val="none" w:sz="0" w:space="0" w:color="auto"/>
          </w:divBdr>
        </w:div>
      </w:divsChild>
    </w:div>
    <w:div w:id="1261179287">
      <w:bodyDiv w:val="1"/>
      <w:marLeft w:val="0"/>
      <w:marRight w:val="0"/>
      <w:marTop w:val="0"/>
      <w:marBottom w:val="0"/>
      <w:divBdr>
        <w:top w:val="none" w:sz="0" w:space="0" w:color="auto"/>
        <w:left w:val="none" w:sz="0" w:space="0" w:color="auto"/>
        <w:bottom w:val="none" w:sz="0" w:space="0" w:color="auto"/>
        <w:right w:val="none" w:sz="0" w:space="0" w:color="auto"/>
      </w:divBdr>
      <w:divsChild>
        <w:div w:id="2066220111">
          <w:marLeft w:val="0"/>
          <w:marRight w:val="0"/>
          <w:marTop w:val="0"/>
          <w:marBottom w:val="0"/>
          <w:divBdr>
            <w:top w:val="none" w:sz="0" w:space="0" w:color="auto"/>
            <w:left w:val="none" w:sz="0" w:space="0" w:color="auto"/>
            <w:bottom w:val="none" w:sz="0" w:space="0" w:color="auto"/>
            <w:right w:val="none" w:sz="0" w:space="0" w:color="auto"/>
          </w:divBdr>
        </w:div>
        <w:div w:id="1708215956">
          <w:marLeft w:val="0"/>
          <w:marRight w:val="0"/>
          <w:marTop w:val="0"/>
          <w:marBottom w:val="0"/>
          <w:divBdr>
            <w:top w:val="none" w:sz="0" w:space="0" w:color="auto"/>
            <w:left w:val="none" w:sz="0" w:space="0" w:color="auto"/>
            <w:bottom w:val="none" w:sz="0" w:space="0" w:color="auto"/>
            <w:right w:val="none" w:sz="0" w:space="0" w:color="auto"/>
          </w:divBdr>
        </w:div>
        <w:div w:id="571240881">
          <w:marLeft w:val="0"/>
          <w:marRight w:val="0"/>
          <w:marTop w:val="0"/>
          <w:marBottom w:val="0"/>
          <w:divBdr>
            <w:top w:val="none" w:sz="0" w:space="0" w:color="auto"/>
            <w:left w:val="none" w:sz="0" w:space="0" w:color="auto"/>
            <w:bottom w:val="none" w:sz="0" w:space="0" w:color="auto"/>
            <w:right w:val="none" w:sz="0" w:space="0" w:color="auto"/>
          </w:divBdr>
        </w:div>
        <w:div w:id="1287588097">
          <w:marLeft w:val="0"/>
          <w:marRight w:val="0"/>
          <w:marTop w:val="0"/>
          <w:marBottom w:val="0"/>
          <w:divBdr>
            <w:top w:val="none" w:sz="0" w:space="0" w:color="auto"/>
            <w:left w:val="none" w:sz="0" w:space="0" w:color="auto"/>
            <w:bottom w:val="none" w:sz="0" w:space="0" w:color="auto"/>
            <w:right w:val="none" w:sz="0" w:space="0" w:color="auto"/>
          </w:divBdr>
        </w:div>
        <w:div w:id="23024746">
          <w:marLeft w:val="0"/>
          <w:marRight w:val="0"/>
          <w:marTop w:val="0"/>
          <w:marBottom w:val="0"/>
          <w:divBdr>
            <w:top w:val="none" w:sz="0" w:space="0" w:color="auto"/>
            <w:left w:val="none" w:sz="0" w:space="0" w:color="auto"/>
            <w:bottom w:val="none" w:sz="0" w:space="0" w:color="auto"/>
            <w:right w:val="none" w:sz="0" w:space="0" w:color="auto"/>
          </w:divBdr>
        </w:div>
        <w:div w:id="67848105">
          <w:marLeft w:val="0"/>
          <w:marRight w:val="0"/>
          <w:marTop w:val="0"/>
          <w:marBottom w:val="0"/>
          <w:divBdr>
            <w:top w:val="none" w:sz="0" w:space="0" w:color="auto"/>
            <w:left w:val="none" w:sz="0" w:space="0" w:color="auto"/>
            <w:bottom w:val="none" w:sz="0" w:space="0" w:color="auto"/>
            <w:right w:val="none" w:sz="0" w:space="0" w:color="auto"/>
          </w:divBdr>
        </w:div>
      </w:divsChild>
    </w:div>
    <w:div w:id="1357854133">
      <w:bodyDiv w:val="1"/>
      <w:marLeft w:val="0"/>
      <w:marRight w:val="0"/>
      <w:marTop w:val="0"/>
      <w:marBottom w:val="0"/>
      <w:divBdr>
        <w:top w:val="none" w:sz="0" w:space="0" w:color="auto"/>
        <w:left w:val="none" w:sz="0" w:space="0" w:color="auto"/>
        <w:bottom w:val="none" w:sz="0" w:space="0" w:color="auto"/>
        <w:right w:val="none" w:sz="0" w:space="0" w:color="auto"/>
      </w:divBdr>
      <w:divsChild>
        <w:div w:id="1165585284">
          <w:marLeft w:val="0"/>
          <w:marRight w:val="0"/>
          <w:marTop w:val="0"/>
          <w:marBottom w:val="0"/>
          <w:divBdr>
            <w:top w:val="none" w:sz="0" w:space="0" w:color="auto"/>
            <w:left w:val="none" w:sz="0" w:space="0" w:color="auto"/>
            <w:bottom w:val="none" w:sz="0" w:space="0" w:color="auto"/>
            <w:right w:val="none" w:sz="0" w:space="0" w:color="auto"/>
          </w:divBdr>
        </w:div>
        <w:div w:id="1301299770">
          <w:marLeft w:val="0"/>
          <w:marRight w:val="0"/>
          <w:marTop w:val="0"/>
          <w:marBottom w:val="0"/>
          <w:divBdr>
            <w:top w:val="none" w:sz="0" w:space="0" w:color="auto"/>
            <w:left w:val="none" w:sz="0" w:space="0" w:color="auto"/>
            <w:bottom w:val="none" w:sz="0" w:space="0" w:color="auto"/>
            <w:right w:val="none" w:sz="0" w:space="0" w:color="auto"/>
          </w:divBdr>
        </w:div>
        <w:div w:id="921644931">
          <w:marLeft w:val="0"/>
          <w:marRight w:val="0"/>
          <w:marTop w:val="0"/>
          <w:marBottom w:val="0"/>
          <w:divBdr>
            <w:top w:val="none" w:sz="0" w:space="0" w:color="auto"/>
            <w:left w:val="none" w:sz="0" w:space="0" w:color="auto"/>
            <w:bottom w:val="none" w:sz="0" w:space="0" w:color="auto"/>
            <w:right w:val="none" w:sz="0" w:space="0" w:color="auto"/>
          </w:divBdr>
        </w:div>
        <w:div w:id="1152260000">
          <w:marLeft w:val="0"/>
          <w:marRight w:val="0"/>
          <w:marTop w:val="0"/>
          <w:marBottom w:val="0"/>
          <w:divBdr>
            <w:top w:val="none" w:sz="0" w:space="0" w:color="auto"/>
            <w:left w:val="none" w:sz="0" w:space="0" w:color="auto"/>
            <w:bottom w:val="none" w:sz="0" w:space="0" w:color="auto"/>
            <w:right w:val="none" w:sz="0" w:space="0" w:color="auto"/>
          </w:divBdr>
        </w:div>
        <w:div w:id="1386370781">
          <w:marLeft w:val="0"/>
          <w:marRight w:val="0"/>
          <w:marTop w:val="0"/>
          <w:marBottom w:val="0"/>
          <w:divBdr>
            <w:top w:val="none" w:sz="0" w:space="0" w:color="auto"/>
            <w:left w:val="none" w:sz="0" w:space="0" w:color="auto"/>
            <w:bottom w:val="none" w:sz="0" w:space="0" w:color="auto"/>
            <w:right w:val="none" w:sz="0" w:space="0" w:color="auto"/>
          </w:divBdr>
        </w:div>
        <w:div w:id="2006937832">
          <w:marLeft w:val="0"/>
          <w:marRight w:val="0"/>
          <w:marTop w:val="0"/>
          <w:marBottom w:val="0"/>
          <w:divBdr>
            <w:top w:val="none" w:sz="0" w:space="0" w:color="auto"/>
            <w:left w:val="none" w:sz="0" w:space="0" w:color="auto"/>
            <w:bottom w:val="none" w:sz="0" w:space="0" w:color="auto"/>
            <w:right w:val="none" w:sz="0" w:space="0" w:color="auto"/>
          </w:divBdr>
        </w:div>
        <w:div w:id="766654712">
          <w:marLeft w:val="0"/>
          <w:marRight w:val="0"/>
          <w:marTop w:val="0"/>
          <w:marBottom w:val="0"/>
          <w:divBdr>
            <w:top w:val="none" w:sz="0" w:space="0" w:color="auto"/>
            <w:left w:val="none" w:sz="0" w:space="0" w:color="auto"/>
            <w:bottom w:val="none" w:sz="0" w:space="0" w:color="auto"/>
            <w:right w:val="none" w:sz="0" w:space="0" w:color="auto"/>
          </w:divBdr>
        </w:div>
        <w:div w:id="720862959">
          <w:marLeft w:val="0"/>
          <w:marRight w:val="0"/>
          <w:marTop w:val="0"/>
          <w:marBottom w:val="0"/>
          <w:divBdr>
            <w:top w:val="none" w:sz="0" w:space="0" w:color="auto"/>
            <w:left w:val="none" w:sz="0" w:space="0" w:color="auto"/>
            <w:bottom w:val="none" w:sz="0" w:space="0" w:color="auto"/>
            <w:right w:val="none" w:sz="0" w:space="0" w:color="auto"/>
          </w:divBdr>
        </w:div>
      </w:divsChild>
    </w:div>
    <w:div w:id="1392577565">
      <w:bodyDiv w:val="1"/>
      <w:marLeft w:val="0"/>
      <w:marRight w:val="0"/>
      <w:marTop w:val="0"/>
      <w:marBottom w:val="0"/>
      <w:divBdr>
        <w:top w:val="none" w:sz="0" w:space="0" w:color="auto"/>
        <w:left w:val="none" w:sz="0" w:space="0" w:color="auto"/>
        <w:bottom w:val="none" w:sz="0" w:space="0" w:color="auto"/>
        <w:right w:val="none" w:sz="0" w:space="0" w:color="auto"/>
      </w:divBdr>
    </w:div>
    <w:div w:id="1443918216">
      <w:bodyDiv w:val="1"/>
      <w:marLeft w:val="0"/>
      <w:marRight w:val="0"/>
      <w:marTop w:val="0"/>
      <w:marBottom w:val="0"/>
      <w:divBdr>
        <w:top w:val="none" w:sz="0" w:space="0" w:color="auto"/>
        <w:left w:val="none" w:sz="0" w:space="0" w:color="auto"/>
        <w:bottom w:val="none" w:sz="0" w:space="0" w:color="auto"/>
        <w:right w:val="none" w:sz="0" w:space="0" w:color="auto"/>
      </w:divBdr>
      <w:divsChild>
        <w:div w:id="1847478527">
          <w:marLeft w:val="0"/>
          <w:marRight w:val="0"/>
          <w:marTop w:val="0"/>
          <w:marBottom w:val="0"/>
          <w:divBdr>
            <w:top w:val="none" w:sz="0" w:space="0" w:color="auto"/>
            <w:left w:val="none" w:sz="0" w:space="0" w:color="auto"/>
            <w:bottom w:val="none" w:sz="0" w:space="0" w:color="auto"/>
            <w:right w:val="none" w:sz="0" w:space="0" w:color="auto"/>
          </w:divBdr>
        </w:div>
        <w:div w:id="2062055722">
          <w:marLeft w:val="0"/>
          <w:marRight w:val="0"/>
          <w:marTop w:val="0"/>
          <w:marBottom w:val="0"/>
          <w:divBdr>
            <w:top w:val="none" w:sz="0" w:space="0" w:color="auto"/>
            <w:left w:val="none" w:sz="0" w:space="0" w:color="auto"/>
            <w:bottom w:val="none" w:sz="0" w:space="0" w:color="auto"/>
            <w:right w:val="none" w:sz="0" w:space="0" w:color="auto"/>
          </w:divBdr>
        </w:div>
        <w:div w:id="1609461000">
          <w:marLeft w:val="0"/>
          <w:marRight w:val="0"/>
          <w:marTop w:val="0"/>
          <w:marBottom w:val="0"/>
          <w:divBdr>
            <w:top w:val="none" w:sz="0" w:space="0" w:color="auto"/>
            <w:left w:val="none" w:sz="0" w:space="0" w:color="auto"/>
            <w:bottom w:val="none" w:sz="0" w:space="0" w:color="auto"/>
            <w:right w:val="none" w:sz="0" w:space="0" w:color="auto"/>
          </w:divBdr>
        </w:div>
        <w:div w:id="1802963938">
          <w:marLeft w:val="0"/>
          <w:marRight w:val="0"/>
          <w:marTop w:val="0"/>
          <w:marBottom w:val="0"/>
          <w:divBdr>
            <w:top w:val="none" w:sz="0" w:space="0" w:color="auto"/>
            <w:left w:val="none" w:sz="0" w:space="0" w:color="auto"/>
            <w:bottom w:val="none" w:sz="0" w:space="0" w:color="auto"/>
            <w:right w:val="none" w:sz="0" w:space="0" w:color="auto"/>
          </w:divBdr>
        </w:div>
        <w:div w:id="1509558427">
          <w:marLeft w:val="0"/>
          <w:marRight w:val="0"/>
          <w:marTop w:val="0"/>
          <w:marBottom w:val="0"/>
          <w:divBdr>
            <w:top w:val="none" w:sz="0" w:space="0" w:color="auto"/>
            <w:left w:val="none" w:sz="0" w:space="0" w:color="auto"/>
            <w:bottom w:val="none" w:sz="0" w:space="0" w:color="auto"/>
            <w:right w:val="none" w:sz="0" w:space="0" w:color="auto"/>
          </w:divBdr>
        </w:div>
        <w:div w:id="970792026">
          <w:marLeft w:val="0"/>
          <w:marRight w:val="0"/>
          <w:marTop w:val="0"/>
          <w:marBottom w:val="0"/>
          <w:divBdr>
            <w:top w:val="none" w:sz="0" w:space="0" w:color="auto"/>
            <w:left w:val="none" w:sz="0" w:space="0" w:color="auto"/>
            <w:bottom w:val="none" w:sz="0" w:space="0" w:color="auto"/>
            <w:right w:val="none" w:sz="0" w:space="0" w:color="auto"/>
          </w:divBdr>
        </w:div>
        <w:div w:id="852380470">
          <w:marLeft w:val="0"/>
          <w:marRight w:val="0"/>
          <w:marTop w:val="0"/>
          <w:marBottom w:val="0"/>
          <w:divBdr>
            <w:top w:val="none" w:sz="0" w:space="0" w:color="auto"/>
            <w:left w:val="none" w:sz="0" w:space="0" w:color="auto"/>
            <w:bottom w:val="none" w:sz="0" w:space="0" w:color="auto"/>
            <w:right w:val="none" w:sz="0" w:space="0" w:color="auto"/>
          </w:divBdr>
        </w:div>
        <w:div w:id="71858203">
          <w:marLeft w:val="0"/>
          <w:marRight w:val="0"/>
          <w:marTop w:val="0"/>
          <w:marBottom w:val="0"/>
          <w:divBdr>
            <w:top w:val="none" w:sz="0" w:space="0" w:color="auto"/>
            <w:left w:val="none" w:sz="0" w:space="0" w:color="auto"/>
            <w:bottom w:val="none" w:sz="0" w:space="0" w:color="auto"/>
            <w:right w:val="none" w:sz="0" w:space="0" w:color="auto"/>
          </w:divBdr>
        </w:div>
      </w:divsChild>
    </w:div>
    <w:div w:id="1600261882">
      <w:bodyDiv w:val="1"/>
      <w:marLeft w:val="0"/>
      <w:marRight w:val="0"/>
      <w:marTop w:val="0"/>
      <w:marBottom w:val="0"/>
      <w:divBdr>
        <w:top w:val="none" w:sz="0" w:space="0" w:color="auto"/>
        <w:left w:val="none" w:sz="0" w:space="0" w:color="auto"/>
        <w:bottom w:val="none" w:sz="0" w:space="0" w:color="auto"/>
        <w:right w:val="none" w:sz="0" w:space="0" w:color="auto"/>
      </w:divBdr>
    </w:div>
    <w:div w:id="1798643834">
      <w:marLeft w:val="0"/>
      <w:marRight w:val="0"/>
      <w:marTop w:val="0"/>
      <w:marBottom w:val="0"/>
      <w:divBdr>
        <w:top w:val="none" w:sz="0" w:space="0" w:color="auto"/>
        <w:left w:val="none" w:sz="0" w:space="0" w:color="auto"/>
        <w:bottom w:val="none" w:sz="0" w:space="0" w:color="auto"/>
        <w:right w:val="none" w:sz="0" w:space="0" w:color="auto"/>
      </w:divBdr>
      <w:divsChild>
        <w:div w:id="179864383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864383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emf"/><Relationship Id="rId1" Type="http://schemas.openxmlformats.org/officeDocument/2006/relationships/image" Target="media/image1.png"/><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6</Pages>
  <Words>1742</Words>
  <Characters>9934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Stoimen Yochev</cp:lastModifiedBy>
  <cp:revision>31</cp:revision>
  <cp:lastPrinted>2015-04-30T10:45:00Z</cp:lastPrinted>
  <dcterms:created xsi:type="dcterms:W3CDTF">2016-06-03T14:59:00Z</dcterms:created>
  <dcterms:modified xsi:type="dcterms:W3CDTF">2021-10-14T16:40:00Z</dcterms:modified>
</cp:coreProperties>
</file>