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20" w:type="dxa"/>
        <w:tblInd w:w="-179" w:type="dxa"/>
        <w:tblLayout w:type="fixed"/>
        <w:tblCellMar>
          <w:left w:w="0" w:type="dxa"/>
          <w:right w:w="0" w:type="dxa"/>
        </w:tblCellMar>
        <w:tblLook w:val="0000" w:firstRow="0" w:lastRow="0" w:firstColumn="0" w:lastColumn="0" w:noHBand="0" w:noVBand="0"/>
      </w:tblPr>
      <w:tblGrid>
        <w:gridCol w:w="5116"/>
        <w:gridCol w:w="1217"/>
        <w:gridCol w:w="4337"/>
        <w:gridCol w:w="2650"/>
      </w:tblGrid>
      <w:tr w:rsidR="00025E58" w:rsidRPr="00144A1F" w:rsidTr="007700FA">
        <w:trPr>
          <w:trHeight w:val="1256"/>
          <w:tblHeader/>
        </w:trPr>
        <w:tc>
          <w:tcPr>
            <w:tcW w:w="5116" w:type="dxa"/>
            <w:vMerge w:val="restart"/>
            <w:tcBorders>
              <w:top w:val="single" w:sz="1" w:space="0" w:color="000000"/>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Pr="004322ED">
              <w:rPr>
                <w:rFonts w:eastAsia="HG Mincho Light J"/>
                <w:b/>
                <w:color w:val="000000"/>
                <w:sz w:val="20"/>
                <w:szCs w:val="20"/>
                <w:lang w:val="bg-BG"/>
              </w:rPr>
              <w:t>земеделието</w:t>
            </w:r>
          </w:p>
          <w:p w:rsidR="00025E58" w:rsidRPr="00144A1F" w:rsidRDefault="00025E58" w:rsidP="00E756A6">
            <w:pPr>
              <w:widowControl w:val="0"/>
              <w:suppressLineNumbers/>
              <w:suppressAutoHyphens/>
              <w:jc w:val="center"/>
              <w:rPr>
                <w:rFonts w:eastAsia="HG Mincho Light J"/>
                <w:b/>
                <w:color w:val="000000"/>
                <w:sz w:val="20"/>
                <w:szCs w:val="20"/>
                <w:lang w:val="bg-BG"/>
              </w:rPr>
            </w:pPr>
          </w:p>
          <w:p w:rsidR="00025E58" w:rsidRPr="00877A5F" w:rsidRDefault="00025E58" w:rsidP="00E756A6">
            <w:pPr>
              <w:widowControl w:val="0"/>
              <w:suppressLineNumbers/>
              <w:suppressAutoHyphens/>
              <w:jc w:val="center"/>
              <w:rPr>
                <w:rFonts w:eastAsia="HG Mincho Light J"/>
                <w:b/>
                <w:color w:val="000000"/>
                <w:sz w:val="20"/>
                <w:szCs w:val="20"/>
                <w:lang w:val="en-US"/>
              </w:rPr>
            </w:pPr>
            <w:r>
              <w:rPr>
                <w:rFonts w:eastAsia="HG Mincho Light J"/>
                <w:b/>
                <w:color w:val="000000"/>
                <w:sz w:val="20"/>
                <w:szCs w:val="20"/>
                <w:lang w:val="bg-BG"/>
              </w:rPr>
              <w:t>Д</w:t>
            </w:r>
            <w:r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Pr>
                <w:rFonts w:eastAsia="HG Mincho Light J"/>
                <w:b/>
                <w:color w:val="000000"/>
                <w:sz w:val="20"/>
                <w:szCs w:val="20"/>
                <w:lang w:val="en-US"/>
              </w:rPr>
              <w:t xml:space="preserve"> 2014 - 2020</w:t>
            </w:r>
          </w:p>
        </w:tc>
        <w:tc>
          <w:tcPr>
            <w:tcW w:w="5554" w:type="dxa"/>
            <w:gridSpan w:val="2"/>
            <w:tcBorders>
              <w:top w:val="single" w:sz="1" w:space="0" w:color="000000"/>
              <w:left w:val="single" w:sz="1" w:space="0" w:color="000000"/>
              <w:bottom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НАРЪЧНИК ПО ПРОГРАМА ЗА МОРСКО ДЕЛО И РИБАРСТВО</w:t>
            </w:r>
            <w:r w:rsidRPr="00144A1F">
              <w:rPr>
                <w:rFonts w:eastAsia="HG Mincho Light J"/>
                <w:b/>
                <w:color w:val="000000"/>
                <w:sz w:val="20"/>
                <w:szCs w:val="20"/>
                <w:lang w:val="bg-BG"/>
              </w:rPr>
              <w:t>” 2014 -2020 (</w:t>
            </w:r>
            <w:r>
              <w:rPr>
                <w:rFonts w:eastAsia="HG Mincho Light J"/>
                <w:b/>
                <w:color w:val="000000"/>
                <w:sz w:val="20"/>
                <w:szCs w:val="20"/>
                <w:lang w:val="bg-BG"/>
              </w:rPr>
              <w:t>ПМДР</w:t>
            </w:r>
            <w:r w:rsidRPr="00144A1F">
              <w:rPr>
                <w:rFonts w:eastAsia="HG Mincho Light J"/>
                <w:b/>
                <w:color w:val="000000"/>
                <w:sz w:val="20"/>
                <w:szCs w:val="20"/>
                <w:lang w:val="bg-BG"/>
              </w:rPr>
              <w:t>)</w:t>
            </w:r>
          </w:p>
        </w:tc>
        <w:tc>
          <w:tcPr>
            <w:tcW w:w="2650" w:type="dxa"/>
            <w:tcBorders>
              <w:top w:val="single" w:sz="1" w:space="0" w:color="000000"/>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Pr>
                <w:rFonts w:eastAsia="HG Mincho Light J"/>
                <w:b/>
                <w:color w:val="000000"/>
                <w:sz w:val="20"/>
                <w:lang w:val="bg-BG"/>
              </w:rPr>
              <w:t>2</w:t>
            </w:r>
          </w:p>
        </w:tc>
      </w:tr>
      <w:tr w:rsidR="00025E58" w:rsidRPr="00144A1F" w:rsidTr="007700FA">
        <w:trPr>
          <w:trHeight w:val="747"/>
        </w:trPr>
        <w:tc>
          <w:tcPr>
            <w:tcW w:w="5116" w:type="dxa"/>
            <w:vMerge/>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Pr="00144A1F">
              <w:rPr>
                <w:rFonts w:eastAsia="HG Mincho Light J"/>
                <w:b/>
                <w:color w:val="000000"/>
                <w:sz w:val="20"/>
                <w:szCs w:val="20"/>
                <w:lang w:val="bg-BG"/>
              </w:rPr>
              <w:t xml:space="preserve">Приложение </w:t>
            </w:r>
          </w:p>
          <w:p w:rsidR="00025E58" w:rsidRPr="00144A1F" w:rsidRDefault="00025E58" w:rsidP="00DC2E70">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4.II.1.</w:t>
            </w:r>
            <w:r w:rsidR="00DC2E70">
              <w:rPr>
                <w:rFonts w:eastAsia="HG Mincho Light J"/>
                <w:b/>
                <w:color w:val="000000"/>
                <w:sz w:val="20"/>
                <w:szCs w:val="20"/>
                <w:lang w:val="bg-BG"/>
              </w:rPr>
              <w:t>13</w:t>
            </w:r>
            <w:r w:rsidRPr="00144A1F">
              <w:rPr>
                <w:rFonts w:eastAsia="HG Mincho Light J"/>
                <w:b/>
                <w:color w:val="000000"/>
                <w:sz w:val="20"/>
                <w:szCs w:val="20"/>
                <w:lang w:val="bg-BG"/>
              </w:rPr>
              <w:t>.</w:t>
            </w:r>
          </w:p>
        </w:tc>
        <w:tc>
          <w:tcPr>
            <w:tcW w:w="4337"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025E58" w:rsidRPr="00144A1F" w:rsidRDefault="00025E58" w:rsidP="00E756A6">
            <w:pPr>
              <w:widowControl w:val="0"/>
              <w:suppressLineNumbers/>
              <w:suppressAutoHyphens/>
              <w:jc w:val="center"/>
              <w:rPr>
                <w:b/>
                <w:iCs/>
                <w:sz w:val="20"/>
                <w:szCs w:val="20"/>
                <w:lang w:val="bg-BG"/>
              </w:rPr>
            </w:pPr>
          </w:p>
          <w:p w:rsidR="00025E58" w:rsidRPr="00144A1F" w:rsidRDefault="00025E58" w:rsidP="00E756A6">
            <w:pPr>
              <w:widowControl w:val="0"/>
              <w:suppressLineNumbers/>
              <w:suppressAutoHyphens/>
              <w:jc w:val="center"/>
              <w:rPr>
                <w:b/>
                <w:iCs/>
                <w:sz w:val="20"/>
                <w:szCs w:val="20"/>
                <w:lang w:val="bg-BG"/>
              </w:rPr>
            </w:pPr>
          </w:p>
          <w:p w:rsidR="00025E58" w:rsidRPr="00F609C8" w:rsidRDefault="00025E58" w:rsidP="00DC2E70">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w:t>
            </w:r>
            <w:r w:rsidR="00DC2E70">
              <w:rPr>
                <w:b/>
                <w:iCs/>
                <w:sz w:val="20"/>
                <w:szCs w:val="20"/>
                <w:lang w:val="bg-BG"/>
              </w:rPr>
              <w:t xml:space="preserve">Списък на </w:t>
            </w:r>
            <w:r w:rsidR="00DC2E70" w:rsidRPr="00DC2E70">
              <w:rPr>
                <w:b/>
                <w:iCs/>
                <w:sz w:val="20"/>
                <w:szCs w:val="20"/>
                <w:lang w:val="bg-BG"/>
              </w:rPr>
              <w:t>предложените за отхвърляне проектни предложения</w:t>
            </w:r>
          </w:p>
        </w:tc>
        <w:tc>
          <w:tcPr>
            <w:tcW w:w="2650"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Pr="00144A1F">
              <w:rPr>
                <w:rStyle w:val="PageNumber"/>
                <w:sz w:val="20"/>
                <w:szCs w:val="20"/>
                <w:lang w:val="bg-BG"/>
              </w:rPr>
              <w:fldChar w:fldCharType="begin"/>
            </w:r>
            <w:r w:rsidRPr="00144A1F">
              <w:rPr>
                <w:rStyle w:val="PageNumber"/>
                <w:sz w:val="20"/>
                <w:szCs w:val="20"/>
                <w:lang w:val="bg-BG"/>
              </w:rPr>
              <w:instrText xml:space="preserve"> PAGE </w:instrText>
            </w:r>
            <w:r w:rsidRPr="00144A1F">
              <w:rPr>
                <w:rStyle w:val="PageNumber"/>
                <w:sz w:val="20"/>
                <w:szCs w:val="20"/>
                <w:lang w:val="bg-BG"/>
              </w:rPr>
              <w:fldChar w:fldCharType="separate"/>
            </w:r>
            <w:r w:rsidR="009C4EBC">
              <w:rPr>
                <w:rStyle w:val="PageNumber"/>
                <w:noProof/>
                <w:sz w:val="20"/>
                <w:szCs w:val="20"/>
                <w:lang w:val="bg-BG"/>
              </w:rPr>
              <w:t>1</w:t>
            </w:r>
            <w:r w:rsidRPr="00144A1F">
              <w:rPr>
                <w:rStyle w:val="PageNumber"/>
                <w:sz w:val="20"/>
                <w:szCs w:val="20"/>
                <w:lang w:val="bg-BG"/>
              </w:rPr>
              <w:fldChar w:fldCharType="end"/>
            </w:r>
            <w:r w:rsidRPr="00144A1F">
              <w:rPr>
                <w:rStyle w:val="PageNumber"/>
                <w:sz w:val="20"/>
                <w:szCs w:val="20"/>
                <w:lang w:val="bg-BG"/>
              </w:rPr>
              <w:t>/</w:t>
            </w:r>
            <w:r w:rsidRPr="00144A1F">
              <w:rPr>
                <w:rStyle w:val="PageNumber"/>
                <w:sz w:val="20"/>
                <w:szCs w:val="20"/>
                <w:lang w:val="bg-BG"/>
              </w:rPr>
              <w:fldChar w:fldCharType="begin"/>
            </w:r>
            <w:r w:rsidRPr="00144A1F">
              <w:rPr>
                <w:rStyle w:val="PageNumber"/>
                <w:sz w:val="20"/>
                <w:szCs w:val="20"/>
                <w:lang w:val="bg-BG"/>
              </w:rPr>
              <w:instrText xml:space="preserve"> NUMPAGES </w:instrText>
            </w:r>
            <w:r w:rsidRPr="00144A1F">
              <w:rPr>
                <w:rStyle w:val="PageNumber"/>
                <w:sz w:val="20"/>
                <w:szCs w:val="20"/>
                <w:lang w:val="bg-BG"/>
              </w:rPr>
              <w:fldChar w:fldCharType="separate"/>
            </w:r>
            <w:r w:rsidR="009C4EBC">
              <w:rPr>
                <w:rStyle w:val="PageNumber"/>
                <w:noProof/>
                <w:sz w:val="20"/>
                <w:szCs w:val="20"/>
                <w:lang w:val="bg-BG"/>
              </w:rPr>
              <w:t>82</w:t>
            </w:r>
            <w:r w:rsidRPr="00144A1F">
              <w:rPr>
                <w:rStyle w:val="PageNumber"/>
                <w:sz w:val="20"/>
                <w:szCs w:val="20"/>
                <w:lang w:val="bg-BG"/>
              </w:rPr>
              <w:fldChar w:fldCharType="end"/>
            </w:r>
          </w:p>
        </w:tc>
      </w:tr>
      <w:tr w:rsidR="00025E58" w:rsidRPr="00144A1F" w:rsidTr="007700FA">
        <w:trPr>
          <w:trHeight w:val="697"/>
        </w:trPr>
        <w:tc>
          <w:tcPr>
            <w:tcW w:w="5116" w:type="dxa"/>
            <w:vMerge/>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650" w:type="dxa"/>
            <w:tcBorders>
              <w:left w:val="single" w:sz="1" w:space="0" w:color="000000"/>
              <w:bottom w:val="single" w:sz="4" w:space="0" w:color="auto"/>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025E58" w:rsidRPr="00F97D8C" w:rsidRDefault="00F97D8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r w:rsidR="00025E58" w:rsidRPr="00144A1F" w:rsidTr="007700FA">
        <w:trPr>
          <w:trHeight w:val="697"/>
        </w:trPr>
        <w:tc>
          <w:tcPr>
            <w:tcW w:w="5116" w:type="dxa"/>
            <w:tcBorders>
              <w:left w:val="single" w:sz="1" w:space="0" w:color="000000"/>
              <w:bottom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2650" w:type="dxa"/>
            <w:tcBorders>
              <w:top w:val="single" w:sz="4" w:space="0" w:color="auto"/>
              <w:left w:val="single" w:sz="4" w:space="0" w:color="auto"/>
              <w:bottom w:val="single" w:sz="4" w:space="0" w:color="auto"/>
              <w:right w:val="single" w:sz="4" w:space="0" w:color="auto"/>
            </w:tcBorders>
            <w:vAlign w:val="center"/>
          </w:tcPr>
          <w:p w:rsidR="00025E58" w:rsidRPr="00D4220F" w:rsidRDefault="00025E58" w:rsidP="00E756A6">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025E58" w:rsidRPr="00144A1F" w:rsidRDefault="00F97D8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bl>
    <w:p w:rsidR="007D64DB" w:rsidRDefault="002417F1">
      <w:pPr>
        <w:rPr>
          <w:lang w:val="bg-BG"/>
        </w:rPr>
      </w:pPr>
    </w:p>
    <w:p w:rsidR="00025E58" w:rsidRDefault="00025E58">
      <w:pPr>
        <w:rPr>
          <w:lang w:val="bg-BG"/>
        </w:rPr>
      </w:pPr>
    </w:p>
    <w:p w:rsidR="00025E58" w:rsidRDefault="00025E58">
      <w:pPr>
        <w:rPr>
          <w:lang w:val="bg-BG"/>
        </w:rPr>
      </w:pPr>
    </w:p>
    <w:p w:rsidR="009C4EBC" w:rsidRDefault="00DC2E70" w:rsidP="00806732">
      <w:pPr>
        <w:jc w:val="center"/>
        <w:rPr>
          <w:b/>
          <w:lang w:val="bg-BG"/>
        </w:rPr>
      </w:pPr>
      <w:r w:rsidRPr="00DC2E70">
        <w:rPr>
          <w:b/>
          <w:lang w:val="bg-BG"/>
        </w:rPr>
        <w:t xml:space="preserve">Списък на </w:t>
      </w:r>
      <w:r w:rsidR="00E3156B">
        <w:rPr>
          <w:b/>
          <w:lang w:val="bg-BG"/>
        </w:rPr>
        <w:t xml:space="preserve">проектните предложения, </w:t>
      </w:r>
      <w:r w:rsidR="00E3156B" w:rsidRPr="00E3156B">
        <w:rPr>
          <w:b/>
          <w:lang w:val="bg-BG"/>
        </w:rPr>
        <w:t xml:space="preserve">които не се допускат до техническа и финансова оценка </w:t>
      </w:r>
      <w:r w:rsidR="00E3156B">
        <w:rPr>
          <w:b/>
          <w:lang w:val="bg-BG"/>
        </w:rPr>
        <w:t>по процедура</w:t>
      </w:r>
      <w:r w:rsidRPr="00DC2E70">
        <w:rPr>
          <w:b/>
          <w:lang w:val="bg-BG"/>
        </w:rPr>
        <w:t xml:space="preserve"> № </w:t>
      </w:r>
      <w:r w:rsidR="00E3156B" w:rsidRPr="00E3156B">
        <w:rPr>
          <w:b/>
          <w:lang w:val="bg-BG"/>
        </w:rPr>
        <w:t xml:space="preserve">BG14MFOP001-5.014 „Преработване на продуктите от риболов и аквакултури”, </w:t>
      </w:r>
      <w:r w:rsidR="003822A4" w:rsidRPr="003822A4">
        <w:rPr>
          <w:b/>
          <w:lang w:val="bg-BG"/>
        </w:rPr>
        <w:t>мярка 5.4. „Преработване на продуктите от риболов и аквакултури“</w:t>
      </w:r>
      <w:bookmarkStart w:id="0" w:name="_GoBack"/>
      <w:bookmarkEnd w:id="0"/>
      <w:r w:rsidR="00E3156B" w:rsidRPr="00E3156B">
        <w:rPr>
          <w:b/>
          <w:lang w:val="bg-BG"/>
        </w:rPr>
        <w:t xml:space="preserve"> по Програмата за морско дело и рибарство 2014-2020 г.</w:t>
      </w:r>
      <w:r w:rsidR="00E3156B">
        <w:rPr>
          <w:b/>
          <w:lang w:val="bg-BG"/>
        </w:rPr>
        <w:t xml:space="preserve"> </w:t>
      </w:r>
    </w:p>
    <w:p w:rsidR="00E3156B" w:rsidRDefault="00E3156B" w:rsidP="00806732">
      <w:pPr>
        <w:jc w:val="cente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112"/>
        <w:gridCol w:w="2318"/>
        <w:gridCol w:w="2959"/>
        <w:gridCol w:w="5233"/>
      </w:tblGrid>
      <w:tr w:rsidR="00025E58" w:rsidRPr="00E76FC7" w:rsidTr="00C171C9">
        <w:tc>
          <w:tcPr>
            <w:tcW w:w="600" w:type="dxa"/>
            <w:shd w:val="clear" w:color="auto" w:fill="auto"/>
          </w:tcPr>
          <w:p w:rsidR="00025E58" w:rsidRPr="005C45BA" w:rsidRDefault="00025E58" w:rsidP="00E756A6">
            <w:pPr>
              <w:jc w:val="center"/>
              <w:rPr>
                <w:b/>
                <w:sz w:val="20"/>
                <w:szCs w:val="20"/>
                <w:lang w:val="bg-BG"/>
              </w:rPr>
            </w:pPr>
            <w:r w:rsidRPr="005C45BA">
              <w:rPr>
                <w:b/>
                <w:sz w:val="20"/>
                <w:szCs w:val="20"/>
                <w:lang w:val="bg-BG"/>
              </w:rPr>
              <w:t>№</w:t>
            </w:r>
          </w:p>
        </w:tc>
        <w:tc>
          <w:tcPr>
            <w:tcW w:w="2112" w:type="dxa"/>
            <w:shd w:val="clear" w:color="auto" w:fill="auto"/>
          </w:tcPr>
          <w:p w:rsidR="00025E58" w:rsidRPr="005C45BA" w:rsidRDefault="00025E58" w:rsidP="00E756A6">
            <w:pPr>
              <w:jc w:val="center"/>
              <w:rPr>
                <w:b/>
                <w:sz w:val="20"/>
                <w:szCs w:val="20"/>
                <w:lang w:val="bg-BG"/>
              </w:rPr>
            </w:pPr>
            <w:r w:rsidRPr="005C45BA">
              <w:rPr>
                <w:b/>
                <w:sz w:val="20"/>
                <w:szCs w:val="20"/>
                <w:lang w:val="bg-BG"/>
              </w:rPr>
              <w:t xml:space="preserve">Рег. № на проектното предложение </w:t>
            </w:r>
          </w:p>
        </w:tc>
        <w:tc>
          <w:tcPr>
            <w:tcW w:w="2318" w:type="dxa"/>
            <w:shd w:val="clear" w:color="auto" w:fill="auto"/>
          </w:tcPr>
          <w:p w:rsidR="00025E58" w:rsidRPr="005C45BA" w:rsidRDefault="00025E58" w:rsidP="00E756A6">
            <w:pPr>
              <w:jc w:val="center"/>
              <w:rPr>
                <w:b/>
                <w:sz w:val="20"/>
                <w:szCs w:val="20"/>
                <w:lang w:val="bg-BG"/>
              </w:rPr>
            </w:pPr>
            <w:r w:rsidRPr="005C45BA">
              <w:rPr>
                <w:b/>
                <w:sz w:val="20"/>
                <w:szCs w:val="20"/>
                <w:lang w:val="bg-BG"/>
              </w:rPr>
              <w:t>Наименование на кандидата</w:t>
            </w:r>
          </w:p>
        </w:tc>
        <w:tc>
          <w:tcPr>
            <w:tcW w:w="2959" w:type="dxa"/>
            <w:shd w:val="clear" w:color="auto" w:fill="auto"/>
          </w:tcPr>
          <w:p w:rsidR="00025E58" w:rsidRPr="005C45BA" w:rsidRDefault="00025E58" w:rsidP="00E756A6">
            <w:pPr>
              <w:jc w:val="center"/>
              <w:rPr>
                <w:b/>
                <w:sz w:val="20"/>
                <w:szCs w:val="20"/>
                <w:lang w:val="bg-BG"/>
              </w:rPr>
            </w:pPr>
            <w:r w:rsidRPr="005C45BA">
              <w:rPr>
                <w:b/>
                <w:sz w:val="20"/>
                <w:szCs w:val="20"/>
                <w:lang w:val="bg-BG"/>
              </w:rPr>
              <w:t>Наименование на проектното предложение</w:t>
            </w:r>
          </w:p>
        </w:tc>
        <w:tc>
          <w:tcPr>
            <w:tcW w:w="5233" w:type="dxa"/>
            <w:shd w:val="clear" w:color="auto" w:fill="auto"/>
          </w:tcPr>
          <w:p w:rsidR="00025E58" w:rsidRPr="005D311A" w:rsidRDefault="00025E58" w:rsidP="00E756A6">
            <w:pPr>
              <w:jc w:val="center"/>
              <w:rPr>
                <w:b/>
                <w:sz w:val="20"/>
                <w:szCs w:val="20"/>
                <w:lang w:val="bg-BG"/>
              </w:rPr>
            </w:pPr>
            <w:r w:rsidRPr="005D311A">
              <w:rPr>
                <w:b/>
                <w:sz w:val="20"/>
                <w:szCs w:val="20"/>
                <w:lang w:val="bg-BG"/>
              </w:rPr>
              <w:t>Основание за отхвърляне</w:t>
            </w:r>
          </w:p>
          <w:p w:rsidR="00025E58" w:rsidRPr="00877A5F" w:rsidRDefault="00025E58" w:rsidP="00E756A6">
            <w:pPr>
              <w:jc w:val="center"/>
              <w:rPr>
                <w:b/>
                <w:i/>
                <w:sz w:val="20"/>
                <w:szCs w:val="20"/>
                <w:lang w:val="bg-BG"/>
              </w:rPr>
            </w:pPr>
            <w:r w:rsidRPr="00877A5F">
              <w:rPr>
                <w:b/>
                <w:i/>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025E58" w:rsidRPr="00E76FC7" w:rsidTr="00C171C9">
        <w:tc>
          <w:tcPr>
            <w:tcW w:w="600" w:type="dxa"/>
            <w:shd w:val="clear" w:color="auto" w:fill="auto"/>
          </w:tcPr>
          <w:p w:rsidR="00025E58" w:rsidRPr="005C45BA" w:rsidRDefault="00025E58" w:rsidP="00E756A6">
            <w:pPr>
              <w:jc w:val="center"/>
              <w:rPr>
                <w:b/>
                <w:lang w:val="bg-BG"/>
              </w:rPr>
            </w:pPr>
          </w:p>
          <w:p w:rsidR="00025E58" w:rsidRPr="005C45BA" w:rsidRDefault="00025E58" w:rsidP="00E756A6">
            <w:pPr>
              <w:jc w:val="center"/>
              <w:rPr>
                <w:b/>
                <w:lang w:val="bg-BG"/>
              </w:rPr>
            </w:pPr>
            <w:r w:rsidRPr="005C45BA">
              <w:rPr>
                <w:b/>
                <w:lang w:val="bg-BG"/>
              </w:rPr>
              <w:t>1.</w:t>
            </w:r>
          </w:p>
          <w:p w:rsidR="00025E58" w:rsidRPr="005C45BA" w:rsidRDefault="00025E58" w:rsidP="00E756A6">
            <w:pPr>
              <w:jc w:val="center"/>
              <w:rPr>
                <w:b/>
                <w:lang w:val="bg-BG"/>
              </w:rPr>
            </w:pPr>
          </w:p>
        </w:tc>
        <w:tc>
          <w:tcPr>
            <w:tcW w:w="2112" w:type="dxa"/>
            <w:shd w:val="clear" w:color="auto" w:fill="auto"/>
          </w:tcPr>
          <w:p w:rsidR="00025E58" w:rsidRPr="005C45BA" w:rsidRDefault="00025E58" w:rsidP="00E756A6">
            <w:pPr>
              <w:jc w:val="center"/>
              <w:rPr>
                <w:b/>
                <w:lang w:val="bg-BG"/>
              </w:rPr>
            </w:pPr>
          </w:p>
          <w:p w:rsidR="00025E58" w:rsidRPr="005C45BA" w:rsidRDefault="0090769F" w:rsidP="00E756A6">
            <w:pPr>
              <w:jc w:val="center"/>
              <w:rPr>
                <w:b/>
                <w:lang w:val="bg-BG"/>
              </w:rPr>
            </w:pPr>
            <w:r w:rsidRPr="0090769F">
              <w:rPr>
                <w:b/>
                <w:lang w:val="bg-BG"/>
              </w:rPr>
              <w:t>BG14MFOP001-5.014-0002</w:t>
            </w:r>
          </w:p>
        </w:tc>
        <w:tc>
          <w:tcPr>
            <w:tcW w:w="2318" w:type="dxa"/>
            <w:shd w:val="clear" w:color="auto" w:fill="auto"/>
          </w:tcPr>
          <w:p w:rsidR="00025E58" w:rsidRPr="005C45BA" w:rsidRDefault="00025E58" w:rsidP="00E756A6">
            <w:pPr>
              <w:jc w:val="center"/>
              <w:rPr>
                <w:b/>
                <w:lang w:val="bg-BG"/>
              </w:rPr>
            </w:pPr>
          </w:p>
          <w:p w:rsidR="00025E58" w:rsidRPr="00AF27A9" w:rsidRDefault="0085198C" w:rsidP="00AF27A9">
            <w:pPr>
              <w:jc w:val="center"/>
              <w:rPr>
                <w:b/>
                <w:lang w:val="bg-BG"/>
              </w:rPr>
            </w:pPr>
            <w:r w:rsidRPr="00AF27A9">
              <w:rPr>
                <w:b/>
                <w:lang w:val="bg-BG"/>
              </w:rPr>
              <w:t>„</w:t>
            </w:r>
            <w:r w:rsidR="0090769F">
              <w:rPr>
                <w:b/>
                <w:lang w:val="bg-BG"/>
              </w:rPr>
              <w:t>Матис фишинг</w:t>
            </w:r>
            <w:r w:rsidR="00AF27A9" w:rsidRPr="00AF27A9">
              <w:rPr>
                <w:b/>
                <w:lang w:val="bg-BG"/>
              </w:rPr>
              <w:t>“</w:t>
            </w:r>
            <w:r w:rsidRPr="00AF27A9">
              <w:rPr>
                <w:b/>
                <w:lang w:val="bg-BG"/>
              </w:rPr>
              <w:t xml:space="preserve"> ООД</w:t>
            </w:r>
          </w:p>
        </w:tc>
        <w:tc>
          <w:tcPr>
            <w:tcW w:w="2959" w:type="dxa"/>
            <w:shd w:val="clear" w:color="auto" w:fill="auto"/>
          </w:tcPr>
          <w:p w:rsidR="00025E58" w:rsidRPr="005C45BA" w:rsidRDefault="0093219F" w:rsidP="000D421C">
            <w:pPr>
              <w:jc w:val="both"/>
              <w:rPr>
                <w:lang w:val="bg-BG"/>
              </w:rPr>
            </w:pPr>
            <w:r w:rsidRPr="0093219F">
              <w:rPr>
                <w:lang w:val="bg-BG"/>
              </w:rPr>
              <w:t>„</w:t>
            </w:r>
            <w:r w:rsidR="0090769F" w:rsidRPr="0090769F">
              <w:rPr>
                <w:lang w:val="bg-BG"/>
              </w:rPr>
              <w:t>Монтаж на машини и съоръжения-поточна линия за производство на продукти от многоклетъчни водорасли намиращи приложение в молекулярната кулинария</w:t>
            </w:r>
            <w:r w:rsidRPr="0093219F">
              <w:rPr>
                <w:lang w:val="bg-BG"/>
              </w:rPr>
              <w:t>“</w:t>
            </w:r>
          </w:p>
        </w:tc>
        <w:tc>
          <w:tcPr>
            <w:tcW w:w="5233" w:type="dxa"/>
            <w:shd w:val="clear" w:color="auto" w:fill="auto"/>
          </w:tcPr>
          <w:p w:rsidR="002A1582" w:rsidRDefault="002A1582" w:rsidP="002A1582">
            <w:pPr>
              <w:spacing w:after="160" w:line="259" w:lineRule="auto"/>
              <w:ind w:firstLine="720"/>
              <w:jc w:val="both"/>
              <w:rPr>
                <w:lang w:val="bg-BG"/>
              </w:rPr>
            </w:pPr>
            <w:r w:rsidRPr="002A1582">
              <w:rPr>
                <w:lang w:val="bg-BG"/>
              </w:rPr>
              <w:t xml:space="preserve">След извършване на оценка за административно съответствие и допустимост на проектно предложение № BG14MFOP001-5.014-0002 съгласно чл. 29, ал. 2, т. 1, б. „а“ от ЗУСЕСИФ, е установено следното: </w:t>
            </w:r>
          </w:p>
          <w:p w:rsidR="002A1582" w:rsidRPr="002A1582" w:rsidRDefault="002A1582" w:rsidP="002A1582">
            <w:pPr>
              <w:spacing w:after="160" w:line="259" w:lineRule="auto"/>
              <w:ind w:firstLine="720"/>
              <w:jc w:val="both"/>
              <w:rPr>
                <w:lang w:val="bg-BG"/>
              </w:rPr>
            </w:pPr>
            <w:r w:rsidRPr="002A1582">
              <w:rPr>
                <w:lang w:val="bg-BG"/>
              </w:rPr>
              <w:t xml:space="preserve">Проектното предложение не отговаря на Критерий № 4 „Налице са всички изискуеми </w:t>
            </w:r>
            <w:r w:rsidRPr="002A1582">
              <w:rPr>
                <w:lang w:val="bg-BG"/>
              </w:rPr>
              <w:lastRenderedPageBreak/>
              <w:t xml:space="preserve">документи и са попълнени съгласно изискванията, посочени в т. 24 от Условията за кандидатстване по настоящата процедура.“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w:t>
            </w:r>
          </w:p>
          <w:p w:rsidR="002A1582" w:rsidRPr="002A1582" w:rsidRDefault="002A1582" w:rsidP="002A1582">
            <w:pPr>
              <w:spacing w:after="160" w:line="259" w:lineRule="auto"/>
              <w:ind w:firstLine="720"/>
              <w:jc w:val="both"/>
              <w:rPr>
                <w:lang w:val="bg-BG"/>
              </w:rPr>
            </w:pPr>
            <w:r w:rsidRPr="002A1582">
              <w:rPr>
                <w:lang w:val="bg-BG"/>
              </w:rPr>
              <w:t xml:space="preserve">След извършена проверка на предоставените документи и съгласно чл. 34, ал. 2 от ЗУСЕСИФ: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 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 утвърдени от УО, на 12.07.2021 г. е изпратено уведомление с регистрационен номер BG14MFOP001-5.014-0002-M001, с което е поискана допълнителна информация от кандидата чрез Модул </w:t>
            </w:r>
            <w:r w:rsidRPr="002A1582">
              <w:rPr>
                <w:lang w:val="bg-BG"/>
              </w:rPr>
              <w:lastRenderedPageBreak/>
              <w:t>„Комуникация“ в ИСУН 2020. Указан е срок до 22.07.2021 г. Отговор от кандидата е получен на 22.07.2021 г., като следните от предоставените документи не са съгласно изискванията, посочени в Условията за кандидатстване на процедурата, което прави невъзможно извършването на оценка на проектното предложение:</w:t>
            </w:r>
          </w:p>
          <w:p w:rsidR="002A1582" w:rsidRPr="002A1582" w:rsidRDefault="002A1582" w:rsidP="002A1582">
            <w:pPr>
              <w:spacing w:after="160" w:line="259" w:lineRule="auto"/>
              <w:ind w:firstLine="720"/>
              <w:jc w:val="both"/>
              <w:rPr>
                <w:lang w:val="bg-BG"/>
              </w:rPr>
            </w:pPr>
            <w:r w:rsidRPr="002A1582">
              <w:rPr>
                <w:lang w:val="bg-BG"/>
              </w:rPr>
              <w:t>1.</w:t>
            </w:r>
            <w:r w:rsidRPr="002A1582">
              <w:rPr>
                <w:lang w:val="bg-BG"/>
              </w:rPr>
              <w:tab/>
              <w:t>Следните от предоставените от кандидата документи с „Комуникация“ в ИСУН 2020 от 22.07.2021 г. са с дата след датата на подаване на проектното предложение – 09.02.2021 г., което ясно доказва, че към датата на кандидатстване кандидатът не е притежавал  съответния документ, а именно:</w:t>
            </w:r>
          </w:p>
          <w:p w:rsidR="002A1582" w:rsidRPr="002A1582" w:rsidRDefault="002A1582" w:rsidP="002A1582">
            <w:pPr>
              <w:spacing w:after="160" w:line="259" w:lineRule="auto"/>
              <w:ind w:firstLine="720"/>
              <w:jc w:val="both"/>
              <w:rPr>
                <w:lang w:val="bg-BG"/>
              </w:rPr>
            </w:pPr>
            <w:r w:rsidRPr="002A1582">
              <w:rPr>
                <w:lang w:val="bg-BG"/>
              </w:rPr>
              <w:t>•</w:t>
            </w:r>
            <w:r w:rsidRPr="002A1582">
              <w:rPr>
                <w:lang w:val="bg-BG"/>
              </w:rPr>
              <w:tab/>
              <w:t xml:space="preserve">Към формуляра за кандидатстване е представен е „Договор за наем” от 04.01.2021 г. за наем на Производствена база в землището на с. Славеево, но не е посочен имот, сграда, обект, в който ще се монтира оборудването. Не става ясно на какво правно основание кандидатът ще извърши инвестиционните си намерения. Липсва коректен договор за наем на сградите/помещенията, които ще се обновяват и/или в които ще се монтират машините, съоръженията, оборудването - за инвестиции за закупуване и/или инсталиране на нови машини, оборудване и съоръжения и/или обновяване на сгради и/или помещения, за които не се изисква разрешение за строеж съгласно ЗУТ. След като </w:t>
            </w:r>
            <w:r w:rsidRPr="002A1582">
              <w:rPr>
                <w:lang w:val="bg-BG"/>
              </w:rPr>
              <w:lastRenderedPageBreak/>
              <w:t xml:space="preserve">е поискана допълнителна информация от кандидата чрез Модул „Комуникация“ в ИСУН 2020, кандидатът предоставя нов Договор за наем от 19.07.2021 г. с променен наем и срок, подписан след датата на подаване на проектното предложение – 08.02.2021 г., а не поискания Анекс с посочен номер на имот и сграда, с което ясно доказва, че към датата на кандидатстване не е притежавал съответния документ. </w:t>
            </w:r>
          </w:p>
          <w:p w:rsidR="002A1582" w:rsidRPr="002A1582" w:rsidRDefault="002A1582" w:rsidP="002A1582">
            <w:pPr>
              <w:spacing w:after="160" w:line="259" w:lineRule="auto"/>
              <w:ind w:firstLine="720"/>
              <w:jc w:val="both"/>
              <w:rPr>
                <w:lang w:val="bg-BG"/>
              </w:rPr>
            </w:pPr>
            <w:r w:rsidRPr="002A1582">
              <w:rPr>
                <w:lang w:val="bg-BG"/>
              </w:rPr>
              <w:t>Съгласно т. 24 от Условията за кандидатстване на Процедура за подбор на проекти BG14MFOP001-5.014 „Преработване на продуктите от риболов и аквакултури”: „Отстраняването на нередовностите в никакъв случай и при никакви обстоятелства не трябва да води до подобряване на качеството на проектните предложения“. Приемането на горе-цитираните документи, които не са бил</w:t>
            </w:r>
            <w:r>
              <w:rPr>
                <w:lang w:val="bg-BG"/>
              </w:rPr>
              <w:t>и</w:t>
            </w:r>
            <w:r w:rsidRPr="002A1582">
              <w:rPr>
                <w:lang w:val="bg-BG"/>
              </w:rPr>
              <w:t xml:space="preserve"> издадени към датата на кандидатстване и за които (съгласно т. 24 от Условията за кандидатстване на Процедура за подбор на проекти BG14MFOP001-5.014) към датата на кандидатстване кандидатът не е предоставил писмено доказателство, с което е заявено искането към държавен и/или общински орган или институция за издаване на документите, ведно с придружаващите го документи, би довело до подоб</w:t>
            </w:r>
            <w:r>
              <w:rPr>
                <w:lang w:val="bg-BG"/>
              </w:rPr>
              <w:t>ря</w:t>
            </w:r>
            <w:r w:rsidRPr="002A1582">
              <w:rPr>
                <w:lang w:val="bg-BG"/>
              </w:rPr>
              <w:t xml:space="preserve">ване на качеството на проектното предложение и би било в разрез с Критерий № 12 „Отстраняването на </w:t>
            </w:r>
            <w:r w:rsidRPr="002A1582">
              <w:rPr>
                <w:lang w:val="bg-BG"/>
              </w:rPr>
              <w:lastRenderedPageBreak/>
              <w:t>нередовностите по проектното предложение не е довело до подобряване на качеството му.“</w:t>
            </w:r>
          </w:p>
          <w:p w:rsidR="002A1582" w:rsidRPr="002A1582" w:rsidRDefault="002A1582" w:rsidP="002A1582">
            <w:pPr>
              <w:spacing w:after="160" w:line="259" w:lineRule="auto"/>
              <w:ind w:firstLine="720"/>
              <w:jc w:val="both"/>
              <w:rPr>
                <w:lang w:val="bg-BG"/>
              </w:rPr>
            </w:pPr>
            <w:r w:rsidRPr="002A1582">
              <w:rPr>
                <w:lang w:val="bg-BG"/>
              </w:rPr>
              <w:t xml:space="preserve">Проектното предложение не отговаря и на Критерий № 6 „Включените в проекта дейности са допустими за финансиране съгласно изискванията в т. 13 от Условия за кандидатстване по настоящата процедура“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w:t>
            </w:r>
          </w:p>
          <w:p w:rsidR="002A1582" w:rsidRPr="002A1582" w:rsidRDefault="002A1582" w:rsidP="002A1582">
            <w:pPr>
              <w:spacing w:after="160" w:line="259" w:lineRule="auto"/>
              <w:ind w:firstLine="720"/>
              <w:jc w:val="both"/>
              <w:rPr>
                <w:lang w:val="bg-BG"/>
              </w:rPr>
            </w:pPr>
            <w:r w:rsidRPr="002A1582">
              <w:rPr>
                <w:lang w:val="bg-BG"/>
              </w:rPr>
              <w:t xml:space="preserve">Съгласно УК, т. 13.1 чрез мярка 5.4 „Преработване на продуктите от риболов и аквакултури” се цели подпомагането на инвестиции в преработването на продукти от риболов и аквакултури. </w:t>
            </w:r>
          </w:p>
          <w:p w:rsidR="002A1582" w:rsidRPr="002A1582" w:rsidRDefault="002A1582" w:rsidP="002A1582">
            <w:pPr>
              <w:spacing w:after="160" w:line="259" w:lineRule="auto"/>
              <w:ind w:firstLine="720"/>
              <w:jc w:val="both"/>
              <w:rPr>
                <w:lang w:val="bg-BG"/>
              </w:rPr>
            </w:pPr>
            <w:r w:rsidRPr="002A1582">
              <w:rPr>
                <w:lang w:val="bg-BG"/>
              </w:rPr>
              <w:t xml:space="preserve">Основната суровина за производство на перли от многоклетъчни водорасли е натриев алгинат съгласно представения технологичен проект и допълнителни документи. Натриев Алгинат е сол на алгиновата киселина – вискозен полизахарид, който се извлича от морски водорасли. Той се използва в медицината като лекарство и е предназначен за лечение на стомашно-чревни заболявания, при които е необходимо неутрализиране на солна киселина. В хранително-вкусовата промишленост той играе ролята на стабилизатор </w:t>
            </w:r>
            <w:r w:rsidRPr="002A1582">
              <w:rPr>
                <w:lang w:val="bg-BG"/>
              </w:rPr>
              <w:lastRenderedPageBreak/>
              <w:t>и сгъстител и е известен като хранителна добавка Е401.</w:t>
            </w:r>
          </w:p>
          <w:p w:rsidR="002A1582" w:rsidRPr="002A1582" w:rsidRDefault="002A1582" w:rsidP="002A1582">
            <w:pPr>
              <w:spacing w:after="160" w:line="259" w:lineRule="auto"/>
              <w:ind w:firstLine="720"/>
              <w:jc w:val="both"/>
              <w:rPr>
                <w:lang w:val="bg-BG"/>
              </w:rPr>
            </w:pPr>
            <w:r w:rsidRPr="002A1582">
              <w:rPr>
                <w:lang w:val="bg-BG"/>
              </w:rPr>
              <w:t>Съгласно публикуваното Приложение № 5 към УК е дадено определение на „Преработка на риба и други водни организми“ и то е „Химическо или физическо преработване, като топлинна обработка, опушване, осоляване, дехидратация или мариноване на пресни, охладени или замразени продукти, комбинирани или не с други хранителни продукти, или комбинация с други процеси“.</w:t>
            </w:r>
          </w:p>
          <w:p w:rsidR="002A1582" w:rsidRPr="002A1582" w:rsidRDefault="002A1582" w:rsidP="002A1582">
            <w:pPr>
              <w:spacing w:after="160" w:line="259" w:lineRule="auto"/>
              <w:ind w:firstLine="720"/>
              <w:jc w:val="both"/>
              <w:rPr>
                <w:lang w:val="bg-BG"/>
              </w:rPr>
            </w:pPr>
            <w:r w:rsidRPr="002A1582">
              <w:rPr>
                <w:lang w:val="bg-BG"/>
              </w:rPr>
              <w:t>Видно от представения технологичен проект и представеното допълнение от инж. Росица Маврова основната суровина за производство на перли от многоклетъчни водорасли е сол на алгиновата киселина – вискозен полизахарид, който се извлича от морски водорасли или така наречения „натриев алгинат“ известен като хранителна добавка Е401. По този начин суровината не може да се определи като пресни, охладени или замразени продукти от риболов или аквакуртури.</w:t>
            </w:r>
          </w:p>
          <w:p w:rsidR="002A1582" w:rsidRPr="002A1582" w:rsidRDefault="002A1582" w:rsidP="002A1582">
            <w:pPr>
              <w:spacing w:after="160" w:line="259" w:lineRule="auto"/>
              <w:ind w:firstLine="720"/>
              <w:jc w:val="both"/>
              <w:rPr>
                <w:lang w:val="bg-BG"/>
              </w:rPr>
            </w:pPr>
            <w:r w:rsidRPr="002A1582">
              <w:rPr>
                <w:lang w:val="bg-BG"/>
              </w:rPr>
              <w:t xml:space="preserve">Проектното предложение не отговаря на Критерий № 7 „Разходите за финансиране са допустими съгласно изискванията в т. 14 от Условия за кандидатстване по настоящата процедура“ от Приложение 4 „Критерии и методология за оценка на проектните предложения по Процедура за подбор на </w:t>
            </w:r>
            <w:r w:rsidRPr="002A1582">
              <w:rPr>
                <w:lang w:val="bg-BG"/>
              </w:rPr>
              <w:lastRenderedPageBreak/>
              <w:t xml:space="preserve">проекти BG14MFOP001-5.014 „Преработване на продуктите от риболов и аквакултури”. </w:t>
            </w:r>
          </w:p>
          <w:p w:rsidR="002A1582" w:rsidRPr="002A1582" w:rsidRDefault="002A1582" w:rsidP="002A1582">
            <w:pPr>
              <w:spacing w:after="160" w:line="259" w:lineRule="auto"/>
              <w:ind w:firstLine="720"/>
              <w:jc w:val="both"/>
              <w:rPr>
                <w:lang w:val="bg-BG"/>
              </w:rPr>
            </w:pPr>
            <w:r w:rsidRPr="002A1582">
              <w:rPr>
                <w:lang w:val="bg-BG"/>
              </w:rPr>
              <w:t xml:space="preserve">Съгласно раздел 9 „Минимален (ако е приложимо) и максимален размер на безвъзмездната финансова помощ за конкретен проект“ от Условията за кандидатстване (УК) по процедура № BG14MFOP001-5.014 „Преработване на продуктите от риболов и аквакултури“ от Условията за кандидатстване по настоящата процедура: „Максималният размер на допустимата безвъзмездна финансова помощ за един бенефициент, заедно със свързаните с него лица, съгласно § 1, т.13 и 14 от допълнителните разпоредби на Закона за публичното предлагане на ценни книжа за целия програмен период по мярка 5.4 „Преработване на продуктите от риболов </w:t>
            </w:r>
            <w:r>
              <w:rPr>
                <w:lang w:val="bg-BG"/>
              </w:rPr>
              <w:t>и аквакултури“ е 1 400 000 лева</w:t>
            </w:r>
            <w:r w:rsidRPr="002A1582">
              <w:rPr>
                <w:lang w:val="bg-BG"/>
              </w:rPr>
              <w:t xml:space="preserve">“. </w:t>
            </w:r>
          </w:p>
          <w:p w:rsidR="002A1582" w:rsidRPr="002A1582" w:rsidRDefault="002A1582" w:rsidP="002A1582">
            <w:pPr>
              <w:spacing w:after="160" w:line="259" w:lineRule="auto"/>
              <w:ind w:firstLine="720"/>
              <w:jc w:val="both"/>
              <w:rPr>
                <w:lang w:val="bg-BG"/>
              </w:rPr>
            </w:pPr>
            <w:r w:rsidRPr="002A1582">
              <w:rPr>
                <w:lang w:val="bg-BG"/>
              </w:rPr>
              <w:t>След извършена проверка на предоставените документи и свързаност съгласно раздел 9</w:t>
            </w:r>
            <w:r>
              <w:rPr>
                <w:lang w:val="bg-BG"/>
              </w:rPr>
              <w:t xml:space="preserve"> </w:t>
            </w:r>
            <w:r w:rsidRPr="002A1582">
              <w:rPr>
                <w:lang w:val="bg-BG"/>
              </w:rPr>
              <w:t xml:space="preserve">„Минимален (ако е приложимо) и максимален размер на безвъзмездната финансова помощ за конкретен проект“ от Условията за кандидатстване (УК) по процедура № BG14MFOP001-5.014 „Преработване на продуктите от риболов и аквакултури“ е установено следното по отношение на свързаността на бенефициента и максималния размер на допустимата безвъзмездна финансова помощ за един </w:t>
            </w:r>
            <w:r w:rsidRPr="002A1582">
              <w:rPr>
                <w:lang w:val="bg-BG"/>
              </w:rPr>
              <w:lastRenderedPageBreak/>
              <w:t>бенефициент, заедно със свързаните с него лица, съгласно § 1, т.13 и 14 от допълнителните разпоредби на Закона за публичното предлагане на ценни книжа за целия програмен период по мярка 5.4 „Преработване на продуктите от риболов и аквакултури“:</w:t>
            </w:r>
          </w:p>
          <w:p w:rsidR="002A1582" w:rsidRPr="002A1582" w:rsidRDefault="002A1582" w:rsidP="002A1582">
            <w:pPr>
              <w:spacing w:after="160" w:line="259" w:lineRule="auto"/>
              <w:ind w:firstLine="720"/>
              <w:jc w:val="both"/>
              <w:rPr>
                <w:lang w:val="bg-BG"/>
              </w:rPr>
            </w:pPr>
            <w:r w:rsidRPr="002A1582">
              <w:rPr>
                <w:lang w:val="bg-BG"/>
              </w:rPr>
              <w:t>Проектното предложение на кандидата „Матис Фишинг“ ООД с ЕИК: 201938197 е подадено на 08.02.2021 г. с наименование „Монтаж на машини и съоръжения-поточна линия за производство на продукти от многоклетъчни водорасли намиращи приложение в молекулярната кулинария”. Във връзка с представения Договор за наем за имот УПИ XIII, в кв. 27 в с. Славеево, област Добрич от 19.07.2021 г. с наемодател „Бул аква фиш“ ЕООД с ЕИК 200855752 и след извършена служебна справка за двойно финансиране в ИСУН е установено, че наемодателя „Бул аква фиш“ ЕООД е бенефициент на ПМДР 2014-20220 и има сключен АДБФП по ПП BG14MFOP001-5.005-0011-C03 на стойност 977 909,50 лева безвъзмездна финансова помощ БФП за оборудването на същия склад.</w:t>
            </w:r>
          </w:p>
          <w:p w:rsidR="002A1582" w:rsidRPr="002A1582" w:rsidRDefault="002A1582" w:rsidP="002A1582">
            <w:pPr>
              <w:spacing w:after="160" w:line="259" w:lineRule="auto"/>
              <w:ind w:firstLine="720"/>
              <w:jc w:val="both"/>
              <w:rPr>
                <w:lang w:val="bg-BG"/>
              </w:rPr>
            </w:pPr>
            <w:r w:rsidRPr="002A1582">
              <w:rPr>
                <w:lang w:val="bg-BG"/>
              </w:rPr>
              <w:t xml:space="preserve">„Матис Фишинг“ ООД с проектно предложение (ПП) BG14MFOP001-5.014-0002 кандидатства за 979 988.22 лева БФП, с което двете ПП надхвърлят с над 550 000,00 лева максималния размер на допустимата безвъзмездна финансова помощ за един </w:t>
            </w:r>
            <w:r w:rsidRPr="002A1582">
              <w:rPr>
                <w:lang w:val="bg-BG"/>
              </w:rPr>
              <w:lastRenderedPageBreak/>
              <w:t>бенефициент, заедно със свързаните с него лица, съгласно § 1, т.13 и 14 от допълнителните разпоредби на Закона за публичното предлагане на ценни книжа за целия програмен период по мярка 5.4 „Преработване на продуктите от риболов и аквакултури“, който е в размер на 1 400 000 лева.</w:t>
            </w:r>
          </w:p>
          <w:p w:rsidR="002A1582" w:rsidRPr="002A1582" w:rsidRDefault="002A1582" w:rsidP="002A1582">
            <w:pPr>
              <w:spacing w:after="160" w:line="259" w:lineRule="auto"/>
              <w:ind w:firstLine="720"/>
              <w:jc w:val="both"/>
              <w:rPr>
                <w:lang w:val="bg-BG"/>
              </w:rPr>
            </w:pPr>
            <w:r w:rsidRPr="002A1582">
              <w:rPr>
                <w:lang w:val="bg-BG"/>
              </w:rPr>
              <w:t>Проектното предложение на кандидат „Бул аква фиш“ ООД с ЕИК: 200855752 е с наименование „Модернизиране на рибопреработвателно предприятие чрез закупуване на допълнително технологично оборудване за разширяване на асортимента на производство и пречиствателно съоръжение за отпадни води.“, като инвестицията се осъществява отново в имот УПИ XIII, в кв. 27 в с. Славеево, област Добрич, съгласно представен Нотариален акт за учредяване на право на строеж.</w:t>
            </w:r>
          </w:p>
          <w:p w:rsidR="002A1582" w:rsidRPr="002A1582" w:rsidRDefault="002A1582" w:rsidP="002A1582">
            <w:pPr>
              <w:spacing w:after="160" w:line="259" w:lineRule="auto"/>
              <w:ind w:firstLine="720"/>
              <w:jc w:val="both"/>
              <w:rPr>
                <w:lang w:val="bg-BG"/>
              </w:rPr>
            </w:pPr>
            <w:r w:rsidRPr="002A1582">
              <w:rPr>
                <w:lang w:val="bg-BG"/>
              </w:rPr>
              <w:t xml:space="preserve">В резултат на извършената служебна проверка и установените факти става ясно, че кандидатите „Матис Фишинг“ ООД и „Бул аква фиш“ ООД са свързани лица съгласно § 1, т.13, буква „Б“ от допълнителните разпоредби на Закона за публичното предлагане на ценни книжа, тъй като те се явяват лица, чиято дейност се контролира от трето лице, лицето чиято собственост е имота и учредява право на строеж на „Бул аква фиш“ ООД, а от своя страна „Бул аква фиш“ ООД отдава същия имот </w:t>
            </w:r>
            <w:r w:rsidRPr="002A1582">
              <w:rPr>
                <w:lang w:val="bg-BG"/>
              </w:rPr>
              <w:lastRenderedPageBreak/>
              <w:t>на „Матис Фишинг“ ООД, за да реализират инвестиционните си намерения. В допълнение кандидатите „Бул аква фиш“ ООД и „Матис Фишинг“ ООД се явяват свързани лица и съгласно § 1, т.14, буква „В“ от допълнителните разпоредби на Закона за публичното предлагане на ценни книжа във връзка с ползването на един и същи имот и производствена сграда, тъй като по този начин могат да упражнява решаващо влияние върху вземането на решения във връзка с дейността на юридическите лица, които представляват и са кандидати по процедура BG14MFOP001-5.014.</w:t>
            </w:r>
          </w:p>
          <w:p w:rsidR="002A1582" w:rsidRPr="002A1582" w:rsidRDefault="002A1582" w:rsidP="002A1582">
            <w:pPr>
              <w:spacing w:after="160" w:line="259" w:lineRule="auto"/>
              <w:ind w:firstLine="720"/>
              <w:jc w:val="both"/>
              <w:rPr>
                <w:lang w:val="bg-BG"/>
              </w:rPr>
            </w:pPr>
            <w:r w:rsidRPr="002A1582">
              <w:rPr>
                <w:lang w:val="bg-BG"/>
              </w:rPr>
              <w:t xml:space="preserve">Проектното предложение не отговаря на Критерий № 7 „Разходите за финансиране са допустими съгласно изискванията в т. 14 от Условия за кандидатстване по настоящата процедура“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тъй като с установената свързаност кандидатът е в ситуация на конфликт на интереси по смисъла на чл. 61 от Регламент (ЕС, ЕВРАТОМ) №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w:t>
            </w:r>
            <w:r w:rsidRPr="002A1582">
              <w:rPr>
                <w:lang w:val="bg-BG"/>
              </w:rPr>
              <w:lastRenderedPageBreak/>
              <w:t xml:space="preserve">(ЕС) № 1304/2013, (ЕС) № 1309/2013, (ЕС) № 1316/2013, (ЕС) № 223/2014 и (ЕС) № 283/2014 и на Решение № 541/2014/ЕС и за отмяна на Регламент (ЕС, Евратом) № 966/2012 (ОВ, L 193/1 от 30 юли 2018 г.) с друг бенефициент и поради тази причина разходите не са допустими съгласно т. 14.1.1 от УК. </w:t>
            </w:r>
          </w:p>
          <w:p w:rsidR="002A1582" w:rsidRPr="002A1582" w:rsidRDefault="002A1582" w:rsidP="002A1582">
            <w:pPr>
              <w:spacing w:after="160" w:line="259" w:lineRule="auto"/>
              <w:ind w:firstLine="720"/>
              <w:jc w:val="both"/>
              <w:rPr>
                <w:lang w:val="bg-BG"/>
              </w:rPr>
            </w:pPr>
            <w:r w:rsidRPr="002A1582">
              <w:rPr>
                <w:lang w:val="bg-BG"/>
              </w:rPr>
              <w:tab/>
              <w:t>От гореизложеното възникват съмнения за създаване на изкуствени условия с цел осигуряване на предимство, съсредоточаване на финансова помощ в едни и същи кандидати, ползване на обща инфраструктура и получаване на финансова помощ в размер, надвишаващ посочените в раздел 9 от УК максимални размери.</w:t>
            </w:r>
          </w:p>
          <w:p w:rsidR="002A1582" w:rsidRPr="002A1582" w:rsidRDefault="002A1582" w:rsidP="002A1582">
            <w:pPr>
              <w:spacing w:after="160" w:line="259" w:lineRule="auto"/>
              <w:ind w:firstLine="720"/>
              <w:jc w:val="both"/>
              <w:rPr>
                <w:lang w:val="bg-BG"/>
              </w:rPr>
            </w:pPr>
            <w:r w:rsidRPr="002A1582">
              <w:rPr>
                <w:lang w:val="bg-BG"/>
              </w:rPr>
              <w:tab/>
              <w:t xml:space="preserve">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е опорочено по причини, свързани със семейния и </w:t>
            </w:r>
            <w:r w:rsidRPr="002A1582">
              <w:rPr>
                <w:lang w:val="bg-BG"/>
              </w:rPr>
              <w:lastRenderedPageBreak/>
              <w:t>емоционалния живот, политическа или национална принадлежност, икономически интерес или всякакъв друг пряк или косвен личен интерес.</w:t>
            </w:r>
          </w:p>
          <w:p w:rsidR="002A1582" w:rsidRPr="002A1582" w:rsidRDefault="002A1582" w:rsidP="002A1582">
            <w:pPr>
              <w:spacing w:after="160" w:line="259" w:lineRule="auto"/>
              <w:ind w:firstLine="720"/>
              <w:jc w:val="both"/>
              <w:rPr>
                <w:lang w:val="bg-BG"/>
              </w:rPr>
            </w:pPr>
            <w:r w:rsidRPr="002A1582">
              <w:rPr>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p w:rsidR="002A1582" w:rsidRPr="002A1582" w:rsidRDefault="002A1582" w:rsidP="002A1582">
            <w:pPr>
              <w:spacing w:after="160" w:line="259" w:lineRule="auto"/>
              <w:ind w:firstLine="720"/>
              <w:jc w:val="both"/>
              <w:rPr>
                <w:lang w:val="bg-BG"/>
              </w:rPr>
            </w:pPr>
            <w:r w:rsidRPr="002A1582">
              <w:rPr>
                <w:lang w:val="bg-BG"/>
              </w:rPr>
              <w:t>Съгласно чл. 34, ал. 2 на ЗУСЕСИФ,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rsidR="00E007E1" w:rsidRPr="00E007E1" w:rsidRDefault="002A1582" w:rsidP="002A1582">
            <w:pPr>
              <w:spacing w:after="160" w:line="259" w:lineRule="auto"/>
              <w:ind w:firstLine="720"/>
              <w:jc w:val="both"/>
              <w:rPr>
                <w:highlight w:val="green"/>
                <w:lang w:val="bg-BG"/>
              </w:rPr>
            </w:pPr>
            <w:r w:rsidRPr="002A1582">
              <w:rPr>
                <w:lang w:val="bg-BG"/>
              </w:rPr>
              <w:t>Поради изложените по-горе аргументи, проектно предложение с рег. № BG14MFOP001-5.014-0002  е включено в Списъка на проектните предложения, които не се допускат до етап Техническа и финансова оценка, по настоящата процедура.</w:t>
            </w:r>
          </w:p>
        </w:tc>
      </w:tr>
      <w:tr w:rsidR="00025E58" w:rsidRPr="00E76FC7" w:rsidTr="00C171C9">
        <w:tc>
          <w:tcPr>
            <w:tcW w:w="600" w:type="dxa"/>
            <w:shd w:val="clear" w:color="auto" w:fill="auto"/>
          </w:tcPr>
          <w:p w:rsidR="00C65B82" w:rsidRDefault="00C65B82" w:rsidP="00E756A6">
            <w:pPr>
              <w:jc w:val="center"/>
              <w:rPr>
                <w:b/>
                <w:lang w:val="bg-BG"/>
              </w:rPr>
            </w:pPr>
          </w:p>
          <w:p w:rsidR="00025E58" w:rsidRPr="005C45BA" w:rsidRDefault="00025E58" w:rsidP="00E756A6">
            <w:pPr>
              <w:jc w:val="center"/>
              <w:rPr>
                <w:b/>
                <w:lang w:val="bg-BG"/>
              </w:rPr>
            </w:pPr>
            <w:r w:rsidRPr="005C45BA">
              <w:rPr>
                <w:b/>
                <w:lang w:val="bg-BG"/>
              </w:rPr>
              <w:t>2.</w:t>
            </w:r>
          </w:p>
        </w:tc>
        <w:tc>
          <w:tcPr>
            <w:tcW w:w="2112" w:type="dxa"/>
            <w:shd w:val="clear" w:color="auto" w:fill="auto"/>
          </w:tcPr>
          <w:p w:rsidR="00C65B82" w:rsidRDefault="00C65B82" w:rsidP="00E756A6">
            <w:pPr>
              <w:jc w:val="center"/>
              <w:rPr>
                <w:b/>
                <w:lang w:val="bg-BG"/>
              </w:rPr>
            </w:pPr>
          </w:p>
          <w:p w:rsidR="00025E58" w:rsidRPr="005C45BA" w:rsidRDefault="0090769F" w:rsidP="00E756A6">
            <w:pPr>
              <w:jc w:val="center"/>
              <w:rPr>
                <w:b/>
                <w:lang w:val="en-US"/>
              </w:rPr>
            </w:pPr>
            <w:r w:rsidRPr="0090769F">
              <w:rPr>
                <w:b/>
                <w:lang w:val="bg-BG"/>
              </w:rPr>
              <w:t>BG14MFOP001-5.014-0004</w:t>
            </w:r>
          </w:p>
        </w:tc>
        <w:tc>
          <w:tcPr>
            <w:tcW w:w="2318" w:type="dxa"/>
            <w:shd w:val="clear" w:color="auto" w:fill="auto"/>
          </w:tcPr>
          <w:p w:rsidR="00C65B82" w:rsidRDefault="00C65B82" w:rsidP="00E756A6">
            <w:pPr>
              <w:jc w:val="center"/>
              <w:rPr>
                <w:b/>
                <w:lang w:val="bg-BG"/>
              </w:rPr>
            </w:pPr>
          </w:p>
          <w:p w:rsidR="00025E58" w:rsidRPr="005C45BA" w:rsidRDefault="007C111B" w:rsidP="00E756A6">
            <w:pPr>
              <w:jc w:val="center"/>
              <w:rPr>
                <w:b/>
                <w:lang w:val="bg-BG"/>
              </w:rPr>
            </w:pPr>
            <w:r>
              <w:rPr>
                <w:b/>
                <w:lang w:val="bg-BG"/>
              </w:rPr>
              <w:t>„</w:t>
            </w:r>
            <w:r w:rsidR="0090769F" w:rsidRPr="0090769F">
              <w:rPr>
                <w:b/>
                <w:lang w:val="bg-BG"/>
              </w:rPr>
              <w:t>АКВАМЕЛ</w:t>
            </w:r>
            <w:r>
              <w:rPr>
                <w:b/>
                <w:lang w:val="bg-BG"/>
              </w:rPr>
              <w:t>“</w:t>
            </w:r>
            <w:r w:rsidRPr="007C111B">
              <w:rPr>
                <w:b/>
                <w:lang w:val="bg-BG"/>
              </w:rPr>
              <w:t xml:space="preserve"> ЕООД</w:t>
            </w:r>
          </w:p>
        </w:tc>
        <w:tc>
          <w:tcPr>
            <w:tcW w:w="2959" w:type="dxa"/>
            <w:shd w:val="clear" w:color="auto" w:fill="auto"/>
          </w:tcPr>
          <w:p w:rsidR="00025E58" w:rsidRPr="005C45BA" w:rsidRDefault="009266D4" w:rsidP="000D421C">
            <w:pPr>
              <w:jc w:val="both"/>
              <w:rPr>
                <w:lang w:val="bg-BG"/>
              </w:rPr>
            </w:pPr>
            <w:r>
              <w:rPr>
                <w:lang w:val="bg-BG"/>
              </w:rPr>
              <w:t>„</w:t>
            </w:r>
            <w:r w:rsidR="0090769F" w:rsidRPr="0090769F">
              <w:rPr>
                <w:lang w:val="bg-BG"/>
              </w:rPr>
              <w:t xml:space="preserve">Изграждане на цех за преработка и обработка аквакултури, предимно от собствено производство в </w:t>
            </w:r>
            <w:r w:rsidR="0090769F" w:rsidRPr="0090769F">
              <w:rPr>
                <w:lang w:val="bg-BG"/>
              </w:rPr>
              <w:lastRenderedPageBreak/>
              <w:t>ПИ 35290.7.35, местност "Троянско поле</w:t>
            </w:r>
            <w:r w:rsidRPr="009266D4">
              <w:rPr>
                <w:lang w:val="bg-BG"/>
              </w:rPr>
              <w:t>“</w:t>
            </w:r>
          </w:p>
        </w:tc>
        <w:tc>
          <w:tcPr>
            <w:tcW w:w="5233" w:type="dxa"/>
            <w:shd w:val="clear" w:color="auto" w:fill="auto"/>
          </w:tcPr>
          <w:p w:rsidR="000C3816" w:rsidRPr="000C3816" w:rsidRDefault="000C3816" w:rsidP="000C3816">
            <w:pPr>
              <w:spacing w:after="160" w:line="259" w:lineRule="auto"/>
              <w:ind w:firstLine="720"/>
              <w:jc w:val="both"/>
              <w:rPr>
                <w:lang w:val="bg-BG"/>
              </w:rPr>
            </w:pPr>
            <w:r w:rsidRPr="000C3816">
              <w:rPr>
                <w:lang w:val="bg-BG"/>
              </w:rPr>
              <w:lastRenderedPageBreak/>
              <w:t xml:space="preserve">След извършване на оценка за административно съответствие и допустимост на проектно предложение № BG14MFOP001-5.014-0004 съгласно чл. 29, ал. 2, т. 1, б. „а“ от </w:t>
            </w:r>
            <w:r w:rsidRPr="000C3816">
              <w:rPr>
                <w:lang w:val="bg-BG"/>
              </w:rPr>
              <w:lastRenderedPageBreak/>
              <w:t xml:space="preserve">ЗУСЕСИФ, е установено следното: </w:t>
            </w:r>
          </w:p>
          <w:p w:rsidR="000C3816" w:rsidRPr="000C3816" w:rsidRDefault="000C3816" w:rsidP="000C3816">
            <w:pPr>
              <w:spacing w:after="160" w:line="259" w:lineRule="auto"/>
              <w:ind w:firstLine="720"/>
              <w:jc w:val="both"/>
              <w:rPr>
                <w:lang w:val="bg-BG"/>
              </w:rPr>
            </w:pPr>
            <w:r w:rsidRPr="000C3816">
              <w:rPr>
                <w:lang w:val="bg-BG"/>
              </w:rPr>
              <w:t xml:space="preserve">Проектното предложение не отговаря на Критерий № 4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w:t>
            </w:r>
          </w:p>
          <w:p w:rsidR="000C3816" w:rsidRPr="000C3816" w:rsidRDefault="000C3816" w:rsidP="000C3816">
            <w:pPr>
              <w:spacing w:after="160" w:line="259" w:lineRule="auto"/>
              <w:ind w:firstLine="720"/>
              <w:jc w:val="both"/>
              <w:rPr>
                <w:lang w:val="bg-BG"/>
              </w:rPr>
            </w:pPr>
            <w:r w:rsidRPr="000C3816">
              <w:rPr>
                <w:lang w:val="bg-BG"/>
              </w:rPr>
              <w:t xml:space="preserve">След извършена проверка на предоставените документи и съгласно чл. 34, ал. 2 от ЗУСЕСИФ: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 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 утвърдени от УО, на 12.07.2021 г. е изпратено уведомление с </w:t>
            </w:r>
            <w:r w:rsidRPr="000C3816">
              <w:rPr>
                <w:lang w:val="bg-BG"/>
              </w:rPr>
              <w:lastRenderedPageBreak/>
              <w:t>регистрационен номер BG14MFOP001-5.014-0004-M002, с което е поискана допълнителна информация от кандидата чрез Модул „Комуникация“ в ИСУН 2020. Указан е срок до 22.07.2021 г. Отговор от кандидата е получен на 22.07.2021 г., като не са предоставени следните документи или не са съгласно изискванията, посочени в Условията за кандидатстване на процедурата, което прави невъзможно извършването на оценка на проектното предложение:</w:t>
            </w:r>
          </w:p>
          <w:p w:rsidR="000C3816" w:rsidRPr="000C3816" w:rsidRDefault="000C3816" w:rsidP="000C3816">
            <w:pPr>
              <w:spacing w:after="160" w:line="259" w:lineRule="auto"/>
              <w:ind w:firstLine="720"/>
              <w:jc w:val="both"/>
              <w:rPr>
                <w:lang w:val="bg-BG"/>
              </w:rPr>
            </w:pPr>
            <w:r w:rsidRPr="000C3816">
              <w:rPr>
                <w:lang w:val="bg-BG"/>
              </w:rPr>
              <w:t>1.</w:t>
            </w:r>
            <w:r w:rsidRPr="000C3816">
              <w:rPr>
                <w:lang w:val="bg-BG"/>
              </w:rPr>
              <w:tab/>
              <w:t>Не е предоставено доказателство за влизането в сила Разрешение за строеж № 27/10.03.2021 г.;</w:t>
            </w:r>
          </w:p>
          <w:p w:rsidR="000C3816" w:rsidRPr="000C3816" w:rsidRDefault="000C3816" w:rsidP="000C3816">
            <w:pPr>
              <w:spacing w:after="160" w:line="259" w:lineRule="auto"/>
              <w:ind w:firstLine="720"/>
              <w:jc w:val="both"/>
              <w:rPr>
                <w:lang w:val="bg-BG"/>
              </w:rPr>
            </w:pPr>
            <w:r w:rsidRPr="000C3816">
              <w:rPr>
                <w:lang w:val="bg-BG"/>
              </w:rPr>
              <w:t>2.</w:t>
            </w:r>
            <w:r w:rsidRPr="000C3816">
              <w:rPr>
                <w:lang w:val="bg-BG"/>
              </w:rPr>
              <w:tab/>
              <w:t xml:space="preserve">Във връзка с изискването за специфичен оборот и представените справки – декларации, подписани от законния представител на оферента и счетоводителя, те трябва да са придружени от Отчет за приходите и разходите за съответните приключили финансови години, в зависимост от датата, на която оферента е учреден или започнал дейността си. В комуникацията от 12.07.2021 г. е изискано следното: „Представете Отчет за приходите и разходите за съответните приключили финансови години, в зависимост от датата, на която оферента е учреден или започнал дейността си от всички оференти.“ Кандидатът не е представил изисканите отчети. Съгласно изискванията на т. 3 от раздел 24 на </w:t>
            </w:r>
            <w:r w:rsidRPr="000C3816">
              <w:rPr>
                <w:lang w:val="bg-BG"/>
              </w:rPr>
              <w:lastRenderedPageBreak/>
              <w:t xml:space="preserve">УК: „- годишният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равен или по-голям от стойността на доставката, услугата или строителството. Изискването за специфичен оборот се доказва от оферента със справка – декларация, подписана от законния представител на оферента. Справката трябва да е придружена от Отчет за приходите и разходите за съответните приключили финансови години, в зависимост от датата, на която оферента е учреден или започнал дейността си. Ако отчетите за приходите и разходите са публично обявени, се извършва справка в съответния регистър“. След извършена служебна справка на публикуваните отчети е установено, че двама от оферентите - „Галакси Вижън“ ЕООД и „Мик Индустриал“ ЕООД са публикували публично отчета си за 2018 година, но оборота им за тази година не покрива стойността на офертата, а третия оферент „Маркар Прогрес“ ЕООД не е публикувал отчета си за 2018, 2019 и 2020 година. </w:t>
            </w:r>
          </w:p>
          <w:p w:rsidR="000C3816" w:rsidRPr="000C3816" w:rsidRDefault="000C3816" w:rsidP="000C3816">
            <w:pPr>
              <w:spacing w:after="160" w:line="259" w:lineRule="auto"/>
              <w:ind w:firstLine="720"/>
              <w:jc w:val="both"/>
              <w:rPr>
                <w:lang w:val="bg-BG"/>
              </w:rPr>
            </w:pPr>
            <w:r w:rsidRPr="000C3816">
              <w:rPr>
                <w:lang w:val="bg-BG"/>
              </w:rPr>
              <w:t>3.</w:t>
            </w:r>
            <w:r w:rsidRPr="000C3816">
              <w:rPr>
                <w:lang w:val="bg-BG"/>
              </w:rPr>
              <w:tab/>
              <w:t xml:space="preserve">Съгласно т. 24. „Списък на документите, които се подават на етап кандидатстване“ от УК: „Оборотът, който се </w:t>
            </w:r>
            <w:r w:rsidRPr="000C3816">
              <w:rPr>
                <w:lang w:val="bg-BG"/>
              </w:rPr>
              <w:lastRenderedPageBreak/>
              <w:t xml:space="preserve">декларира в справката-декларация, трябва да се докаже с копия на финансови и счетоводни документи, които се прилагат към справката- декларация и заявлението за признаване. Такива документи са: фактури, годишни данъчни декларации, складови разписки, приемно-предавателни протоколи и др. (отделно за всеки член). Счетоводните документи са копия на оригиналите, като при проверка на място, копията се сравняват с оригиналните счетоводни документи.“ </w:t>
            </w:r>
          </w:p>
          <w:p w:rsidR="000C3816" w:rsidRPr="000C3816" w:rsidRDefault="000C3816" w:rsidP="000C3816">
            <w:pPr>
              <w:spacing w:after="160" w:line="259" w:lineRule="auto"/>
              <w:ind w:firstLine="720"/>
              <w:jc w:val="both"/>
              <w:rPr>
                <w:lang w:val="bg-BG"/>
              </w:rPr>
            </w:pPr>
            <w:r w:rsidRPr="000C3816">
              <w:rPr>
                <w:lang w:val="bg-BG"/>
              </w:rPr>
              <w:t xml:space="preserve">Офертата следва да е издадена от  фирма, специализирана и с опит в осъществяването на подобна дейност за съответните разходи и услуги. /за разходи по т. 24, под т. 3 от УК. За целта се прави се проверка в търговския регистър за предмет на дейност на фирмата. След извършена справка се установи, че „Галакси Вижън“ ЕООД е с предмет на дейност: „ВЪТРЕШНОТЪРГОВСКА И ВЪНШНОТЪРГОВСКА ДЕЙНОСТ, СТРОИТЕЛСТВО И РЕМОНТ, КОМИСИОННИ, СПЕДИЦИОННИ СДЕЛКИ, СКЛАДОВА ДЕЙНОСТ, ПОКУПКО-ПРОДАЖБА НА НЕДВИЖИМИ ИМОТИ, ОТДАВАНЕ ПОД НАЕМ, ПРЕДСТАВИТЕЛСТВО НА ЧУЖДЕСТРАННИ И МЕСТНИ ЛИЦА, ВЪТРЕШЕН И МЕЖДУНАРОДЕН ТУРИЗЪМ, ХОТЕЛИЕРСТВО, РЕСТОРАНТЬОРСТВО, </w:t>
            </w:r>
            <w:r w:rsidRPr="000C3816">
              <w:rPr>
                <w:lang w:val="bg-BG"/>
              </w:rPr>
              <w:lastRenderedPageBreak/>
              <w:t xml:space="preserve">РЕКЛАМНА ДЕЙНОСТ, КАКТО И ВСЯКА ДРУГА, НЕЗАБРАНЕНА ОТ ЗАКОНА ДЕЙНОСТ“. </w:t>
            </w:r>
          </w:p>
          <w:p w:rsidR="000C3816" w:rsidRPr="000C3816" w:rsidRDefault="000C3816" w:rsidP="000C3816">
            <w:pPr>
              <w:spacing w:after="160" w:line="259" w:lineRule="auto"/>
              <w:ind w:firstLine="720"/>
              <w:jc w:val="both"/>
              <w:rPr>
                <w:lang w:val="bg-BG"/>
              </w:rPr>
            </w:pPr>
            <w:r w:rsidRPr="000C3816">
              <w:rPr>
                <w:lang w:val="bg-BG"/>
              </w:rPr>
              <w:t xml:space="preserve">„Галакси Вижън“ ЕООД е представил оферта за специализирано технологично оборудване. В комуникацията от 12.07.2021 г. е изискано следното: „Оборотът, който се декларира в справката-декларация, трябва да се докаже с копия на финансови и счетоводни документи, които се прилагат към справката- декларация и заявлението за признаване. Такива документи са: фактури, годишни данъчни декларации, складови разписки, приемно-предавателни протоколи и др. (отделно за всеки член). Счетоводните документи са копия на оригиналите, като при проверка на място, копията се сравняват с оригиналните счетоводни документи.“ Кандидатът не е предоставил нищо </w:t>
            </w:r>
            <w:r>
              <w:rPr>
                <w:lang w:val="bg-BG"/>
              </w:rPr>
              <w:t>по</w:t>
            </w:r>
            <w:r w:rsidRPr="000C3816">
              <w:rPr>
                <w:lang w:val="bg-BG"/>
              </w:rPr>
              <w:t xml:space="preserve"> тази т</w:t>
            </w:r>
            <w:r>
              <w:rPr>
                <w:lang w:val="bg-BG"/>
              </w:rPr>
              <w:t>очка в отговора от 22.07.2021г.</w:t>
            </w:r>
            <w:r w:rsidRPr="000C3816">
              <w:rPr>
                <w:lang w:val="bg-BG"/>
              </w:rPr>
              <w:t xml:space="preserve">, както и на извършената проверка на място съгласно попълнения контролен лист, което води до несъответствие, тъй като предметът на дейност не е идентичен или сходен и в последствие не са предоставени доказателства за опит съгласно разписаните изисквания в раздел 24 от УК. </w:t>
            </w:r>
          </w:p>
          <w:p w:rsidR="000C3816" w:rsidRPr="000C3816" w:rsidRDefault="000C3816" w:rsidP="000C3816">
            <w:pPr>
              <w:spacing w:after="160" w:line="259" w:lineRule="auto"/>
              <w:ind w:firstLine="720"/>
              <w:jc w:val="both"/>
              <w:rPr>
                <w:lang w:val="bg-BG"/>
              </w:rPr>
            </w:pPr>
            <w:r w:rsidRPr="000C3816">
              <w:rPr>
                <w:lang w:val="bg-BG"/>
              </w:rPr>
              <w:t xml:space="preserve">Проектното предложение не отговаря и на Критерий № 17 „Операциите не са били физически завършени или изцяло осъществени преди подаването на проектното предложение, </w:t>
            </w:r>
            <w:r w:rsidRPr="000C3816">
              <w:rPr>
                <w:lang w:val="bg-BG"/>
              </w:rPr>
              <w:lastRenderedPageBreak/>
              <w:t>независимо дали всички свързани плащания са направени от бенефициента или не“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тъй като след преглед на извършената проверка на място и представения Контролен лист се установи, че представеното пълномощно № 4929 от 2020 г. е изрично и само за мярка BG14MFOP001-2.010, проектно предложение № BG14MFOP001-2.010-0005 и се отнася само за подписването на договор и допълнителни споразумения по мярка BG14MFOP001-2.010. В тази връзка липсва упълномощаване на лицата Мирослав Маринов и Веселин Балев присъствали и подписали контролния лист на проверката на място (ПнМ) да представляват законно кандидата „Аквамел“ ЕООД на извършената ПнМ.</w:t>
            </w:r>
          </w:p>
          <w:p w:rsidR="000C3816" w:rsidRPr="000C3816" w:rsidRDefault="000C3816" w:rsidP="000C3816">
            <w:pPr>
              <w:spacing w:after="160" w:line="259" w:lineRule="auto"/>
              <w:ind w:firstLine="720"/>
              <w:jc w:val="both"/>
              <w:rPr>
                <w:lang w:val="bg-BG"/>
              </w:rPr>
            </w:pPr>
            <w:r w:rsidRPr="000C3816">
              <w:rPr>
                <w:lang w:val="bg-BG"/>
              </w:rPr>
              <w:t xml:space="preserve">Проектното предложение не отговаря  на Критерий № 16 „Капацитетът на производствената програма в технологичния проект съответства на производствената програма на бизнес плана“ и на Критерий № 18 „Количеството произвеждана продукция, заложена в технологичния проект и годишния производствения капацитет на всеки от предвидените активи, заложени в технологичния проект съответстват на </w:t>
            </w:r>
            <w:r w:rsidRPr="000C3816">
              <w:rPr>
                <w:lang w:val="bg-BG"/>
              </w:rPr>
              <w:lastRenderedPageBreak/>
              <w:t>количеството произвеждана продукция, заложена в производствената програма на бизнес плана и на годишния производствения капацитет на всеки от предвидените за закупуване активи, описани в представените оферти.“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поради следните аргументи:</w:t>
            </w:r>
          </w:p>
          <w:p w:rsidR="000C3816" w:rsidRPr="000C3816" w:rsidRDefault="000C3816" w:rsidP="000C3816">
            <w:pPr>
              <w:spacing w:after="160" w:line="259" w:lineRule="auto"/>
              <w:ind w:firstLine="720"/>
              <w:jc w:val="both"/>
              <w:rPr>
                <w:lang w:val="bg-BG"/>
              </w:rPr>
            </w:pPr>
            <w:r w:rsidRPr="000C3816">
              <w:rPr>
                <w:lang w:val="bg-BG"/>
              </w:rPr>
              <w:t>1.</w:t>
            </w:r>
            <w:r w:rsidRPr="000C3816">
              <w:rPr>
                <w:lang w:val="bg-BG"/>
              </w:rPr>
              <w:tab/>
              <w:t xml:space="preserve">Към формуляра за кандидатстване е представена оферта от „Галакси вижън“ ЕООД за технологично оборудване, в която липсват марка, модел и подробни технически характеристики на оферираните артикули. С комуникацията от 12.07.2021 г. е изискано да се представи допълнение към офертата с посочени марка, модел и подробни технически характеристики (капацитет ден/час, мощност и т.н.) на оферираните артикули. Кандидатът не е предоставил нищо на тази точка в отговор. </w:t>
            </w:r>
          </w:p>
          <w:p w:rsidR="000C3816" w:rsidRPr="000C3816" w:rsidRDefault="000C3816" w:rsidP="000C3816">
            <w:pPr>
              <w:spacing w:after="160" w:line="259" w:lineRule="auto"/>
              <w:ind w:firstLine="720"/>
              <w:jc w:val="both"/>
              <w:rPr>
                <w:lang w:val="bg-BG"/>
              </w:rPr>
            </w:pPr>
            <w:r w:rsidRPr="000C3816">
              <w:rPr>
                <w:lang w:val="bg-BG"/>
              </w:rPr>
              <w:t>2.</w:t>
            </w:r>
            <w:r w:rsidRPr="000C3816">
              <w:rPr>
                <w:lang w:val="bg-BG"/>
              </w:rPr>
              <w:tab/>
              <w:t xml:space="preserve">В предоставения бизнес план, таблица 2 са посочени приходи от риба в общ размер около 76 тона годишно. Липсва анализ за това, че капацитетът на камерата за охлаждане и камерата за замразяване, производственото оборудване за обработка на рибата, които ще се закупуват, съответстват на производството на продукция, заложена в производствената и </w:t>
            </w:r>
            <w:r w:rsidRPr="000C3816">
              <w:rPr>
                <w:lang w:val="bg-BG"/>
              </w:rPr>
              <w:lastRenderedPageBreak/>
              <w:t xml:space="preserve">търговска програма на бизнес плана. В тази връзка е изискана с комуникацията от 12.07.2021 г. да се предоставят пояснения и от технолога, подкрепени с финансови документи за последната финансова година или планираните приходи за следващите години относно капацитета на камерите и производственото оборудване спрямо годишната производствена програма. Представената обосновка трябва да бъде конкретна, изчерпателна, да показва използването на всеки вид оборудване/камера за съответния продукт, сроковете за охлаждане, замразяване и продажба, както и други показатели, от значение при производството, съпоставени с техническите показатели на машините, производителността на ден/час. При обосноваването задължително се посочва вида на всяко едно оборудване, както и съответния краен продукт. Кандидатът не е предоставил изисканата обосновка в отговор. </w:t>
            </w:r>
          </w:p>
          <w:p w:rsidR="000C3816" w:rsidRPr="000C3816" w:rsidRDefault="000C3816" w:rsidP="000C3816">
            <w:pPr>
              <w:spacing w:after="160" w:line="259" w:lineRule="auto"/>
              <w:ind w:firstLine="720"/>
              <w:jc w:val="both"/>
              <w:rPr>
                <w:lang w:val="bg-BG"/>
              </w:rPr>
            </w:pPr>
            <w:r w:rsidRPr="000C3816">
              <w:rPr>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p w:rsidR="000C3816" w:rsidRPr="000C3816" w:rsidRDefault="000C3816" w:rsidP="000C3816">
            <w:pPr>
              <w:spacing w:after="160" w:line="259" w:lineRule="auto"/>
              <w:ind w:firstLine="720"/>
              <w:jc w:val="both"/>
              <w:rPr>
                <w:lang w:val="bg-BG"/>
              </w:rPr>
            </w:pPr>
            <w:r w:rsidRPr="000C3816">
              <w:rPr>
                <w:lang w:val="bg-BG"/>
              </w:rPr>
              <w:t xml:space="preserve">Съгласно чл. 34, ал. 2 на ЗУСЕСИФ, когато след допълнително изискване по установения ред, на задължително изискуеми по процедурата документи, и информация, същите </w:t>
            </w:r>
            <w:r w:rsidRPr="000C3816">
              <w:rPr>
                <w:lang w:val="bg-BG"/>
              </w:rPr>
              <w:lastRenderedPageBreak/>
              <w:t>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rsidR="00F70F89" w:rsidRPr="00F73A86" w:rsidRDefault="000C3816" w:rsidP="000C3816">
            <w:pPr>
              <w:spacing w:after="160" w:line="259" w:lineRule="auto"/>
              <w:ind w:firstLine="720"/>
              <w:jc w:val="both"/>
              <w:rPr>
                <w:highlight w:val="yellow"/>
                <w:lang w:val="bg-BG"/>
              </w:rPr>
            </w:pPr>
            <w:r w:rsidRPr="000C3816">
              <w:rPr>
                <w:lang w:val="bg-BG"/>
              </w:rPr>
              <w:t>Поради изложените по-горе аргументи, проектно предложение с рег. № BG14MFOP001-5.014-0004 е включено в Списъка на проектните предложения, които не се допускат до етап Техническа и финансова оценка, по настоящата процедура.</w:t>
            </w:r>
          </w:p>
        </w:tc>
      </w:tr>
      <w:tr w:rsidR="00487EAD" w:rsidRPr="00E76FC7" w:rsidTr="00C171C9">
        <w:tc>
          <w:tcPr>
            <w:tcW w:w="600" w:type="dxa"/>
            <w:shd w:val="clear" w:color="auto" w:fill="auto"/>
          </w:tcPr>
          <w:p w:rsidR="00487EAD" w:rsidRDefault="00487EAD" w:rsidP="00E756A6">
            <w:pPr>
              <w:jc w:val="center"/>
              <w:rPr>
                <w:b/>
                <w:lang w:val="bg-BG"/>
              </w:rPr>
            </w:pPr>
          </w:p>
          <w:p w:rsidR="00487EAD" w:rsidRDefault="00871682" w:rsidP="00E756A6">
            <w:pPr>
              <w:jc w:val="center"/>
              <w:rPr>
                <w:b/>
                <w:lang w:val="bg-BG"/>
              </w:rPr>
            </w:pPr>
            <w:r>
              <w:rPr>
                <w:b/>
                <w:lang w:val="bg-BG"/>
              </w:rPr>
              <w:t>3</w:t>
            </w:r>
            <w:r w:rsidR="00487EAD">
              <w:rPr>
                <w:b/>
                <w:lang w:val="bg-BG"/>
              </w:rPr>
              <w:t>.</w:t>
            </w:r>
          </w:p>
        </w:tc>
        <w:tc>
          <w:tcPr>
            <w:tcW w:w="2112" w:type="dxa"/>
            <w:shd w:val="clear" w:color="auto" w:fill="auto"/>
          </w:tcPr>
          <w:p w:rsidR="00487EAD" w:rsidRDefault="00487EAD" w:rsidP="00E756A6">
            <w:pPr>
              <w:jc w:val="center"/>
              <w:rPr>
                <w:b/>
                <w:lang w:val="bg-BG"/>
              </w:rPr>
            </w:pPr>
          </w:p>
          <w:p w:rsidR="00487EAD" w:rsidRDefault="0090769F" w:rsidP="00E756A6">
            <w:pPr>
              <w:jc w:val="center"/>
              <w:rPr>
                <w:b/>
                <w:lang w:val="bg-BG"/>
              </w:rPr>
            </w:pPr>
            <w:r w:rsidRPr="0090769F">
              <w:rPr>
                <w:b/>
                <w:lang w:val="bg-BG"/>
              </w:rPr>
              <w:t>BG14MFOP001-5.014-0006</w:t>
            </w:r>
          </w:p>
        </w:tc>
        <w:tc>
          <w:tcPr>
            <w:tcW w:w="2318" w:type="dxa"/>
            <w:shd w:val="clear" w:color="auto" w:fill="auto"/>
          </w:tcPr>
          <w:p w:rsidR="00487EAD" w:rsidRDefault="00487EAD" w:rsidP="00E756A6">
            <w:pPr>
              <w:jc w:val="center"/>
              <w:rPr>
                <w:b/>
                <w:lang w:val="bg-BG"/>
              </w:rPr>
            </w:pPr>
          </w:p>
          <w:p w:rsidR="00487EAD" w:rsidRDefault="00487EAD" w:rsidP="00E756A6">
            <w:pPr>
              <w:jc w:val="center"/>
              <w:rPr>
                <w:b/>
                <w:lang w:val="bg-BG"/>
              </w:rPr>
            </w:pPr>
            <w:r>
              <w:rPr>
                <w:b/>
                <w:lang w:val="bg-BG"/>
              </w:rPr>
              <w:t>„</w:t>
            </w:r>
            <w:r w:rsidR="005C73C9" w:rsidRPr="005C73C9">
              <w:rPr>
                <w:b/>
                <w:lang w:val="bg-BG"/>
              </w:rPr>
              <w:t>ФИШ ПРОЦЕСИНГ</w:t>
            </w:r>
            <w:r>
              <w:rPr>
                <w:b/>
                <w:lang w:val="bg-BG"/>
              </w:rPr>
              <w:t>“</w:t>
            </w:r>
            <w:r w:rsidRPr="00487EAD">
              <w:rPr>
                <w:b/>
                <w:lang w:val="bg-BG"/>
              </w:rPr>
              <w:t xml:space="preserve"> ЕООД</w:t>
            </w:r>
          </w:p>
        </w:tc>
        <w:tc>
          <w:tcPr>
            <w:tcW w:w="2959" w:type="dxa"/>
            <w:shd w:val="clear" w:color="auto" w:fill="auto"/>
          </w:tcPr>
          <w:p w:rsidR="00BB5563" w:rsidRDefault="00BB5563" w:rsidP="000D421C">
            <w:pPr>
              <w:jc w:val="both"/>
              <w:rPr>
                <w:lang w:val="bg-BG"/>
              </w:rPr>
            </w:pPr>
          </w:p>
          <w:p w:rsidR="00487EAD" w:rsidRDefault="00487EAD" w:rsidP="000D421C">
            <w:pPr>
              <w:jc w:val="both"/>
              <w:rPr>
                <w:lang w:val="bg-BG"/>
              </w:rPr>
            </w:pPr>
            <w:r>
              <w:rPr>
                <w:lang w:val="bg-BG"/>
              </w:rPr>
              <w:t>„</w:t>
            </w:r>
            <w:r w:rsidR="005C73C9" w:rsidRPr="005C73C9">
              <w:rPr>
                <w:lang w:val="bg-BG"/>
              </w:rPr>
              <w:t>Изграждане на предприятие за преработка на риба и рибни продукти</w:t>
            </w:r>
            <w:r>
              <w:rPr>
                <w:lang w:val="bg-BG"/>
              </w:rPr>
              <w:t>“</w:t>
            </w:r>
          </w:p>
        </w:tc>
        <w:tc>
          <w:tcPr>
            <w:tcW w:w="5233" w:type="dxa"/>
            <w:shd w:val="clear" w:color="auto" w:fill="auto"/>
          </w:tcPr>
          <w:p w:rsidR="004567F4" w:rsidRPr="004567F4" w:rsidRDefault="004567F4" w:rsidP="004567F4">
            <w:pPr>
              <w:spacing w:after="160" w:line="259" w:lineRule="auto"/>
              <w:ind w:firstLine="720"/>
              <w:jc w:val="both"/>
              <w:rPr>
                <w:rFonts w:eastAsia="Calibri"/>
                <w:lang w:val="bg-BG"/>
              </w:rPr>
            </w:pPr>
            <w:r w:rsidRPr="004567F4">
              <w:rPr>
                <w:rFonts w:eastAsia="Calibri"/>
                <w:lang w:val="bg-BG"/>
              </w:rPr>
              <w:t xml:space="preserve">След извършване на оценка за административно съответствие и допустимост на проектно предложение № BG14MFOP001-5.014-0006 съгласно чл. 29, ал. 2, т. 1, б. „а“ от ЗУСЕСИФ, е установено следното: </w:t>
            </w:r>
          </w:p>
          <w:p w:rsidR="004567F4" w:rsidRPr="004567F4" w:rsidRDefault="004567F4" w:rsidP="004567F4">
            <w:pPr>
              <w:spacing w:after="160" w:line="259" w:lineRule="auto"/>
              <w:ind w:firstLine="720"/>
              <w:jc w:val="both"/>
              <w:rPr>
                <w:rFonts w:eastAsia="Calibri"/>
                <w:lang w:val="bg-BG"/>
              </w:rPr>
            </w:pPr>
            <w:r w:rsidRPr="004567F4">
              <w:rPr>
                <w:rFonts w:eastAsia="Calibri"/>
                <w:lang w:val="bg-BG"/>
              </w:rPr>
              <w:t xml:space="preserve">Проектното предложение не отговаря на Критерий № 4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w:t>
            </w:r>
          </w:p>
          <w:p w:rsidR="004567F4" w:rsidRPr="004567F4" w:rsidRDefault="004567F4" w:rsidP="004567F4">
            <w:pPr>
              <w:spacing w:after="160" w:line="259" w:lineRule="auto"/>
              <w:ind w:firstLine="720"/>
              <w:jc w:val="both"/>
              <w:rPr>
                <w:rFonts w:eastAsia="Calibri"/>
                <w:lang w:val="bg-BG"/>
              </w:rPr>
            </w:pPr>
            <w:r w:rsidRPr="004567F4">
              <w:rPr>
                <w:rFonts w:eastAsia="Calibri"/>
                <w:lang w:val="bg-BG"/>
              </w:rPr>
              <w:t xml:space="preserve">Съгласно т. 24 от Условията за кандидатстване по настоящата процедура е </w:t>
            </w:r>
            <w:r w:rsidRPr="004567F4">
              <w:rPr>
                <w:rFonts w:eastAsia="Calibri"/>
                <w:lang w:val="bg-BG"/>
              </w:rPr>
              <w:lastRenderedPageBreak/>
              <w:t xml:space="preserve">необходимо всички документи да са издадени на името на кандидата. В тази връзка е установено, че част от предоставените документи не са на името на „ФИШ ПРОЦЕСИНГ“ ЕООД, а са на името Борислав Ангелов и Расате Герасимов. </w:t>
            </w:r>
          </w:p>
          <w:p w:rsidR="004567F4" w:rsidRPr="004567F4" w:rsidRDefault="004567F4" w:rsidP="004567F4">
            <w:pPr>
              <w:spacing w:after="160" w:line="259" w:lineRule="auto"/>
              <w:ind w:firstLine="720"/>
              <w:jc w:val="both"/>
              <w:rPr>
                <w:rFonts w:eastAsia="Calibri"/>
                <w:lang w:val="bg-BG"/>
              </w:rPr>
            </w:pPr>
            <w:r w:rsidRPr="004567F4">
              <w:rPr>
                <w:rFonts w:eastAsia="Calibri"/>
                <w:lang w:val="bg-BG"/>
              </w:rPr>
              <w:t xml:space="preserve">След извършена проверка на предоставените документи и съгласно чл. 34, ал. 2 от ЗУСЕСИФ: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 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 утвърдени от УО, на 12.07.2021 г. е изпратено уведомление с регистрационен номер BG14MFOP001-5.014-0006-M001, с което е поискана допълнителна информация от кандидата чрез Модул „Комуникация“ в ИСУН 2020. Указан е срок до 22.07.2021 г. Отговор от кандидата е получен на </w:t>
            </w:r>
            <w:r w:rsidRPr="004567F4">
              <w:rPr>
                <w:rFonts w:eastAsia="Calibri"/>
                <w:lang w:val="bg-BG"/>
              </w:rPr>
              <w:lastRenderedPageBreak/>
              <w:t>22.07.2021 г., като следните от предоставените документи не са съгласно изискванията, посочени в Условията за кандидатстване на процедурата, което прави невъзможно извършването на оценка на проектното предложение:</w:t>
            </w:r>
          </w:p>
          <w:p w:rsidR="004567F4" w:rsidRPr="004567F4" w:rsidRDefault="004567F4" w:rsidP="004567F4">
            <w:pPr>
              <w:spacing w:after="160" w:line="259" w:lineRule="auto"/>
              <w:ind w:firstLine="720"/>
              <w:jc w:val="both"/>
              <w:rPr>
                <w:rFonts w:eastAsia="Calibri"/>
                <w:lang w:val="bg-BG"/>
              </w:rPr>
            </w:pPr>
            <w:r w:rsidRPr="004567F4">
              <w:rPr>
                <w:rFonts w:eastAsia="Calibri"/>
                <w:lang w:val="bg-BG"/>
              </w:rPr>
              <w:t>1.</w:t>
            </w:r>
            <w:r w:rsidRPr="004567F4">
              <w:rPr>
                <w:rFonts w:eastAsia="Calibri"/>
                <w:lang w:val="bg-BG"/>
              </w:rPr>
              <w:tab/>
              <w:t>Следните от предоставените от кандидата документи с „Комуникация“ в ИСУН 2020 от 22.07.2021 г. са с дата след датата на подаване на проектното предложение – 09.02.2021 г., което ясно доказва, че към датата на кандидатстване кандидатът не е притежавал  съответния документ, а именно:</w:t>
            </w:r>
          </w:p>
          <w:p w:rsidR="004567F4" w:rsidRPr="004567F4" w:rsidRDefault="004567F4" w:rsidP="004567F4">
            <w:pPr>
              <w:spacing w:after="160" w:line="259" w:lineRule="auto"/>
              <w:ind w:firstLine="720"/>
              <w:jc w:val="both"/>
              <w:rPr>
                <w:rFonts w:eastAsia="Calibri"/>
                <w:lang w:val="bg-BG"/>
              </w:rPr>
            </w:pPr>
            <w:r w:rsidRPr="004567F4">
              <w:rPr>
                <w:rFonts w:eastAsia="Calibri"/>
                <w:lang w:val="bg-BG"/>
              </w:rPr>
              <w:t>•</w:t>
            </w:r>
            <w:r w:rsidRPr="004567F4">
              <w:rPr>
                <w:rFonts w:eastAsia="Calibri"/>
                <w:lang w:val="bg-BG"/>
              </w:rPr>
              <w:tab/>
              <w:t xml:space="preserve">Към формуляра за кандидатстване е представен е „Договор за наем” от 30.12.2020 г. за право на ползване на ПИ 48489.2.659 в землището на гр. Монтана, както и предварителен договор за учредяване на право на строеж, но не става ясно на какво правно основание кандидатът ще извърши строително-монтажните работи. Липсва документ за собственост на земята/сградата на името на кандидата, където ще се извършват строително-монтажните работи или учредено право на строеж за срок не по-малък от 8 години от датата на кандидатстване. След като е поискана допълнителна информация от кандидата чрез Модул „Комуникация“ в ИСУН 2020, кандидатът предоставя Нотариален акт за учредяване на право на строеж с рег. № 761 от </w:t>
            </w:r>
            <w:r w:rsidRPr="004567F4">
              <w:rPr>
                <w:rFonts w:eastAsia="Calibri"/>
                <w:lang w:val="bg-BG"/>
              </w:rPr>
              <w:lastRenderedPageBreak/>
              <w:t xml:space="preserve">26.02.2021 г., подписан след датата на подаване на проектното предложение – 09.02.2021 г., което ясно доказва, че към датата на кандидатстване не е притежавал  съответния документ. </w:t>
            </w:r>
          </w:p>
          <w:p w:rsidR="004567F4" w:rsidRPr="004567F4" w:rsidRDefault="004567F4" w:rsidP="004567F4">
            <w:pPr>
              <w:spacing w:after="160" w:line="259" w:lineRule="auto"/>
              <w:ind w:firstLine="720"/>
              <w:jc w:val="both"/>
              <w:rPr>
                <w:rFonts w:eastAsia="Calibri"/>
                <w:lang w:val="bg-BG"/>
              </w:rPr>
            </w:pPr>
            <w:r w:rsidRPr="004567F4">
              <w:rPr>
                <w:rFonts w:eastAsia="Calibri"/>
                <w:lang w:val="bg-BG"/>
              </w:rPr>
              <w:t>•</w:t>
            </w:r>
            <w:r w:rsidRPr="004567F4">
              <w:rPr>
                <w:rFonts w:eastAsia="Calibri"/>
                <w:lang w:val="bg-BG"/>
              </w:rPr>
              <w:tab/>
              <w:t xml:space="preserve">Предоставеното към формуляра за кандидатстване Влязло в сила разрешение за строеж с №3/15.01.2021г., издадено от Община Монтана е на името на собствениците на имота - Борислав Ангелов и Расате Герасимов, а не на кандидата. След като е поискана допълнителна информация от кандидата чрез Модул „Комуникация“ в ИСУН 2020, кандидатът предоставя Решение за смяна на възложителя с № 4/20.07.2021 г., което е издадено след дата на подаване на проектното предложение. </w:t>
            </w:r>
          </w:p>
          <w:p w:rsidR="004567F4" w:rsidRPr="004567F4" w:rsidRDefault="004567F4" w:rsidP="004567F4">
            <w:pPr>
              <w:spacing w:after="160" w:line="259" w:lineRule="auto"/>
              <w:ind w:firstLine="720"/>
              <w:jc w:val="both"/>
              <w:rPr>
                <w:rFonts w:eastAsia="Calibri"/>
                <w:lang w:val="bg-BG"/>
              </w:rPr>
            </w:pPr>
            <w:r w:rsidRPr="004567F4">
              <w:rPr>
                <w:rFonts w:eastAsia="Calibri"/>
                <w:lang w:val="bg-BG"/>
              </w:rPr>
              <w:t>•</w:t>
            </w:r>
            <w:r w:rsidRPr="004567F4">
              <w:rPr>
                <w:rFonts w:eastAsia="Calibri"/>
                <w:lang w:val="bg-BG"/>
              </w:rPr>
              <w:tab/>
              <w:t xml:space="preserve">Предоставеното към формуляра за кандидатстване Решение за преценяване на необходимостта от извършване на оценка на въздействието върху околната среда или от решение по оценка на въздействие върху околната среда Решение  № МО 39-ПР/2020 г. е на името на собствениците на имота - Борислав Ангелов и Расате Герасимов, а не на кандидата. След като е поискана допълнителна информация от кандидата чрез Модул „Комуникация“ в ИСУН 2020, кандидатът предоставя писмо с № 2276/16.07.2021 г., което е издадено след дата на подаване на проектното </w:t>
            </w:r>
            <w:r w:rsidRPr="004567F4">
              <w:rPr>
                <w:rFonts w:eastAsia="Calibri"/>
                <w:lang w:val="bg-BG"/>
              </w:rPr>
              <w:lastRenderedPageBreak/>
              <w:t xml:space="preserve">предложение. </w:t>
            </w:r>
          </w:p>
          <w:p w:rsidR="004567F4" w:rsidRPr="004567F4" w:rsidRDefault="004567F4" w:rsidP="004567F4">
            <w:pPr>
              <w:spacing w:after="160" w:line="259" w:lineRule="auto"/>
              <w:ind w:firstLine="720"/>
              <w:jc w:val="both"/>
              <w:rPr>
                <w:rFonts w:eastAsia="Calibri"/>
                <w:lang w:val="bg-BG"/>
              </w:rPr>
            </w:pPr>
            <w:r w:rsidRPr="004567F4">
              <w:rPr>
                <w:rFonts w:eastAsia="Calibri"/>
                <w:lang w:val="bg-BG"/>
              </w:rPr>
              <w:t xml:space="preserve">Съгласно т. 24 от Условията за кандидатстване на Процедура за подбор на проекти BG14MFOP001-5.014 „Преработване на продуктите от риболов и аквакултури”: „Отстраняването на нередовностите в никакъв случай и при никакви обстоятелства не трябва да води до подобряване на качеството на проектните предложения“. Приемането на горе-цитираните документи, които не са бил издадени към датата на кандидатстване и, за които (съгласно т. 24 от Условията за кандидатстване на Процедура за подбор на проекти BG14MFOP001-5.014) към датата на кандидатстване кандидатът не е предоставил писмено доказателство, с което е заявено искането към държавен и/или общински орган или институция за издаване на документите, ведно с придружаващите го документи, би довело до подобаване на качеството на проектното предложение и би било в разрез с Критерий № 12 „Отстраняването на нередовностите по проектното предложение не е довело </w:t>
            </w:r>
            <w:r>
              <w:rPr>
                <w:rFonts w:eastAsia="Calibri"/>
                <w:lang w:val="bg-BG"/>
              </w:rPr>
              <w:t>до подобряване на качеството му</w:t>
            </w:r>
            <w:r w:rsidRPr="004567F4">
              <w:rPr>
                <w:rFonts w:eastAsia="Calibri"/>
                <w:lang w:val="bg-BG"/>
              </w:rPr>
              <w:t xml:space="preserve">“. </w:t>
            </w:r>
          </w:p>
          <w:p w:rsidR="004567F4" w:rsidRPr="004567F4" w:rsidRDefault="004567F4" w:rsidP="004567F4">
            <w:pPr>
              <w:spacing w:after="160" w:line="259" w:lineRule="auto"/>
              <w:ind w:firstLine="720"/>
              <w:jc w:val="both"/>
              <w:rPr>
                <w:rFonts w:eastAsia="Calibri"/>
                <w:lang w:val="bg-BG"/>
              </w:rPr>
            </w:pPr>
            <w:r w:rsidRPr="004567F4">
              <w:rPr>
                <w:rFonts w:eastAsia="Calibri"/>
                <w:lang w:val="bg-BG"/>
              </w:rPr>
              <w:t>2.</w:t>
            </w:r>
            <w:r w:rsidRPr="004567F4">
              <w:rPr>
                <w:rFonts w:eastAsia="Calibri"/>
                <w:lang w:val="bg-BG"/>
              </w:rPr>
              <w:tab/>
              <w:t xml:space="preserve">Предоставеният Одобрен инвестиционен проект, изработен във фаза „Технически проект” или „Работен проект” в съответствие със Закона за устройство на територията /ЗУТ/ и Наредба № 4 от 2001 г. за обхвата и съдържанието на инвестиционните </w:t>
            </w:r>
            <w:r w:rsidRPr="004567F4">
              <w:rPr>
                <w:rFonts w:eastAsia="Calibri"/>
                <w:lang w:val="bg-BG"/>
              </w:rPr>
              <w:lastRenderedPageBreak/>
              <w:t xml:space="preserve">проекти (обн., ДВ., бр. 51 от 2001 г.) не е на името на кандидата, а на Борислав Ангелов и Расате Герасимов, което противоречи на раздел 24 от УК, а именно: „ВАЖНО: Всички документи трябва да са издадени на името на кандидата.“ </w:t>
            </w:r>
          </w:p>
          <w:p w:rsidR="004567F4" w:rsidRPr="004567F4" w:rsidRDefault="004567F4" w:rsidP="004567F4">
            <w:pPr>
              <w:spacing w:after="160" w:line="259" w:lineRule="auto"/>
              <w:ind w:firstLine="720"/>
              <w:jc w:val="both"/>
              <w:rPr>
                <w:rFonts w:eastAsia="Calibri"/>
                <w:lang w:val="bg-BG"/>
              </w:rPr>
            </w:pPr>
            <w:r w:rsidRPr="004567F4">
              <w:rPr>
                <w:rFonts w:eastAsia="Calibri"/>
                <w:lang w:val="bg-BG"/>
              </w:rPr>
              <w:t>3.</w:t>
            </w:r>
            <w:r w:rsidRPr="004567F4">
              <w:rPr>
                <w:rFonts w:eastAsia="Calibri"/>
                <w:lang w:val="bg-BG"/>
              </w:rPr>
              <w:tab/>
              <w:t xml:space="preserve">Предоставеният Технически и/или технологичен проект със схема и описание на производствения процес, обосноваващи дейностите и разходите, за които се кандидатства не е на името на кандидата, а на Борислав Ангелов и Расате Герасимов. В тази връзка проектното предложение не отговаря на Критерий 14 „Техническият и/или технологичният проект съдържа схема и описание на процесите на преработка, обосноваващи  дейностите и разходите, за които се кандидатства в проектното предложение, както и показва капацитета на производство на преработените продукти“. </w:t>
            </w:r>
          </w:p>
          <w:p w:rsidR="004567F4" w:rsidRDefault="004567F4" w:rsidP="004567F4">
            <w:pPr>
              <w:spacing w:after="160" w:line="259" w:lineRule="auto"/>
              <w:ind w:firstLine="720"/>
              <w:jc w:val="both"/>
              <w:rPr>
                <w:rFonts w:eastAsia="Calibri"/>
                <w:lang w:val="bg-BG"/>
              </w:rPr>
            </w:pPr>
            <w:r w:rsidRPr="004567F4">
              <w:rPr>
                <w:rFonts w:eastAsia="Calibri"/>
                <w:lang w:val="bg-BG"/>
              </w:rPr>
              <w:t>4.</w:t>
            </w:r>
            <w:r w:rsidRPr="004567F4">
              <w:rPr>
                <w:rFonts w:eastAsia="Calibri"/>
                <w:lang w:val="bg-BG"/>
              </w:rPr>
              <w:tab/>
              <w:t xml:space="preserve">Съгласно т. 24 от Условията за кандидатстване по настоящата процедура е необходимо оферентите – строители, трябва да бъдат вписани в регистъра на Камарата на строителите или еквивалент. След извършена служебна проверка на оферента „ПЪТПРИБОР-Г.Е.С.“ ДЗЗД с БУЛСТАТ 177273124 в регистъра на Камарата на строителите се установи, че липсва вписването му. Кандидатът е предоставил доказателства за вписването на </w:t>
            </w:r>
            <w:r w:rsidRPr="004567F4">
              <w:rPr>
                <w:rFonts w:eastAsia="Calibri"/>
                <w:lang w:val="bg-BG"/>
              </w:rPr>
              <w:lastRenderedPageBreak/>
              <w:t xml:space="preserve">двете дружества, участващи в ДЗЗД, но не и на самия оферент. </w:t>
            </w:r>
          </w:p>
          <w:p w:rsidR="004567F4" w:rsidRPr="004567F4" w:rsidRDefault="004567F4" w:rsidP="004567F4">
            <w:pPr>
              <w:spacing w:after="160" w:line="259" w:lineRule="auto"/>
              <w:ind w:firstLine="720"/>
              <w:jc w:val="both"/>
              <w:rPr>
                <w:rFonts w:eastAsia="Calibri"/>
                <w:lang w:val="bg-BG"/>
              </w:rPr>
            </w:pPr>
            <w:r w:rsidRPr="004567F4">
              <w:rPr>
                <w:rFonts w:eastAsia="Calibri"/>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p w:rsidR="004567F4" w:rsidRPr="004567F4" w:rsidRDefault="004567F4" w:rsidP="004567F4">
            <w:pPr>
              <w:spacing w:after="160" w:line="259" w:lineRule="auto"/>
              <w:ind w:firstLine="720"/>
              <w:jc w:val="both"/>
              <w:rPr>
                <w:rFonts w:eastAsia="Calibri"/>
                <w:lang w:val="bg-BG"/>
              </w:rPr>
            </w:pPr>
            <w:r w:rsidRPr="004567F4">
              <w:rPr>
                <w:rFonts w:eastAsia="Calibri"/>
                <w:lang w:val="bg-BG"/>
              </w:rPr>
              <w:t>Съгласно чл. 34, ал. 2 на ЗУСЕСИФ,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rsidR="00BE1906" w:rsidRPr="00487EAD" w:rsidRDefault="004567F4" w:rsidP="004567F4">
            <w:pPr>
              <w:spacing w:after="160" w:line="259" w:lineRule="auto"/>
              <w:ind w:firstLine="720"/>
              <w:jc w:val="both"/>
              <w:rPr>
                <w:rFonts w:eastAsia="Calibri"/>
                <w:lang w:val="bg-BG"/>
              </w:rPr>
            </w:pPr>
            <w:r w:rsidRPr="004567F4">
              <w:rPr>
                <w:rFonts w:eastAsia="Calibri"/>
                <w:lang w:val="bg-BG"/>
              </w:rPr>
              <w:t>Поради изложените по-горе аргументи, проектно предложение с рег. № BG14MFOP001-5.014-0006 е включено в Списъка на проектните предложения, които не се допускат до етап Техническа и финансова оценка, по настоящата процедура.</w:t>
            </w:r>
          </w:p>
        </w:tc>
      </w:tr>
      <w:tr w:rsidR="00487EAD" w:rsidRPr="00E76FC7" w:rsidTr="00C171C9">
        <w:tc>
          <w:tcPr>
            <w:tcW w:w="600" w:type="dxa"/>
            <w:shd w:val="clear" w:color="auto" w:fill="auto"/>
          </w:tcPr>
          <w:p w:rsidR="00487EAD" w:rsidRDefault="00487EAD" w:rsidP="00E756A6">
            <w:pPr>
              <w:jc w:val="center"/>
              <w:rPr>
                <w:b/>
                <w:lang w:val="bg-BG"/>
              </w:rPr>
            </w:pPr>
          </w:p>
          <w:p w:rsidR="00487EAD" w:rsidRDefault="00871682" w:rsidP="00E756A6">
            <w:pPr>
              <w:jc w:val="center"/>
              <w:rPr>
                <w:b/>
                <w:lang w:val="bg-BG"/>
              </w:rPr>
            </w:pPr>
            <w:r>
              <w:rPr>
                <w:b/>
                <w:lang w:val="bg-BG"/>
              </w:rPr>
              <w:t>4</w:t>
            </w:r>
            <w:r w:rsidR="00487EAD">
              <w:rPr>
                <w:b/>
                <w:lang w:val="bg-BG"/>
              </w:rPr>
              <w:t>.</w:t>
            </w:r>
          </w:p>
        </w:tc>
        <w:tc>
          <w:tcPr>
            <w:tcW w:w="2112" w:type="dxa"/>
            <w:shd w:val="clear" w:color="auto" w:fill="auto"/>
          </w:tcPr>
          <w:p w:rsidR="009E39A8" w:rsidRDefault="009E39A8" w:rsidP="00E756A6">
            <w:pPr>
              <w:jc w:val="center"/>
              <w:rPr>
                <w:b/>
                <w:lang w:val="bg-BG"/>
              </w:rPr>
            </w:pPr>
          </w:p>
          <w:p w:rsidR="00487EAD" w:rsidRDefault="0090769F" w:rsidP="00E756A6">
            <w:pPr>
              <w:jc w:val="center"/>
              <w:rPr>
                <w:b/>
                <w:lang w:val="bg-BG"/>
              </w:rPr>
            </w:pPr>
            <w:r w:rsidRPr="0090769F">
              <w:rPr>
                <w:b/>
                <w:lang w:val="bg-BG"/>
              </w:rPr>
              <w:t>BG14MFOP001-5.014-0008</w:t>
            </w:r>
          </w:p>
        </w:tc>
        <w:tc>
          <w:tcPr>
            <w:tcW w:w="2318" w:type="dxa"/>
            <w:shd w:val="clear" w:color="auto" w:fill="auto"/>
          </w:tcPr>
          <w:p w:rsidR="009E39A8" w:rsidRDefault="009E39A8" w:rsidP="00E756A6">
            <w:pPr>
              <w:jc w:val="center"/>
              <w:rPr>
                <w:b/>
                <w:lang w:val="bg-BG"/>
              </w:rPr>
            </w:pPr>
          </w:p>
          <w:p w:rsidR="00487EAD" w:rsidRDefault="00E5245B" w:rsidP="00E756A6">
            <w:pPr>
              <w:jc w:val="center"/>
              <w:rPr>
                <w:b/>
                <w:lang w:val="bg-BG"/>
              </w:rPr>
            </w:pPr>
            <w:r>
              <w:rPr>
                <w:b/>
                <w:lang w:val="bg-BG"/>
              </w:rPr>
              <w:t>„</w:t>
            </w:r>
            <w:r w:rsidR="0083365D" w:rsidRPr="0083365D">
              <w:rPr>
                <w:b/>
                <w:lang w:val="bg-BG"/>
              </w:rPr>
              <w:t>ВИП</w:t>
            </w:r>
            <w:r>
              <w:rPr>
                <w:b/>
                <w:lang w:val="bg-BG"/>
              </w:rPr>
              <w:t>“</w:t>
            </w:r>
            <w:r w:rsidRPr="00E5245B">
              <w:rPr>
                <w:b/>
                <w:lang w:val="bg-BG"/>
              </w:rPr>
              <w:t xml:space="preserve"> ЕООД</w:t>
            </w:r>
          </w:p>
        </w:tc>
        <w:tc>
          <w:tcPr>
            <w:tcW w:w="2959" w:type="dxa"/>
            <w:shd w:val="clear" w:color="auto" w:fill="auto"/>
          </w:tcPr>
          <w:p w:rsidR="00035B11" w:rsidRDefault="00035B11" w:rsidP="000D421C">
            <w:pPr>
              <w:jc w:val="both"/>
              <w:rPr>
                <w:lang w:val="bg-BG"/>
              </w:rPr>
            </w:pPr>
          </w:p>
          <w:p w:rsidR="00487EAD" w:rsidRDefault="00E5245B" w:rsidP="000D421C">
            <w:pPr>
              <w:jc w:val="both"/>
              <w:rPr>
                <w:lang w:val="bg-BG"/>
              </w:rPr>
            </w:pPr>
            <w:r>
              <w:rPr>
                <w:lang w:val="bg-BG"/>
              </w:rPr>
              <w:t>„</w:t>
            </w:r>
            <w:r w:rsidR="0083365D" w:rsidRPr="0083365D">
              <w:rPr>
                <w:lang w:val="bg-BG"/>
              </w:rPr>
              <w:t xml:space="preserve">Покупка на технологично оборудване за пречистване и преработка на двучерупчести мекотели и </w:t>
            </w:r>
            <w:r w:rsidR="0083365D" w:rsidRPr="0083365D">
              <w:rPr>
                <w:lang w:val="bg-BG"/>
              </w:rPr>
              <w:lastRenderedPageBreak/>
              <w:t>ракообразни</w:t>
            </w:r>
            <w:r>
              <w:rPr>
                <w:lang w:val="bg-BG"/>
              </w:rPr>
              <w:t>“</w:t>
            </w:r>
          </w:p>
        </w:tc>
        <w:tc>
          <w:tcPr>
            <w:tcW w:w="5233" w:type="dxa"/>
            <w:shd w:val="clear" w:color="auto" w:fill="auto"/>
          </w:tcPr>
          <w:p w:rsidR="00BB578D" w:rsidRPr="00BB578D" w:rsidRDefault="00BB578D" w:rsidP="00BB578D">
            <w:pPr>
              <w:spacing w:after="160" w:line="259" w:lineRule="auto"/>
              <w:ind w:firstLine="720"/>
              <w:jc w:val="both"/>
              <w:rPr>
                <w:rFonts w:eastAsia="Calibri"/>
                <w:lang w:val="bg-BG"/>
              </w:rPr>
            </w:pPr>
            <w:r w:rsidRPr="00BB578D">
              <w:rPr>
                <w:rFonts w:eastAsia="Calibri"/>
                <w:lang w:val="bg-BG"/>
              </w:rPr>
              <w:lastRenderedPageBreak/>
              <w:t xml:space="preserve">След извършване на оценка за административно съответствие и допустимост на проектно предложение № BG14MFOP001-5.014-0008 съгласно чл. 29, ал. 2, т. 1, б. „а“ от ЗУСЕСИФ, е установено следното: </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lastRenderedPageBreak/>
              <w:t xml:space="preserve">Проектното предложение не отговаря на Критерий № 4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По време на оценката на проектното предложение комуникацията с кандидата и редакцията на установени неточности по подаденото проектно предложение, се извършват електронно чрез профила на кандидата в ИСУН 2020, от който е подаден съответният проект. </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 xml:space="preserve">След извършена проверка на предоставените документи и съгласно чл. 34, ал. 2 от ЗУСЕСИФ: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 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w:t>
            </w:r>
            <w:r w:rsidRPr="00BB578D">
              <w:rPr>
                <w:rFonts w:eastAsia="Calibri"/>
                <w:lang w:val="bg-BG"/>
              </w:rPr>
              <w:lastRenderedPageBreak/>
              <w:t xml:space="preserve">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 утвърдени от УО, на 12.07.2021 г. е изпратено уведомление с регистрационен номер BG14MFOP001-5.014-0008-M001, с което е поискана допълнителна информация от кандидата чрез Модул „Комуникация“ в ИСУН 2020. Указан е срок до 22.07.2021 г., в който да бъдат предоставени долуописаните липсващи документи и информация, а именно: </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1.</w:t>
            </w:r>
            <w:r w:rsidRPr="00BB578D">
              <w:rPr>
                <w:rFonts w:eastAsia="Calibri"/>
                <w:lang w:val="bg-BG"/>
              </w:rPr>
              <w:tab/>
              <w:t xml:space="preserve">Съгласно т. 24. „Списък на документите, които се подават на етап кандидатстване“ от условията за кандидатстване по настоящата процедура, с оглед определяне на произхода на цените на предвидените разходи за закупуване на активи, кандидатът следва да приложи към Формуляра за кандидатстване: А/ Официален каталог на производител или оторизиран представител или Б/ Една оферта. В проектното предложение липсват такива документи за следните активи: палет с три траверса и пластмасов контейнер на колела. </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2.</w:t>
            </w:r>
            <w:r w:rsidRPr="00BB578D">
              <w:rPr>
                <w:rFonts w:eastAsia="Calibri"/>
                <w:lang w:val="bg-BG"/>
              </w:rPr>
              <w:tab/>
              <w:t>В офертите на „Робуста“ ООД липсват подпис и печат на оферента.</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3.</w:t>
            </w:r>
            <w:r w:rsidRPr="00BB578D">
              <w:rPr>
                <w:rFonts w:eastAsia="Calibri"/>
                <w:lang w:val="bg-BG"/>
              </w:rPr>
              <w:tab/>
              <w:t>В офертата на „ЕЛИКОМ ЕЛЕКТРОНИК – ГЕОРГИЕВ“ КД липсват подпис и печат на оферента.</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lastRenderedPageBreak/>
              <w:t>4.</w:t>
            </w:r>
            <w:r w:rsidRPr="00BB578D">
              <w:rPr>
                <w:rFonts w:eastAsia="Calibri"/>
                <w:lang w:val="bg-BG"/>
              </w:rPr>
              <w:tab/>
              <w:t xml:space="preserve">В офертата на „Апекс сервиз“ ООД за транспалетна количка с везна липсва дата на издаване и срок на валидност. </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5.</w:t>
            </w:r>
            <w:r w:rsidRPr="00BB578D">
              <w:rPr>
                <w:rFonts w:eastAsia="Calibri"/>
                <w:lang w:val="bg-BG"/>
              </w:rPr>
              <w:tab/>
              <w:t xml:space="preserve">Съгласно т. 24. „Списък на документите, които се подават на етап кандидатстване“ от условията за кандидатстване по настоящата процедура, изискването за специфичен оборот на оферентите се доказва от оферента със справка – декларация, подписана от счетоводителя и лицето представляващо по закон оферента във връзка с изискване за доказване на специфичен оборот от оферента (свободен текст). Справката трябва да е придружена от Отчет за приходите и разходите за съответните приключили финансови години, в зависимост от датата, на която оферента е учреден или започнал дейността си. Предоставената обяснителна записка не представлява задължително изискуемите по условията за кандидатстване документи, като същите следва да се предоставят за всички оференти. </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6.</w:t>
            </w:r>
            <w:r w:rsidRPr="00BB578D">
              <w:rPr>
                <w:rFonts w:eastAsia="Calibri"/>
                <w:lang w:val="bg-BG"/>
              </w:rPr>
              <w:tab/>
              <w:t xml:space="preserve">Съгласно т. 24. „Списък на документите, които се подават на етап кандидатстване“ от условията за кандидатстване по настоящата процедура следва да се представят и доказателства за декларирания специфичен оборот от всички оференти - оборотът, който се декларира в справката-декларация, трябва да се докаже с копия на </w:t>
            </w:r>
            <w:r w:rsidRPr="00BB578D">
              <w:rPr>
                <w:rFonts w:eastAsia="Calibri"/>
                <w:lang w:val="bg-BG"/>
              </w:rPr>
              <w:lastRenderedPageBreak/>
              <w:t>финансови и счетоводни документи, които се прилагат към справката-декларация и заявлението за признаване. Такива документи са: фактури, годишни данъчни декларации, складови разписки, приемно-предавателни протоколи и др. (отделно за всеки член). Счетоводните документи са копия на оригиналите, като при проверка на място, копията се сравняват с оригиналните счетоводни документи. Тези документи липсват в проектното предложение.</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7.</w:t>
            </w:r>
            <w:r w:rsidRPr="00BB578D">
              <w:rPr>
                <w:rFonts w:eastAsia="Calibri"/>
                <w:lang w:val="bg-BG"/>
              </w:rPr>
              <w:tab/>
              <w:t>Във връзка с предварителен разход „Консултантски услуги“, съгласно т. 24. „Списък на документите, които се подават на етап кандидатстване“ от условията за кандидатстване по настоящата процедура за всички проектни предложения, следва да се предостави справка – декларация, подписана от счетоводителя и лицето представляващо по закон оферентите. Справката трябва да е придружена от Отчет за приходите и разходите за последните три приключили финансови години, в зависимост от датата на която оферентът е учреден или започнал дейността си. Тези документи липсват в проектното предложение.</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8.</w:t>
            </w:r>
            <w:r w:rsidRPr="00BB578D">
              <w:rPr>
                <w:rFonts w:eastAsia="Calibri"/>
                <w:lang w:val="bg-BG"/>
              </w:rPr>
              <w:tab/>
              <w:t xml:space="preserve">Във връзка с предварителен разход за „Енергийна ефективност“ Съгласно т. 24. „Списък на документите, които се подават на етап кандидатстване“ от условията за </w:t>
            </w:r>
            <w:r w:rsidRPr="00BB578D">
              <w:rPr>
                <w:rFonts w:eastAsia="Calibri"/>
                <w:lang w:val="bg-BG"/>
              </w:rPr>
              <w:lastRenderedPageBreak/>
              <w:t xml:space="preserve">кандидатстване по настоящата процедура за всички проектни предложения, предвиждащи предварителни разходи следва да се предостави подписан договор с избрания изпълнител с разбивка на разходите по дейности и платежни документи към него за извършени разходи преди подаване на ФК. В допълнение, следва да се предостави справка – декларация, подписана от счетоводителя и лицето представляващо по закон оферентите. Справката трябва да е придружена от Отчет за приходите и разходите за последните три приключили финансови години, в зависимост от датата на която оферентът е учреден или започнал дейността си. Тези документи липсват в проектното предложение. </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9.</w:t>
            </w:r>
            <w:r w:rsidRPr="00BB578D">
              <w:rPr>
                <w:rFonts w:eastAsia="Calibri"/>
                <w:lang w:val="bg-BG"/>
              </w:rPr>
              <w:tab/>
              <w:t xml:space="preserve">Не е предоставена подробна обосновка на необходимостта от закупуване на следните активи, както и връзката им с изпълнението на проекта и осъществяване на бизнес плана, а именно: паро конвекционална фурна с вграден бойлер  за наситена пара, автомат за кафе и подплотов хладилник. </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10.</w:t>
            </w:r>
            <w:r w:rsidRPr="00BB578D">
              <w:rPr>
                <w:rFonts w:eastAsia="Calibri"/>
                <w:lang w:val="bg-BG"/>
              </w:rPr>
              <w:tab/>
              <w:t xml:space="preserve">Липсва актуална скица на имота. </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11.</w:t>
            </w:r>
            <w:r w:rsidRPr="00BB578D">
              <w:rPr>
                <w:rFonts w:eastAsia="Calibri"/>
                <w:lang w:val="bg-BG"/>
              </w:rPr>
              <w:tab/>
              <w:t xml:space="preserve">Съгласно т. 24. „Списък на документите, които се подават на етап кандидатстване“ от условията за кандидатстване по настоящата процедура към проектното предложение се предоставя технически и/или </w:t>
            </w:r>
            <w:r w:rsidRPr="00BB578D">
              <w:rPr>
                <w:rFonts w:eastAsia="Calibri"/>
                <w:lang w:val="bg-BG"/>
              </w:rPr>
              <w:lastRenderedPageBreak/>
              <w:t xml:space="preserve">технологичен проект със схема и описание на производствения процес, обосноваващи  дейностите и разходите, за които се кандидатства, както и показващи капацитета на производството, изготвен от правоспособно лице, съгласуван от Българска агенция за безопасност на храните /БАБХ/, съответно Областна дирекция по безопасност на храните/ОДБХ/. Годишният производствен капацитет на предприятието, описан в технологичния проект следва да съответства на годишната продукция, заложена в производствената програма на кандидата (Таблица 2 от Бизнес плана). В предоставения технологичен проект липсват конкретни данни за производствен годишен капацитет на предприятието, като предоставените данни не съответстват на годишната продукция, заложена в производствената програма (Таблица 2 от Бизнес плана). Не е предоставено обясните откритото несъответствие. </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12.</w:t>
            </w:r>
            <w:r w:rsidRPr="00BB578D">
              <w:rPr>
                <w:rFonts w:eastAsia="Calibri"/>
                <w:lang w:val="bg-BG"/>
              </w:rPr>
              <w:tab/>
              <w:t xml:space="preserve">Предоставеният технологичен проект не е съгласувано от Българска агенция за безопасност на храните /БАБХ/. </w:t>
            </w:r>
            <w:r w:rsidRPr="00BB578D">
              <w:rPr>
                <w:rFonts w:eastAsia="Calibri"/>
                <w:lang w:val="bg-BG"/>
              </w:rPr>
              <w:tab/>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13.</w:t>
            </w:r>
            <w:r w:rsidRPr="00BB578D">
              <w:rPr>
                <w:rFonts w:eastAsia="Calibri"/>
                <w:lang w:val="bg-BG"/>
              </w:rPr>
              <w:tab/>
              <w:t xml:space="preserve">Не е предоставено копие от становище на ОДБХ, за съответствие на технологичния проект на предприятието с хигиенните и ветеринарно-санитарните изисквания, съгласно чл. 226 от Закона за </w:t>
            </w:r>
            <w:r w:rsidRPr="00BB578D">
              <w:rPr>
                <w:rFonts w:eastAsia="Calibri"/>
                <w:lang w:val="bg-BG"/>
              </w:rPr>
              <w:lastRenderedPageBreak/>
              <w:t>ветеринарномедицинската дейност.</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14.</w:t>
            </w:r>
            <w:r w:rsidRPr="00BB578D">
              <w:rPr>
                <w:rFonts w:eastAsia="Calibri"/>
                <w:lang w:val="bg-BG"/>
              </w:rPr>
              <w:tab/>
              <w:t xml:space="preserve">Не е предоставено удостоверение за регистрация на предприятието като обект за производство на рибни продукти или обект за преработване на странични животински продукт, съгласно чл. 12 от Закона за храните (отм.) или чл. 26 от Закона за храните за регистрираните предприятия след 09.06.2020 г. или Закона за ветеринарно-медицинската дейност - документът е задължителен за всички съществуващи предприятия (съгласно направена служебна справка в търговския регистър, дружеството съществува от 23.03.2011 г.). </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15.</w:t>
            </w:r>
            <w:r w:rsidRPr="00BB578D">
              <w:rPr>
                <w:rFonts w:eastAsia="Calibri"/>
                <w:lang w:val="bg-BG"/>
              </w:rPr>
              <w:tab/>
              <w:t>Не е предоставено удостоверение за първа регистрация на предприятието като обект за производство на рибни продукти или обект за преработване на странични животински продукт, издадено от компетентния държавен орган (Национална ветеринарномедицинска служба /НВМС/, съответно Регионална ветеринарномедицинска служба/РВМС/ или БАБХ, съответно ОДБХ) - документът е задължителен за всички съществуващи предприятия над 5 години  (съгласно направена служебна справка в търговския регистър, дружеството съществува от 23.03.2011 г.)</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16.</w:t>
            </w:r>
            <w:r w:rsidRPr="00BB578D">
              <w:rPr>
                <w:rFonts w:eastAsia="Calibri"/>
                <w:lang w:val="bg-BG"/>
              </w:rPr>
              <w:tab/>
              <w:t>Не е предоставен подробен отчет за приходи и разходи за 2020 г. на  кандидата.</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lastRenderedPageBreak/>
              <w:t>17.</w:t>
            </w:r>
            <w:r w:rsidRPr="00BB578D">
              <w:rPr>
                <w:rFonts w:eastAsia="Calibri"/>
                <w:lang w:val="bg-BG"/>
              </w:rPr>
              <w:tab/>
              <w:t xml:space="preserve">Предоставено становище с рег. № ОВОС-543 (4) /05.02.2021 г. на РИОСВ Пловдив касае инвестиционно предложение, предвиждащо изграждане на ново предприятие за първична обработка на двучерупчести мекотели. Проектно предложение  BG14MFOP001-5.014-0008 предвижда покупка на технологично оборудване за  пречистване и преработка на двучерупчести мекотели и ракообразни, като предвидените за закупуване активи не фигурират в предоставеното становище. В тази връзка, становище с рег. № ОВОС-543 (4) /05.02.2021 г. на РИОСВ Пловдив не кореспондира с проектно предложение  BG14MFOP001-5.014-0008. </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18.</w:t>
            </w:r>
            <w:r w:rsidRPr="00BB578D">
              <w:rPr>
                <w:rFonts w:eastAsia="Calibri"/>
                <w:lang w:val="bg-BG"/>
              </w:rPr>
              <w:tab/>
              <w:t>Не е предоставена подробна информация и обосновка в подкрепа на данните, представени в бизнес плана, както и във връзка с предоставена производствената програма.</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19.</w:t>
            </w:r>
            <w:r w:rsidRPr="00BB578D">
              <w:rPr>
                <w:rFonts w:eastAsia="Calibri"/>
                <w:lang w:val="bg-BG"/>
              </w:rPr>
              <w:tab/>
              <w:t xml:space="preserve">Във връзка с предоставената обосновка за необходимостта от закупуване на специализирано транспортно средство, както и данните, предоставени в  технологичен проект става ясно, че предприятието планира да извършва дейност приблизително 150 дни работни дни годишно от стандартните работни дни годишно, които са приблизително 249. В тази връзка не е предоставена подробна обосновка за необходимостта от закупуване на заложените активи и реализацията на проекта, </w:t>
            </w:r>
            <w:r w:rsidRPr="00BB578D">
              <w:rPr>
                <w:rFonts w:eastAsia="Calibri"/>
                <w:lang w:val="bg-BG"/>
              </w:rPr>
              <w:lastRenderedPageBreak/>
              <w:t xml:space="preserve">имайки предвид, че заложените работни дни в годината на предприятието са ½ от действително работните. </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20.</w:t>
            </w:r>
            <w:r w:rsidRPr="00BB578D">
              <w:rPr>
                <w:rFonts w:eastAsia="Calibri"/>
                <w:lang w:val="bg-BG"/>
              </w:rPr>
              <w:tab/>
              <w:t>Не е предоставена обосновка за необходимостта от закупуването на мотокар, натовареността му и приложимостта му в предприятието за преработка.</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21.</w:t>
            </w:r>
            <w:r w:rsidRPr="00BB578D">
              <w:rPr>
                <w:rFonts w:eastAsia="Calibri"/>
                <w:lang w:val="bg-BG"/>
              </w:rPr>
              <w:tab/>
              <w:t>Не е предоставена обосновка за необходимостта от закупуването на „ел. нископовдигвач“, натовареността му и приложимостта му в предприятието за преработка.</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Кандидатът не е отговорил на комуникацията в регламентирания срок, не е предоставил изисканите допълнително информация и документи, с което прави невъзможно извършването на оценка на проектното предложение. Съгласно изискванията, посочени в Условията за кандидатстване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 xml:space="preserve">В допълнение, в резултат на липсата на отговор от кандидата, проектното предложение не отговаря на Критерий 14 „Техническият и/или технологиченият проект съдържа схема и </w:t>
            </w:r>
            <w:r w:rsidRPr="00BB578D">
              <w:rPr>
                <w:rFonts w:eastAsia="Calibri"/>
                <w:lang w:val="bg-BG"/>
              </w:rPr>
              <w:lastRenderedPageBreak/>
              <w:t xml:space="preserve">описание на процесите на преработка, обосноваващи  дейностите и разходите, за които се кандидатства в проектното предложение, както и показва капацитета на производство на преработените продукти“,  Критерий 16 „Капацитетът на производствената програма в технологичния проект съответства на производствената програма на бизнес плана“ и Критерий № 18 „Количеството произвеждана продукция, заложена в технологичния проект и годишния производствения капацитет на всеки от предвидените активи, заложени в технологичния проект съответстват на количеството произвеждана продукция, заложена в производствената програма на бизнес плана и на годишния производствения капацитет на всеки от предвидените за закупуване активи, описани в представените оферти“.  Годишният производствен капацитет на предприятието, описан в технологичния проект следва да съответства на годишната продукция, заложена в производствената програма на кандидата. След изискването на обосновка за откритото несъответствие от кандидата с писмо за допълнителна информация през електронната система ИСУН 2020, кандидатът не дава отговор на изпратената комуникацията. </w:t>
            </w:r>
          </w:p>
          <w:p w:rsidR="00BB578D" w:rsidRPr="00BB578D" w:rsidRDefault="00BB578D" w:rsidP="00BB578D">
            <w:pPr>
              <w:spacing w:after="160" w:line="259" w:lineRule="auto"/>
              <w:ind w:firstLine="720"/>
              <w:jc w:val="both"/>
              <w:rPr>
                <w:rFonts w:eastAsia="Calibri"/>
                <w:lang w:val="bg-BG"/>
              </w:rPr>
            </w:pPr>
            <w:r w:rsidRPr="00BB578D">
              <w:rPr>
                <w:rFonts w:eastAsia="Calibri"/>
                <w:lang w:val="bg-BG"/>
              </w:rPr>
              <w:t xml:space="preserve">Съгласно чл. 34, ал. 2 на ЗУСЕСИФ, когато след допълнително изискване по </w:t>
            </w:r>
            <w:r w:rsidRPr="00BB578D">
              <w:rPr>
                <w:rFonts w:eastAsia="Calibri"/>
                <w:lang w:val="bg-BG"/>
              </w:rPr>
              <w:lastRenderedPageBreak/>
              <w:t>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rsidR="001B795A" w:rsidRPr="00487EAD" w:rsidRDefault="00BB578D" w:rsidP="00BB578D">
            <w:pPr>
              <w:spacing w:after="160" w:line="259" w:lineRule="auto"/>
              <w:ind w:firstLine="720"/>
              <w:jc w:val="both"/>
              <w:rPr>
                <w:rFonts w:eastAsia="Calibri"/>
                <w:lang w:val="bg-BG"/>
              </w:rPr>
            </w:pPr>
            <w:r w:rsidRPr="00BB578D">
              <w:rPr>
                <w:rFonts w:eastAsia="Calibri"/>
                <w:lang w:val="bg-BG"/>
              </w:rPr>
              <w:t>Поради изложените по-горе аргументи, проектно предложение с рег. № BG14MFOP001-5.014-0008  е включено в Списъка на проектните предложения, които не се допускат до етап Техническа и финансова оценка, по настоящата процедура.</w:t>
            </w:r>
          </w:p>
        </w:tc>
      </w:tr>
      <w:tr w:rsidR="009E39A8" w:rsidRPr="00E76FC7" w:rsidTr="00C171C9">
        <w:tc>
          <w:tcPr>
            <w:tcW w:w="600" w:type="dxa"/>
            <w:shd w:val="clear" w:color="auto" w:fill="auto"/>
          </w:tcPr>
          <w:p w:rsidR="009E39A8" w:rsidRDefault="009E39A8" w:rsidP="00E756A6">
            <w:pPr>
              <w:jc w:val="center"/>
              <w:rPr>
                <w:b/>
                <w:lang w:val="bg-BG"/>
              </w:rPr>
            </w:pPr>
          </w:p>
          <w:p w:rsidR="009E39A8" w:rsidRDefault="00871682" w:rsidP="00E756A6">
            <w:pPr>
              <w:jc w:val="center"/>
              <w:rPr>
                <w:b/>
                <w:lang w:val="bg-BG"/>
              </w:rPr>
            </w:pPr>
            <w:r>
              <w:rPr>
                <w:b/>
                <w:lang w:val="bg-BG"/>
              </w:rPr>
              <w:t>5</w:t>
            </w:r>
            <w:r w:rsidR="009E39A8">
              <w:rPr>
                <w:b/>
                <w:lang w:val="bg-BG"/>
              </w:rPr>
              <w:t>.</w:t>
            </w:r>
          </w:p>
        </w:tc>
        <w:tc>
          <w:tcPr>
            <w:tcW w:w="2112" w:type="dxa"/>
            <w:shd w:val="clear" w:color="auto" w:fill="auto"/>
          </w:tcPr>
          <w:p w:rsidR="009E39A8" w:rsidRDefault="009E39A8" w:rsidP="00E756A6">
            <w:pPr>
              <w:jc w:val="center"/>
              <w:rPr>
                <w:b/>
                <w:lang w:val="bg-BG"/>
              </w:rPr>
            </w:pPr>
          </w:p>
          <w:p w:rsidR="009E39A8" w:rsidRPr="00E5245B" w:rsidRDefault="0090769F" w:rsidP="00E756A6">
            <w:pPr>
              <w:jc w:val="center"/>
              <w:rPr>
                <w:b/>
                <w:lang w:val="bg-BG"/>
              </w:rPr>
            </w:pPr>
            <w:r w:rsidRPr="0090769F">
              <w:rPr>
                <w:b/>
                <w:lang w:val="bg-BG"/>
              </w:rPr>
              <w:t xml:space="preserve">BG14MFOP001-5.014-0009 </w:t>
            </w:r>
          </w:p>
        </w:tc>
        <w:tc>
          <w:tcPr>
            <w:tcW w:w="2318" w:type="dxa"/>
            <w:shd w:val="clear" w:color="auto" w:fill="auto"/>
          </w:tcPr>
          <w:p w:rsidR="009E39A8" w:rsidRDefault="009E39A8" w:rsidP="00E756A6">
            <w:pPr>
              <w:jc w:val="center"/>
              <w:rPr>
                <w:b/>
                <w:lang w:val="bg-BG"/>
              </w:rPr>
            </w:pPr>
          </w:p>
          <w:p w:rsidR="009E39A8" w:rsidRDefault="009E39A8" w:rsidP="00E756A6">
            <w:pPr>
              <w:jc w:val="center"/>
              <w:rPr>
                <w:b/>
                <w:lang w:val="bg-BG"/>
              </w:rPr>
            </w:pPr>
            <w:r>
              <w:rPr>
                <w:b/>
                <w:lang w:val="bg-BG"/>
              </w:rPr>
              <w:t>„</w:t>
            </w:r>
            <w:r w:rsidR="0083365D" w:rsidRPr="0083365D">
              <w:rPr>
                <w:b/>
                <w:lang w:val="bg-BG"/>
              </w:rPr>
              <w:t>РИБОЛОВЕН КОМПЛЕКС АЙТИТЕ</w:t>
            </w:r>
            <w:r>
              <w:rPr>
                <w:b/>
                <w:lang w:val="bg-BG"/>
              </w:rPr>
              <w:t>“</w:t>
            </w:r>
            <w:r w:rsidRPr="009E39A8">
              <w:rPr>
                <w:b/>
                <w:lang w:val="bg-BG"/>
              </w:rPr>
              <w:t xml:space="preserve"> ЕООД</w:t>
            </w:r>
          </w:p>
        </w:tc>
        <w:tc>
          <w:tcPr>
            <w:tcW w:w="2959" w:type="dxa"/>
            <w:shd w:val="clear" w:color="auto" w:fill="auto"/>
          </w:tcPr>
          <w:p w:rsidR="009E39A8" w:rsidRDefault="009E39A8" w:rsidP="000D421C">
            <w:pPr>
              <w:jc w:val="both"/>
              <w:rPr>
                <w:lang w:val="bg-BG"/>
              </w:rPr>
            </w:pPr>
          </w:p>
          <w:p w:rsidR="009E39A8" w:rsidRDefault="009E39A8" w:rsidP="000D421C">
            <w:pPr>
              <w:jc w:val="both"/>
              <w:rPr>
                <w:lang w:val="bg-BG"/>
              </w:rPr>
            </w:pPr>
            <w:r>
              <w:rPr>
                <w:lang w:val="bg-BG"/>
              </w:rPr>
              <w:t>„</w:t>
            </w:r>
            <w:r w:rsidR="0083365D" w:rsidRPr="0083365D">
              <w:rPr>
                <w:lang w:val="bg-BG"/>
              </w:rPr>
              <w:t>Предприятие за преработка на пъстърва в с. Бяла река, община Сухиндол, област Велико Търново</w:t>
            </w:r>
            <w:r>
              <w:rPr>
                <w:lang w:val="bg-BG"/>
              </w:rPr>
              <w:t>“</w:t>
            </w:r>
          </w:p>
        </w:tc>
        <w:tc>
          <w:tcPr>
            <w:tcW w:w="5233" w:type="dxa"/>
            <w:shd w:val="clear" w:color="auto" w:fill="auto"/>
          </w:tcPr>
          <w:p w:rsidR="00424034" w:rsidRPr="00424034" w:rsidRDefault="00424034" w:rsidP="00424034">
            <w:pPr>
              <w:spacing w:after="160" w:line="259" w:lineRule="auto"/>
              <w:ind w:firstLine="720"/>
              <w:jc w:val="both"/>
              <w:rPr>
                <w:rFonts w:eastAsia="Calibri"/>
                <w:lang w:val="bg-BG"/>
              </w:rPr>
            </w:pPr>
            <w:r w:rsidRPr="00424034">
              <w:rPr>
                <w:rFonts w:eastAsia="Calibri"/>
                <w:lang w:val="bg-BG"/>
              </w:rPr>
              <w:t xml:space="preserve">След извършване на оценка за административно съответствие и допустимост на проектно предложение № BG14MFOP001-5.014-0009 съгласно чл. 29, ал. 2, т. 1, б. „а“ от ЗУСЕСИФ, е установено следното: </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 xml:space="preserve">Проектното предложение не отговаря на Критерий № 4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По </w:t>
            </w:r>
            <w:r w:rsidRPr="00424034">
              <w:rPr>
                <w:rFonts w:eastAsia="Calibri"/>
                <w:lang w:val="bg-BG"/>
              </w:rPr>
              <w:lastRenderedPageBreak/>
              <w:t xml:space="preserve">време на оценката на проектното предложение комуникацията с кандидата и редакцията на установени неточности по подаденото проектно предложение, се извършват електронно чрез профила на кандидата в ИСУН 2020, от който е подаден съответният проект. </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 xml:space="preserve">След извършена проверка на предоставените документи и съгласно чл. 34, ал. 2 от ЗУСЕСИФ: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 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 утвърдени от УО, на 12.07.2021 г. е изпратено уведомление с регистрационен номер BG14MFOP001-5.014-0009-M002, с което е поискана допълнителна информация от кандидата чрез Модул „Комуникация“ в ИСУН 2020. Указан е срок до 22.07.2021 г., в който да бъдат предоставени </w:t>
            </w:r>
            <w:r w:rsidRPr="00424034">
              <w:rPr>
                <w:rFonts w:eastAsia="Calibri"/>
                <w:lang w:val="bg-BG"/>
              </w:rPr>
              <w:lastRenderedPageBreak/>
              <w:t xml:space="preserve">долуописаните липсващи документи и информация, а именно: </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1. Свидетелства за съдимост на всички лица с право да представляват кандидата.</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2. Бизнес план - електронен файл, в Excel, идентичен със сканирания документ.</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3. Разрешение за строеж № 3 от 10.03.2021г. не е предоставено в цялост, както и липсва доказателство за влизането му в сила.</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4. Съгласно чл. 147, ал.1, т.14 от ЗУТ не е предоставено влязло в сила разрешение за строеж, издадено от съответната община или становище от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за планираната за изграждане фотоволтаична система.</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 xml:space="preserve">5. Представената от „ДИАНА КОМЕРС – 1“ ЕООД справка декларация по оферта за СМР не се отнася до предмета на строителството. Не е предоставена справка декларация за годишния оборот, който се отнася до предмета на строителството (специфичен оборот). </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6.  Липсва ОПР за 2020 год. от оферента „ДИАНА КОМЕРС – 1“ ЕООД.</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lastRenderedPageBreak/>
              <w:t xml:space="preserve">7. Липсва справка декларация от „ТЕРМО-97“ ЕООД за годишния оборот (специфичен оборот), който се отнася до предмета на услугата „Доставка на ЛПС съгласно приложена оферта“. </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8. Липсва ОПР за 2020 год. от оферента "ТЕРМО-97 ЕООД.</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9. Не са представени доказателства за декларирания специфичен оборот от всички оференти - Оборотът, който се декларира в справката-декларация, трябва да се докаже с копия на финансови и счетоводни документи, които се прилагат към справката- декларация и заявлението за признаване. Такива документи са: фактури, годишни данъчни декларации, складови разписки, приемно-предавателни протоколи и др. (отделно за всеки член). Счетоводните документи са копия на оригиналите, като при проверка на място, копията се сравняват с оригиналните счетоводни документи.</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10. Не са предоставени подробни количествени сметки – част ВиК, заверени от правоспособно лице.</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 xml:space="preserve">11. Счетоводна справка и/или инвентарна книга за дълготрайните материални активи към датата на подаване на ФК, с разбивка по активи, дата на придобиване и покупна цена. В подписа на предоставената инвентарна книга липсва част </w:t>
            </w:r>
            <w:r w:rsidRPr="00424034">
              <w:rPr>
                <w:rFonts w:eastAsia="Calibri"/>
                <w:lang w:val="bg-BG"/>
              </w:rPr>
              <w:lastRenderedPageBreak/>
              <w:t>от текста и част от печата на фирмата.</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12. Отчет за приходи и разходи за 2020 г. за кандидата.</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13. Не е предоставен Отчет за заетите лица, средствата за работна заплата и други разходи за труд за последната финансова година, а когато кандидатът е новорегистриран/новосъздаден се предоставят документи за периода от регистрацията на кандидата до момента на кандидатстване.</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14. Съгласно т. 24. „Списък на документите, които се подават на етап кандидатстване“ от условията за кандидатстване по настоящата процедура към проектното предложение се предоставя технически и/или технологичен проект със схема и описание на производствения процес, обосноваващи дейностите и разходите, за които се кандидатства, както и показващи капацитета на производството, изготвен от правоспособно лице, съгласуван от Българска агенция за безопасност на храните /БАБХ/, съответно Областна дирекция по безопасност на храните/ОДБХ/. Прилага се и документ, удостоверяващ правоспособността на лицето. Предоставеният технологичен проект не е заверен от правоспособно лице, както и липсва документ, удостоверяващ правоспособността на лицето.</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lastRenderedPageBreak/>
              <w:t>15. Предоставеният технологичен проект не е съгласувано от Българска агенция за безопасност на храните /БАБХ/.</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16. Не е предоставена подробна информация и обосновка на добивите и цените в подкрепа на данните, представени в таблица 2 „Производствена програма“ на бизнес плана (например сключени договори, предварителни договори, фактури и т.н.), както и за осигуряването на необходимите суровини.</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17. Декларацията за наличие на финансов капацитет на кандидата, с посочени източници на финансиране, за доказване, че кандидатът ще поддържа своята дейност през целия период, през който се осъществява проекта, не е подписана с КЕП.</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Кандидатът не е отговорил на комуникацията в регламентирания срок, не е предоставил изисканите допълнително информация и документи, с което прави невъзможно извършването на оценка на проектното предложение. Съгласно изискванията, посочени в Условията за кандидатстване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lastRenderedPageBreak/>
              <w:t>Съгласно чл. 34, ал. 2 на ЗУСЕСИФ,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 xml:space="preserve">Във връзка с липсата на отговор от страна на кандидата, проектното предложение  не отговаря на Критерий № 7 „Разходите за финансиране са допустими съгласно изискванията в т. 14 от Условия за кандидатстване по настоящата процедура.“ Приложение 4, тъй като е установено, че Разрешение за строеж № 3 от 10.03.2021г. не е предоставено в цялост и липсва доказателство за влизането му в сила, както и не е предоставено влязло в сила разрешение за строеж, издадено от съответната община или становище от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за планираната за изграждане фотоволтаична система (изискуемо съгласно чл. 147, ал.1, т.14 от ЗУТ), поради което разходите </w:t>
            </w:r>
            <w:r w:rsidRPr="00424034">
              <w:rPr>
                <w:rFonts w:eastAsia="Calibri"/>
                <w:lang w:val="bg-BG"/>
              </w:rPr>
              <w:lastRenderedPageBreak/>
              <w:t xml:space="preserve">за Строително-монтажни работи по проектното предложение, както и изграждането на фотоволтаична централа, като част от предвиденото СМР са недопустими за финансиране. </w:t>
            </w:r>
          </w:p>
          <w:p w:rsidR="00424034" w:rsidRPr="00424034" w:rsidRDefault="00424034" w:rsidP="00424034">
            <w:pPr>
              <w:spacing w:after="160" w:line="259" w:lineRule="auto"/>
              <w:ind w:firstLine="720"/>
              <w:jc w:val="both"/>
              <w:rPr>
                <w:rFonts w:eastAsia="Calibri"/>
                <w:lang w:val="bg-BG"/>
              </w:rPr>
            </w:pPr>
            <w:r w:rsidRPr="00424034">
              <w:rPr>
                <w:rFonts w:eastAsia="Calibri"/>
                <w:lang w:val="bg-BG"/>
              </w:rPr>
              <w:t>В допълнение, проектното предложение не отговаря на Критерий № 15 „Техническият и/или технологичен проект е изготвен и подписан от правоспособно лице.“  от Приложение 4, тъй като в предоставени технологичен проект навсякъде липсва подпис на от правоспособно лице, изготвило проекта, както и липсва документ, удостоверяващ правоспособността на същото лице.</w:t>
            </w:r>
          </w:p>
          <w:p w:rsidR="00E4235B" w:rsidRPr="00487EAD" w:rsidRDefault="00424034" w:rsidP="00424034">
            <w:pPr>
              <w:spacing w:after="160" w:line="259" w:lineRule="auto"/>
              <w:ind w:firstLine="720"/>
              <w:jc w:val="both"/>
              <w:rPr>
                <w:rFonts w:eastAsia="Calibri"/>
                <w:lang w:val="bg-BG"/>
              </w:rPr>
            </w:pPr>
            <w:r w:rsidRPr="00424034">
              <w:rPr>
                <w:rFonts w:eastAsia="Calibri"/>
                <w:lang w:val="bg-BG"/>
              </w:rPr>
              <w:t>Поради изложените по-горе аргументи, проектно предложение с рег. № BG14MFOP001-5.014-0009 е включено в Списъка на проектните предложения, които не се допускат до етап Техническа и финансова оценка, по настоящата процедура.</w:t>
            </w:r>
          </w:p>
        </w:tc>
      </w:tr>
      <w:tr w:rsidR="009E39A8" w:rsidRPr="00E76FC7" w:rsidTr="00C171C9">
        <w:tc>
          <w:tcPr>
            <w:tcW w:w="600" w:type="dxa"/>
            <w:shd w:val="clear" w:color="auto" w:fill="auto"/>
          </w:tcPr>
          <w:p w:rsidR="009E39A8" w:rsidRDefault="009E39A8" w:rsidP="00E756A6">
            <w:pPr>
              <w:jc w:val="center"/>
              <w:rPr>
                <w:b/>
                <w:lang w:val="bg-BG"/>
              </w:rPr>
            </w:pPr>
          </w:p>
          <w:p w:rsidR="009E39A8" w:rsidRDefault="00871682" w:rsidP="00E756A6">
            <w:pPr>
              <w:jc w:val="center"/>
              <w:rPr>
                <w:b/>
                <w:lang w:val="bg-BG"/>
              </w:rPr>
            </w:pPr>
            <w:r>
              <w:rPr>
                <w:b/>
                <w:lang w:val="bg-BG"/>
              </w:rPr>
              <w:t>6</w:t>
            </w:r>
            <w:r w:rsidR="009E39A8">
              <w:rPr>
                <w:b/>
                <w:lang w:val="bg-BG"/>
              </w:rPr>
              <w:t>.</w:t>
            </w:r>
          </w:p>
        </w:tc>
        <w:tc>
          <w:tcPr>
            <w:tcW w:w="2112" w:type="dxa"/>
            <w:shd w:val="clear" w:color="auto" w:fill="auto"/>
          </w:tcPr>
          <w:p w:rsidR="009E39A8" w:rsidRDefault="009E39A8" w:rsidP="00E756A6">
            <w:pPr>
              <w:jc w:val="center"/>
              <w:rPr>
                <w:b/>
                <w:lang w:val="bg-BG"/>
              </w:rPr>
            </w:pPr>
          </w:p>
          <w:p w:rsidR="009E39A8" w:rsidRDefault="0090769F" w:rsidP="00E756A6">
            <w:pPr>
              <w:jc w:val="center"/>
              <w:rPr>
                <w:b/>
                <w:lang w:val="bg-BG"/>
              </w:rPr>
            </w:pPr>
            <w:r w:rsidRPr="0090769F">
              <w:rPr>
                <w:b/>
                <w:lang w:val="bg-BG"/>
              </w:rPr>
              <w:t>BG14MFOP001-5.014-0011</w:t>
            </w:r>
          </w:p>
        </w:tc>
        <w:tc>
          <w:tcPr>
            <w:tcW w:w="2318" w:type="dxa"/>
            <w:shd w:val="clear" w:color="auto" w:fill="auto"/>
          </w:tcPr>
          <w:p w:rsidR="009E39A8" w:rsidRDefault="009E39A8" w:rsidP="00E756A6">
            <w:pPr>
              <w:jc w:val="center"/>
              <w:rPr>
                <w:b/>
                <w:lang w:val="bg-BG"/>
              </w:rPr>
            </w:pPr>
          </w:p>
          <w:p w:rsidR="00E171F2" w:rsidRDefault="00E171F2" w:rsidP="0083365D">
            <w:pPr>
              <w:jc w:val="center"/>
              <w:rPr>
                <w:b/>
                <w:lang w:val="bg-BG"/>
              </w:rPr>
            </w:pPr>
            <w:r>
              <w:rPr>
                <w:b/>
                <w:lang w:val="bg-BG"/>
              </w:rPr>
              <w:t>„</w:t>
            </w:r>
            <w:r w:rsidR="0083365D" w:rsidRPr="0083365D">
              <w:rPr>
                <w:b/>
                <w:lang w:val="bg-BG"/>
              </w:rPr>
              <w:t>БЪЛГЕРИЪН ФИШ ФАРМС</w:t>
            </w:r>
            <w:r>
              <w:rPr>
                <w:b/>
                <w:lang w:val="bg-BG"/>
              </w:rPr>
              <w:t>“</w:t>
            </w:r>
            <w:r w:rsidRPr="00E171F2">
              <w:rPr>
                <w:b/>
                <w:lang w:val="bg-BG"/>
              </w:rPr>
              <w:t xml:space="preserve"> </w:t>
            </w:r>
            <w:r w:rsidR="0083365D">
              <w:rPr>
                <w:b/>
                <w:lang w:val="bg-BG"/>
              </w:rPr>
              <w:t>ЕООД</w:t>
            </w:r>
          </w:p>
        </w:tc>
        <w:tc>
          <w:tcPr>
            <w:tcW w:w="2959" w:type="dxa"/>
            <w:shd w:val="clear" w:color="auto" w:fill="auto"/>
          </w:tcPr>
          <w:p w:rsidR="009E39A8" w:rsidRDefault="009E39A8" w:rsidP="00487EAD">
            <w:pPr>
              <w:jc w:val="center"/>
              <w:rPr>
                <w:lang w:val="bg-BG"/>
              </w:rPr>
            </w:pPr>
          </w:p>
          <w:p w:rsidR="00E171F2" w:rsidRDefault="00E171F2" w:rsidP="000D421C">
            <w:pPr>
              <w:jc w:val="both"/>
              <w:rPr>
                <w:lang w:val="bg-BG"/>
              </w:rPr>
            </w:pPr>
            <w:r>
              <w:rPr>
                <w:lang w:val="bg-BG"/>
              </w:rPr>
              <w:t>„</w:t>
            </w:r>
            <w:r w:rsidR="0083365D" w:rsidRPr="0083365D">
              <w:rPr>
                <w:lang w:val="bg-BG"/>
              </w:rPr>
              <w:t xml:space="preserve">Създаване и внедряване на предприятие за обработка на рибни продукти с много добър пазарен потенциал на ишлеме и от собствено производство на аквакултури на територията на цялата </w:t>
            </w:r>
            <w:r w:rsidR="0083365D" w:rsidRPr="0083365D">
              <w:rPr>
                <w:lang w:val="bg-BG"/>
              </w:rPr>
              <w:lastRenderedPageBreak/>
              <w:t>страна под формата на мобилна преработвателна установка</w:t>
            </w:r>
            <w:r>
              <w:rPr>
                <w:lang w:val="bg-BG"/>
              </w:rPr>
              <w:t>“</w:t>
            </w:r>
          </w:p>
        </w:tc>
        <w:tc>
          <w:tcPr>
            <w:tcW w:w="5233" w:type="dxa"/>
            <w:shd w:val="clear" w:color="auto" w:fill="auto"/>
          </w:tcPr>
          <w:p w:rsidR="00284EE9" w:rsidRPr="00284EE9" w:rsidRDefault="00284EE9" w:rsidP="00284EE9">
            <w:pPr>
              <w:spacing w:after="160" w:line="259" w:lineRule="auto"/>
              <w:ind w:firstLine="720"/>
              <w:jc w:val="both"/>
              <w:rPr>
                <w:rFonts w:eastAsia="Calibri"/>
                <w:lang w:val="bg-BG"/>
              </w:rPr>
            </w:pPr>
            <w:r w:rsidRPr="00284EE9">
              <w:rPr>
                <w:rFonts w:eastAsia="Calibri"/>
                <w:lang w:val="bg-BG"/>
              </w:rPr>
              <w:lastRenderedPageBreak/>
              <w:t xml:space="preserve">След извършване на оценка за административно съответствие и допустимост на проектно предложение № BG14MFOP001-5.014-0011 съгласно чл. 29, ал. 2, т. 1, б. „а“ от ЗУСЕСИФ, е установено следното: </w:t>
            </w:r>
          </w:p>
          <w:p w:rsidR="00284EE9" w:rsidRPr="00284EE9" w:rsidRDefault="00284EE9" w:rsidP="00284EE9">
            <w:pPr>
              <w:spacing w:after="160" w:line="259" w:lineRule="auto"/>
              <w:ind w:firstLine="720"/>
              <w:jc w:val="both"/>
              <w:rPr>
                <w:rFonts w:eastAsia="Calibri"/>
                <w:lang w:val="bg-BG"/>
              </w:rPr>
            </w:pPr>
            <w:r w:rsidRPr="00284EE9">
              <w:rPr>
                <w:rFonts w:eastAsia="Calibri"/>
                <w:lang w:val="bg-BG"/>
              </w:rPr>
              <w:t>Проектното предложение не отговаря на Критерий № 7 „Разходите за финансиране са допустими съгласно изискванията в т. 14 от Условия за кандида</w:t>
            </w:r>
            <w:r>
              <w:rPr>
                <w:rFonts w:eastAsia="Calibri"/>
                <w:lang w:val="bg-BG"/>
              </w:rPr>
              <w:t xml:space="preserve">тстване по настоящата </w:t>
            </w:r>
            <w:r>
              <w:rPr>
                <w:rFonts w:eastAsia="Calibri"/>
                <w:lang w:val="bg-BG"/>
              </w:rPr>
              <w:lastRenderedPageBreak/>
              <w:t>процедура</w:t>
            </w:r>
            <w:r w:rsidRPr="00284EE9">
              <w:rPr>
                <w:rFonts w:eastAsia="Calibri"/>
                <w:lang w:val="bg-BG"/>
              </w:rPr>
              <w:t xml:space="preserve">“ и Критерий № 19 „Предвидените  разходи в проектното предложение са допустими съгласно Условията за кандидатстване по настоящата процедура. В случай на наличие на недопустими разходи същите са  установени и редуцирани“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w:t>
            </w:r>
          </w:p>
          <w:p w:rsidR="00284EE9" w:rsidRPr="00284EE9" w:rsidRDefault="00284EE9" w:rsidP="00284EE9">
            <w:pPr>
              <w:spacing w:after="160" w:line="259" w:lineRule="auto"/>
              <w:ind w:firstLine="720"/>
              <w:jc w:val="both"/>
              <w:rPr>
                <w:rFonts w:eastAsia="Calibri"/>
                <w:lang w:val="bg-BG"/>
              </w:rPr>
            </w:pPr>
            <w:r w:rsidRPr="00284EE9">
              <w:rPr>
                <w:rFonts w:eastAsia="Calibri"/>
                <w:lang w:val="bg-BG"/>
              </w:rPr>
              <w:t xml:space="preserve">След извършена проверка на предоставените документи и съгласно чл. 34, ал. 2 от ЗУСЕСИФ: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 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 утвърдени от УО, на 12.07.2021 г. е изпратено уведомление с </w:t>
            </w:r>
            <w:r w:rsidRPr="00284EE9">
              <w:rPr>
                <w:rFonts w:eastAsia="Calibri"/>
                <w:lang w:val="bg-BG"/>
              </w:rPr>
              <w:lastRenderedPageBreak/>
              <w:t>регистрационен номер BG14MFOP001-5.014-0011-M001, с което е поискана допълнителна информация от кандидата чрез Модул „Комуникация“ в ИСУН 2020. Указан е срок до 22.07.2021 г., в който да бъдат предоставени долуописаните липсващи документи и информация. Отговор от кандидата е получен на 22.07.2021 г., като следните от предоставените документи и информация не са съгласно изискванията, посочени в Условията за кандидатстване (УК) на процедурата, което прави невъзможно извършването на оценка на проектното предложение:</w:t>
            </w:r>
          </w:p>
          <w:p w:rsidR="00284EE9" w:rsidRPr="00284EE9" w:rsidRDefault="00284EE9" w:rsidP="00284EE9">
            <w:pPr>
              <w:spacing w:after="160" w:line="259" w:lineRule="auto"/>
              <w:ind w:firstLine="720"/>
              <w:jc w:val="both"/>
              <w:rPr>
                <w:rFonts w:eastAsia="Calibri"/>
                <w:lang w:val="bg-BG"/>
              </w:rPr>
            </w:pPr>
            <w:r w:rsidRPr="00284EE9">
              <w:rPr>
                <w:rFonts w:eastAsia="Calibri"/>
                <w:lang w:val="bg-BG"/>
              </w:rPr>
              <w:t xml:space="preserve">Разход за „Ремарке за базиране на поточна линия за обработка на рибни продукти – VARIO“ е посочен от кандидата в  т. 5. „Бюджет (в лева)“ от формуляра за кандидатстване в раздел „Разходи за специализирани транспортни средства, отговарящи на капацитета и нуждите на стопанството“. Съгласно Условията за кандидатстване по настоящата процедура (Раздел 14.1.2. Допустими за финансиране разходи по настоящата процедура: т. 14.1.2.12. специализирани транспортни средства, отговарящи на капацитета и нуждите на предприятието, свързани с подобряване на производството, включително придобити чрез финансов лизинг), специализираните транспортни средства следва да отговарят на </w:t>
            </w:r>
            <w:r w:rsidRPr="00284EE9">
              <w:rPr>
                <w:rFonts w:eastAsia="Calibri"/>
                <w:lang w:val="bg-BG"/>
              </w:rPr>
              <w:lastRenderedPageBreak/>
              <w:t xml:space="preserve">нуждите и капацитета на предприятието, да са свързани с подобряване на производството и да са включени във Формуляра за кандидатстване (ФК) на кандидата. За същите следва да бъде предоставена подробна обосновка (планирани брой дни заетост и часове) към ФК, с която да се докаже необходимостта от конкретните избрани транспортни средства. Товароносимостта на специализираното транспортно средство, умножена по една трета от заложените работни дни в годината, трябва да не надвишава средногодишния производствен капацитет. Подпомагане се предоставя за транспортни средства, за които се докаже заетост в предприятието минимум 60% от работните дни годишно. Предоставената обосновка за необходимостта от закупуване на специализирано транспортно средство във формуляра за кандидатстване не отговаря на изискванията. При поискване чрез Модул „Комуникация“ в ИСУН 2020 на допълнителна информация във връзка с откритото несъответствие, кандидатът не предоставя нужната обосновка, с обяснение, че „Предвид иновативния характер на това предложение използваната платформа за изграждане на установката е специализирано ремарке - платформа, върху което се монтират неподвижно машините и съоръженията, нямащо за цел да превозва риба, поради което референцията към товароносимостта му е </w:t>
            </w:r>
            <w:r w:rsidRPr="00284EE9">
              <w:rPr>
                <w:rFonts w:eastAsia="Calibri"/>
                <w:lang w:val="bg-BG"/>
              </w:rPr>
              <w:lastRenderedPageBreak/>
              <w:t>ирелевантна и неприложима… В  конкретния  случай  предвиденото  ремарке  не  се  използва  като самостоятелно „специализирано  транспортно  средство“,  свързано  с  дейности  към рибовъдно стопанство, а представлява част от съоръженията и оборудването на предприятието“, което отново доказва, че заявеният от него разход за „Ремарке за базиране на поточна линия за обработка на рибни продукти – VARIO“ в раздел „Разходи за специализирани транспортни средства, отговарящи на капацитета и нуждите на стопанството“ не попада в допустимите разходи по т. 14.1.2.12., необходимостта от закупуване на транспортното средство не е обоснована съгласно изискванията на УК и не отговаря на същите, в резултат, на което не е допустим разход по процедура BG14MFOP001-5.014 „Преработване на продуктите от риболов и аквакултури”.</w:t>
            </w:r>
          </w:p>
          <w:p w:rsidR="00284EE9" w:rsidRPr="00284EE9" w:rsidRDefault="00284EE9" w:rsidP="00284EE9">
            <w:pPr>
              <w:spacing w:after="160" w:line="259" w:lineRule="auto"/>
              <w:ind w:firstLine="720"/>
              <w:jc w:val="both"/>
              <w:rPr>
                <w:rFonts w:eastAsia="Calibri"/>
                <w:lang w:val="bg-BG"/>
              </w:rPr>
            </w:pPr>
            <w:r>
              <w:rPr>
                <w:rFonts w:eastAsia="Calibri"/>
                <w:lang w:val="bg-BG"/>
              </w:rPr>
              <w:t>Във връзка с горе</w:t>
            </w:r>
            <w:r w:rsidRPr="00284EE9">
              <w:rPr>
                <w:rFonts w:eastAsia="Calibri"/>
                <w:lang w:val="bg-BG"/>
              </w:rPr>
              <w:t xml:space="preserve">изложеното, проектното предложение не отговаря на Критерий № 4 „Налице са всички изискуеми документи и са попълнени съгласно изискванията, посочени в т. 24 от Условията за кандидатстване по настоящата процедура.“, тъй като предоставената обосновка за необходимостта от закупуване на специализирано транспортно средство, не е съгласно Указания на УО на ПМДР по УК по </w:t>
            </w:r>
            <w:r w:rsidRPr="00284EE9">
              <w:rPr>
                <w:rFonts w:eastAsia="Calibri"/>
                <w:lang w:val="bg-BG"/>
              </w:rPr>
              <w:lastRenderedPageBreak/>
              <w:t xml:space="preserve">настоящата процедура. </w:t>
            </w:r>
          </w:p>
          <w:p w:rsidR="00284EE9" w:rsidRPr="00284EE9" w:rsidRDefault="00284EE9" w:rsidP="00284EE9">
            <w:pPr>
              <w:spacing w:after="160" w:line="259" w:lineRule="auto"/>
              <w:ind w:firstLine="720"/>
              <w:jc w:val="both"/>
              <w:rPr>
                <w:rFonts w:eastAsia="Calibri"/>
                <w:lang w:val="bg-BG"/>
              </w:rPr>
            </w:pPr>
            <w:r w:rsidRPr="00284EE9">
              <w:rPr>
                <w:rFonts w:eastAsia="Calibri"/>
                <w:lang w:val="bg-BG"/>
              </w:rPr>
              <w:tab/>
              <w:t>В допълнение, съгласно описанието в електронния сайт на доставчика MAXXCAMP (посочен за оферент за обзавеждане и оборудване за мобилната преработвателна установка обезпечаващо безопасни и здравословни условия на труд съобразено с мобилността на прилагания технологичен модел -https://www.maxxcamp.de/konzept.aspx), същият  развива и произведа системи за обзавеждане специално на Фолкс ваген бусове (VW T5 oder T6(.1)), като ги превръща във ваканционни кемпери.  В тази връзка и съгласно данните от официалния сайт на оферента, исканите активи: кухненски бокс, шкаф за кухня, електроинсталация за кухня и шкаф с чекмеджета за кухня  не са подходящи за оборудване на ремарке на камион - „мобилна преработвателна установка“ и не са допустими за подпомагане.</w:t>
            </w:r>
          </w:p>
          <w:p w:rsidR="00284EE9" w:rsidRPr="00284EE9" w:rsidRDefault="00284EE9" w:rsidP="00284EE9">
            <w:pPr>
              <w:spacing w:after="160" w:line="259" w:lineRule="auto"/>
              <w:ind w:firstLine="720"/>
              <w:jc w:val="both"/>
              <w:rPr>
                <w:rFonts w:eastAsia="Calibri"/>
                <w:lang w:val="bg-BG"/>
              </w:rPr>
            </w:pPr>
            <w:r>
              <w:rPr>
                <w:rFonts w:eastAsia="Calibri"/>
                <w:lang w:val="bg-BG"/>
              </w:rPr>
              <w:tab/>
              <w:t>Във връзка с горе</w:t>
            </w:r>
            <w:r w:rsidRPr="00284EE9">
              <w:rPr>
                <w:rFonts w:eastAsia="Calibri"/>
                <w:lang w:val="bg-BG"/>
              </w:rPr>
              <w:t xml:space="preserve">изложеното, разход за „Ремарке за базиране на поточна линия за обработка на рибни продукти – VARIO“ е недопустим за финансиране и следва да се редуцира. С редукцията на този разход проектното предложение не би могло да бъде осъществено, с което останалите разходи и дейностите по проекта стават недопустими за подпомагане и следователно проектното </w:t>
            </w:r>
            <w:r w:rsidRPr="00284EE9">
              <w:rPr>
                <w:rFonts w:eastAsia="Calibri"/>
                <w:lang w:val="bg-BG"/>
              </w:rPr>
              <w:lastRenderedPageBreak/>
              <w:t>предложение не отговаря на Критерий № 6 „Включените в проекта дейности са допустими за финансиране съгласно изискванията в т. 13 от Условия за кандидатст</w:t>
            </w:r>
            <w:r w:rsidR="00091868">
              <w:rPr>
                <w:rFonts w:eastAsia="Calibri"/>
                <w:lang w:val="bg-BG"/>
              </w:rPr>
              <w:t xml:space="preserve">ване по настоящата процедура.“ </w:t>
            </w:r>
          </w:p>
          <w:p w:rsidR="00284EE9" w:rsidRPr="00284EE9" w:rsidRDefault="00091868" w:rsidP="00284EE9">
            <w:pPr>
              <w:spacing w:after="160" w:line="259" w:lineRule="auto"/>
              <w:ind w:firstLine="720"/>
              <w:jc w:val="both"/>
              <w:rPr>
                <w:rFonts w:eastAsia="Calibri"/>
                <w:lang w:val="bg-BG"/>
              </w:rPr>
            </w:pPr>
            <w:r>
              <w:rPr>
                <w:rFonts w:eastAsia="Calibri"/>
                <w:lang w:val="bg-BG"/>
              </w:rPr>
              <w:t>П</w:t>
            </w:r>
            <w:r w:rsidR="00284EE9" w:rsidRPr="00284EE9">
              <w:rPr>
                <w:rFonts w:eastAsia="Calibri"/>
                <w:lang w:val="bg-BG"/>
              </w:rPr>
              <w:t xml:space="preserve">роектното предложение не отговаря на Критерий 16 „Капацитетът на производствената програма в технологичния проект съответства на производствената програма на бизнес плана“ и Критерий № 18 „Количеството произвеждана продукция, заложена в технологичния проект и годишния производствения капацитет на всеки от предвидените активи, заложени в технологичния проект съответстват на количеството произвеждана продукция, заложена в производствената програма на бизнес плана и на годишния производствения капацитет на всеки от предвидените за закупуване активи, описани в представените оферти.“. Съгласно Условията за кандидатстване по настоящата процедура, 24. “Списък на документите, които се подават на етап кандидатстване“, подточка 10: „Годишният производствен капацитет на предприятието, описан в технологичния проект следва да съответства на годишната продукция, заложена в производствената програма на кандидата (Таблица 2 от Бизнес плана).“. В т. 4 „Производствена програма“ от Технологичния проект е описано: „Прогнозен годишен </w:t>
            </w:r>
            <w:r w:rsidR="00284EE9" w:rsidRPr="00284EE9">
              <w:rPr>
                <w:rFonts w:eastAsia="Calibri"/>
                <w:lang w:val="bg-BG"/>
              </w:rPr>
              <w:lastRenderedPageBreak/>
              <w:t xml:space="preserve">капацитет при 100 % заетост около 768 т.“, докато в Таблица 2 от Бизнес плана е посочена следната планирана производствена програма след реализация на инвестиционния проект: 265 000 кг. обработка на рибни продукти и 39 750 кг. СЖП. Дадената от кандидата обосновка за откритото несъответствие в отговор на запитване с регистрационен номер BG14MFOP001-5.014-0011-M001 чрез ИСУН 2020 не е документално подкрепена и не е обоснована в предоставения Технологичния проект.  </w:t>
            </w:r>
          </w:p>
          <w:p w:rsidR="00284EE9" w:rsidRPr="00284EE9" w:rsidRDefault="00284EE9" w:rsidP="00284EE9">
            <w:pPr>
              <w:spacing w:after="160" w:line="259" w:lineRule="auto"/>
              <w:ind w:firstLine="720"/>
              <w:jc w:val="both"/>
              <w:rPr>
                <w:rFonts w:eastAsia="Calibri"/>
                <w:lang w:val="bg-BG"/>
              </w:rPr>
            </w:pPr>
            <w:r w:rsidRPr="00284EE9">
              <w:rPr>
                <w:rFonts w:eastAsia="Calibri"/>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p w:rsidR="00284EE9" w:rsidRPr="00284EE9" w:rsidRDefault="00284EE9" w:rsidP="00284EE9">
            <w:pPr>
              <w:spacing w:after="160" w:line="259" w:lineRule="auto"/>
              <w:ind w:firstLine="720"/>
              <w:jc w:val="both"/>
              <w:rPr>
                <w:rFonts w:eastAsia="Calibri"/>
                <w:lang w:val="bg-BG"/>
              </w:rPr>
            </w:pPr>
            <w:r w:rsidRPr="00284EE9">
              <w:rPr>
                <w:rFonts w:eastAsia="Calibri"/>
                <w:lang w:val="bg-BG"/>
              </w:rPr>
              <w:t>Съгласно чл. 34, ал. 2 на ЗУСЕСИФ,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rsidR="003D5803" w:rsidRPr="00487EAD" w:rsidRDefault="00284EE9" w:rsidP="00284EE9">
            <w:pPr>
              <w:spacing w:after="160" w:line="259" w:lineRule="auto"/>
              <w:ind w:firstLine="720"/>
              <w:jc w:val="both"/>
              <w:rPr>
                <w:rFonts w:eastAsia="Calibri"/>
                <w:lang w:val="bg-BG"/>
              </w:rPr>
            </w:pPr>
            <w:r w:rsidRPr="00284EE9">
              <w:rPr>
                <w:rFonts w:eastAsia="Calibri"/>
                <w:lang w:val="bg-BG"/>
              </w:rPr>
              <w:t>Поради изложените по-горе аргументи, проектно предложение с рег. № BG14MFOP001-</w:t>
            </w:r>
            <w:r w:rsidRPr="00284EE9">
              <w:rPr>
                <w:rFonts w:eastAsia="Calibri"/>
                <w:lang w:val="bg-BG"/>
              </w:rPr>
              <w:lastRenderedPageBreak/>
              <w:t>5.014-0011  е включено в Списъка на проектните предложения, които не се допускат до етап Техническа и финансова оценка, по настоящата процедура.</w:t>
            </w:r>
          </w:p>
        </w:tc>
      </w:tr>
      <w:tr w:rsidR="002B177F" w:rsidRPr="00E76FC7" w:rsidTr="00C171C9">
        <w:tc>
          <w:tcPr>
            <w:tcW w:w="600" w:type="dxa"/>
            <w:shd w:val="clear" w:color="auto" w:fill="auto"/>
          </w:tcPr>
          <w:p w:rsidR="002B177F" w:rsidRDefault="002B177F" w:rsidP="00E756A6">
            <w:pPr>
              <w:jc w:val="center"/>
              <w:rPr>
                <w:b/>
                <w:lang w:val="bg-BG"/>
              </w:rPr>
            </w:pPr>
          </w:p>
          <w:p w:rsidR="002B177F" w:rsidRDefault="00871682" w:rsidP="00E756A6">
            <w:pPr>
              <w:jc w:val="center"/>
              <w:rPr>
                <w:b/>
                <w:lang w:val="bg-BG"/>
              </w:rPr>
            </w:pPr>
            <w:r>
              <w:rPr>
                <w:b/>
                <w:lang w:val="bg-BG"/>
              </w:rPr>
              <w:t>7</w:t>
            </w:r>
            <w:r w:rsidR="002B177F">
              <w:rPr>
                <w:b/>
                <w:lang w:val="bg-BG"/>
              </w:rPr>
              <w:t>.</w:t>
            </w:r>
          </w:p>
        </w:tc>
        <w:tc>
          <w:tcPr>
            <w:tcW w:w="2112" w:type="dxa"/>
            <w:shd w:val="clear" w:color="auto" w:fill="auto"/>
          </w:tcPr>
          <w:p w:rsidR="002B177F" w:rsidRDefault="002B177F" w:rsidP="00E756A6">
            <w:pPr>
              <w:jc w:val="center"/>
              <w:rPr>
                <w:b/>
                <w:lang w:val="bg-BG"/>
              </w:rPr>
            </w:pPr>
          </w:p>
          <w:p w:rsidR="002B177F" w:rsidRDefault="0090769F" w:rsidP="00E756A6">
            <w:pPr>
              <w:jc w:val="center"/>
              <w:rPr>
                <w:b/>
                <w:lang w:val="bg-BG"/>
              </w:rPr>
            </w:pPr>
            <w:r w:rsidRPr="0090769F">
              <w:rPr>
                <w:b/>
                <w:lang w:val="bg-BG"/>
              </w:rPr>
              <w:t>BG14MFOP001-5.014-0012</w:t>
            </w:r>
          </w:p>
        </w:tc>
        <w:tc>
          <w:tcPr>
            <w:tcW w:w="2318" w:type="dxa"/>
            <w:shd w:val="clear" w:color="auto" w:fill="auto"/>
          </w:tcPr>
          <w:p w:rsidR="002B177F" w:rsidRDefault="002B177F" w:rsidP="00E756A6">
            <w:pPr>
              <w:jc w:val="center"/>
              <w:rPr>
                <w:b/>
                <w:lang w:val="bg-BG"/>
              </w:rPr>
            </w:pPr>
          </w:p>
          <w:p w:rsidR="002B177F" w:rsidRDefault="0083365D" w:rsidP="00E756A6">
            <w:pPr>
              <w:jc w:val="center"/>
              <w:rPr>
                <w:b/>
                <w:lang w:val="bg-BG"/>
              </w:rPr>
            </w:pPr>
            <w:r>
              <w:rPr>
                <w:b/>
                <w:lang w:val="bg-BG"/>
              </w:rPr>
              <w:t>„</w:t>
            </w:r>
            <w:r w:rsidRPr="0083365D">
              <w:rPr>
                <w:b/>
                <w:lang w:val="bg-BG"/>
              </w:rPr>
              <w:t>РИБЕКС ТРЕЙДИНГ</w:t>
            </w:r>
            <w:r w:rsidR="002B177F">
              <w:rPr>
                <w:b/>
                <w:lang w:val="bg-BG"/>
              </w:rPr>
              <w:t>“</w:t>
            </w:r>
            <w:r>
              <w:rPr>
                <w:b/>
                <w:lang w:val="bg-BG"/>
              </w:rPr>
              <w:t xml:space="preserve"> ООД</w:t>
            </w:r>
          </w:p>
        </w:tc>
        <w:tc>
          <w:tcPr>
            <w:tcW w:w="2959" w:type="dxa"/>
            <w:shd w:val="clear" w:color="auto" w:fill="auto"/>
          </w:tcPr>
          <w:p w:rsidR="002B177F" w:rsidRDefault="002B177F" w:rsidP="000D421C">
            <w:pPr>
              <w:jc w:val="both"/>
              <w:rPr>
                <w:lang w:val="bg-BG"/>
              </w:rPr>
            </w:pPr>
          </w:p>
          <w:p w:rsidR="002B177F" w:rsidRDefault="002B177F" w:rsidP="000D421C">
            <w:pPr>
              <w:jc w:val="both"/>
              <w:rPr>
                <w:lang w:val="bg-BG"/>
              </w:rPr>
            </w:pPr>
            <w:r>
              <w:rPr>
                <w:lang w:val="bg-BG"/>
              </w:rPr>
              <w:t>„</w:t>
            </w:r>
            <w:r w:rsidR="0083365D" w:rsidRPr="0083365D">
              <w:rPr>
                <w:lang w:val="bg-BG"/>
              </w:rPr>
              <w:t>Автоматична линия за преработка на рапани на Рибекс Трейдинг ООД</w:t>
            </w:r>
            <w:r>
              <w:rPr>
                <w:lang w:val="bg-BG"/>
              </w:rPr>
              <w:t>“</w:t>
            </w:r>
          </w:p>
        </w:tc>
        <w:tc>
          <w:tcPr>
            <w:tcW w:w="5233" w:type="dxa"/>
            <w:shd w:val="clear" w:color="auto" w:fill="auto"/>
          </w:tcPr>
          <w:p w:rsidR="00153BB9" w:rsidRPr="00153BB9" w:rsidRDefault="00153BB9" w:rsidP="00153BB9">
            <w:pPr>
              <w:spacing w:after="160" w:line="259" w:lineRule="auto"/>
              <w:ind w:firstLine="720"/>
              <w:jc w:val="both"/>
              <w:rPr>
                <w:rFonts w:eastAsia="Calibri"/>
                <w:lang w:val="bg-BG"/>
              </w:rPr>
            </w:pPr>
            <w:r w:rsidRPr="00153BB9">
              <w:rPr>
                <w:rFonts w:eastAsia="Calibri"/>
                <w:lang w:val="bg-BG"/>
              </w:rPr>
              <w:t xml:space="preserve">След извършване на оценка за административно съответствие и допустимост на проектно предложение № BG14MFOP001-5.014-0012 съгласно чл. 29, ал. 2, т. 1, б. „а“ от ЗУСЕСИФ, е установено следното: </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Проектното предложение не отговаря на Критерий № 19 „Предвидените  разходи в проектното предложение са допустими съгласно Условията за кандидатстване по настоящата процедура. В случай на наличие на недопустими разходи същ</w:t>
            </w:r>
            <w:r>
              <w:rPr>
                <w:rFonts w:eastAsia="Calibri"/>
                <w:lang w:val="bg-BG"/>
              </w:rPr>
              <w:t>ите са  установени и редуцирани</w:t>
            </w:r>
            <w:r w:rsidRPr="00153BB9">
              <w:rPr>
                <w:rFonts w:eastAsia="Calibri"/>
                <w:lang w:val="bg-BG"/>
              </w:rPr>
              <w:t xml:space="preserve">“ и на Критерий № 20 „Общата стойност на безвъзмездната финансова помощ   не надвишава определения максимален размер съгласно Условията за кандидатстване по настоящата процедура и не е под определения минимален размер“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 xml:space="preserve">Съгласно раздел 9. „Минимален (ако е приложимо) и максимален размер на безвъзмездната финансова помощ за конкретен проект“ от Условията за кандидатстване (УК) по </w:t>
            </w:r>
            <w:r w:rsidRPr="00153BB9">
              <w:rPr>
                <w:rFonts w:eastAsia="Calibri"/>
                <w:lang w:val="bg-BG"/>
              </w:rPr>
              <w:lastRenderedPageBreak/>
              <w:t xml:space="preserve">процедура № BG14MFOP001-5.014 „Преработване на продуктите от риболов и аквакултури“ от Условията за кандидатстване по настоящата процедура: „Максималният размер на допустимата безвъзмездна финансова помощ за един бенефициент, заедно със свързаните с него лица, съгласно § 1, т.13 и 14 от допълнителните разпоредби на Закона за публичното предлагане на ценни книжа за целия програмен период по мярка 5.4 „Преработване на продуктите от риболов </w:t>
            </w:r>
            <w:r>
              <w:rPr>
                <w:rFonts w:eastAsia="Calibri"/>
                <w:lang w:val="bg-BG"/>
              </w:rPr>
              <w:t>и аквакултури“ е 1 400 000 лева</w:t>
            </w:r>
            <w:r w:rsidRPr="00153BB9">
              <w:rPr>
                <w:rFonts w:eastAsia="Calibri"/>
                <w:lang w:val="bg-BG"/>
              </w:rPr>
              <w:t xml:space="preserve">“. </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След извършена проверка на предоставените документи и свързаност съгласно раздел 9. „Минимален (ако е приложимо) и максимален размер на безвъзмездната финансова помощ за конкретен проект“ от Условията за кандидатстване (УК) по процедура № BG14MFOP001-5.014 „Преработване на продуктите от риболов и аквакултури“ е установено следното по отношение на свързаността на бенефициента и максималния размер на допустимата безвъзмездна финансова помощ за един бенефициент, заедно със свързаните с него лица, съгласно § 1, т.13 и 14 от допълнителните разпоредби на Закона за публичното предлагане на ценни книжа за целия програмен период по мярка 5.4 „Преработване на продуктите от риболов и аквакултури“:</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lastRenderedPageBreak/>
              <w:t>Проектното предложение на кандидат „РИБЕКС ТРЕЙДИНГ“ ООД с ЕИК: 203135681 е подадено на 10.02.2021 г. с наименование „Автоматична линия за преработка на рапани на Рибекс Трейдинг ООД“. След извършена служебна справка в АПИС регистър е установено, че собственици с равен дял и управители на дружеството са Васил Генков Карабаджаков и Михаил Светлозаров Лолов.</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Проектното предложение на кандидат „ПОЛИСИ ДЕВЕЛОПМЪНТ“ ЕООД с ЕИК: 201211568 е подадено на 10.02.2021 г. с наименование „Обект за първична преработка и съхранение на охладена и замразена риба и рибни продукти на „ПОЛИСИ ДЕВЕЛОПМЪНТЕООД“. След извършена служебна справка в АПИС регистър е установено, че едноличен собственик и управител на дружеството е Стамен Светлозаров Лолов.</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 xml:space="preserve">Във връзка с текста в раздел 9 от УК по мярката, а именно: …„ВАЖНО: Максималният размер на допустимата безвъзмездна финансова помощ за един бенефициент, заедно със свързаните с него лица, съгласно § 1, т.13 и 14 от допълнителните разпоредби на Закона за публичното предлагане на ценни книжа за целия програмен период по мярка 5.4 „Преработване на продуктите от риболов и аквакултури“ е 1 400 000 лева.“ е извършена проверка на </w:t>
            </w:r>
            <w:r w:rsidRPr="00153BB9">
              <w:rPr>
                <w:rFonts w:eastAsia="Calibri"/>
                <w:lang w:val="bg-BG"/>
              </w:rPr>
              <w:lastRenderedPageBreak/>
              <w:t>свързаните лица на „ПОЛИСИ ДЕВЕЛОПМЪНТ“ ЕООД. След извършена служебна проверка е установено е, че кандидатите „ПОЛИСИ ДЕВЕЛОПМЪНТ“ ЕООД и „РИБЕКС ТРЕЙДИНГ“ ООД са свързани лица съгласно § 1, т.13, буква „Г“ от допълнителните разпоредби на Закона за публичното предлагане на ценни книжа, тъй като са братя. Братята и сестрите помежду си са във втора степен родство по съребрена линия. В допълнение кандидатите „ПОЛИСИ ДЕВЕЛОПМЪНТ“ ЕООД и „РИБЕКС ТРЕЙДИНГ“ ООД са свързани лица съгласно § 1, т.14, буква „В“ от допълнителните разпоредби на Закона за публичното предлагане на ценни книжа във връзка с родствената си връзка, тъй като по този начин могат да упражнява решаващо влияние върху вземането на решения във връзка с дейността на юридическите лица, които са създали и представляват като управители и са кандидати по процедура BG14MFOP001-5.014.</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Извършена е проверка на договорите с горепосочените бенефициенти по мярка 5.4 „Преработване на продуктите от риболов и аквакултури“.</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 xml:space="preserve">„РИБЕКС ТРЕЙДИНГ“ ООД има подписан договор № МДР-ИП-01-195 от 15.10.2020 г. с размер на безвъзмездна </w:t>
            </w:r>
            <w:r w:rsidRPr="00153BB9">
              <w:rPr>
                <w:rFonts w:eastAsia="Calibri"/>
                <w:lang w:val="bg-BG"/>
              </w:rPr>
              <w:lastRenderedPageBreak/>
              <w:t>финансова помощ (БФП) 987 286,00  лева.</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„ПОЛИСИ ДЕВЕЛОПМЪНТ“ ЕООД с проектно предложение (ПП) BG14MFOP001-5.014-0013 кандидатства за 1 000 000,00 лева БФП, а „РИБЕКС ТРЕЙДИНГ“ ООД с ПП BG14MFOP001-5.014-0012 за 413 460,00 лева БФП.</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След извършена проверка на свързаните лица на кандидатите „ПОЛИСИ ДЕВЕЛОПМЪНТ“ ЕООД и „РИБЕКС ТРЕЙДИНГ“ ООД е  установена свързаност и с друг бенефициент по мярка 5.4 „Преработване на продуктите от риболов и аквакултури“, съгласно § 1, т.13, буква „в“ от допълнителните разпоредби на Закона за публичното предлагане на ценни книжа, а именно с „Бургас 2013“ АД. Двете дружества „РИБЕКС ТРЕЙДИНГ“ООД и „Бургас 2013“ АД са създали Консорциум „РИБЕКС ТРЕЙДИНГ“ Дружество по ЗЗД, БУЛСТАТ: 177483609.</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 xml:space="preserve">При обработка на проектните предложения е установено, че инвестицията на дружествата „РИБЕКС ТРЕЙДИНГ“ ООД и „Бургас 2013“ АД се осъществява в един и същи имот, а именно ПИ 07079.603.54 гр. Бургас. </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 xml:space="preserve">Инвестицията на кандидата „РИБЕКС ТРЕЙДИНГ“ ООД с договор № МДР-ИП-01-195 от 15.10.2020 г., както и на подаденото ПП BG14MFOP001-5.014-0012 се извършва в </w:t>
            </w:r>
            <w:r w:rsidRPr="00153BB9">
              <w:rPr>
                <w:rFonts w:eastAsia="Calibri"/>
                <w:lang w:val="bg-BG"/>
              </w:rPr>
              <w:lastRenderedPageBreak/>
              <w:t>поземлен имот с идентификатор ПИ 07079.603.54 в гр. Бургас, за което е сключен Договор за наем със свързаното дружество „Бургас 2013“ АД. В допълнение на тези факти като учредители и акционери при създаването на дружеството „Бургас 2013“ АД през 2010 година са били двамата братя Стамен Светлозаров Лолов и Михаил Светлозаров Лолов, които са участвали с непарични вноски, дарени имоти от родителите им съгласно справка в АПИС регистър.</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Размерът на вече одобрената БФП за дружествата „РИБЕКС ТРЕЙДИНГ“ ООД (по АДБФП № МДР-ИП-01-195 от 15.10.2020 г.) и „Бургас 2013“ АД (по АДБФП МДР-ИП-01-117/30.11.2018 г.) възлиза на 1 983 699,47 лева, което надвишава с 583 699,47 лева максималния размер на допустимата безвъзмездна финансова помощ за един бенефициент, заедно със свързаните с него лица, съгласно § 1, т.13 и 14 от допълнителните разпоредби на Закона за публичното предлагане на ценни книжа за целия програмен период по мярка 5.4 „Преработване на продуктите от риболов и аквакултури“, който е в размер на 1 400 000 лева.</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 xml:space="preserve">В допълнение само с настоящите проектни предложения, а именно „ПОЛИСИ ДЕВЕЛОПМЪНТ“ ЕООД с ПП BG14MFOP001-5.014-0013 кандидатства за 1 000 000,00 лева БФП, а „РИБЕКС ТРЕЙДИНГ“ ООД с ПП </w:t>
            </w:r>
            <w:r w:rsidRPr="00153BB9">
              <w:rPr>
                <w:rFonts w:eastAsia="Calibri"/>
                <w:lang w:val="bg-BG"/>
              </w:rPr>
              <w:lastRenderedPageBreak/>
              <w:t>BG14MFOP001-5.014-0012 за 413 460,00 лева БФП, се надхвърля отново максимално допустимият размер посочен в раздел 9 на УК за един бенефициент, заедно със свързаните с него лица, съгласно § 1, т.13 и 14 от допълнителните разпоредби на Закона за публичното предлагане на ценни книжа за целия програмен период по мярка 5.4 „Преработване на продуктите от риболов и аквакултури“.</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ab/>
              <w:t>Проектното предложение не отговаря и на Критерий № 5 „Кандидатът е допустим съгласно изискванията в т. 11 от Условия за кандидатстване по настоящата процедура.“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тъй като по отношение на лицата, които представляват кандидата е налице конфликт на интереси във връзка с процедурата за предоставяне на безвъзмездна финансова помощ, който не може да бъде отстранен съгласно буква „О“ от т. 4 на раздел 11.2 от УК.</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ab/>
              <w:t xml:space="preserve">Проектното предложение не отговаря на Критерий № 20 „Общата стойност на безвъзмездната финансова помощ   не надвишава определения максимален размер съгласно Условията за кандидатстване по настоящата процедура и не е под определения </w:t>
            </w:r>
            <w:r w:rsidRPr="00153BB9">
              <w:rPr>
                <w:rFonts w:eastAsia="Calibri"/>
                <w:lang w:val="bg-BG"/>
              </w:rPr>
              <w:lastRenderedPageBreak/>
              <w:t>минимален размер“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Във връзка с констатираното, размерът на БФП на „РИБЕКС ТРЕЙДИНГ“ ООД не отговаря на максимално допустимия размер за един бенефициент, заедно със свързаните с него лица, съгласно § 1, т.13 и 14 от допълнителните разпоредби на Закона за публичното предлагане на ценни книжа за целия програмен период по мярка 5.4 „Преработване на продуктите от риболов и аквакултури“ съгласно раздел 9 от Условията за кандидатстване по процедура № BG14MFOP001-5.014 „Преработване на продуктите от риболов и аквакултури“ и съответно кандидатът не е допустим за подпомагане съгласно УК по настоящата процедура.</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ab/>
              <w:t>От гореизложеното възникват съмнения за създаване на изкуствени условия с цел осигуряване на предимство, съсредоточаване на финансова помощ в едни и същи кандидати, ползване на обща инфраструктура и получаване на финансова помощ в размер, надвишаващ посочените в раздел 9 от УК максимални размери.</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 xml:space="preserve">Проектното предложение не отговаря и на Критерий № 7 „Разходите за финансиране са </w:t>
            </w:r>
            <w:r w:rsidRPr="00153BB9">
              <w:rPr>
                <w:rFonts w:eastAsia="Calibri"/>
                <w:lang w:val="bg-BG"/>
              </w:rPr>
              <w:lastRenderedPageBreak/>
              <w:t xml:space="preserve">допустими съгласно изискванията в т. 14 от Условия за кандидатстване по настоящата процедура“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тъй като с установената свързаност кандидатът е в ситуация на конфликт на интереси по смисъла на чл. 61 от Регламент (ЕС, ЕВРАТОМ) №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193/1 от 30 юли 2018 г.) с някой от кандидатите по същата процедура и други бенефициенти  и поради тази причина разходите не са допустими съгласно т. 14.1.1 от УК. </w:t>
            </w:r>
          </w:p>
          <w:p w:rsidR="00153BB9" w:rsidRPr="00153BB9" w:rsidRDefault="00153BB9" w:rsidP="00153BB9">
            <w:pPr>
              <w:spacing w:after="160" w:line="259" w:lineRule="auto"/>
              <w:ind w:firstLine="720"/>
              <w:jc w:val="both"/>
              <w:rPr>
                <w:rFonts w:eastAsia="Calibri"/>
                <w:lang w:val="bg-BG"/>
              </w:rPr>
            </w:pPr>
            <w:r w:rsidRPr="00153BB9">
              <w:rPr>
                <w:rFonts w:eastAsia="Calibri"/>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p w:rsidR="002B177F" w:rsidRPr="00487EAD" w:rsidRDefault="00153BB9" w:rsidP="00153BB9">
            <w:pPr>
              <w:spacing w:after="160" w:line="259" w:lineRule="auto"/>
              <w:ind w:firstLine="720"/>
              <w:jc w:val="both"/>
              <w:rPr>
                <w:rFonts w:eastAsia="Calibri"/>
                <w:lang w:val="bg-BG"/>
              </w:rPr>
            </w:pPr>
            <w:r w:rsidRPr="00153BB9">
              <w:rPr>
                <w:rFonts w:eastAsia="Calibri"/>
                <w:lang w:val="bg-BG"/>
              </w:rPr>
              <w:t>Поради изложените по-горе аргументи, проектно предложение с рег. № BG14MFOP001-</w:t>
            </w:r>
            <w:r w:rsidRPr="00153BB9">
              <w:rPr>
                <w:rFonts w:eastAsia="Calibri"/>
                <w:lang w:val="bg-BG"/>
              </w:rPr>
              <w:lastRenderedPageBreak/>
              <w:t>5.014-0012 е включено в Списъка на проектните предложения, които не се допускат до етап Техническа и финансова оценка, по настоящата процедура.</w:t>
            </w:r>
          </w:p>
        </w:tc>
      </w:tr>
      <w:tr w:rsidR="002B177F" w:rsidRPr="00E76FC7" w:rsidTr="00C171C9">
        <w:tc>
          <w:tcPr>
            <w:tcW w:w="600" w:type="dxa"/>
            <w:shd w:val="clear" w:color="auto" w:fill="auto"/>
          </w:tcPr>
          <w:p w:rsidR="002B177F" w:rsidRDefault="002B177F" w:rsidP="00E756A6">
            <w:pPr>
              <w:jc w:val="center"/>
              <w:rPr>
                <w:b/>
                <w:lang w:val="bg-BG"/>
              </w:rPr>
            </w:pPr>
          </w:p>
          <w:p w:rsidR="002B177F" w:rsidRDefault="00871682" w:rsidP="00E756A6">
            <w:pPr>
              <w:jc w:val="center"/>
              <w:rPr>
                <w:b/>
                <w:lang w:val="bg-BG"/>
              </w:rPr>
            </w:pPr>
            <w:r>
              <w:rPr>
                <w:b/>
                <w:lang w:val="bg-BG"/>
              </w:rPr>
              <w:t>8</w:t>
            </w:r>
            <w:r w:rsidR="002B177F">
              <w:rPr>
                <w:b/>
                <w:lang w:val="bg-BG"/>
              </w:rPr>
              <w:t>.</w:t>
            </w:r>
          </w:p>
        </w:tc>
        <w:tc>
          <w:tcPr>
            <w:tcW w:w="2112" w:type="dxa"/>
            <w:shd w:val="clear" w:color="auto" w:fill="auto"/>
          </w:tcPr>
          <w:p w:rsidR="002B177F" w:rsidRDefault="002B177F" w:rsidP="00E756A6">
            <w:pPr>
              <w:jc w:val="center"/>
              <w:rPr>
                <w:b/>
                <w:lang w:val="bg-BG"/>
              </w:rPr>
            </w:pPr>
          </w:p>
          <w:p w:rsidR="002B177F" w:rsidRDefault="0090769F" w:rsidP="00E756A6">
            <w:pPr>
              <w:jc w:val="center"/>
              <w:rPr>
                <w:b/>
                <w:lang w:val="bg-BG"/>
              </w:rPr>
            </w:pPr>
            <w:r w:rsidRPr="0090769F">
              <w:rPr>
                <w:b/>
                <w:lang w:val="bg-BG"/>
              </w:rPr>
              <w:t>BG14MFOP001-5.014-0013</w:t>
            </w:r>
          </w:p>
        </w:tc>
        <w:tc>
          <w:tcPr>
            <w:tcW w:w="2318" w:type="dxa"/>
            <w:shd w:val="clear" w:color="auto" w:fill="auto"/>
          </w:tcPr>
          <w:p w:rsidR="002B177F" w:rsidRDefault="002B177F" w:rsidP="00E756A6">
            <w:pPr>
              <w:jc w:val="center"/>
              <w:rPr>
                <w:b/>
                <w:lang w:val="bg-BG"/>
              </w:rPr>
            </w:pPr>
          </w:p>
          <w:p w:rsidR="002B177F" w:rsidRDefault="002B177F" w:rsidP="00E756A6">
            <w:pPr>
              <w:jc w:val="center"/>
              <w:rPr>
                <w:b/>
                <w:lang w:val="bg-BG"/>
              </w:rPr>
            </w:pPr>
            <w:r>
              <w:rPr>
                <w:b/>
                <w:lang w:val="bg-BG"/>
              </w:rPr>
              <w:t>„</w:t>
            </w:r>
            <w:r w:rsidR="0083365D" w:rsidRPr="0083365D">
              <w:rPr>
                <w:b/>
                <w:lang w:val="bg-BG"/>
              </w:rPr>
              <w:t>ПОЛИСИ ДЕВЕЛОПМЪНТ</w:t>
            </w:r>
            <w:r>
              <w:rPr>
                <w:b/>
                <w:lang w:val="bg-BG"/>
              </w:rPr>
              <w:t>“</w:t>
            </w:r>
            <w:r w:rsidRPr="002B177F">
              <w:rPr>
                <w:b/>
                <w:lang w:val="bg-BG"/>
              </w:rPr>
              <w:t xml:space="preserve"> ЕООД</w:t>
            </w:r>
          </w:p>
        </w:tc>
        <w:tc>
          <w:tcPr>
            <w:tcW w:w="2959" w:type="dxa"/>
            <w:shd w:val="clear" w:color="auto" w:fill="auto"/>
          </w:tcPr>
          <w:p w:rsidR="002B177F" w:rsidRDefault="002B177F" w:rsidP="00487EAD">
            <w:pPr>
              <w:jc w:val="center"/>
              <w:rPr>
                <w:lang w:val="bg-BG"/>
              </w:rPr>
            </w:pPr>
          </w:p>
          <w:p w:rsidR="002B177F" w:rsidRDefault="002B177F" w:rsidP="000D421C">
            <w:pPr>
              <w:jc w:val="both"/>
              <w:rPr>
                <w:lang w:val="bg-BG"/>
              </w:rPr>
            </w:pPr>
            <w:r>
              <w:rPr>
                <w:lang w:val="bg-BG"/>
              </w:rPr>
              <w:t>„</w:t>
            </w:r>
            <w:r w:rsidR="0083365D" w:rsidRPr="0083365D">
              <w:rPr>
                <w:lang w:val="bg-BG"/>
              </w:rPr>
              <w:t>Обект за първична преработка и съхранение на охладена и замр</w:t>
            </w:r>
            <w:r w:rsidR="0083365D">
              <w:rPr>
                <w:lang w:val="bg-BG"/>
              </w:rPr>
              <w:t>азена риба и рибни продукти на „Полиси Девелопмънт“</w:t>
            </w:r>
            <w:r w:rsidR="0083365D" w:rsidRPr="0083365D">
              <w:rPr>
                <w:lang w:val="bg-BG"/>
              </w:rPr>
              <w:t xml:space="preserve"> ЕООД</w:t>
            </w:r>
            <w:r>
              <w:rPr>
                <w:lang w:val="bg-BG"/>
              </w:rPr>
              <w:t>“</w:t>
            </w:r>
          </w:p>
        </w:tc>
        <w:tc>
          <w:tcPr>
            <w:tcW w:w="5233" w:type="dxa"/>
            <w:shd w:val="clear" w:color="auto" w:fill="auto"/>
          </w:tcPr>
          <w:p w:rsidR="0010481A" w:rsidRPr="0010481A" w:rsidRDefault="0010481A" w:rsidP="0010481A">
            <w:pPr>
              <w:spacing w:after="160" w:line="259" w:lineRule="auto"/>
              <w:ind w:firstLine="720"/>
              <w:jc w:val="both"/>
              <w:rPr>
                <w:rFonts w:eastAsia="Calibri"/>
                <w:lang w:val="bg-BG"/>
              </w:rPr>
            </w:pPr>
            <w:r w:rsidRPr="0010481A">
              <w:rPr>
                <w:rFonts w:eastAsia="Calibri"/>
                <w:lang w:val="bg-BG"/>
              </w:rPr>
              <w:t xml:space="preserve">След извършване на оценка за административно съответствие и допустимост на проектно предложение № BG14MFOP001-5.014-0013 съгласно чл. 29, ал. 2, т. 1, б. „а“ от ЗУСЕСИФ, е установено следното: </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 xml:space="preserve">Проектното предложение не отговаря на Критерий № 19 „Предвидените  разходи в проектното предложение са допустими съгласно Условията за кандидатстване по настоящата процедура. В случай на наличие на недопустими разходи същите са  установени и редуцирани.“ и на Критерий № 20 „Общата стойност на безвъзмездната финансова помощ   не надвишава определения максимален размер съгласно Условията за кандидатстване по настоящата процедура и не е под определения минимален размер“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 xml:space="preserve">Съгласно раздел 9. „Минимален (ако е приложимо) и максимален размер на безвъзмездната финансова помощ за конкретен проект“ от Условията за кандидатстване (УК) по </w:t>
            </w:r>
            <w:r w:rsidRPr="0010481A">
              <w:rPr>
                <w:rFonts w:eastAsia="Calibri"/>
                <w:lang w:val="bg-BG"/>
              </w:rPr>
              <w:lastRenderedPageBreak/>
              <w:t xml:space="preserve">процедура № BG14MFOP001-5.014 „Преработване на продуктите от риболов и аквакултури“ от Условията за кандидатстване по настоящата процедура: „Максималният размер на допустимата безвъзмездна финансова помощ за един бенефициент, заедно със свързаните с него лица, съгласно § 1, т.13 и 14 от допълнителните разпоредби на Закона за публичното предлагане на ценни книжа за целия програмен период по мярка 5.4 „Преработване на продуктите от риболов </w:t>
            </w:r>
            <w:r>
              <w:rPr>
                <w:rFonts w:eastAsia="Calibri"/>
                <w:lang w:val="bg-BG"/>
              </w:rPr>
              <w:t>и аквакултури“ е 1 400 000 лева</w:t>
            </w:r>
            <w:r w:rsidRPr="0010481A">
              <w:rPr>
                <w:rFonts w:eastAsia="Calibri"/>
                <w:lang w:val="bg-BG"/>
              </w:rPr>
              <w:t xml:space="preserve">“. </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След извършена проверка на предоставените документи и свързаност съгласно раздел 9. „Минимален (ако е приложимо) и максимален размер на безвъзмездната финансова помощ за конкретен проект“ от Условията за кандидатстване (УК) по процедура № BG14MFOP001-5.014 „Преработване на продуктите от риболов и аквакултури“ е установено следното по отношение на свързаността на бенефициента и максималния размер на допустимата безвъзмездна финансова помощ за един бенефициент, заедно със свързаните с него лица, съгласно § 1, т.13 и 14 от допълнителните разпоредби на Закона за публичното предлагане на ценни книжа за целия програмен период по мярка 5.4 „Преработване на продуктите от риболов и аквакултури“:</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lastRenderedPageBreak/>
              <w:t>Проектното предложение на кандидат „ПОЛИСИ ДЕВЕЛОПМЪНТ“ ЕООД с ЕИК: 201211568 е подадено на 10.02.2021 г. с наименование „Обект за първична преработка и съхранение на охладена и замразена риба и рибни продукти на „ПОЛИСИ ДЕВЕЛОПМЪНТЕООД“. След извършена служебна справка в АПИС регистър е установено, че едноличен собственик и управител на дружеството е Стамен Светлозаров Лолов.</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Проектното предложение на кандидат „РИБЕКС ТРЕЙДИНГ“ ООД с ЕИК: 203135681 е подадено на 10.02.2021 г. с наименование „Автоматична линия за преработка на рапани на Рибекс Трейдинг ООД“. След извършена служебна справка в АПИС регистър е установено, че собственици с равен дял и управители на дружеството са Васил Генков Карабаджаков и Михаил Светлозаров Лолов.</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 xml:space="preserve">Във връзка с текста в раздел 9 от УК по мярката, а именно: …„ВАЖНО: Максималният размер на допустимата безвъзмездна финансова помощ за един бенефициент, заедно със свързаните с него лица, съгласно § 1, т.13 и 14 от допълнителните разпоредби на Закона за публичното предлагане на ценни книжа за целия програмен период по мярка 5.4 „Преработване на продуктите от риболов и аквакултури“ е 1 400 000 лева.“ е извършена проверка на </w:t>
            </w:r>
            <w:r w:rsidRPr="0010481A">
              <w:rPr>
                <w:rFonts w:eastAsia="Calibri"/>
                <w:lang w:val="bg-BG"/>
              </w:rPr>
              <w:lastRenderedPageBreak/>
              <w:t>свързаните лица на „ПОЛИСИ ДЕВЕЛОПМЪНТ“ ЕООД. След извършена служебна проверка е установено е, че кандидатите „ПОЛИСИ ДЕВЕЛОПМЪНТ“ ЕООД и „РИБЕКС ТРЕЙДИНГ“ ООД са свързани лица съгласно § 1, т.13, буква „Г“ от допълнителните разпоредби на Закона за публичното предлагане на ценни книжа, тъй като са братя. Братята и сестрите помежду си са във втора степен родство по съребрена линия. В допълнение кандидатите „ПОЛИСИ ДЕВЕЛОПМЪНТ“ ЕООД и „РИБЕКС ТРЕЙДИНГ“ ООД са свързани лица съгласно § 1, т.14, буква „В“ от допълнителните разпоредби на Закона за публичното предлагане на ценни книжа във връзка с родствената си връзка, тъй като по този начин могат да упражнява решаващо влияние върху вземането на решения във връзка с дейността на юридическите лица, които са създали и представляват като управители и са кандидати по процедура BG14MFOP001-5.014.</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Извършена е проверка на договорите с горепосочените бенефициенти по мярка 5.4 „Преработване на продуктите от риболов и аквакултури“.</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 xml:space="preserve">„РИБЕКС ТРЕЙДИНГ“ ООД има подписан договор № МДР-ИП-01-195 от 15.10.2020 г. с размер на безвъзмездна </w:t>
            </w:r>
            <w:r w:rsidRPr="0010481A">
              <w:rPr>
                <w:rFonts w:eastAsia="Calibri"/>
                <w:lang w:val="bg-BG"/>
              </w:rPr>
              <w:lastRenderedPageBreak/>
              <w:t>финансова помощ (БФП) 987 286,00  лева.</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„ПОЛИСИ ДЕВЕЛОПМЪНТ“ ЕООД с проектно предложение (ПП) BG14MFOP001-5.014-0013 кандидатства за 1 000 000,00 лева БФП, а „РИБЕКС ТРЕЙДИНГ“ ООД с ПП BG14MFOP001-5.014-0012 за 413 460,00 лева БФП.</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След извършена проверка на свързаните лица на кандидатите „ПОЛИСИ ДЕВЕЛОПМЪНТ“ ЕООД и „РИБЕКС ТРЕЙДИНГ“ ООД е  установена свързаност и с друг бенефициент по мярка 5.4 „Преработване на продуктите от риболов и аквакултури“, съгласно § 1, т.13, буква „в“ от допълнителните разпоредби на Закона за публичното предлагане на ценни книжа, а именно с „Бургас 2013“ АД. Двете дружества „РИБЕКС ТРЕЙДИНГ“ООД и „Бургас 2013“ АД са създали Консорциум „РИБЕКС ТРЕЙДИНГ“ Дружество по ЗЗД, БУЛСТАТ: 177483609.</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 xml:space="preserve">При обработка на проектните предложения е установено, че инвестицията на дружествата „РИБЕКС ТРЕЙДИНГ“ ООД и „Бургас 2013“ АД се осъществява в един и същи имот, а именно ПИ 07079.603.54 гр. Бургас. </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 xml:space="preserve">Инвестицията на кандидата „РИБЕКС ТРЕЙДИНГ“ ООД с договор № МДР-ИП-01-195 от 15.10.2020 г., както и на подаденото ПП BG14MFOP001-5.014-0012 се извършва в </w:t>
            </w:r>
            <w:r w:rsidRPr="0010481A">
              <w:rPr>
                <w:rFonts w:eastAsia="Calibri"/>
                <w:lang w:val="bg-BG"/>
              </w:rPr>
              <w:lastRenderedPageBreak/>
              <w:t>поземлен имот с идентификатор ПИ 07079.603.54 в гр. Бургас, за което е сключен Договор за наем със свързаното дружество „Бургас 2013“ АД. В допълнение на тези факти като учредители и акционери при създаването на дружеството „Бургас 2013“ АД през 2010 година са били двамата братя Стамен Светлозаров Лолов и Михаил Светлозаров Лолов, които са участвали с непарични вноски, дарени имоти от родителите им съгласно справка в АПИС регистър.</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Размерът на вече одобрената БФП за дружествата „РИБЕКС ТРЕЙДИНГ“ ООД (по АДБФП № МДР-ИП-01-195 от 15.10.2020 г.) и „Бургас 2013“ АД (по АДБФП МДР-ИП-01-117/30.11.2018 г.) възлиза на 1 983 699,47 лева, което надвишава с 583 699,47 лева максималния размер на допустимата безвъзмездна финансова помощ за един бенефициент, заедно със свързаните с него лица, съгласно § 1, т.13 и 14 от допълнителните разпоредби на Закона за публичното предлагане на ценни книжа за целия програмен период по мярка 5.4 „Преработване на продуктите от риболов и аквакултури“, който е в размер на 1 400 000 лева.</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 xml:space="preserve">В допълнение само с настоящите проектни предложения, а именно „ПОЛИСИ ДЕВЕЛОПМЪНТ“ ЕООД с ПП BG14MFOP001-5.014-0013 кандидатства за 1 000 000,00 лева БФП, а „РИБЕКС ТРЕЙДИНГ“ ООД с ПП </w:t>
            </w:r>
            <w:r w:rsidRPr="0010481A">
              <w:rPr>
                <w:rFonts w:eastAsia="Calibri"/>
                <w:lang w:val="bg-BG"/>
              </w:rPr>
              <w:lastRenderedPageBreak/>
              <w:t>BG14MFOP001-5.014-0012 за 413 460,00 лева БФП, се надхвърля отново максимално допустимият размер посочен в раздел 9 на УК за един бенефициент, заедно със свързаните с него лица, съгласно § 1, т.13 и 14 от допълнителните разпоредби на Закона за публичното предлагане на ценни книжа за целия програмен период по мярка 5.4 „Преработване на продуктите от риболов и аквакултури“.</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ab/>
              <w:t>Проектното предложение не отговаря и на Критерий № 5 „Кандидатът е допустим съгласно изискванията в т. 11 от Условия за кандидатстване по настоящата процедура.“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тъй като по отношение на лицата, които представляват кандидата е налице конфликт на интереси във връзка с процедурата за предоставяне на безвъзмездна финансова помощ, който не може да бъде отстранен съгласно буква „О“ от т. 4 на раздел 11.2 от УК.</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ab/>
              <w:t xml:space="preserve">Проектното предложение не отговаря на Критерий № 20 „Общата стойност на безвъзмездната финансова помощ   не надвишава определения максимален размер съгласно Условията за кандидатстване по настоящата процедура и не е под определения </w:t>
            </w:r>
            <w:r w:rsidRPr="0010481A">
              <w:rPr>
                <w:rFonts w:eastAsia="Calibri"/>
                <w:lang w:val="bg-BG"/>
              </w:rPr>
              <w:lastRenderedPageBreak/>
              <w:t>минимален размер“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Във връзка с констатираното, размерът на БФП на „ПОЛИСИ ДЕВЕЛОПМЪНТ“ ЕООД не отговаря на максимално допустимия размер за един бенефициент, заедно със свързаните с него лица, съгласно § 1, т.13 и 14 от допълнителните разпоредби на Закона за публичното предлагане на ценни книжа за целия програмен период по мярка 5.4 „Преработване на продуктите от риболов и аквакултури“ съгласно раздел 9 от Условията за кандидатстване по процедура № BG14MFOP001-5.014 „Преработване на продуктите от риболов и аквакултури“ и съответно кандидатът не е допустим за подпомагане съгласно УК по настоящата процедура.</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ab/>
              <w:t>От гореизложеното възникват съмнения за създаване на изкуствени условия с цел осигуряване на предимство, съсредоточаване на финансова помощ в едни и същи кандидати, ползване на обща инфраструктура и получаване на финансова помощ в размер, надвишаващ посочените в раздел 9 от УК максимални размери.</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 xml:space="preserve">Проектното предложение не отговаря и на Критерий № 7 „Разходите за финансиране са </w:t>
            </w:r>
            <w:r w:rsidRPr="0010481A">
              <w:rPr>
                <w:rFonts w:eastAsia="Calibri"/>
                <w:lang w:val="bg-BG"/>
              </w:rPr>
              <w:lastRenderedPageBreak/>
              <w:t xml:space="preserve">допустими съгласно изискванията в т. 14 от Условия за кандидатстване по настоящата процедура“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тъй като с установената свързаност кандидатът е в ситуация на конфликт на интереси по смисъла на чл. 61 от Регламент (ЕС, ЕВРАТОМ) №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193/1 от 30 юли 2018 г.) с някой от кандидатите по същата процедура и други бенефициенти  и поради тази причина разходите не са допустими съгласно т. 14.1.1 от УК. </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 xml:space="preserve">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2018/1046 на Европейския парламент и на Съвета от 18 юли 2018 година за финансовите </w:t>
            </w:r>
            <w:r w:rsidRPr="0010481A">
              <w:rPr>
                <w:rFonts w:eastAsia="Calibri"/>
                <w:lang w:val="bg-BG"/>
              </w:rPr>
              <w:lastRenderedPageBreak/>
              <w:t>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rsidR="0010481A" w:rsidRPr="0010481A" w:rsidRDefault="0010481A" w:rsidP="0010481A">
            <w:pPr>
              <w:spacing w:after="160" w:line="259" w:lineRule="auto"/>
              <w:ind w:firstLine="720"/>
              <w:jc w:val="both"/>
              <w:rPr>
                <w:rFonts w:eastAsia="Calibri"/>
                <w:lang w:val="bg-BG"/>
              </w:rPr>
            </w:pPr>
            <w:r w:rsidRPr="0010481A">
              <w:rPr>
                <w:rFonts w:eastAsia="Calibri"/>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p w:rsidR="00DC2275" w:rsidRDefault="0010481A" w:rsidP="0010481A">
            <w:pPr>
              <w:spacing w:after="160" w:line="259" w:lineRule="auto"/>
              <w:ind w:firstLine="720"/>
              <w:jc w:val="both"/>
              <w:rPr>
                <w:rFonts w:eastAsia="Calibri"/>
                <w:lang w:val="bg-BG"/>
              </w:rPr>
            </w:pPr>
            <w:r w:rsidRPr="0010481A">
              <w:rPr>
                <w:rFonts w:eastAsia="Calibri"/>
                <w:lang w:val="bg-BG"/>
              </w:rPr>
              <w:t>Поради изложените по-горе аргументи, проектно предложение с рег. № BG14MFOP001-5.014-0013 е включено в Списъка на проектните предложения, които не се допускат до етап Техническа и финансова оценка, по настоящата процедура.</w:t>
            </w:r>
          </w:p>
        </w:tc>
      </w:tr>
      <w:tr w:rsidR="002B177F" w:rsidRPr="00E76FC7" w:rsidTr="00C171C9">
        <w:tc>
          <w:tcPr>
            <w:tcW w:w="600" w:type="dxa"/>
            <w:shd w:val="clear" w:color="auto" w:fill="auto"/>
          </w:tcPr>
          <w:p w:rsidR="002B177F" w:rsidRDefault="002B177F" w:rsidP="00E756A6">
            <w:pPr>
              <w:jc w:val="center"/>
              <w:rPr>
                <w:b/>
                <w:lang w:val="bg-BG"/>
              </w:rPr>
            </w:pPr>
          </w:p>
          <w:p w:rsidR="002B177F" w:rsidRDefault="00871682" w:rsidP="00F72E7E">
            <w:pPr>
              <w:jc w:val="center"/>
              <w:rPr>
                <w:b/>
                <w:lang w:val="bg-BG"/>
              </w:rPr>
            </w:pPr>
            <w:r>
              <w:rPr>
                <w:b/>
                <w:lang w:val="bg-BG"/>
              </w:rPr>
              <w:t>9</w:t>
            </w:r>
            <w:r w:rsidR="002B177F">
              <w:rPr>
                <w:b/>
                <w:lang w:val="bg-BG"/>
              </w:rPr>
              <w:t>.</w:t>
            </w:r>
          </w:p>
        </w:tc>
        <w:tc>
          <w:tcPr>
            <w:tcW w:w="2112" w:type="dxa"/>
            <w:shd w:val="clear" w:color="auto" w:fill="auto"/>
          </w:tcPr>
          <w:p w:rsidR="002B177F" w:rsidRDefault="002B177F" w:rsidP="00E756A6">
            <w:pPr>
              <w:jc w:val="center"/>
              <w:rPr>
                <w:b/>
                <w:lang w:val="bg-BG"/>
              </w:rPr>
            </w:pPr>
          </w:p>
          <w:p w:rsidR="002B177F" w:rsidRDefault="0090769F" w:rsidP="00E756A6">
            <w:pPr>
              <w:jc w:val="center"/>
              <w:rPr>
                <w:b/>
                <w:lang w:val="bg-BG"/>
              </w:rPr>
            </w:pPr>
            <w:r w:rsidRPr="0090769F">
              <w:rPr>
                <w:b/>
                <w:lang w:val="bg-BG"/>
              </w:rPr>
              <w:t>BG14MFOP001-5.014-0014</w:t>
            </w:r>
          </w:p>
        </w:tc>
        <w:tc>
          <w:tcPr>
            <w:tcW w:w="2318" w:type="dxa"/>
            <w:shd w:val="clear" w:color="auto" w:fill="auto"/>
          </w:tcPr>
          <w:p w:rsidR="002B177F" w:rsidRDefault="002B177F" w:rsidP="00E756A6">
            <w:pPr>
              <w:jc w:val="center"/>
              <w:rPr>
                <w:b/>
                <w:lang w:val="bg-BG"/>
              </w:rPr>
            </w:pPr>
          </w:p>
          <w:p w:rsidR="002B177F" w:rsidRDefault="002B177F" w:rsidP="00DC44BD">
            <w:pPr>
              <w:jc w:val="center"/>
              <w:rPr>
                <w:b/>
                <w:lang w:val="bg-BG"/>
              </w:rPr>
            </w:pPr>
            <w:r>
              <w:rPr>
                <w:b/>
                <w:lang w:val="bg-BG"/>
              </w:rPr>
              <w:t>„</w:t>
            </w:r>
            <w:r w:rsidR="000B43D6" w:rsidRPr="000B43D6">
              <w:rPr>
                <w:b/>
                <w:lang w:val="bg-BG"/>
              </w:rPr>
              <w:t>Риба и рибни продукти</w:t>
            </w:r>
            <w:r>
              <w:rPr>
                <w:b/>
                <w:lang w:val="bg-BG"/>
              </w:rPr>
              <w:t xml:space="preserve">“ </w:t>
            </w:r>
            <w:r w:rsidRPr="002B177F">
              <w:rPr>
                <w:b/>
                <w:lang w:val="bg-BG"/>
              </w:rPr>
              <w:t>ЕООД</w:t>
            </w:r>
          </w:p>
        </w:tc>
        <w:tc>
          <w:tcPr>
            <w:tcW w:w="2959" w:type="dxa"/>
            <w:shd w:val="clear" w:color="auto" w:fill="auto"/>
          </w:tcPr>
          <w:p w:rsidR="002B177F" w:rsidRDefault="002B177F" w:rsidP="00487EAD">
            <w:pPr>
              <w:jc w:val="center"/>
              <w:rPr>
                <w:lang w:val="bg-BG"/>
              </w:rPr>
            </w:pPr>
          </w:p>
          <w:p w:rsidR="002B177F" w:rsidRDefault="002B177F" w:rsidP="000D421C">
            <w:pPr>
              <w:jc w:val="both"/>
              <w:rPr>
                <w:lang w:val="bg-BG"/>
              </w:rPr>
            </w:pPr>
            <w:r>
              <w:rPr>
                <w:lang w:val="bg-BG"/>
              </w:rPr>
              <w:t>„</w:t>
            </w:r>
            <w:r w:rsidR="000B43D6" w:rsidRPr="000B43D6">
              <w:rPr>
                <w:lang w:val="bg-BG"/>
              </w:rPr>
              <w:t>Предприятие за преработка на риба</w:t>
            </w:r>
            <w:r>
              <w:rPr>
                <w:lang w:val="bg-BG"/>
              </w:rPr>
              <w:t>“</w:t>
            </w:r>
          </w:p>
        </w:tc>
        <w:tc>
          <w:tcPr>
            <w:tcW w:w="5233" w:type="dxa"/>
            <w:shd w:val="clear" w:color="auto" w:fill="auto"/>
          </w:tcPr>
          <w:p w:rsidR="00871C2E" w:rsidRPr="00871C2E" w:rsidRDefault="00871C2E" w:rsidP="00871C2E">
            <w:pPr>
              <w:spacing w:after="160" w:line="259" w:lineRule="auto"/>
              <w:ind w:firstLine="720"/>
              <w:jc w:val="both"/>
              <w:rPr>
                <w:rFonts w:eastAsia="Calibri"/>
                <w:lang w:val="bg-BG"/>
              </w:rPr>
            </w:pPr>
            <w:r w:rsidRPr="00871C2E">
              <w:rPr>
                <w:rFonts w:eastAsia="Calibri"/>
                <w:lang w:val="bg-BG"/>
              </w:rPr>
              <w:t xml:space="preserve">След извършване на оценка за административно съответствие и допустимост на проектно предложение № BG14MFOP001-5.014-0014 съгласно чл. 29, ал. 2, т. 1, б. „а“ от ЗУСЕСИФ, е установено следното: </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 xml:space="preserve">Проектното предложение не отговаря на </w:t>
            </w:r>
            <w:r w:rsidRPr="00871C2E">
              <w:rPr>
                <w:rFonts w:eastAsia="Calibri"/>
                <w:lang w:val="bg-BG"/>
              </w:rPr>
              <w:lastRenderedPageBreak/>
              <w:t xml:space="preserve">Критерий № 4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4 „Критерии и методология за оценка на проектните предложения по Процедура за подбор на проекти BG14MFOP001-5.014 „Преработване на продуктите от риболов и аквакултури”. По време на оценката на проектното предложение комуникацията с кандидата и редакцията на установени неточности по подаденото проектно предложение, се извършват електронно чрез профила на кандидата в ИСУН 2020, от който е подаден съответният проект. </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 xml:space="preserve">След извършена проверка на предоставените документи и съгласно чл. 34, ал. 2 от ЗУСЕСИФ: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 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Във </w:t>
            </w:r>
            <w:r w:rsidRPr="00871C2E">
              <w:rPr>
                <w:rFonts w:eastAsia="Calibri"/>
                <w:lang w:val="bg-BG"/>
              </w:rPr>
              <w:lastRenderedPageBreak/>
              <w:t xml:space="preserve">връзка с точка 24. „Списък на документите, които се подават на етап кандидатстване“ от Условия за кандидатстване утвърдени от УО, на 12.07.2021 г. е изпратено уведомление с регистрационен номер BG14MFOP001-5.014-0014-M002, с което е поискана допълнителна информация от кандидата чрез Модул „Комуникация“ в ИСУН 2020. Указан е срок до 22.07.2021 г., в който да бъдат предоставени долуописаните липсващи документи и информация, а именно: </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1. Не е представено разрешение за строеж/поставяне или становище от главния архитект на община Видин, че не е необходимо разрешение за строеж/поставяне, във връзка с цялото инвестиционно намерение, а именно промяна на предназначението на сграда за обществено хранене в преработвателно предприятие за риба, изграждане на хладилни камери и фотоволтаична централа.</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2. Не е представено пояснение от правоспособен проектант относно размера на покрива в кв. м. съгласно представения договор за наем сградата е с ЗП 427 кв.м.</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 xml:space="preserve">3. Представен е договор за наем само на сграда, но не и на прилежаща земя. В тази връзка за дейностите по изграждане на съоръжение за пречистване на отпадните води, бетонова площадка за автомобили, площадкова </w:t>
            </w:r>
            <w:r w:rsidRPr="00871C2E">
              <w:rPr>
                <w:rFonts w:eastAsia="Calibri"/>
                <w:lang w:val="bg-BG"/>
              </w:rPr>
              <w:lastRenderedPageBreak/>
              <w:t>канализация, озеленяване и др. липсва документ за собственост на земята/сградата, където ще се извършват строително-монтажните работи или учредено право на строеж за срок не по-малък от 8 години от датата на кандидатстване.</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4. Съгласно т. 24 от Условията за кандидатстване по настоящата процедура е необходимо оферентите – строители, трябва да бъдат вписани в регистъра на Камарата на строителите или еквивалент. След извършена служебна проверка на оферента Т.Н.Н. – 97 ЕООД в регистъра на Камарата на строителите се установи, че липсва вписването му. Не е представена обяснителна записка за установеното несъответствие.</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5. В предоставена оферта от Т.Н.Н. – 97 ЕООД липсва техническа характеристика, марка, модел за част вентилация и отопление, част хладилни камери, фотоволтаична система. В допълнение дейностите по „Изграждане на съоръжение за пречистване на отпадните води“ е оферирано на един ред, без никакви технически характеристики. Не е представено допълнение към офертата от Т.Н.Н. – 97 ЕООД с посочен модел, марка, подробни технологични характеристики, мощност на ден, на час и параметри на продуктите „хладилните камери“.</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 xml:space="preserve">6. Съгласно т. 5. Бюджет (в лева) в ИСУН 2020 се кандидатства за 1 брой Вакуум </w:t>
            </w:r>
            <w:r w:rsidRPr="00871C2E">
              <w:rPr>
                <w:rFonts w:eastAsia="Calibri"/>
                <w:lang w:val="bg-BG"/>
              </w:rPr>
              <w:lastRenderedPageBreak/>
              <w:t>пакетираща машина - 1 бр. на стойност 3000 лв., предоставено е извлечение от каталог на стойност 1500 лв. Не е представена обяснителна записка за установеното несъответствие.</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8. Представения технологичен проект със схема и описание на производствения процес, обосноваващи дейностите и разходите, за които се кандидатства, както и показващи капацитета на производството, изготвен от правоспособно лице, не е съгласуван от Българска агенция за безопасност на храните /БАБХ/, съответно Областна дирекция по безопасност на храните/ОДБХ/.</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9. В технологичния проект не е посочен годишният производствен капацитет на предприятието. Не е представено обяснение за установеното несъответствие.</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10. В предоставения бизнес план, таблица 2 са посочени приходи от риба, замразена и охладена и не става ясно какви са преработените продукти, които ще се реализират. Не е представена подробна разбивка на видовете реализираната продукция по видове риби в таблица 2 от бизнес план и свързаните таблици.</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Не е представена и допълнение към технологичния проект от технолога относно подробна разбивка на реализираната продукция.</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lastRenderedPageBreak/>
              <w:t xml:space="preserve">11. В предоставения бизнес план, таблица 2 са посочени приходи от риба в общ размер около 100 тона годишно. Липсва анализ за това, че капацитетът на камерата за охлаждане и камерата за замразяване, производственото оборудване за обработка на рибата, които ще се закупуват, съответстват на производството на продукция, заложена в производствената и търговска програма на бизнес плана. </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 xml:space="preserve">В тази връзка не са предоставени пояснения от технолога, подкрепени с финансови документи за последната финансова година или планираните приходи за следващите години относно капацитета на камерите и производственото оборудване спрямо годишната производствена програма. </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12. Не е предоставена информация и обосновка на добивите и цените в подкрепа на данните, представени в таблица 2 „Производствена програма“ на бизнес плана (например сключени договори, предварителни договори, фактури и т.н.).</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13. Не е предоставена информация и обосновка на осигурените основни суровини в подкрепа на данните, представени в таблица 3 „Себестойност на единица продукция“ на бизнес плана (например сключени договори, предварителни договори, фактури и т.н.).</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lastRenderedPageBreak/>
              <w:t>14. Във връзка със закупуването на нови машини и оборудване и предоставените снимки на екран на интернет сайтове, не е предоставено подробно описание за всеки един актив, дали цената е с или без ДДС.</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15. В предоставената оферта за визуализация липсва подробна техническа характеристика на оферираните артикули и изработка на интернет сайт. Липсва допълнение към издадената оферта с подробна техническа характеристика на оферираните артикули и изработка на интернет сайт.</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16. В предоставената оферта за сертификация на система за управление ISO 14001:2015 И ISO 45001:2018 липсва срок на валидност, както и не е надлежно разписана и подпечатана от оферента.</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17. Във връзка със заявените предварителни разходи на стойност 45 000 лв. не са предоставени най-малко две независими съпоставими оферти с цел определяне основателността на предложените предварителни разходи.</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 xml:space="preserve">18. Във връзка със заявените предварителни разходи на стойност 45 000 лв. и представения договор услугата включва: Архитектурно заснемане, Технологичен проект, част Вик и Енергиен одит или резюме на доклад от обследване за енергийна ефективност на </w:t>
            </w:r>
            <w:r w:rsidRPr="00871C2E">
              <w:rPr>
                <w:rFonts w:eastAsia="Calibri"/>
                <w:lang w:val="bg-BG"/>
              </w:rPr>
              <w:lastRenderedPageBreak/>
              <w:t>предприятие/промишлена система, съобразно изискванията на Наредба № Е-РД-04-05 от 8 септември 2016 г., съгласно представените документи в ИСУН 2020 документите: Енергиен одит или резюме на доклад са изготвени от „Енкора“ ЕООД. Липсва анекс към представения договор с подробна разбивка и ценова оферта за всяка услуга поотделно и възлагателните договори между „Енкора“ ЕООД и „Стройпром“ ЕООД.</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19. Във връзка с изискването за специфичен оборот не са доставени доказателства от всички оференти със справка – декларации, подписани от законния представител на оферента и счетоводителя. Справките трябва да са придружени от Отчет за приходите и разходите за съответните приключили финансови години, в зависимост от датата, на която оферента е учреден или започнал дейността си.</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 xml:space="preserve">20. Оборотът, който се декларира в справката-декларация, трябва да се докаже с копия на финансови и счетоводни документи, които се прилагат към справката- декларация и заявлението за признаване. Такива документи са: фактури, годишни данъчни декларации, складови разписки, приемно-предавателни протоколи и др. (отделно за всеки член). Счетоводните документи са копия на оригиналите, като при проверка на място, </w:t>
            </w:r>
            <w:r w:rsidRPr="00871C2E">
              <w:rPr>
                <w:rFonts w:eastAsia="Calibri"/>
                <w:lang w:val="bg-BG"/>
              </w:rPr>
              <w:lastRenderedPageBreak/>
              <w:t xml:space="preserve">копията се сравняват с оригиналните счетоводни документи. Липсват подобни документни. </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21. Липсва Удостоверение за регистрация на животновъден обект от БАБХ /от съответната ОДБХ/, съгласно чл. 137 от Закона за ветеринарномедицинската дейност, във връзка с намерението за преработка на риба собствено производство.</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22. Липсва Удостоверение за регистрация на предприятието като обект за производство на рибни продукти или обект за преработване на странични животински продукт, съгласно чл. 12 от Закона за храните (отм.) или чл. 26 от Закона за храните за регистрираните предприятия след 09.06.2020 г. или Закона за ветеринарно-медицинската дейност - документът е задължителен за всички съществуващи предприятия.</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23. Липсва Отчет за приходи и разходи за последната финансова година (2020) за кандидати, собственици на съществуващи предприятия.</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24. Липсва Отчет за заетите лица, средствата за работна заплата и други разходи за труд за последната финансова година (2020).</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25. Липсва актуална скица на имота.</w:t>
            </w:r>
          </w:p>
          <w:p w:rsidR="00871C2E" w:rsidRPr="00871C2E" w:rsidRDefault="00871C2E" w:rsidP="00871C2E">
            <w:pPr>
              <w:spacing w:after="160" w:line="259" w:lineRule="auto"/>
              <w:jc w:val="both"/>
              <w:rPr>
                <w:rFonts w:eastAsia="Calibri"/>
                <w:lang w:val="bg-BG"/>
              </w:rPr>
            </w:pPr>
            <w:r w:rsidRPr="00871C2E">
              <w:rPr>
                <w:rFonts w:eastAsia="Calibri"/>
                <w:lang w:val="bg-BG"/>
              </w:rPr>
              <w:t xml:space="preserve">Кандидатът не е отговорил на комуникацията в </w:t>
            </w:r>
            <w:r w:rsidRPr="00871C2E">
              <w:rPr>
                <w:rFonts w:eastAsia="Calibri"/>
                <w:lang w:val="bg-BG"/>
              </w:rPr>
              <w:lastRenderedPageBreak/>
              <w:t>регламентирания срок, не е предоставил изисканите допълнително информация и документи, с което прави невъзможно извършването на оценка на проектното предложение. Съгласно изискванията, посочени в Условията за кандидатстване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Съгласно чл. 34, ал. 2 на ЗУСЕСИФ,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 xml:space="preserve">Във връзка с липсата на отговор от страна на кандидата, „Техническият и/или технологиченият проект съдържа схема и описание на процесите на преработка, обосноваващи  дейностите и разходите, за които се кандидатства в проектното предложение, както и показва капацитета на производство на преработените продукти.“, тъй като </w:t>
            </w:r>
            <w:r w:rsidRPr="00871C2E">
              <w:rPr>
                <w:rFonts w:eastAsia="Calibri"/>
                <w:lang w:val="bg-BG"/>
              </w:rPr>
              <w:lastRenderedPageBreak/>
              <w:t>представеният технологичен проект със схема и описание на производствения процес, обосноваващи дейностите и разходите, за които се кандидатства, както и показващи капацитета на производството, изготвен от правоспособно лице, не е съгласуван от Българска агенция за безопасност на храните, както и в технологичния проект не е посочен годишният производствен капацитет на предприятието.</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 xml:space="preserve">Проектното предложение  не отговаря на Критерий № 18 „Количеството произвеждана продукция, заложена в технологичния проект и годишния производствения капацитет на всеки от предвидените активи, заложени в технологичния проект съответстват на количеството произвеждана продукция, заложена в производствената програма на бизнес плана и на годишния производствения капацитет на всеки от предвидените за закупуване активи, описани в представените оферти“, тъй като в предоставения бизнес план, таблица 2 са посочени приходи от риба в общ размер около 100 тона годишно. Липсва анализ за това, че капацитетът на камерата за охлаждане и камерата за замразяване, производственото оборудване за обработка на рибата, които ще се закупуват, съответстват на производството на продукция, заложена в производствената и търговска програма на бизнес плана. В тази връзка не са предоставени </w:t>
            </w:r>
            <w:r w:rsidRPr="00871C2E">
              <w:rPr>
                <w:rFonts w:eastAsia="Calibri"/>
                <w:lang w:val="bg-BG"/>
              </w:rPr>
              <w:lastRenderedPageBreak/>
              <w:t>пояснения от технолога, подкрепени с финансови документи за последната финансова година или планираните приходи за следващите години относно капацитета на камерите и производственото оборудване спрямо годишната производствена програма.</w:t>
            </w:r>
          </w:p>
          <w:p w:rsidR="00871C2E" w:rsidRPr="00871C2E" w:rsidRDefault="00871C2E" w:rsidP="00871C2E">
            <w:pPr>
              <w:spacing w:after="160" w:line="259" w:lineRule="auto"/>
              <w:ind w:firstLine="720"/>
              <w:jc w:val="both"/>
              <w:rPr>
                <w:rFonts w:eastAsia="Calibri"/>
                <w:lang w:val="bg-BG"/>
              </w:rPr>
            </w:pPr>
            <w:r w:rsidRPr="00871C2E">
              <w:rPr>
                <w:rFonts w:eastAsia="Calibri"/>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p w:rsidR="00847126" w:rsidRDefault="00871C2E" w:rsidP="00871C2E">
            <w:pPr>
              <w:spacing w:after="160" w:line="259" w:lineRule="auto"/>
              <w:ind w:firstLine="720"/>
              <w:jc w:val="both"/>
              <w:rPr>
                <w:rFonts w:eastAsia="Calibri"/>
                <w:lang w:val="bg-BG"/>
              </w:rPr>
            </w:pPr>
            <w:r w:rsidRPr="00871C2E">
              <w:rPr>
                <w:rFonts w:eastAsia="Calibri"/>
                <w:lang w:val="bg-BG"/>
              </w:rPr>
              <w:t>Поради изложените по-горе аргументи, проектно предложение с рег. № BG14MFOP001-5.014-0014 е включено в Списъка на проектните предложения, които не се допускат до етап Техническа и финансова оценка, по настоящата процедура.</w:t>
            </w:r>
          </w:p>
        </w:tc>
      </w:tr>
    </w:tbl>
    <w:p w:rsidR="00025E58" w:rsidRDefault="00025E58">
      <w:pPr>
        <w:rPr>
          <w:lang w:val="bg-BG"/>
        </w:rPr>
      </w:pPr>
    </w:p>
    <w:p w:rsidR="00806732" w:rsidRDefault="00806732">
      <w:pPr>
        <w:rPr>
          <w:lang w:val="bg-BG"/>
        </w:rPr>
      </w:pPr>
    </w:p>
    <w:p w:rsidR="00806732" w:rsidRDefault="00806732" w:rsidP="00806732">
      <w:pPr>
        <w:jc w:val="both"/>
        <w:rPr>
          <w:lang w:val="bg-BG"/>
        </w:rPr>
      </w:pPr>
      <w:r w:rsidRPr="00806732">
        <w:rPr>
          <w:lang w:val="bg-BG"/>
        </w:rPr>
        <w:t xml:space="preserve">ЗАБЕЛЕЖКА: </w:t>
      </w:r>
    </w:p>
    <w:p w:rsidR="00806732" w:rsidRPr="00806732" w:rsidRDefault="00806732" w:rsidP="00806732">
      <w:pPr>
        <w:jc w:val="both"/>
        <w:rPr>
          <w:lang w:val="bg-BG"/>
        </w:rPr>
      </w:pPr>
    </w:p>
    <w:p w:rsidR="00806732" w:rsidRPr="00806732" w:rsidRDefault="00806732" w:rsidP="00806732">
      <w:pPr>
        <w:jc w:val="both"/>
        <w:rPr>
          <w:lang w:val="bg-BG"/>
        </w:rPr>
      </w:pPr>
      <w:r w:rsidRPr="00806732">
        <w:rPr>
          <w:lang w:val="bg-BG"/>
        </w:rPr>
        <w:t>Съгласно разпоредбите на чл. 34, ал. 3 от ЗУСЕСИФ,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p>
    <w:p w:rsidR="00806732" w:rsidRPr="00025E58" w:rsidRDefault="00806732">
      <w:pPr>
        <w:rPr>
          <w:lang w:val="bg-BG"/>
        </w:rPr>
      </w:pPr>
    </w:p>
    <w:sectPr w:rsidR="00806732" w:rsidRPr="00025E58" w:rsidSect="00025E58">
      <w:pgSz w:w="15840" w:h="12240" w:orient="landscape"/>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0CB1"/>
    <w:multiLevelType w:val="hybridMultilevel"/>
    <w:tmpl w:val="37D40732"/>
    <w:lvl w:ilvl="0" w:tplc="63B23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82E97"/>
    <w:multiLevelType w:val="hybridMultilevel"/>
    <w:tmpl w:val="33F6E3BA"/>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
    <w:nsid w:val="355B2DCF"/>
    <w:multiLevelType w:val="hybridMultilevel"/>
    <w:tmpl w:val="78D04B20"/>
    <w:lvl w:ilvl="0" w:tplc="64463166">
      <w:start w:val="1"/>
      <w:numFmt w:val="low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42B60EDE"/>
    <w:multiLevelType w:val="hybridMultilevel"/>
    <w:tmpl w:val="F866EC32"/>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4">
    <w:nsid w:val="62F76D8D"/>
    <w:multiLevelType w:val="hybridMultilevel"/>
    <w:tmpl w:val="2012CCC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7EFC7016"/>
    <w:multiLevelType w:val="hybridMultilevel"/>
    <w:tmpl w:val="24CCE766"/>
    <w:lvl w:ilvl="0" w:tplc="880E0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liya Stoilova">
    <w15:presenceInfo w15:providerId="AD" w15:userId="S-1-5-21-3673932534-3318588094-701912851-7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58"/>
    <w:rsid w:val="00013734"/>
    <w:rsid w:val="00025E58"/>
    <w:rsid w:val="00033F3C"/>
    <w:rsid w:val="00035B11"/>
    <w:rsid w:val="00044CEB"/>
    <w:rsid w:val="00091868"/>
    <w:rsid w:val="000B0DD2"/>
    <w:rsid w:val="000B1453"/>
    <w:rsid w:val="000B43D6"/>
    <w:rsid w:val="000C3816"/>
    <w:rsid w:val="000C5B33"/>
    <w:rsid w:val="000D421C"/>
    <w:rsid w:val="000E1319"/>
    <w:rsid w:val="000F317D"/>
    <w:rsid w:val="0010481A"/>
    <w:rsid w:val="00111B54"/>
    <w:rsid w:val="001326EF"/>
    <w:rsid w:val="00153BB9"/>
    <w:rsid w:val="001839E1"/>
    <w:rsid w:val="001A2009"/>
    <w:rsid w:val="001B7041"/>
    <w:rsid w:val="001B795A"/>
    <w:rsid w:val="001D3C74"/>
    <w:rsid w:val="001F6238"/>
    <w:rsid w:val="0020220A"/>
    <w:rsid w:val="00241116"/>
    <w:rsid w:val="00284EE9"/>
    <w:rsid w:val="00287E30"/>
    <w:rsid w:val="002A1582"/>
    <w:rsid w:val="002B177F"/>
    <w:rsid w:val="002D7F1C"/>
    <w:rsid w:val="002F7B28"/>
    <w:rsid w:val="00326FF7"/>
    <w:rsid w:val="00353296"/>
    <w:rsid w:val="00374867"/>
    <w:rsid w:val="003822A4"/>
    <w:rsid w:val="003939A4"/>
    <w:rsid w:val="003A6D06"/>
    <w:rsid w:val="003B29B3"/>
    <w:rsid w:val="003C6F96"/>
    <w:rsid w:val="003D0FCC"/>
    <w:rsid w:val="003D5803"/>
    <w:rsid w:val="003E59DD"/>
    <w:rsid w:val="00412A02"/>
    <w:rsid w:val="00424034"/>
    <w:rsid w:val="004340F4"/>
    <w:rsid w:val="00447CD7"/>
    <w:rsid w:val="004567F4"/>
    <w:rsid w:val="00464859"/>
    <w:rsid w:val="00470746"/>
    <w:rsid w:val="004750CF"/>
    <w:rsid w:val="00487EAD"/>
    <w:rsid w:val="004B7D48"/>
    <w:rsid w:val="004E7379"/>
    <w:rsid w:val="004F12E7"/>
    <w:rsid w:val="00502B44"/>
    <w:rsid w:val="005145E2"/>
    <w:rsid w:val="00591239"/>
    <w:rsid w:val="005B3C73"/>
    <w:rsid w:val="005C73C9"/>
    <w:rsid w:val="005D1F24"/>
    <w:rsid w:val="005D5242"/>
    <w:rsid w:val="005F5B71"/>
    <w:rsid w:val="00616EC9"/>
    <w:rsid w:val="00684CF8"/>
    <w:rsid w:val="006B6CF2"/>
    <w:rsid w:val="006C3B56"/>
    <w:rsid w:val="006D5340"/>
    <w:rsid w:val="00711EAD"/>
    <w:rsid w:val="00714A90"/>
    <w:rsid w:val="0071579F"/>
    <w:rsid w:val="00720E4A"/>
    <w:rsid w:val="007700FA"/>
    <w:rsid w:val="00771F31"/>
    <w:rsid w:val="007862E7"/>
    <w:rsid w:val="00791E7A"/>
    <w:rsid w:val="007B704A"/>
    <w:rsid w:val="007C111B"/>
    <w:rsid w:val="00806732"/>
    <w:rsid w:val="0083365D"/>
    <w:rsid w:val="00847126"/>
    <w:rsid w:val="0085198C"/>
    <w:rsid w:val="00871682"/>
    <w:rsid w:val="00871C2E"/>
    <w:rsid w:val="008C4F5F"/>
    <w:rsid w:val="008F4379"/>
    <w:rsid w:val="0090769F"/>
    <w:rsid w:val="009266D4"/>
    <w:rsid w:val="0093219F"/>
    <w:rsid w:val="009374AD"/>
    <w:rsid w:val="009922EE"/>
    <w:rsid w:val="00996458"/>
    <w:rsid w:val="009C4EBC"/>
    <w:rsid w:val="009E39A8"/>
    <w:rsid w:val="009F10FC"/>
    <w:rsid w:val="00A96A31"/>
    <w:rsid w:val="00AB1D94"/>
    <w:rsid w:val="00AC3DF7"/>
    <w:rsid w:val="00AE0230"/>
    <w:rsid w:val="00AE22F6"/>
    <w:rsid w:val="00AF27A9"/>
    <w:rsid w:val="00B34C14"/>
    <w:rsid w:val="00B45446"/>
    <w:rsid w:val="00B64E7B"/>
    <w:rsid w:val="00B65E53"/>
    <w:rsid w:val="00B73907"/>
    <w:rsid w:val="00B77FAB"/>
    <w:rsid w:val="00BB5563"/>
    <w:rsid w:val="00BB578D"/>
    <w:rsid w:val="00BE1906"/>
    <w:rsid w:val="00C171C9"/>
    <w:rsid w:val="00C65B82"/>
    <w:rsid w:val="00C76902"/>
    <w:rsid w:val="00C84BDC"/>
    <w:rsid w:val="00CD49F3"/>
    <w:rsid w:val="00CF44C8"/>
    <w:rsid w:val="00D0110C"/>
    <w:rsid w:val="00D06F9F"/>
    <w:rsid w:val="00D13AC4"/>
    <w:rsid w:val="00D166C0"/>
    <w:rsid w:val="00D9025C"/>
    <w:rsid w:val="00D90331"/>
    <w:rsid w:val="00DB7FE8"/>
    <w:rsid w:val="00DC2275"/>
    <w:rsid w:val="00DC2E70"/>
    <w:rsid w:val="00DC4249"/>
    <w:rsid w:val="00DC44BD"/>
    <w:rsid w:val="00DF0B17"/>
    <w:rsid w:val="00E007E1"/>
    <w:rsid w:val="00E126C1"/>
    <w:rsid w:val="00E171F2"/>
    <w:rsid w:val="00E3156B"/>
    <w:rsid w:val="00E4235B"/>
    <w:rsid w:val="00E445E8"/>
    <w:rsid w:val="00E5245B"/>
    <w:rsid w:val="00E52E87"/>
    <w:rsid w:val="00E76515"/>
    <w:rsid w:val="00E85F57"/>
    <w:rsid w:val="00E94C27"/>
    <w:rsid w:val="00EE51D6"/>
    <w:rsid w:val="00EF38E3"/>
    <w:rsid w:val="00F133AC"/>
    <w:rsid w:val="00F428ED"/>
    <w:rsid w:val="00F5302D"/>
    <w:rsid w:val="00F70F89"/>
    <w:rsid w:val="00F72E7E"/>
    <w:rsid w:val="00F73A86"/>
    <w:rsid w:val="00F77DC1"/>
    <w:rsid w:val="00F97D8C"/>
    <w:rsid w:val="00FA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paragraph" w:styleId="Revision">
    <w:name w:val="Revision"/>
    <w:hidden/>
    <w:uiPriority w:val="99"/>
    <w:semiHidden/>
    <w:rsid w:val="009922EE"/>
    <w:pPr>
      <w:spacing w:after="0"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92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EE"/>
    <w:rPr>
      <w:rFonts w:ascii="Segoe UI" w:eastAsia="Times New Roman"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paragraph" w:styleId="Revision">
    <w:name w:val="Revision"/>
    <w:hidden/>
    <w:uiPriority w:val="99"/>
    <w:semiHidden/>
    <w:rsid w:val="009922EE"/>
    <w:pPr>
      <w:spacing w:after="0"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92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EE"/>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82</Pages>
  <Words>14485</Words>
  <Characters>82567</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Boyanova</dc:creator>
  <cp:lastModifiedBy>Magdalena Boyanova</cp:lastModifiedBy>
  <cp:revision>25</cp:revision>
  <cp:lastPrinted>2022-02-07T12:18:00Z</cp:lastPrinted>
  <dcterms:created xsi:type="dcterms:W3CDTF">2022-02-11T12:03:00Z</dcterms:created>
  <dcterms:modified xsi:type="dcterms:W3CDTF">2022-02-18T08:02:00Z</dcterms:modified>
</cp:coreProperties>
</file>