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25" w:type="dxa"/>
        <w:tblInd w:w="1492" w:type="dxa"/>
        <w:tblLayout w:type="fixed"/>
        <w:tblCellMar>
          <w:left w:w="0" w:type="dxa"/>
          <w:right w:w="0" w:type="dxa"/>
        </w:tblCellMar>
        <w:tblLook w:val="0000" w:firstRow="0" w:lastRow="0" w:firstColumn="0" w:lastColumn="0" w:noHBand="0" w:noVBand="0"/>
      </w:tblPr>
      <w:tblGrid>
        <w:gridCol w:w="3445"/>
        <w:gridCol w:w="1217"/>
        <w:gridCol w:w="4337"/>
        <w:gridCol w:w="2126"/>
      </w:tblGrid>
      <w:tr w:rsidR="00025E58" w:rsidRPr="00144A1F" w:rsidTr="00E756A6">
        <w:trPr>
          <w:trHeight w:val="1256"/>
          <w:tblHeader/>
        </w:trPr>
        <w:tc>
          <w:tcPr>
            <w:tcW w:w="3445" w:type="dxa"/>
            <w:vMerge w:val="restart"/>
            <w:tcBorders>
              <w:top w:val="single" w:sz="1" w:space="0" w:color="000000"/>
              <w:left w:val="single" w:sz="1" w:space="0" w:color="000000"/>
            </w:tcBorders>
            <w:vAlign w:val="center"/>
          </w:tcPr>
          <w:p w:rsidR="00025E58"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 xml:space="preserve">Министерство на </w:t>
            </w:r>
            <w:r w:rsidR="00971D91">
              <w:rPr>
                <w:rFonts w:eastAsia="HG Mincho Light J"/>
                <w:b/>
                <w:color w:val="000000"/>
                <w:sz w:val="20"/>
                <w:szCs w:val="20"/>
                <w:lang w:val="bg-BG"/>
              </w:rPr>
              <w:t>земеделието</w:t>
            </w:r>
          </w:p>
          <w:p w:rsidR="00971D91" w:rsidRPr="00144A1F" w:rsidRDefault="00971D91" w:rsidP="00E756A6">
            <w:pPr>
              <w:widowControl w:val="0"/>
              <w:suppressLineNumbers/>
              <w:suppressAutoHyphens/>
              <w:jc w:val="center"/>
              <w:rPr>
                <w:rFonts w:eastAsia="HG Mincho Light J"/>
                <w:b/>
                <w:color w:val="000000"/>
                <w:sz w:val="20"/>
                <w:szCs w:val="20"/>
                <w:lang w:val="bg-BG"/>
              </w:rPr>
            </w:pPr>
          </w:p>
          <w:p w:rsidR="00025E58" w:rsidRPr="00877A5F" w:rsidRDefault="00025E58" w:rsidP="00E756A6">
            <w:pPr>
              <w:widowControl w:val="0"/>
              <w:suppressLineNumbers/>
              <w:suppressAutoHyphens/>
              <w:jc w:val="center"/>
              <w:rPr>
                <w:rFonts w:eastAsia="HG Mincho Light J"/>
                <w:b/>
                <w:color w:val="000000"/>
                <w:sz w:val="20"/>
                <w:szCs w:val="20"/>
                <w:lang w:val="en-US"/>
              </w:rPr>
            </w:pPr>
            <w:r>
              <w:rPr>
                <w:rFonts w:eastAsia="HG Mincho Light J"/>
                <w:b/>
                <w:color w:val="000000"/>
                <w:sz w:val="20"/>
                <w:szCs w:val="20"/>
                <w:lang w:val="bg-BG"/>
              </w:rPr>
              <w:t>Д</w:t>
            </w:r>
            <w:r w:rsidRPr="00144A1F">
              <w:rPr>
                <w:rFonts w:eastAsia="HG Mincho Light J"/>
                <w:b/>
                <w:color w:val="000000"/>
                <w:sz w:val="20"/>
                <w:szCs w:val="20"/>
                <w:lang w:val="bg-BG"/>
              </w:rPr>
              <w:t>ирекция “</w:t>
            </w:r>
            <w:r>
              <w:rPr>
                <w:rFonts w:eastAsia="HG Mincho Light J"/>
                <w:b/>
                <w:color w:val="000000"/>
                <w:sz w:val="20"/>
                <w:szCs w:val="20"/>
                <w:lang w:val="bg-BG"/>
              </w:rPr>
              <w:t>Морско дело и рибарство</w:t>
            </w:r>
            <w:r w:rsidRPr="00144A1F">
              <w:rPr>
                <w:rFonts w:eastAsia="HG Mincho Light J"/>
                <w:b/>
                <w:color w:val="000000"/>
                <w:sz w:val="20"/>
                <w:szCs w:val="20"/>
                <w:lang w:val="bg-BG"/>
              </w:rPr>
              <w:t xml:space="preserve">” – Управляващ орган на </w:t>
            </w:r>
            <w:r>
              <w:rPr>
                <w:rFonts w:eastAsia="HG Mincho Light J"/>
                <w:b/>
                <w:color w:val="000000"/>
                <w:sz w:val="20"/>
                <w:szCs w:val="20"/>
                <w:lang w:val="bg-BG"/>
              </w:rPr>
              <w:t>ПМДР</w:t>
            </w:r>
            <w:r>
              <w:rPr>
                <w:rFonts w:eastAsia="HG Mincho Light J"/>
                <w:b/>
                <w:color w:val="000000"/>
                <w:sz w:val="20"/>
                <w:szCs w:val="20"/>
                <w:lang w:val="en-US"/>
              </w:rPr>
              <w:t xml:space="preserve"> 2014 - 2020</w:t>
            </w:r>
          </w:p>
        </w:tc>
        <w:tc>
          <w:tcPr>
            <w:tcW w:w="5554" w:type="dxa"/>
            <w:gridSpan w:val="2"/>
            <w:tcBorders>
              <w:top w:val="single" w:sz="1" w:space="0" w:color="000000"/>
              <w:left w:val="single" w:sz="1" w:space="0" w:color="000000"/>
              <w:bottom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НАРЪЧНИК ПО ПРОГРАМА ЗА МОРСКО ДЕЛО И РИБАРСТВО</w:t>
            </w:r>
            <w:r w:rsidRPr="00144A1F">
              <w:rPr>
                <w:rFonts w:eastAsia="HG Mincho Light J"/>
                <w:b/>
                <w:color w:val="000000"/>
                <w:sz w:val="20"/>
                <w:szCs w:val="20"/>
                <w:lang w:val="bg-BG"/>
              </w:rPr>
              <w:t>” 2014 -2020 (</w:t>
            </w:r>
            <w:r>
              <w:rPr>
                <w:rFonts w:eastAsia="HG Mincho Light J"/>
                <w:b/>
                <w:color w:val="000000"/>
                <w:sz w:val="20"/>
                <w:szCs w:val="20"/>
                <w:lang w:val="bg-BG"/>
              </w:rPr>
              <w:t>ПМДР</w:t>
            </w:r>
            <w:r w:rsidRPr="00144A1F">
              <w:rPr>
                <w:rFonts w:eastAsia="HG Mincho Light J"/>
                <w:b/>
                <w:color w:val="000000"/>
                <w:sz w:val="20"/>
                <w:szCs w:val="20"/>
                <w:lang w:val="bg-BG"/>
              </w:rPr>
              <w:t>)</w:t>
            </w:r>
          </w:p>
        </w:tc>
        <w:tc>
          <w:tcPr>
            <w:tcW w:w="2126" w:type="dxa"/>
            <w:tcBorders>
              <w:top w:val="single" w:sz="1" w:space="0" w:color="000000"/>
              <w:left w:val="single" w:sz="1" w:space="0" w:color="000000"/>
              <w:bottom w:val="single" w:sz="1" w:space="0" w:color="000000"/>
              <w:righ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lang w:val="bg-BG"/>
              </w:rPr>
              <w:t xml:space="preserve">Вариант </w:t>
            </w:r>
            <w:r>
              <w:rPr>
                <w:rFonts w:eastAsia="HG Mincho Light J"/>
                <w:b/>
                <w:color w:val="000000"/>
                <w:sz w:val="20"/>
                <w:lang w:val="bg-BG"/>
              </w:rPr>
              <w:t>2</w:t>
            </w:r>
          </w:p>
        </w:tc>
      </w:tr>
      <w:tr w:rsidR="00025E58" w:rsidRPr="00144A1F" w:rsidTr="00E756A6">
        <w:trPr>
          <w:trHeight w:val="747"/>
        </w:trPr>
        <w:tc>
          <w:tcPr>
            <w:tcW w:w="3445" w:type="dxa"/>
            <w:vMerge/>
            <w:tcBorders>
              <w:lef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1217" w:type="dxa"/>
            <w:tcBorders>
              <w:left w:val="single" w:sz="1" w:space="0" w:color="000000"/>
              <w:bottom w:val="single" w:sz="1" w:space="0" w:color="000000"/>
              <w:righ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Глава 4, раздел 2, </w:t>
            </w:r>
            <w:r w:rsidRPr="00144A1F">
              <w:rPr>
                <w:rFonts w:eastAsia="HG Mincho Light J"/>
                <w:b/>
                <w:color w:val="000000"/>
                <w:sz w:val="20"/>
                <w:szCs w:val="20"/>
                <w:lang w:val="bg-BG"/>
              </w:rPr>
              <w:t xml:space="preserve">Приложение </w:t>
            </w:r>
          </w:p>
          <w:p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4.II.1.</w:t>
            </w:r>
            <w:r>
              <w:rPr>
                <w:rFonts w:eastAsia="HG Mincho Light J"/>
                <w:b/>
                <w:color w:val="000000"/>
                <w:sz w:val="20"/>
                <w:szCs w:val="20"/>
                <w:lang w:val="bg-BG"/>
              </w:rPr>
              <w:t>7</w:t>
            </w:r>
            <w:r w:rsidRPr="00144A1F">
              <w:rPr>
                <w:rFonts w:eastAsia="HG Mincho Light J"/>
                <w:b/>
                <w:color w:val="000000"/>
                <w:sz w:val="20"/>
                <w:szCs w:val="20"/>
                <w:lang w:val="bg-BG"/>
              </w:rPr>
              <w:t>.</w:t>
            </w:r>
          </w:p>
        </w:tc>
        <w:tc>
          <w:tcPr>
            <w:tcW w:w="4337" w:type="dxa"/>
            <w:tcBorders>
              <w:left w:val="single" w:sz="1" w:space="0" w:color="000000"/>
              <w:bottom w:val="single" w:sz="1" w:space="0" w:color="000000"/>
              <w:right w:val="single" w:sz="1" w:space="0" w:color="000000"/>
            </w:tcBorders>
            <w:vAlign w:val="center"/>
          </w:tcPr>
          <w:p w:rsidR="00025E58" w:rsidRPr="00144A1F" w:rsidRDefault="00025E58" w:rsidP="00E756A6">
            <w:pPr>
              <w:widowControl w:val="0"/>
              <w:suppressLineNumbers/>
              <w:suppressAutoHyphens/>
              <w:jc w:val="center"/>
              <w:rPr>
                <w:b/>
                <w:sz w:val="20"/>
                <w:szCs w:val="20"/>
                <w:lang w:val="bg-BG"/>
              </w:rPr>
            </w:pPr>
            <w:r w:rsidRPr="00144A1F">
              <w:rPr>
                <w:b/>
                <w:sz w:val="20"/>
                <w:szCs w:val="20"/>
                <w:lang w:val="bg-BG"/>
              </w:rPr>
              <w:t>ПРОЦЕДУРИ ЗА ПРЕДОСТАВЯНЕ НА БЕЗВЪЗМЕЗДНА ФИНАНСОВА ПОМОЩ</w:t>
            </w:r>
          </w:p>
          <w:p w:rsidR="00025E58" w:rsidRPr="00144A1F" w:rsidRDefault="00025E58" w:rsidP="00E756A6">
            <w:pPr>
              <w:widowControl w:val="0"/>
              <w:suppressLineNumbers/>
              <w:suppressAutoHyphens/>
              <w:jc w:val="center"/>
              <w:rPr>
                <w:b/>
                <w:iCs/>
                <w:sz w:val="20"/>
                <w:szCs w:val="20"/>
                <w:lang w:val="bg-BG"/>
              </w:rPr>
            </w:pPr>
          </w:p>
          <w:p w:rsidR="00025E58" w:rsidRPr="00144A1F" w:rsidRDefault="00025E58" w:rsidP="00E756A6">
            <w:pPr>
              <w:widowControl w:val="0"/>
              <w:suppressLineNumbers/>
              <w:suppressAutoHyphens/>
              <w:jc w:val="center"/>
              <w:rPr>
                <w:b/>
                <w:iCs/>
                <w:sz w:val="20"/>
                <w:szCs w:val="20"/>
                <w:lang w:val="bg-BG"/>
              </w:rPr>
            </w:pPr>
          </w:p>
          <w:p w:rsidR="00025E58" w:rsidRPr="00F609C8" w:rsidRDefault="00025E58" w:rsidP="00E756A6">
            <w:pPr>
              <w:widowControl w:val="0"/>
              <w:suppressLineNumbers/>
              <w:suppressAutoHyphens/>
              <w:jc w:val="center"/>
              <w:rPr>
                <w:rFonts w:eastAsia="HG Mincho Light J"/>
                <w:b/>
                <w:color w:val="000000"/>
                <w:sz w:val="20"/>
                <w:szCs w:val="20"/>
                <w:lang w:val="bg-BG"/>
              </w:rPr>
            </w:pPr>
            <w:r w:rsidRPr="00144A1F">
              <w:rPr>
                <w:b/>
                <w:iCs/>
                <w:sz w:val="20"/>
                <w:szCs w:val="20"/>
                <w:lang w:val="bg-BG"/>
              </w:rPr>
              <w:t xml:space="preserve">Образец на Списък на проектните предложения, </w:t>
            </w:r>
            <w:r>
              <w:rPr>
                <w:b/>
                <w:iCs/>
                <w:sz w:val="20"/>
                <w:szCs w:val="20"/>
                <w:lang w:val="bg-BG"/>
              </w:rPr>
              <w:t xml:space="preserve"> които не се допускат до техническа и финансова оценка</w:t>
            </w:r>
          </w:p>
        </w:tc>
        <w:tc>
          <w:tcPr>
            <w:tcW w:w="2126" w:type="dxa"/>
            <w:tcBorders>
              <w:left w:val="single" w:sz="1" w:space="0" w:color="000000"/>
              <w:bottom w:val="single" w:sz="1" w:space="0" w:color="000000"/>
              <w:righ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b/>
                <w:sz w:val="20"/>
                <w:szCs w:val="20"/>
                <w:lang w:val="bg-BG"/>
              </w:rPr>
              <w:t xml:space="preserve">страница: </w:t>
            </w:r>
            <w:r w:rsidRPr="00144A1F">
              <w:rPr>
                <w:rStyle w:val="PageNumber"/>
                <w:sz w:val="20"/>
                <w:szCs w:val="20"/>
                <w:lang w:val="bg-BG"/>
              </w:rPr>
              <w:fldChar w:fldCharType="begin"/>
            </w:r>
            <w:r w:rsidRPr="00144A1F">
              <w:rPr>
                <w:rStyle w:val="PageNumber"/>
                <w:sz w:val="20"/>
                <w:szCs w:val="20"/>
                <w:lang w:val="bg-BG"/>
              </w:rPr>
              <w:instrText xml:space="preserve"> PAGE </w:instrText>
            </w:r>
            <w:r w:rsidRPr="00144A1F">
              <w:rPr>
                <w:rStyle w:val="PageNumber"/>
                <w:sz w:val="20"/>
                <w:szCs w:val="20"/>
                <w:lang w:val="bg-BG"/>
              </w:rPr>
              <w:fldChar w:fldCharType="separate"/>
            </w:r>
            <w:r>
              <w:rPr>
                <w:rStyle w:val="PageNumber"/>
                <w:noProof/>
                <w:sz w:val="20"/>
                <w:szCs w:val="20"/>
                <w:lang w:val="bg-BG"/>
              </w:rPr>
              <w:t>1</w:t>
            </w:r>
            <w:r w:rsidRPr="00144A1F">
              <w:rPr>
                <w:rStyle w:val="PageNumber"/>
                <w:sz w:val="20"/>
                <w:szCs w:val="20"/>
                <w:lang w:val="bg-BG"/>
              </w:rPr>
              <w:fldChar w:fldCharType="end"/>
            </w:r>
            <w:r w:rsidRPr="00144A1F">
              <w:rPr>
                <w:rStyle w:val="PageNumber"/>
                <w:sz w:val="20"/>
                <w:szCs w:val="20"/>
                <w:lang w:val="bg-BG"/>
              </w:rPr>
              <w:t>/</w:t>
            </w:r>
            <w:r w:rsidRPr="00144A1F">
              <w:rPr>
                <w:rStyle w:val="PageNumber"/>
                <w:sz w:val="20"/>
                <w:szCs w:val="20"/>
                <w:lang w:val="bg-BG"/>
              </w:rPr>
              <w:fldChar w:fldCharType="begin"/>
            </w:r>
            <w:r w:rsidRPr="00144A1F">
              <w:rPr>
                <w:rStyle w:val="PageNumber"/>
                <w:sz w:val="20"/>
                <w:szCs w:val="20"/>
                <w:lang w:val="bg-BG"/>
              </w:rPr>
              <w:instrText xml:space="preserve"> NUMPAGES </w:instrText>
            </w:r>
            <w:r w:rsidRPr="00144A1F">
              <w:rPr>
                <w:rStyle w:val="PageNumber"/>
                <w:sz w:val="20"/>
                <w:szCs w:val="20"/>
                <w:lang w:val="bg-BG"/>
              </w:rPr>
              <w:fldChar w:fldCharType="separate"/>
            </w:r>
            <w:r>
              <w:rPr>
                <w:rStyle w:val="PageNumber"/>
                <w:noProof/>
                <w:sz w:val="20"/>
                <w:szCs w:val="20"/>
                <w:lang w:val="bg-BG"/>
              </w:rPr>
              <w:t>2</w:t>
            </w:r>
            <w:r w:rsidRPr="00144A1F">
              <w:rPr>
                <w:rStyle w:val="PageNumber"/>
                <w:sz w:val="20"/>
                <w:szCs w:val="20"/>
                <w:lang w:val="bg-BG"/>
              </w:rPr>
              <w:fldChar w:fldCharType="end"/>
            </w:r>
          </w:p>
        </w:tc>
      </w:tr>
      <w:tr w:rsidR="00025E58" w:rsidRPr="00144A1F" w:rsidTr="00E756A6">
        <w:trPr>
          <w:trHeight w:val="697"/>
        </w:trPr>
        <w:tc>
          <w:tcPr>
            <w:tcW w:w="3445" w:type="dxa"/>
            <w:vMerge/>
            <w:tcBorders>
              <w:lef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5554" w:type="dxa"/>
            <w:gridSpan w:val="2"/>
            <w:tcBorders>
              <w:lef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Одобрен от: Ръководител на Управляващия орган</w:t>
            </w:r>
          </w:p>
        </w:tc>
        <w:tc>
          <w:tcPr>
            <w:tcW w:w="2126" w:type="dxa"/>
            <w:tcBorders>
              <w:left w:val="single" w:sz="1" w:space="0" w:color="000000"/>
              <w:bottom w:val="single" w:sz="4" w:space="0" w:color="auto"/>
              <w:righ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Дата:</w:t>
            </w:r>
          </w:p>
          <w:p w:rsidR="00025E58" w:rsidRPr="00D81A6C" w:rsidRDefault="00D81A6C"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Януари 2022</w:t>
            </w:r>
          </w:p>
        </w:tc>
      </w:tr>
      <w:tr w:rsidR="00025E58" w:rsidRPr="00144A1F" w:rsidTr="00E756A6">
        <w:trPr>
          <w:trHeight w:val="697"/>
        </w:trPr>
        <w:tc>
          <w:tcPr>
            <w:tcW w:w="3445" w:type="dxa"/>
            <w:tcBorders>
              <w:left w:val="single" w:sz="1" w:space="0" w:color="000000"/>
              <w:bottom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5554" w:type="dxa"/>
            <w:gridSpan w:val="2"/>
            <w:tcBorders>
              <w:left w:val="single" w:sz="1" w:space="0" w:color="000000"/>
              <w:bottom w:val="single" w:sz="1" w:space="0" w:color="000000"/>
              <w:right w:val="single" w:sz="4" w:space="0" w:color="auto"/>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2126" w:type="dxa"/>
            <w:tcBorders>
              <w:top w:val="single" w:sz="4" w:space="0" w:color="auto"/>
              <w:left w:val="single" w:sz="4" w:space="0" w:color="auto"/>
              <w:bottom w:val="single" w:sz="4" w:space="0" w:color="auto"/>
              <w:right w:val="single" w:sz="4" w:space="0" w:color="auto"/>
            </w:tcBorders>
            <w:vAlign w:val="center"/>
          </w:tcPr>
          <w:p w:rsidR="00025E58" w:rsidRPr="00D4220F" w:rsidRDefault="00025E58" w:rsidP="00E756A6">
            <w:pPr>
              <w:widowControl w:val="0"/>
              <w:suppressLineNumbers/>
              <w:suppressAutoHyphens/>
              <w:jc w:val="center"/>
              <w:rPr>
                <w:rFonts w:eastAsia="HG Mincho Light J"/>
                <w:b/>
                <w:color w:val="000000"/>
                <w:sz w:val="20"/>
                <w:szCs w:val="20"/>
                <w:lang w:val="bg-BG"/>
              </w:rPr>
            </w:pPr>
            <w:r w:rsidRPr="00D4220F">
              <w:rPr>
                <w:rFonts w:eastAsia="HG Mincho Light J"/>
                <w:b/>
                <w:color w:val="000000"/>
                <w:sz w:val="20"/>
                <w:szCs w:val="20"/>
                <w:lang w:val="bg-BG"/>
              </w:rPr>
              <w:t>Версия:</w:t>
            </w:r>
          </w:p>
          <w:p w:rsidR="00025E58" w:rsidRPr="00144A1F" w:rsidRDefault="00D81A6C"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Януари 2022</w:t>
            </w:r>
          </w:p>
        </w:tc>
      </w:tr>
    </w:tbl>
    <w:p w:rsidR="00025E58" w:rsidRDefault="00025E58">
      <w:pPr>
        <w:rPr>
          <w:lang w:val="bg-BG"/>
        </w:rPr>
      </w:pPr>
    </w:p>
    <w:p w:rsidR="00025E58" w:rsidRDefault="00D166C0" w:rsidP="00D166C0">
      <w:pPr>
        <w:jc w:val="center"/>
        <w:rPr>
          <w:lang w:val="bg-BG"/>
        </w:rPr>
      </w:pPr>
      <w:r>
        <w:rPr>
          <w:b/>
          <w:lang w:val="bg-BG"/>
        </w:rPr>
        <w:t>Списък на проектните предложения</w:t>
      </w:r>
      <w:r w:rsidR="00025E58" w:rsidRPr="005F44E0">
        <w:rPr>
          <w:b/>
          <w:lang w:val="bg-BG"/>
        </w:rPr>
        <w:t xml:space="preserve">, </w:t>
      </w:r>
      <w:r>
        <w:rPr>
          <w:b/>
          <w:lang w:val="bg-BG"/>
        </w:rPr>
        <w:t>които не се допускат до те</w:t>
      </w:r>
      <w:r w:rsidR="0093219F">
        <w:rPr>
          <w:b/>
          <w:lang w:val="bg-BG"/>
        </w:rPr>
        <w:t>хническа и финансова оценка по П</w:t>
      </w:r>
      <w:r>
        <w:rPr>
          <w:b/>
          <w:lang w:val="bg-BG"/>
        </w:rPr>
        <w:t>роцедура</w:t>
      </w:r>
      <w:r w:rsidR="00025E58">
        <w:rPr>
          <w:b/>
          <w:lang w:val="bg-BG"/>
        </w:rPr>
        <w:t xml:space="preserve"> </w:t>
      </w:r>
      <w:r>
        <w:rPr>
          <w:b/>
          <w:lang w:val="bg-BG"/>
        </w:rPr>
        <w:t>№ BG14MFOP001-1</w:t>
      </w:r>
      <w:r w:rsidR="00025E58" w:rsidRPr="00975318">
        <w:rPr>
          <w:b/>
          <w:lang w:val="bg-BG"/>
        </w:rPr>
        <w:t>.01</w:t>
      </w:r>
      <w:r>
        <w:rPr>
          <w:b/>
          <w:lang w:val="bg-BG"/>
        </w:rPr>
        <w:t>9</w:t>
      </w:r>
      <w:r w:rsidR="00025E58" w:rsidRPr="00975318">
        <w:rPr>
          <w:b/>
          <w:lang w:val="bg-BG"/>
        </w:rPr>
        <w:t xml:space="preserve"> </w:t>
      </w:r>
      <w:r w:rsidRPr="00D166C0">
        <w:rPr>
          <w:b/>
          <w:lang w:val="bg-BG"/>
        </w:rPr>
        <w:t>„Рибарски пристанища, кейове за разтоварване, рибни борси и лодкостоянки“, мярка 1.8. „Рибарски пристанища, кейове за разтоварване, рибни борси и лодкостоянки”  по Програмата за морско дело и рибарство 2014-2020 г.</w:t>
      </w:r>
    </w:p>
    <w:p w:rsidR="00025E58" w:rsidRDefault="00025E58">
      <w:pPr>
        <w:rPr>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2141"/>
        <w:gridCol w:w="1888"/>
        <w:gridCol w:w="3119"/>
        <w:gridCol w:w="5459"/>
      </w:tblGrid>
      <w:tr w:rsidR="00025E58" w:rsidRPr="00E76FC7" w:rsidTr="0093219F">
        <w:tc>
          <w:tcPr>
            <w:tcW w:w="615" w:type="dxa"/>
            <w:shd w:val="clear" w:color="auto" w:fill="auto"/>
          </w:tcPr>
          <w:p w:rsidR="00025E58" w:rsidRPr="005C45BA" w:rsidRDefault="00025E58" w:rsidP="00E756A6">
            <w:pPr>
              <w:jc w:val="center"/>
              <w:rPr>
                <w:b/>
                <w:sz w:val="20"/>
                <w:szCs w:val="20"/>
                <w:lang w:val="bg-BG"/>
              </w:rPr>
            </w:pPr>
            <w:r w:rsidRPr="005C45BA">
              <w:rPr>
                <w:b/>
                <w:sz w:val="20"/>
                <w:szCs w:val="20"/>
                <w:lang w:val="bg-BG"/>
              </w:rPr>
              <w:t>№</w:t>
            </w:r>
          </w:p>
        </w:tc>
        <w:tc>
          <w:tcPr>
            <w:tcW w:w="2141" w:type="dxa"/>
            <w:shd w:val="clear" w:color="auto" w:fill="auto"/>
          </w:tcPr>
          <w:p w:rsidR="00025E58" w:rsidRPr="005C45BA" w:rsidRDefault="00025E58" w:rsidP="00E756A6">
            <w:pPr>
              <w:jc w:val="center"/>
              <w:rPr>
                <w:b/>
                <w:sz w:val="20"/>
                <w:szCs w:val="20"/>
                <w:lang w:val="bg-BG"/>
              </w:rPr>
            </w:pPr>
            <w:r w:rsidRPr="005C45BA">
              <w:rPr>
                <w:b/>
                <w:sz w:val="20"/>
                <w:szCs w:val="20"/>
                <w:lang w:val="bg-BG"/>
              </w:rPr>
              <w:t xml:space="preserve">Рег. № на проектното предложение </w:t>
            </w:r>
          </w:p>
        </w:tc>
        <w:tc>
          <w:tcPr>
            <w:tcW w:w="1888" w:type="dxa"/>
            <w:shd w:val="clear" w:color="auto" w:fill="auto"/>
          </w:tcPr>
          <w:p w:rsidR="00025E58" w:rsidRPr="005C45BA" w:rsidRDefault="00025E58" w:rsidP="00E756A6">
            <w:pPr>
              <w:jc w:val="center"/>
              <w:rPr>
                <w:b/>
                <w:sz w:val="20"/>
                <w:szCs w:val="20"/>
                <w:lang w:val="bg-BG"/>
              </w:rPr>
            </w:pPr>
            <w:r w:rsidRPr="005C45BA">
              <w:rPr>
                <w:b/>
                <w:sz w:val="20"/>
                <w:szCs w:val="20"/>
                <w:lang w:val="bg-BG"/>
              </w:rPr>
              <w:t>Наименование на кандидата</w:t>
            </w:r>
          </w:p>
        </w:tc>
        <w:tc>
          <w:tcPr>
            <w:tcW w:w="3119" w:type="dxa"/>
            <w:shd w:val="clear" w:color="auto" w:fill="auto"/>
          </w:tcPr>
          <w:p w:rsidR="00025E58" w:rsidRPr="005C45BA" w:rsidRDefault="00025E58" w:rsidP="00E756A6">
            <w:pPr>
              <w:jc w:val="center"/>
              <w:rPr>
                <w:b/>
                <w:sz w:val="20"/>
                <w:szCs w:val="20"/>
                <w:lang w:val="bg-BG"/>
              </w:rPr>
            </w:pPr>
            <w:r w:rsidRPr="005C45BA">
              <w:rPr>
                <w:b/>
                <w:sz w:val="20"/>
                <w:szCs w:val="20"/>
                <w:lang w:val="bg-BG"/>
              </w:rPr>
              <w:t>Наименование на проектното предложение</w:t>
            </w:r>
          </w:p>
        </w:tc>
        <w:tc>
          <w:tcPr>
            <w:tcW w:w="5459" w:type="dxa"/>
            <w:shd w:val="clear" w:color="auto" w:fill="auto"/>
          </w:tcPr>
          <w:p w:rsidR="00025E58" w:rsidRPr="005D311A" w:rsidRDefault="00025E58" w:rsidP="00E756A6">
            <w:pPr>
              <w:jc w:val="center"/>
              <w:rPr>
                <w:b/>
                <w:sz w:val="20"/>
                <w:szCs w:val="20"/>
                <w:lang w:val="bg-BG"/>
              </w:rPr>
            </w:pPr>
            <w:r w:rsidRPr="005D311A">
              <w:rPr>
                <w:b/>
                <w:sz w:val="20"/>
                <w:szCs w:val="20"/>
                <w:lang w:val="bg-BG"/>
              </w:rPr>
              <w:t>Основание за отхвърляне</w:t>
            </w:r>
          </w:p>
          <w:p w:rsidR="00025E58" w:rsidRPr="00877A5F" w:rsidRDefault="00025E58" w:rsidP="00E756A6">
            <w:pPr>
              <w:jc w:val="center"/>
              <w:rPr>
                <w:b/>
                <w:i/>
                <w:sz w:val="20"/>
                <w:szCs w:val="20"/>
                <w:lang w:val="bg-BG"/>
              </w:rPr>
            </w:pPr>
            <w:r w:rsidRPr="00877A5F">
              <w:rPr>
                <w:b/>
                <w:i/>
                <w:sz w:val="20"/>
                <w:szCs w:val="20"/>
                <w:lang w:val="bg-BG"/>
              </w:rPr>
              <w:t xml:space="preserve">(посочват се конкретните основания, а не само препратки към документите и условията, които не са изпълнени) </w:t>
            </w:r>
          </w:p>
        </w:tc>
      </w:tr>
      <w:tr w:rsidR="00025E58" w:rsidRPr="00E76FC7" w:rsidTr="0093219F">
        <w:tc>
          <w:tcPr>
            <w:tcW w:w="615" w:type="dxa"/>
            <w:shd w:val="clear" w:color="auto" w:fill="auto"/>
          </w:tcPr>
          <w:p w:rsidR="00025E58" w:rsidRPr="005C45BA" w:rsidRDefault="00025E58" w:rsidP="00E756A6">
            <w:pPr>
              <w:jc w:val="center"/>
              <w:rPr>
                <w:b/>
                <w:lang w:val="bg-BG"/>
              </w:rPr>
            </w:pPr>
          </w:p>
          <w:p w:rsidR="00025E58" w:rsidRPr="005C45BA" w:rsidRDefault="00025E58" w:rsidP="00E756A6">
            <w:pPr>
              <w:jc w:val="center"/>
              <w:rPr>
                <w:b/>
                <w:lang w:val="bg-BG"/>
              </w:rPr>
            </w:pPr>
            <w:r w:rsidRPr="005C45BA">
              <w:rPr>
                <w:b/>
                <w:lang w:val="bg-BG"/>
              </w:rPr>
              <w:t>1.</w:t>
            </w:r>
          </w:p>
          <w:p w:rsidR="00025E58" w:rsidRPr="005C45BA" w:rsidRDefault="00025E58" w:rsidP="00E756A6">
            <w:pPr>
              <w:jc w:val="center"/>
              <w:rPr>
                <w:b/>
                <w:lang w:val="bg-BG"/>
              </w:rPr>
            </w:pPr>
          </w:p>
        </w:tc>
        <w:tc>
          <w:tcPr>
            <w:tcW w:w="2141" w:type="dxa"/>
            <w:shd w:val="clear" w:color="auto" w:fill="auto"/>
          </w:tcPr>
          <w:p w:rsidR="00025E58" w:rsidRPr="005C45BA" w:rsidRDefault="00025E58" w:rsidP="00E756A6">
            <w:pPr>
              <w:jc w:val="center"/>
              <w:rPr>
                <w:b/>
                <w:lang w:val="bg-BG"/>
              </w:rPr>
            </w:pPr>
          </w:p>
          <w:p w:rsidR="00025E58" w:rsidRPr="005C45BA" w:rsidRDefault="00D81A6C" w:rsidP="00E756A6">
            <w:pPr>
              <w:jc w:val="center"/>
              <w:rPr>
                <w:b/>
                <w:lang w:val="bg-BG"/>
              </w:rPr>
            </w:pPr>
            <w:r>
              <w:rPr>
                <w:b/>
                <w:lang w:val="bg-BG"/>
              </w:rPr>
              <w:t>BG14MFOP001-1.019-0005</w:t>
            </w:r>
          </w:p>
        </w:tc>
        <w:tc>
          <w:tcPr>
            <w:tcW w:w="1888" w:type="dxa"/>
            <w:shd w:val="clear" w:color="auto" w:fill="auto"/>
          </w:tcPr>
          <w:p w:rsidR="00025E58" w:rsidRPr="005C45BA" w:rsidRDefault="00025E58" w:rsidP="00E756A6">
            <w:pPr>
              <w:jc w:val="center"/>
              <w:rPr>
                <w:b/>
                <w:lang w:val="bg-BG"/>
              </w:rPr>
            </w:pPr>
          </w:p>
          <w:p w:rsidR="00025E58" w:rsidRPr="00D81A6C" w:rsidRDefault="0093219F" w:rsidP="00D81A6C">
            <w:pPr>
              <w:jc w:val="center"/>
              <w:rPr>
                <w:rFonts w:asciiTheme="minorHAnsi" w:hAnsiTheme="minorHAnsi"/>
                <w:b/>
                <w:lang w:val="bg-BG"/>
              </w:rPr>
            </w:pPr>
            <w:r>
              <w:rPr>
                <w:rFonts w:ascii="Roboto" w:hAnsi="Roboto"/>
                <w:b/>
                <w:lang w:val="bg-BG"/>
              </w:rPr>
              <w:t xml:space="preserve">ОБЩИНА </w:t>
            </w:r>
            <w:r w:rsidR="00D81A6C" w:rsidRPr="00D81A6C">
              <w:rPr>
                <w:b/>
                <w:lang w:val="bg-BG"/>
              </w:rPr>
              <w:t>НЕСЕБЪР</w:t>
            </w:r>
          </w:p>
        </w:tc>
        <w:tc>
          <w:tcPr>
            <w:tcW w:w="3119" w:type="dxa"/>
            <w:shd w:val="clear" w:color="auto" w:fill="auto"/>
          </w:tcPr>
          <w:p w:rsidR="00025E58" w:rsidRPr="005C45BA" w:rsidRDefault="00025E58" w:rsidP="00E756A6">
            <w:pPr>
              <w:jc w:val="center"/>
              <w:rPr>
                <w:lang w:val="bg-BG"/>
              </w:rPr>
            </w:pPr>
          </w:p>
          <w:p w:rsidR="00025E58" w:rsidRPr="005C45BA" w:rsidRDefault="0093219F" w:rsidP="00F73A86">
            <w:pPr>
              <w:jc w:val="center"/>
              <w:rPr>
                <w:lang w:val="bg-BG"/>
              </w:rPr>
            </w:pPr>
            <w:r w:rsidRPr="0093219F">
              <w:rPr>
                <w:lang w:val="bg-BG"/>
              </w:rPr>
              <w:t>„</w:t>
            </w:r>
            <w:r w:rsidR="00D81A6C" w:rsidRPr="00D81A6C">
              <w:rPr>
                <w:lang w:val="bg-BG"/>
              </w:rPr>
              <w:t>Рибарски пристанища, кейове за разтоварване, рибни борси и лодкостоянки“ Сектор „Инвестиции насочени към изграждане и/или модернизация на лодкостоянки</w:t>
            </w:r>
            <w:r w:rsidRPr="0093219F">
              <w:rPr>
                <w:lang w:val="bg-BG"/>
              </w:rPr>
              <w:t>“</w:t>
            </w:r>
          </w:p>
        </w:tc>
        <w:tc>
          <w:tcPr>
            <w:tcW w:w="5459" w:type="dxa"/>
            <w:shd w:val="clear" w:color="auto" w:fill="auto"/>
          </w:tcPr>
          <w:p w:rsidR="008246D7" w:rsidRPr="008246D7" w:rsidRDefault="008246D7" w:rsidP="008246D7">
            <w:pPr>
              <w:jc w:val="both"/>
              <w:rPr>
                <w:lang w:val="bg-BG"/>
              </w:rPr>
            </w:pPr>
            <w:r w:rsidRPr="008246D7">
              <w:rPr>
                <w:lang w:val="bg-BG"/>
              </w:rPr>
              <w:t xml:space="preserve">След извършване на оценка за административно съответствие и допустимост на проектно предложение № BG14MFOP001-1.019-0005, подадено от кандидат община Несебър и съгласно чл. 29, ал. 2, т. 1 а/ от ЗУСЕСИФ, е установено следното: При кандидатстването към проектното предложение не са приложени следните задължително изискуеми документи: 1. С оглед определяне на произхода на цените на </w:t>
            </w:r>
            <w:r w:rsidRPr="008246D7">
              <w:rPr>
                <w:lang w:val="bg-BG"/>
              </w:rPr>
              <w:lastRenderedPageBreak/>
              <w:t xml:space="preserve">предвидените разходи за закупуване на активи, кандидатът следва да приложи към Формуляра за кандидатстване: А/ Официален каталог на производител или оторизиран представител, или Б/ Независима, съпоставима и конкурентна оферта. 2. Решение за преценяване на необходимостта от извършване на оценка на въздействието върху околната среда или копие от решение по оценка на въздействие върху околната среда (един от двата документа се представя само когато съществува такова изискване съгласно Закона за опазване на околната среда). 3. Решение за съвместимостта на проекта с предметитe и целите на опазване на защитените зони съгласно Наредбата за условията и реда за извършване на оценка за съвместимост на планове, програми, проекти и инвестиционни предложения с предмета и целите на опазване на защитените зони, приета с Постановление № 201 на Министерския съвет от 2007 г. (обн., ДВ, бр. 73 от 2007) само за проекти, включващи инвестиции в местата по националната екологична мрежа НАТУРА 2000. 4. Отчет за заетите лица за последните три години, считано от датата на кандидатстване. 5. Влязло в сила разрешение за строеж, издадено от съответната община или становище от общината, че обектът не се нуждае от разрешение за строеж, придружено с копие от архитектурно заснемане (при извършване на строително-монтажни работи, за които не се изисква разрешение за строеж съгласно ЗУТ). 6. Предоставеният инвестиционен проект не е заверен по надлежния ред. </w:t>
            </w:r>
          </w:p>
          <w:p w:rsidR="008246D7" w:rsidRPr="008246D7" w:rsidRDefault="008246D7" w:rsidP="008246D7">
            <w:pPr>
              <w:jc w:val="both"/>
              <w:rPr>
                <w:lang w:val="bg-BG"/>
              </w:rPr>
            </w:pPr>
            <w:r w:rsidRPr="008246D7">
              <w:rPr>
                <w:lang w:val="bg-BG"/>
              </w:rPr>
              <w:t>На 03.09.2021 г. и на 25.01.2022 г.</w:t>
            </w:r>
            <w:r>
              <w:rPr>
                <w:lang w:val="bg-BG"/>
              </w:rPr>
              <w:t xml:space="preserve"> </w:t>
            </w:r>
            <w:bookmarkStart w:id="0" w:name="_GoBack"/>
            <w:bookmarkEnd w:id="0"/>
            <w:r w:rsidRPr="008246D7">
              <w:rPr>
                <w:lang w:val="bg-BG"/>
              </w:rPr>
              <w:t xml:space="preserve">с писмо за допълнителна информация от кандидата е </w:t>
            </w:r>
            <w:r w:rsidRPr="008246D7">
              <w:rPr>
                <w:lang w:val="bg-BG"/>
              </w:rPr>
              <w:lastRenderedPageBreak/>
              <w:t xml:space="preserve">изискано да предостави изброените липсващи документи, на изпратената комуникация от ОК, кандидатът не е отговорил и документите не са предоставени. Проектното предложение не отговаря на Критерий № 3 „Налице са всички изискуеми документи и са попълнени съгласно изискванията, посочени в т. 24 от Условията за кандидатстване по настоящата процедура” към Приложение № 4 „Критерии и методология за оценка на проектните предложения по Процедура за подбор на проекти BG14MFOP001-1.0019 „Рибарски пристанища, кейове за разтоварване, рибни борси и лодкостоянки“, Сектор „Инвестиции насочени към изграждане и/или модернизация на лодкостоянки“. </w:t>
            </w:r>
          </w:p>
          <w:p w:rsidR="00025E58" w:rsidRPr="00F73A86" w:rsidRDefault="008246D7" w:rsidP="008246D7">
            <w:pPr>
              <w:jc w:val="both"/>
              <w:rPr>
                <w:b/>
                <w:highlight w:val="green"/>
                <w:lang w:val="bg-BG"/>
              </w:rPr>
            </w:pPr>
            <w:r w:rsidRPr="008246D7">
              <w:rPr>
                <w:lang w:val="bg-BG"/>
              </w:rPr>
              <w:t>Съгласно чл. 34, ал. 2 на ЗУСЕСИФ, когато при оценката на проектното предложение се установи липса на задължително изискуеми документи, производството по него се прекратява. Поради изложените по-горе аргументи, проектно предложение с рег. № BG14MFOP001-1.019-0005 е включено в Списъка на проектните предложения, които не се допускат до етап Техническа и финансова оценка по настоящата процедура.</w:t>
            </w:r>
          </w:p>
        </w:tc>
      </w:tr>
    </w:tbl>
    <w:p w:rsidR="00025E58" w:rsidRDefault="00025E58">
      <w:pPr>
        <w:rPr>
          <w:lang w:val="bg-BG"/>
        </w:rPr>
      </w:pPr>
    </w:p>
    <w:p w:rsidR="00CD2ADF" w:rsidRPr="00CD2ADF" w:rsidRDefault="00CD2ADF" w:rsidP="00CD2ADF">
      <w:pPr>
        <w:rPr>
          <w:lang w:val="bg-BG"/>
        </w:rPr>
      </w:pPr>
      <w:r w:rsidRPr="00CD2ADF">
        <w:rPr>
          <w:lang w:val="bg-BG"/>
        </w:rPr>
        <w:t xml:space="preserve">ЗАБЕЛЕЖКА: </w:t>
      </w:r>
    </w:p>
    <w:p w:rsidR="00CD2ADF" w:rsidRPr="00CD2ADF" w:rsidRDefault="00CD2ADF" w:rsidP="00CD2ADF">
      <w:pPr>
        <w:jc w:val="both"/>
        <w:rPr>
          <w:lang w:val="bg-BG"/>
        </w:rPr>
      </w:pPr>
      <w:r w:rsidRPr="00CD2ADF">
        <w:rPr>
          <w:lang w:val="bg-BG"/>
        </w:rPr>
        <w:t>Съгласно разпоредбите на чл. 34, ал. 3 от ЗУСЕСИФ, кандидатите, чиито проектни предложения са предложени за отхвърляне на етап оценка на административното съответствие и допустимостта по горепосочената процедура, могат да подадат писмени възражения срещу предложението за отхвърлянето им пред Ръководителя на Управляващия орган, в едноседмичен срок от съобщаването.</w:t>
      </w:r>
    </w:p>
    <w:p w:rsidR="00CD2ADF" w:rsidRPr="00025E58" w:rsidRDefault="00CD2ADF">
      <w:pPr>
        <w:rPr>
          <w:lang w:val="bg-BG"/>
        </w:rPr>
      </w:pPr>
    </w:p>
    <w:sectPr w:rsidR="00CD2ADF" w:rsidRPr="00025E58" w:rsidSect="00025E58">
      <w:pgSz w:w="15840" w:h="12240" w:orient="landscape"/>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G Mincho Light J">
    <w:altName w:val="Times New Roman"/>
    <w:charset w:val="00"/>
    <w:family w:val="auto"/>
    <w:pitch w:val="variable"/>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60CB1"/>
    <w:multiLevelType w:val="hybridMultilevel"/>
    <w:tmpl w:val="37D40732"/>
    <w:lvl w:ilvl="0" w:tplc="63B236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5B2DCF"/>
    <w:multiLevelType w:val="hybridMultilevel"/>
    <w:tmpl w:val="78D04B20"/>
    <w:lvl w:ilvl="0" w:tplc="64463166">
      <w:start w:val="1"/>
      <w:numFmt w:val="lowerLetter"/>
      <w:lvlText w:val="%1)"/>
      <w:lvlJc w:val="left"/>
      <w:pPr>
        <w:ind w:left="795" w:hanging="37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42B60EDE"/>
    <w:multiLevelType w:val="hybridMultilevel"/>
    <w:tmpl w:val="F866EC32"/>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E58"/>
    <w:rsid w:val="00025E58"/>
    <w:rsid w:val="00044CEB"/>
    <w:rsid w:val="000D61E5"/>
    <w:rsid w:val="001F6238"/>
    <w:rsid w:val="008246D7"/>
    <w:rsid w:val="009266D4"/>
    <w:rsid w:val="0093219F"/>
    <w:rsid w:val="00971D91"/>
    <w:rsid w:val="009F10FC"/>
    <w:rsid w:val="00B45446"/>
    <w:rsid w:val="00CD2ADF"/>
    <w:rsid w:val="00D166C0"/>
    <w:rsid w:val="00D81A6C"/>
    <w:rsid w:val="00D9025C"/>
    <w:rsid w:val="00F5302D"/>
    <w:rsid w:val="00F73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E5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25E58"/>
  </w:style>
  <w:style w:type="paragraph" w:styleId="ListParagraph">
    <w:name w:val="List Paragraph"/>
    <w:basedOn w:val="Normal"/>
    <w:uiPriority w:val="34"/>
    <w:qFormat/>
    <w:rsid w:val="009321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E5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25E58"/>
  </w:style>
  <w:style w:type="paragraph" w:styleId="ListParagraph">
    <w:name w:val="List Paragraph"/>
    <w:basedOn w:val="Normal"/>
    <w:uiPriority w:val="34"/>
    <w:qFormat/>
    <w:rsid w:val="00932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1024</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Boyanova</dc:creator>
  <cp:lastModifiedBy>Magdalena Boyanova</cp:lastModifiedBy>
  <cp:revision>11</cp:revision>
  <dcterms:created xsi:type="dcterms:W3CDTF">2021-11-18T14:13:00Z</dcterms:created>
  <dcterms:modified xsi:type="dcterms:W3CDTF">2022-02-08T07:42:00Z</dcterms:modified>
</cp:coreProperties>
</file>