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AA1C" w14:textId="77777777" w:rsidR="00E679B6" w:rsidRDefault="00E679B6" w:rsidP="002B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Cs/>
          <w:i/>
          <w:sz w:val="18"/>
          <w:szCs w:val="18"/>
          <w:lang w:val="bg-BG"/>
        </w:rPr>
      </w:pPr>
    </w:p>
    <w:p w14:paraId="1D4AFC48" w14:textId="0AFB48FC" w:rsidR="002B6BA8" w:rsidRPr="002B6BA8" w:rsidRDefault="002B6BA8" w:rsidP="002B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Calibri"/>
          <w:bCs/>
          <w:i/>
          <w:sz w:val="18"/>
          <w:szCs w:val="18"/>
        </w:rPr>
      </w:pPr>
      <w:r w:rsidRPr="002B6BA8">
        <w:rPr>
          <w:rFonts w:ascii="Calibri" w:eastAsia="Calibri" w:hAnsi="Calibri" w:cs="Calibri"/>
          <w:bCs/>
          <w:i/>
          <w:sz w:val="18"/>
          <w:szCs w:val="18"/>
          <w:lang w:val="bg-BG"/>
        </w:rPr>
        <w:t>Приложение № 5</w:t>
      </w:r>
    </w:p>
    <w:p w14:paraId="60BD061C" w14:textId="4DA7D0C6" w:rsidR="002B6BA8" w:rsidRDefault="002B6BA8" w:rsidP="002B6BA8">
      <w:pPr>
        <w:spacing w:after="0" w:line="240" w:lineRule="auto"/>
        <w:rPr>
          <w:rFonts w:ascii="Calibri" w:eastAsia="Calibri" w:hAnsi="Calibri" w:cs="Calibri"/>
          <w:b/>
          <w:bCs/>
          <w:snapToGrid w:val="0"/>
          <w:kern w:val="28"/>
          <w:sz w:val="24"/>
          <w:szCs w:val="24"/>
          <w:lang w:val="bg-BG"/>
        </w:rPr>
      </w:pPr>
    </w:p>
    <w:p w14:paraId="4EA0439A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ИЗПОЛЗВАНИ СЪКРАЩЕНИЯ</w:t>
      </w:r>
    </w:p>
    <w:p w14:paraId="754E4634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sz w:val="24"/>
          <w:szCs w:val="24"/>
          <w:lang w:val="bg-BG"/>
        </w:rPr>
      </w:pPr>
    </w:p>
    <w:tbl>
      <w:tblPr>
        <w:tblW w:w="5001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6834"/>
      </w:tblGrid>
      <w:tr w:rsidR="002B6BA8" w:rsidRPr="00AF36FA" w14:paraId="22C96F40" w14:textId="77777777" w:rsidTr="002B6BA8">
        <w:tc>
          <w:tcPr>
            <w:tcW w:w="1230" w:type="pct"/>
            <w:shd w:val="clear" w:color="auto" w:fill="D9D9D9"/>
            <w:vAlign w:val="center"/>
          </w:tcPr>
          <w:p w14:paraId="56E842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741CFB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2B6BA8" w:rsidRPr="00AF36FA" w14:paraId="49F32A2E" w14:textId="77777777" w:rsidTr="002B6BA8">
        <w:tc>
          <w:tcPr>
            <w:tcW w:w="1230" w:type="pct"/>
            <w:shd w:val="clear" w:color="auto" w:fill="D9D9D9"/>
            <w:vAlign w:val="center"/>
          </w:tcPr>
          <w:p w14:paraId="24BDBBB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ВЕИ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DD6868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Възобновяеми енергийни източници</w:t>
            </w:r>
          </w:p>
        </w:tc>
      </w:tr>
      <w:tr w:rsidR="002B6BA8" w:rsidRPr="00AF36FA" w14:paraId="2EF01CC7" w14:textId="77777777" w:rsidTr="002B6BA8">
        <w:tc>
          <w:tcPr>
            <w:tcW w:w="1230" w:type="pct"/>
            <w:shd w:val="clear" w:color="auto" w:fill="D9D9D9"/>
            <w:vAlign w:val="center"/>
          </w:tcPr>
          <w:p w14:paraId="10A5F15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286D26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2B6BA8" w:rsidRPr="00AF36FA" w14:paraId="7330F588" w14:textId="77777777" w:rsidTr="002B6BA8">
        <w:tc>
          <w:tcPr>
            <w:tcW w:w="1230" w:type="pct"/>
            <w:shd w:val="clear" w:color="auto" w:fill="D9D9D9"/>
            <w:vAlign w:val="center"/>
          </w:tcPr>
          <w:p w14:paraId="4C8CCD3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ДМА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0A8B4E7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материални активи</w:t>
            </w:r>
          </w:p>
        </w:tc>
      </w:tr>
      <w:tr w:rsidR="002B6BA8" w:rsidRPr="00AF36FA" w14:paraId="69489BE1" w14:textId="77777777" w:rsidTr="002B6BA8">
        <w:trPr>
          <w:trHeight w:val="463"/>
        </w:trPr>
        <w:tc>
          <w:tcPr>
            <w:tcW w:w="1230" w:type="pct"/>
            <w:shd w:val="clear" w:color="auto" w:fill="D9D9D9"/>
            <w:vAlign w:val="center"/>
          </w:tcPr>
          <w:p w14:paraId="384846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ДНА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7CB9CB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Дълготрайни нематериални активи</w:t>
            </w:r>
          </w:p>
        </w:tc>
      </w:tr>
      <w:tr w:rsidR="002B6BA8" w:rsidRPr="00AF36FA" w14:paraId="53140210" w14:textId="77777777" w:rsidTr="002B6BA8">
        <w:tc>
          <w:tcPr>
            <w:tcW w:w="1230" w:type="pct"/>
            <w:shd w:val="clear" w:color="auto" w:fill="D9D9D9"/>
            <w:vAlign w:val="center"/>
          </w:tcPr>
          <w:p w14:paraId="219100CC" w14:textId="77777777" w:rsidR="002B6BA8" w:rsidRPr="00AF36FA" w:rsidDel="00C47DC3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D867D4" w14:textId="77777777" w:rsidR="002B6BA8" w:rsidRPr="00AF36FA" w:rsidDel="00C47DC3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2B6BA8" w:rsidRPr="00AF36FA" w14:paraId="29C4EFCB" w14:textId="77777777" w:rsidTr="002B6BA8">
        <w:tc>
          <w:tcPr>
            <w:tcW w:w="1230" w:type="pct"/>
            <w:shd w:val="clear" w:color="auto" w:fill="D9D9D9"/>
            <w:vAlign w:val="center"/>
          </w:tcPr>
          <w:p w14:paraId="419FF5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0A0F432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Държавен фонд „Земеделие”-</w:t>
            </w: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Разплащателна агенция</w:t>
            </w:r>
          </w:p>
        </w:tc>
      </w:tr>
      <w:tr w:rsidR="002B6BA8" w:rsidRPr="00AF36FA" w14:paraId="3322DE92" w14:textId="77777777" w:rsidTr="002B6BA8">
        <w:tc>
          <w:tcPr>
            <w:tcW w:w="1230" w:type="pct"/>
            <w:shd w:val="clear" w:color="auto" w:fill="D9D9D9"/>
            <w:vAlign w:val="center"/>
          </w:tcPr>
          <w:p w14:paraId="032FF91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274BA7B" w14:textId="77777777" w:rsidR="002B6BA8" w:rsidRPr="00AF36FA" w:rsidRDefault="002B6BA8" w:rsidP="00CF4A27">
            <w:pPr>
              <w:spacing w:before="120" w:after="0" w:line="120" w:lineRule="auto"/>
              <w:ind w:left="289" w:right="289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Данъчно-осигурител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e</w:t>
            </w: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 процесуален кодекс</w:t>
            </w:r>
          </w:p>
        </w:tc>
      </w:tr>
      <w:tr w:rsidR="002B6BA8" w:rsidRPr="00AF36FA" w14:paraId="65901799" w14:textId="77777777" w:rsidTr="002B6BA8">
        <w:tc>
          <w:tcPr>
            <w:tcW w:w="1230" w:type="pct"/>
            <w:shd w:val="clear" w:color="auto" w:fill="D9D9D9"/>
            <w:vAlign w:val="center"/>
          </w:tcPr>
          <w:p w14:paraId="5BC1685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5CDDC7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2B6BA8" w:rsidRPr="00AF36FA" w14:paraId="146803F4" w14:textId="77777777" w:rsidTr="002B6BA8">
        <w:tc>
          <w:tcPr>
            <w:tcW w:w="1230" w:type="pct"/>
            <w:shd w:val="clear" w:color="auto" w:fill="D9D9D9"/>
            <w:vAlign w:val="center"/>
          </w:tcPr>
          <w:p w14:paraId="63E63C4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A30E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2B6BA8" w:rsidRPr="00AF36FA" w14:paraId="3DE94DB6" w14:textId="77777777" w:rsidTr="002B6BA8">
        <w:tc>
          <w:tcPr>
            <w:tcW w:w="1230" w:type="pct"/>
            <w:shd w:val="clear" w:color="auto" w:fill="D9D9D9"/>
            <w:vAlign w:val="center"/>
          </w:tcPr>
          <w:p w14:paraId="756C5DA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521B2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2B6BA8" w:rsidRPr="00AF36FA" w14:paraId="4F8F3A99" w14:textId="77777777" w:rsidTr="002B6BA8">
        <w:tc>
          <w:tcPr>
            <w:tcW w:w="1230" w:type="pct"/>
            <w:shd w:val="clear" w:color="auto" w:fill="D9D9D9"/>
            <w:vAlign w:val="center"/>
          </w:tcPr>
          <w:p w14:paraId="3A571A1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A905EB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структурни и инвестиционни фондове</w:t>
            </w:r>
          </w:p>
        </w:tc>
      </w:tr>
      <w:tr w:rsidR="002B6BA8" w:rsidRPr="00AF36FA" w14:paraId="3FD5E76B" w14:textId="77777777" w:rsidTr="002B6BA8">
        <w:tc>
          <w:tcPr>
            <w:tcW w:w="1230" w:type="pct"/>
            <w:shd w:val="clear" w:color="auto" w:fill="D9D9D9"/>
            <w:vAlign w:val="center"/>
          </w:tcPr>
          <w:p w14:paraId="44C7D36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106E04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 и рибарство</w:t>
            </w:r>
          </w:p>
        </w:tc>
      </w:tr>
      <w:tr w:rsidR="002B6BA8" w:rsidRPr="00AF36FA" w14:paraId="617EA579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0C1BCA7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133F65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2B6BA8" w:rsidRPr="00AF36FA" w14:paraId="5CB1D185" w14:textId="77777777" w:rsidTr="002B6BA8">
        <w:tc>
          <w:tcPr>
            <w:tcW w:w="1230" w:type="pct"/>
            <w:shd w:val="clear" w:color="auto" w:fill="D9D9D9"/>
            <w:vAlign w:val="center"/>
          </w:tcPr>
          <w:p w14:paraId="529EF76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7874D6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2B6BA8" w:rsidRPr="00AF36FA" w14:paraId="77C41A93" w14:textId="77777777" w:rsidTr="002B6BA8">
        <w:tc>
          <w:tcPr>
            <w:tcW w:w="1230" w:type="pct"/>
            <w:shd w:val="clear" w:color="auto" w:fill="D9D9D9"/>
            <w:vAlign w:val="center"/>
          </w:tcPr>
          <w:p w14:paraId="2CBFB86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2112BA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2B6BA8" w:rsidRPr="00AF36FA" w14:paraId="064027E3" w14:textId="77777777" w:rsidTr="002B6BA8">
        <w:tc>
          <w:tcPr>
            <w:tcW w:w="1230" w:type="pct"/>
            <w:shd w:val="clear" w:color="auto" w:fill="D9D9D9"/>
            <w:vAlign w:val="center"/>
          </w:tcPr>
          <w:p w14:paraId="393C7E1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0BE794B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2B6BA8" w:rsidRPr="00AF36FA" w14:paraId="4498E342" w14:textId="77777777" w:rsidTr="002B6BA8">
        <w:tc>
          <w:tcPr>
            <w:tcW w:w="1230" w:type="pct"/>
            <w:shd w:val="clear" w:color="auto" w:fill="D9D9D9"/>
            <w:vAlign w:val="center"/>
          </w:tcPr>
          <w:p w14:paraId="6646E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97FBD95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2B6BA8" w:rsidRPr="00AF36FA" w14:paraId="00668FB4" w14:textId="77777777" w:rsidTr="002B6BA8">
        <w:tc>
          <w:tcPr>
            <w:tcW w:w="1230" w:type="pct"/>
            <w:shd w:val="clear" w:color="auto" w:fill="D9D9D9"/>
            <w:vAlign w:val="center"/>
          </w:tcPr>
          <w:p w14:paraId="3853248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ЗУСЕСИФ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68AE43A9" w14:textId="77777777" w:rsidR="002B6BA8" w:rsidRPr="00AF36FA" w:rsidRDefault="002B6BA8" w:rsidP="00CF4A27">
            <w:pPr>
              <w:spacing w:before="120" w:after="120" w:line="24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европейските структурни и инвестиционни фондове</w:t>
            </w:r>
          </w:p>
        </w:tc>
      </w:tr>
      <w:tr w:rsidR="002B6BA8" w:rsidRPr="00AF36FA" w14:paraId="358CAE2F" w14:textId="77777777" w:rsidTr="002B6BA8">
        <w:tc>
          <w:tcPr>
            <w:tcW w:w="1230" w:type="pct"/>
            <w:shd w:val="clear" w:color="auto" w:fill="D9D9D9"/>
            <w:vAlign w:val="center"/>
          </w:tcPr>
          <w:p w14:paraId="79A38FA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2CBF5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2B6BA8" w:rsidRPr="00AF36FA" w14:paraId="0D15B0BF" w14:textId="77777777" w:rsidTr="002B6BA8">
        <w:tc>
          <w:tcPr>
            <w:tcW w:w="1230" w:type="pct"/>
            <w:shd w:val="clear" w:color="auto" w:fill="D9D9D9"/>
            <w:vAlign w:val="center"/>
          </w:tcPr>
          <w:p w14:paraId="7103064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C15D83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2B6BA8" w:rsidRPr="00AF36FA" w14:paraId="377E2892" w14:textId="77777777" w:rsidTr="002B6BA8">
        <w:tc>
          <w:tcPr>
            <w:tcW w:w="1230" w:type="pct"/>
            <w:shd w:val="clear" w:color="auto" w:fill="D9D9D9"/>
            <w:vAlign w:val="center"/>
          </w:tcPr>
          <w:p w14:paraId="142A4A4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5707D2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2B6BA8" w:rsidRPr="00AF36FA" w14:paraId="2058077E" w14:textId="77777777" w:rsidTr="002B6BA8">
        <w:tc>
          <w:tcPr>
            <w:tcW w:w="1230" w:type="pct"/>
            <w:shd w:val="clear" w:color="auto" w:fill="D9D9D9"/>
            <w:vAlign w:val="center"/>
          </w:tcPr>
          <w:p w14:paraId="7DE735F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A0F19A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2B6BA8" w:rsidRPr="00AF36FA" w14:paraId="3963C7E1" w14:textId="77777777" w:rsidTr="002B6BA8">
        <w:trPr>
          <w:trHeight w:val="370"/>
        </w:trPr>
        <w:tc>
          <w:tcPr>
            <w:tcW w:w="1230" w:type="pct"/>
            <w:shd w:val="clear" w:color="auto" w:fill="D9D9D9"/>
            <w:vAlign w:val="center"/>
          </w:tcPr>
          <w:p w14:paraId="6C242ED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43268FB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Междинни звена</w:t>
            </w:r>
          </w:p>
        </w:tc>
      </w:tr>
      <w:tr w:rsidR="002B6BA8" w:rsidRPr="00AF36FA" w14:paraId="572E1736" w14:textId="77777777" w:rsidTr="002B6BA8">
        <w:tc>
          <w:tcPr>
            <w:tcW w:w="1230" w:type="pct"/>
            <w:shd w:val="clear" w:color="auto" w:fill="D9D9D9"/>
            <w:vAlign w:val="center"/>
          </w:tcPr>
          <w:p w14:paraId="43F7D443" w14:textId="42497519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1596D9CC" w14:textId="603E3DFD" w:rsidR="002B6BA8" w:rsidRPr="00AF36FA" w:rsidDel="00215B6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Министерство на земеделието</w:t>
            </w:r>
          </w:p>
        </w:tc>
      </w:tr>
      <w:tr w:rsidR="002B6BA8" w:rsidRPr="00AF36FA" w14:paraId="6C10D767" w14:textId="77777777" w:rsidTr="002B6BA8">
        <w:tc>
          <w:tcPr>
            <w:tcW w:w="1230" w:type="pct"/>
            <w:shd w:val="clear" w:color="auto" w:fill="D9D9D9"/>
            <w:vAlign w:val="center"/>
          </w:tcPr>
          <w:p w14:paraId="1E3D63FC" w14:textId="77777777" w:rsidR="002B6BA8" w:rsidRPr="00F54D17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4318D9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</w:p>
        </w:tc>
      </w:tr>
      <w:tr w:rsidR="002B6BA8" w:rsidRPr="00AF36FA" w14:paraId="36B813F4" w14:textId="77777777" w:rsidTr="002B6BA8">
        <w:trPr>
          <w:trHeight w:val="886"/>
        </w:trPr>
        <w:tc>
          <w:tcPr>
            <w:tcW w:w="1230" w:type="pct"/>
            <w:shd w:val="clear" w:color="auto" w:fill="D9D9D9"/>
            <w:vAlign w:val="center"/>
          </w:tcPr>
          <w:p w14:paraId="5D24818D" w14:textId="77777777" w:rsidR="002B6BA8" w:rsidRDefault="002B6BA8" w:rsidP="00CF4A27">
            <w:pPr>
              <w:spacing w:before="120" w:after="120" w:line="240" w:lineRule="auto"/>
              <w:ind w:left="288"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МИРГ </w:t>
            </w:r>
          </w:p>
          <w:p w14:paraId="5C8AF73B" w14:textId="77777777" w:rsidR="002B6BA8" w:rsidRDefault="002B6BA8" w:rsidP="00CF4A27">
            <w:pPr>
              <w:spacing w:before="120" w:after="120" w:line="240" w:lineRule="auto"/>
              <w:ind w:right="288"/>
              <w:jc w:val="both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Бургас - Камено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A3B79AF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 Бургас - Камено</w:t>
            </w:r>
          </w:p>
        </w:tc>
      </w:tr>
      <w:tr w:rsidR="002B6BA8" w:rsidRPr="00AF36FA" w14:paraId="119E74E6" w14:textId="77777777" w:rsidTr="002B6BA8">
        <w:tc>
          <w:tcPr>
            <w:tcW w:w="1230" w:type="pct"/>
            <w:shd w:val="clear" w:color="auto" w:fill="D9D9D9"/>
            <w:vAlign w:val="center"/>
          </w:tcPr>
          <w:p w14:paraId="4EE248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FB1D4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2B6BA8" w:rsidRPr="00AF36FA" w14:paraId="6C2F9262" w14:textId="77777777" w:rsidTr="002B6BA8">
        <w:tc>
          <w:tcPr>
            <w:tcW w:w="1230" w:type="pct"/>
            <w:shd w:val="clear" w:color="auto" w:fill="D9D9D9"/>
            <w:vAlign w:val="center"/>
          </w:tcPr>
          <w:p w14:paraId="06F76211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МСП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B79D6B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Малки и средни предприятия</w:t>
            </w:r>
          </w:p>
        </w:tc>
      </w:tr>
      <w:tr w:rsidR="002B6BA8" w:rsidRPr="00AF36FA" w14:paraId="347E9AE9" w14:textId="77777777" w:rsidTr="002B6BA8">
        <w:tc>
          <w:tcPr>
            <w:tcW w:w="1230" w:type="pct"/>
            <w:shd w:val="clear" w:color="auto" w:fill="D9D9D9"/>
            <w:vAlign w:val="center"/>
          </w:tcPr>
          <w:p w14:paraId="780F9A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МНСПА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99DBC1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 xml:space="preserve">Многогодишен национален стратегически план за </w:t>
            </w:r>
          </w:p>
          <w:p w14:paraId="0346217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аквакултурите в Република България 2014-2020 г.</w:t>
            </w:r>
          </w:p>
        </w:tc>
      </w:tr>
      <w:tr w:rsidR="002B6BA8" w:rsidRPr="00AF36FA" w14:paraId="0E1961E5" w14:textId="77777777" w:rsidTr="002B6BA8">
        <w:tc>
          <w:tcPr>
            <w:tcW w:w="1230" w:type="pct"/>
            <w:shd w:val="clear" w:color="auto" w:fill="D9D9D9"/>
            <w:vAlign w:val="center"/>
          </w:tcPr>
          <w:p w14:paraId="7809BDD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8C44F0D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2B6BA8" w:rsidRPr="00AF36FA" w14:paraId="51F92931" w14:textId="77777777" w:rsidTr="002B6BA8">
        <w:trPr>
          <w:trHeight w:val="616"/>
        </w:trPr>
        <w:tc>
          <w:tcPr>
            <w:tcW w:w="1230" w:type="pct"/>
            <w:shd w:val="clear" w:color="auto" w:fill="D9D9D9"/>
            <w:vAlign w:val="center"/>
          </w:tcPr>
          <w:p w14:paraId="7ECD3C3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28B383C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2B6BA8" w:rsidRPr="00AF36FA" w14:paraId="68F89058" w14:textId="77777777" w:rsidTr="002B6BA8">
        <w:tc>
          <w:tcPr>
            <w:tcW w:w="1230" w:type="pct"/>
            <w:shd w:val="clear" w:color="auto" w:fill="D9D9D9"/>
            <w:vAlign w:val="center"/>
          </w:tcPr>
          <w:p w14:paraId="5EAE1D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89BB84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2B6BA8" w:rsidRPr="00AF36FA" w14:paraId="6E9391E1" w14:textId="77777777" w:rsidTr="002B6BA8">
        <w:tc>
          <w:tcPr>
            <w:tcW w:w="1230" w:type="pct"/>
            <w:shd w:val="clear" w:color="auto" w:fill="D9D9D9"/>
            <w:vAlign w:val="center"/>
          </w:tcPr>
          <w:p w14:paraId="22C66E0A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СМР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317848F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Строително-монтажни работи</w:t>
            </w:r>
          </w:p>
        </w:tc>
      </w:tr>
      <w:tr w:rsidR="002B6BA8" w:rsidRPr="00AF36FA" w14:paraId="2E836E20" w14:textId="77777777" w:rsidTr="002B6BA8">
        <w:tc>
          <w:tcPr>
            <w:tcW w:w="1230" w:type="pct"/>
            <w:shd w:val="clear" w:color="auto" w:fill="D9D9D9"/>
            <w:vAlign w:val="center"/>
          </w:tcPr>
          <w:p w14:paraId="2E504B64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59690F79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Сертифициращ орган</w:t>
            </w:r>
          </w:p>
        </w:tc>
      </w:tr>
      <w:tr w:rsidR="002B6BA8" w:rsidRPr="00AF36FA" w14:paraId="31C2F3C3" w14:textId="77777777" w:rsidTr="002B6BA8">
        <w:tc>
          <w:tcPr>
            <w:tcW w:w="1230" w:type="pct"/>
            <w:shd w:val="clear" w:color="auto" w:fill="D9D9D9"/>
            <w:vAlign w:val="center"/>
          </w:tcPr>
          <w:p w14:paraId="03247AF3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298D6E08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2B6BA8" w:rsidRPr="00AF36FA" w14:paraId="0B60D537" w14:textId="77777777" w:rsidTr="002B6BA8">
        <w:trPr>
          <w:trHeight w:val="418"/>
        </w:trPr>
        <w:tc>
          <w:tcPr>
            <w:tcW w:w="1230" w:type="pct"/>
            <w:shd w:val="clear" w:color="auto" w:fill="D9D9D9"/>
            <w:vAlign w:val="center"/>
          </w:tcPr>
          <w:p w14:paraId="1F0E5BEE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770" w:type="pct"/>
            <w:shd w:val="clear" w:color="auto" w:fill="F3F3F3"/>
            <w:vAlign w:val="center"/>
          </w:tcPr>
          <w:p w14:paraId="04E97602" w14:textId="77777777" w:rsidR="002B6BA8" w:rsidRPr="00AF36FA" w:rsidRDefault="002B6BA8" w:rsidP="00CF4A27">
            <w:pPr>
              <w:spacing w:before="120" w:after="120" w:line="120" w:lineRule="auto"/>
              <w:ind w:left="288" w:right="288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14:paraId="1CE05216" w14:textId="599576BE" w:rsidR="002B6BA8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55F9373B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bg-BG"/>
        </w:rPr>
      </w:pPr>
    </w:p>
    <w:p w14:paraId="64B9C4D2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</w:rPr>
        <w:t xml:space="preserve">II. </w:t>
      </w:r>
      <w:r w:rsidRPr="00AF36FA"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  <w:t>ОСНОВНИ ДЕФИНИЦИИ</w:t>
      </w:r>
    </w:p>
    <w:p w14:paraId="45C09A49" w14:textId="77777777" w:rsidR="002B6BA8" w:rsidRPr="00AF36FA" w:rsidRDefault="002B6BA8" w:rsidP="002B6BA8">
      <w:pPr>
        <w:spacing w:after="0" w:line="240" w:lineRule="auto"/>
        <w:rPr>
          <w:rFonts w:eastAsia="Calibri" w:cstheme="minorHAnsi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B6BA8" w:rsidRPr="00AF36FA" w14:paraId="6C1B64E6" w14:textId="77777777" w:rsidTr="002B6BA8">
        <w:tc>
          <w:tcPr>
            <w:tcW w:w="2248" w:type="dxa"/>
            <w:shd w:val="clear" w:color="auto" w:fill="E6E6E6"/>
          </w:tcPr>
          <w:p w14:paraId="08EBAEE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договор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  <w:p w14:paraId="54A07E5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/АДБФП/</w:t>
            </w:r>
          </w:p>
        </w:tc>
        <w:tc>
          <w:tcPr>
            <w:tcW w:w="6932" w:type="dxa"/>
            <w:shd w:val="clear" w:color="auto" w:fill="F3F3F3"/>
          </w:tcPr>
          <w:p w14:paraId="2C1CE8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договор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изрично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волеизявление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орган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подкрепа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със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средства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ЕСИФ,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силата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със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създават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задължения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одобрения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Административният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договор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оформя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писмено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споразумение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между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орган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заместващо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издаването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административен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351AF160" w14:textId="77777777" w:rsidTr="002B6BA8">
        <w:tc>
          <w:tcPr>
            <w:tcW w:w="2248" w:type="dxa"/>
            <w:shd w:val="clear" w:color="auto" w:fill="E6E6E6"/>
          </w:tcPr>
          <w:p w14:paraId="71FAAB6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Авансово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388DDB1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след одобрение на проекта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преди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извършване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инвестиционните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условията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описани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Общите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условия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Условията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/АДБФП/.</w:t>
            </w:r>
          </w:p>
        </w:tc>
      </w:tr>
      <w:tr w:rsidR="002B6BA8" w:rsidRPr="00AF36FA" w14:paraId="2D654F99" w14:textId="77777777" w:rsidTr="002B6BA8">
        <w:tc>
          <w:tcPr>
            <w:tcW w:w="2248" w:type="dxa"/>
            <w:shd w:val="clear" w:color="auto" w:fill="E6E6E6"/>
          </w:tcPr>
          <w:p w14:paraId="65AAB88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617700C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Средства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предоставени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ПМДР,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съответното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национално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съфинансиране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цел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одобрен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насочен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към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постигане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определени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резултати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36833DD9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22AB65B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Бенефициент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помощ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246AF69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посочени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чл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10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(ЕО) № 1303/2013 -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публична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частна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организация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и —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само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целите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ЕЗФРСР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ЕФМДР —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физическо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отговарят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започването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lastRenderedPageBreak/>
              <w:t>изпълнението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операции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рамките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схемите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помощ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член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107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Договора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функционирането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Европейския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съюз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предишен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член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87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Договора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създаване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ЕО</w:t>
            </w:r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), 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бенефициентите</w:t>
            </w:r>
            <w:proofErr w:type="spellEnd"/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публични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частни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изпълняват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отделен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получават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публична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помощ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</w:p>
        </w:tc>
      </w:tr>
      <w:tr w:rsidR="002B6BA8" w:rsidRPr="00AF36FA" w14:paraId="772B78CF" w14:textId="77777777" w:rsidTr="002B6BA8">
        <w:trPr>
          <w:trHeight w:val="643"/>
        </w:trPr>
        <w:tc>
          <w:tcPr>
            <w:tcW w:w="2248" w:type="dxa"/>
            <w:shd w:val="clear" w:color="auto" w:fill="E6E6E6"/>
          </w:tcPr>
          <w:p w14:paraId="63E887BE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7D0EE573" w14:textId="1A2459C7" w:rsidR="00AB4245" w:rsidRPr="007667FD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>„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Водено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общностите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>“ (</w:t>
            </w:r>
            <w:proofErr w:type="gram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ВОМР)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един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който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структурни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фондове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финансират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интегрираното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териториално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развитие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страната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периода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2014 – 2020 г.</w:t>
            </w:r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</w:p>
          <w:p w14:paraId="6AAC8306" w14:textId="1951111C" w:rsidR="002B6BA8" w:rsidRPr="00AF36FA" w:rsidRDefault="00AB4245" w:rsidP="007667FD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ВОМР е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подход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насочен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към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подобряване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качеството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живот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ускоряване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развитието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местните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общности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селските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рибарските</w:t>
            </w:r>
            <w:proofErr w:type="spellEnd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="007667FD" w:rsidRPr="007667FD">
              <w:rPr>
                <w:rFonts w:cstheme="minorHAnsi"/>
                <w:snapToGrid w:val="0"/>
                <w:sz w:val="24"/>
                <w:szCs w:val="24"/>
              </w:rPr>
              <w:t>райони</w:t>
            </w:r>
            <w:proofErr w:type="spellEnd"/>
            <w:r w:rsidR="007667FD">
              <w:rPr>
                <w:rFonts w:cstheme="minorHAnsi"/>
                <w:snapToGrid w:val="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използване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местния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B4245">
              <w:rPr>
                <w:rFonts w:cstheme="minorHAnsi"/>
                <w:snapToGrid w:val="0"/>
                <w:sz w:val="24"/>
                <w:szCs w:val="24"/>
              </w:rPr>
              <w:t>потенциал</w:t>
            </w:r>
            <w:proofErr w:type="spellEnd"/>
            <w:r w:rsidRPr="00AB4245">
              <w:rPr>
                <w:rFonts w:cstheme="minorHAnsi"/>
                <w:snapToGrid w:val="0"/>
                <w:sz w:val="24"/>
                <w:szCs w:val="24"/>
              </w:rPr>
              <w:t xml:space="preserve">.  </w:t>
            </w:r>
          </w:p>
        </w:tc>
      </w:tr>
      <w:tr w:rsidR="002B6BA8" w:rsidRPr="00AF36FA" w14:paraId="4A950204" w14:textId="77777777" w:rsidTr="002B6BA8">
        <w:tc>
          <w:tcPr>
            <w:tcW w:w="2248" w:type="dxa"/>
            <w:shd w:val="clear" w:color="auto" w:fill="E6E6E6"/>
          </w:tcPr>
          <w:p w14:paraId="59C6922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Възобновяеми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енергийни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източници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31E21D9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Вятърна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слънчева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аеротермална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геотермална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хидротермална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водноелектрическа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енергия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биомаса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сметищен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газ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газ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пречиствателни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инсталации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отпадни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води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биогазове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</w:p>
        </w:tc>
      </w:tr>
      <w:tr w:rsidR="002B6BA8" w:rsidRPr="00AF36FA" w14:paraId="138AF4C4" w14:textId="77777777" w:rsidTr="002B6BA8">
        <w:tc>
          <w:tcPr>
            <w:tcW w:w="2248" w:type="dxa"/>
            <w:shd w:val="clear" w:color="auto" w:fill="E6E6E6"/>
          </w:tcPr>
          <w:p w14:paraId="517B32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Видове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пазарен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потенциал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E3D5FA3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Видове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средносрочните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прогнози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показват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вероятно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пазарното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търсене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надвиши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предлагането</w:t>
            </w:r>
            <w:proofErr w:type="spellEnd"/>
            <w:r w:rsidRPr="00AF36FA">
              <w:rPr>
                <w:rFonts w:eastAsia="EUAlbertina-Regular-Identity-H" w:cstheme="minorHAnsi"/>
                <w:sz w:val="24"/>
                <w:szCs w:val="24"/>
              </w:rPr>
              <w:t>.</w:t>
            </w:r>
          </w:p>
        </w:tc>
      </w:tr>
      <w:tr w:rsidR="002B6BA8" w:rsidRPr="00AF36FA" w14:paraId="1D791B58" w14:textId="77777777" w:rsidTr="002B6BA8">
        <w:tc>
          <w:tcPr>
            <w:tcW w:w="2248" w:type="dxa"/>
            <w:shd w:val="clear" w:color="auto" w:fill="E6E6E6"/>
          </w:tcPr>
          <w:p w14:paraId="54DCC31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Воден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обект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34362D6A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Постоянно или временно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съсредоточаване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води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със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съответни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граници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обем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воден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режим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земните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недра и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естествено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изкуствено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създадени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форми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релефа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заедно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принадлежащите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тях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земи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4E6C3E8F" w14:textId="77777777" w:rsidTr="002B6BA8">
        <w:tc>
          <w:tcPr>
            <w:tcW w:w="2248" w:type="dxa"/>
            <w:shd w:val="clear" w:color="auto" w:fill="E6E6E6"/>
          </w:tcPr>
          <w:p w14:paraId="4A1ABEA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Водовземане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F111C01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Обхваща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всички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отнемане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води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водните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обекти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отклоняването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им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тях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използването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енергията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водата</w:t>
            </w:r>
            <w:proofErr w:type="spellEnd"/>
          </w:p>
        </w:tc>
      </w:tr>
      <w:tr w:rsidR="002B6BA8" w:rsidRPr="00AF36FA" w14:paraId="67B77A4B" w14:textId="77777777" w:rsidTr="002B6BA8">
        <w:tc>
          <w:tcPr>
            <w:tcW w:w="2248" w:type="dxa"/>
            <w:shd w:val="clear" w:color="auto" w:fill="E6E6E6"/>
          </w:tcPr>
          <w:p w14:paraId="29A8D8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Група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4D94FCE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„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Група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майка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негови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дъщерни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: "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майка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контролира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едно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повече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дъщерни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съответно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дъщерно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контролира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майка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включително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дъщерно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крайно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майка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6A2D7F2A" w14:textId="77777777" w:rsidTr="002B6BA8">
        <w:tc>
          <w:tcPr>
            <w:tcW w:w="2248" w:type="dxa"/>
            <w:shd w:val="clear" w:color="auto" w:fill="E6E6E6"/>
          </w:tcPr>
          <w:p w14:paraId="04DB6E8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Дата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започване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работата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12D193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първото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следните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събития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: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започване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строителните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работи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поемане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първия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правнообвързващ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ангажимент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поръчка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оборудване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всеки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друг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ангажимент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който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прави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необратима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Купуването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земя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подготвителните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дейности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получаването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разрешителни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провеждането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проучвания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осъществимостта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считат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започване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работите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поглъщания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„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започване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работите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“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момента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придобиване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пряко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придобития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стопански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обект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02524E7A" w14:textId="77777777" w:rsidTr="002B6BA8">
        <w:trPr>
          <w:trHeight w:val="895"/>
        </w:trPr>
        <w:tc>
          <w:tcPr>
            <w:tcW w:w="2248" w:type="dxa"/>
            <w:shd w:val="clear" w:color="auto" w:fill="E6E6E6"/>
          </w:tcPr>
          <w:p w14:paraId="6E7457F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lastRenderedPageBreak/>
              <w:t>Дейност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00601D57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Задача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група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задачи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действие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група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действия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),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имат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водят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постигане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)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конкретен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резултат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резултат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/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продукт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)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реализира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съответния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5B628CE9" w14:textId="77777777" w:rsidTr="002B6BA8">
        <w:tc>
          <w:tcPr>
            <w:tcW w:w="2248" w:type="dxa"/>
            <w:shd w:val="clear" w:color="auto" w:fill="E6E6E6"/>
          </w:tcPr>
          <w:p w14:paraId="2A9956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Допустими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финансиране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57A4767D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Допустими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общата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сума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всички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плащания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одобрените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инвестиции</w:t>
            </w:r>
          </w:p>
        </w:tc>
      </w:tr>
      <w:tr w:rsidR="002B6BA8" w:rsidRPr="00AF36FA" w14:paraId="7CA00198" w14:textId="77777777" w:rsidTr="002B6BA8">
        <w:tc>
          <w:tcPr>
            <w:tcW w:w="2248" w:type="dxa"/>
            <w:shd w:val="clear" w:color="auto" w:fill="E6E6E6"/>
          </w:tcPr>
          <w:p w14:paraId="6EC4B39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Енергийна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ефективност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</w:p>
          <w:p w14:paraId="0B2A85B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6932" w:type="dxa"/>
            <w:shd w:val="clear" w:color="auto" w:fill="F3F3F3"/>
          </w:tcPr>
          <w:p w14:paraId="795994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bg-BG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Количеството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спестена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енергия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определено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измерване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и/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оценка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потреблението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след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мярка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повишаване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енергийната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ефективност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същевременно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осигурява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нормализиране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външните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условия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оказват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въздействие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върху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потреблението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енергия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102692FC" w14:textId="77777777" w:rsidTr="002B6BA8">
        <w:tc>
          <w:tcPr>
            <w:tcW w:w="2248" w:type="dxa"/>
            <w:shd w:val="clear" w:color="auto" w:fill="E6E6E6"/>
          </w:tcPr>
          <w:p w14:paraId="216A28E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Изпълнител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определен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14:paraId="00B08D3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дейности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възложени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помощ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страна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партньори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определят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съответствие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разпоредбите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чл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54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ЗУСЕСИФ, 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именно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след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сключване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АДБФП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бенефициентът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задължен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проведе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предвидените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процедури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избор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изпълнител</w:t>
            </w:r>
            <w:proofErr w:type="spellEnd"/>
          </w:p>
        </w:tc>
      </w:tr>
      <w:tr w:rsidR="002B6BA8" w:rsidRPr="00AF36FA" w14:paraId="6D18BEE4" w14:textId="77777777" w:rsidTr="002B6BA8">
        <w:tc>
          <w:tcPr>
            <w:tcW w:w="2248" w:type="dxa"/>
            <w:shd w:val="clear" w:color="auto" w:fill="E6E6E6"/>
          </w:tcPr>
          <w:p w14:paraId="32E187C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оператор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112254B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Всяко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физическо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юридическо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лице,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другите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органи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участващи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реализирането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ЕФ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МД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Р,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изключение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нейните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правомощия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публична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власт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385AE837" w14:textId="77777777" w:rsidTr="002B6BA8">
        <w:tc>
          <w:tcPr>
            <w:tcW w:w="2248" w:type="dxa"/>
            <w:shd w:val="clear" w:color="auto" w:fill="E6E6E6"/>
          </w:tcPr>
          <w:p w14:paraId="6960212E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Икономическа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жизнеспособност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27E5DCF8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Определяне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икономическия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ефект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инвестицията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измерен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положително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парично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изражение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началния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момент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инвестиционния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период</w:t>
            </w:r>
          </w:p>
        </w:tc>
      </w:tr>
      <w:tr w:rsidR="002B6BA8" w:rsidRPr="00AF36FA" w14:paraId="1DAF5E63" w14:textId="77777777" w:rsidTr="002B6BA8">
        <w:tc>
          <w:tcPr>
            <w:tcW w:w="2248" w:type="dxa"/>
            <w:shd w:val="clear" w:color="auto" w:fill="E6E6E6"/>
          </w:tcPr>
          <w:p w14:paraId="128B62D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Кандидати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085AC7C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физически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юридически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техни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обединения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кандидатстват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помощ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подаване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257856C1" w14:textId="77777777" w:rsidTr="002B6BA8">
        <w:trPr>
          <w:trHeight w:val="965"/>
        </w:trPr>
        <w:tc>
          <w:tcPr>
            <w:tcW w:w="2248" w:type="dxa"/>
            <w:shd w:val="clear" w:color="auto" w:fill="E6E6E6"/>
          </w:tcPr>
          <w:p w14:paraId="6BC4B2C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Мярка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40CADE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набор от операции</w:t>
            </w:r>
          </w:p>
        </w:tc>
      </w:tr>
      <w:tr w:rsidR="002B6BA8" w:rsidRPr="00AF36FA" w14:paraId="2EA3D981" w14:textId="77777777" w:rsidTr="002B6BA8">
        <w:tc>
          <w:tcPr>
            <w:tcW w:w="2248" w:type="dxa"/>
            <w:shd w:val="clear" w:color="auto" w:fill="E6E6E6"/>
          </w:tcPr>
          <w:p w14:paraId="14A4E9E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Материални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15AD26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смисъла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чл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2,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29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(ЕО) № 651/2014 „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материални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"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състоящи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земя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сгради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съоръжения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машини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оборудване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61DCDA74" w14:textId="77777777" w:rsidTr="002B6BA8">
        <w:trPr>
          <w:trHeight w:val="593"/>
        </w:trPr>
        <w:tc>
          <w:tcPr>
            <w:tcW w:w="2248" w:type="dxa"/>
            <w:shd w:val="clear" w:color="auto" w:fill="E6E6E6"/>
          </w:tcPr>
          <w:p w14:paraId="5EDBE8C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Място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изпълнение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проекта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14:paraId="357EF07E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Мястото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физическото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осъществяване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инвестицията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72B3BF3B" w14:textId="77777777" w:rsidTr="002B6BA8">
        <w:tc>
          <w:tcPr>
            <w:tcW w:w="2248" w:type="dxa"/>
            <w:shd w:val="clear" w:color="auto" w:fill="E6E6E6"/>
          </w:tcPr>
          <w:p w14:paraId="70B57552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proofErr w:type="spellStart"/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Междинно</w:t>
            </w:r>
            <w:proofErr w:type="spellEnd"/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Calibri" w:cstheme="minorHAnsi"/>
                <w:b/>
                <w:bCs/>
                <w:snapToGrid w:val="0"/>
                <w:sz w:val="24"/>
                <w:szCs w:val="24"/>
              </w:rPr>
              <w:t>плащане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C62BB2E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bg-BG"/>
              </w:rPr>
            </w:pPr>
            <w:proofErr w:type="spellStart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Плащане</w:t>
            </w:r>
            <w:proofErr w:type="spellEnd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обособена</w:t>
            </w:r>
            <w:proofErr w:type="spellEnd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част от </w:t>
            </w:r>
            <w:proofErr w:type="spellStart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одобрената</w:t>
            </w:r>
            <w:proofErr w:type="spellEnd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извършена</w:t>
            </w:r>
            <w:proofErr w:type="spellEnd"/>
            <w:r w:rsidRPr="00AF36FA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инвестиция.</w:t>
            </w:r>
          </w:p>
        </w:tc>
      </w:tr>
      <w:tr w:rsidR="002B6BA8" w:rsidRPr="00AF36FA" w14:paraId="1320010C" w14:textId="77777777" w:rsidTr="002B6BA8">
        <w:tc>
          <w:tcPr>
            <w:tcW w:w="2248" w:type="dxa"/>
            <w:shd w:val="clear" w:color="auto" w:fill="E6E6E6"/>
          </w:tcPr>
          <w:p w14:paraId="74BC2D72" w14:textId="77777777" w:rsidR="002B6BA8" w:rsidRPr="00F54D17" w:rsidRDefault="002B6BA8" w:rsidP="00CF4A27">
            <w:pPr>
              <w:spacing w:before="100" w:beforeAutospacing="1" w:after="100" w:afterAutospacing="1" w:line="240" w:lineRule="auto"/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Местна инициативна рибарска група</w:t>
            </w:r>
          </w:p>
        </w:tc>
        <w:tc>
          <w:tcPr>
            <w:tcW w:w="6932" w:type="dxa"/>
            <w:shd w:val="clear" w:color="auto" w:fill="F3F3F3"/>
          </w:tcPr>
          <w:p w14:paraId="722867B8" w14:textId="77777777" w:rsidR="002B6BA8" w:rsidRPr="00AF36FA" w:rsidRDefault="002B6BA8" w:rsidP="00CF4A27">
            <w:pPr>
              <w:spacing w:line="240" w:lineRule="auto"/>
              <w:jc w:val="both"/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</w:pPr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Публично-частно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партньорство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учредено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регистрирано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по ЗЮЛНЦ, определено за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извършване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общественополезна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дейност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имащо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за цел да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разработи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осигури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капацитет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реализира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стратегия за ВОМР на определена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територия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непрекъснати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граници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покрита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рибарски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райони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, в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което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делът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който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и да е от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представителите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публичния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сектор,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представителите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стопанския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сектор и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представителите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нестопанския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сектор в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колективния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управителен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орган и в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колективния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върховен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орган не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превишава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49 на сто от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имащите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право на глас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членове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. В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наименованието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юридическото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лице се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съдържа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обозначението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"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Местна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инициативна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рибарска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група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" или </w:t>
            </w:r>
            <w:proofErr w:type="spellStart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>съкратено</w:t>
            </w:r>
            <w:proofErr w:type="spellEnd"/>
            <w:r w:rsidRPr="00790AFC">
              <w:rPr>
                <w:rFonts w:eastAsia="Calibri" w:cstheme="minorHAnsi"/>
                <w:snapToGrid w:val="0"/>
                <w:sz w:val="24"/>
                <w:szCs w:val="24"/>
                <w:lang w:val="ru-RU"/>
              </w:rPr>
              <w:t xml:space="preserve"> "МИРГ".</w:t>
            </w:r>
          </w:p>
        </w:tc>
      </w:tr>
      <w:tr w:rsidR="002B6BA8" w:rsidRPr="00AF36FA" w14:paraId="1A5D83D7" w14:textId="77777777" w:rsidTr="002B6BA8">
        <w:tc>
          <w:tcPr>
            <w:tcW w:w="2248" w:type="dxa"/>
            <w:shd w:val="clear" w:color="auto" w:fill="E6E6E6"/>
          </w:tcPr>
          <w:p w14:paraId="4DD4DEE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Микро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малки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средни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предприятия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A794BCA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отговарят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определението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Закона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малките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средни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предприятия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изпълняват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критериите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посочени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приложение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I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към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 (</w:t>
            </w:r>
            <w:proofErr w:type="gramEnd"/>
            <w:r w:rsidRPr="00AF36FA">
              <w:rPr>
                <w:rFonts w:cstheme="minorHAnsi"/>
                <w:snapToGrid w:val="0"/>
                <w:sz w:val="24"/>
                <w:szCs w:val="24"/>
              </w:rPr>
              <w:t>ЕО) № 651/2014</w:t>
            </w: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2B6BA8" w:rsidRPr="00AF36FA" w14:paraId="06834A66" w14:textId="77777777" w:rsidTr="002B6BA8">
        <w:tc>
          <w:tcPr>
            <w:tcW w:w="2248" w:type="dxa"/>
            <w:shd w:val="clear" w:color="auto" w:fill="E6E6E6"/>
          </w:tcPr>
          <w:p w14:paraId="10978189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Нематериални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активи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1F512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Активи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нямат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физически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финансов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израз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патенти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лицензи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ноу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-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хау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друга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интелектуална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собственост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1E339C55" w14:textId="77777777" w:rsidTr="002B6BA8">
        <w:tc>
          <w:tcPr>
            <w:tcW w:w="2248" w:type="dxa"/>
            <w:shd w:val="clear" w:color="auto" w:fill="E6E6E6"/>
          </w:tcPr>
          <w:p w14:paraId="75C9CDA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Нередност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14:paraId="59E4162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Съгласно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чл.2,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36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Регламент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(ЕО) № 1303/2013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нередност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 „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Всяко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нарушение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правото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националното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право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свързано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тази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разпоредба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произтичащо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действие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бездействие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икономически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оператор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участващ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прилагането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европейските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структурни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инвестиционни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фондове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имало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последица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нанасянето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вреда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бюджета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чрез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начисляване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неправомерен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разход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бюджета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.”</w:t>
            </w:r>
          </w:p>
        </w:tc>
      </w:tr>
      <w:tr w:rsidR="002B6BA8" w:rsidRPr="00AF36FA" w14:paraId="52865B2A" w14:textId="77777777" w:rsidTr="002B6BA8">
        <w:tc>
          <w:tcPr>
            <w:tcW w:w="2248" w:type="dxa"/>
            <w:shd w:val="clear" w:color="auto" w:fill="E6E6E6"/>
          </w:tcPr>
          <w:p w14:paraId="3D01368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Нови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видове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риба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294D398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Видове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производството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аквакултури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Република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България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слабо развито или не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съществува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благоприятни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пазарни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перспективи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6343DC6F" w14:textId="77777777" w:rsidTr="002B6BA8">
        <w:tc>
          <w:tcPr>
            <w:tcW w:w="2248" w:type="dxa"/>
            <w:shd w:val="clear" w:color="auto" w:fill="E6E6E6"/>
          </w:tcPr>
          <w:p w14:paraId="0764384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Независими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2AD06D83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Оферти, подадени от лица, които не се намират в следната свързаност помежду си или спрямо кандидата: </w:t>
            </w:r>
          </w:p>
          <w:p w14:paraId="1906136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14:paraId="19225372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б) съдружници; </w:t>
            </w:r>
          </w:p>
          <w:p w14:paraId="54E802C5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14:paraId="63BF2EE8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14:paraId="38777756" w14:textId="77777777" w:rsidR="002B6BA8" w:rsidRPr="00DF7B27" w:rsidRDefault="002B6BA8" w:rsidP="002B6BA8">
            <w:pPr>
              <w:autoSpaceDE w:val="0"/>
              <w:autoSpaceDN w:val="0"/>
              <w:spacing w:after="0" w:line="240" w:lineRule="auto"/>
              <w:ind w:firstLine="708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14:paraId="5A29FE26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14:paraId="1807E4D4" w14:textId="77777777" w:rsidR="002B6BA8" w:rsidRPr="00DF7B27" w:rsidRDefault="002B6BA8" w:rsidP="00CF4A27">
            <w:pPr>
              <w:autoSpaceDE w:val="0"/>
              <w:autoSpaceDN w:val="0"/>
              <w:spacing w:after="0" w:line="240" w:lineRule="auto"/>
              <w:ind w:firstLine="708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DF7B27">
              <w:rPr>
                <w:rFonts w:eastAsia="Times New Roman" w:cstheme="minorHAnsi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14:paraId="01E25783" w14:textId="77777777" w:rsidR="002B6BA8" w:rsidRPr="00AF36FA" w:rsidRDefault="002B6BA8" w:rsidP="00CF4A27">
            <w:pPr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</w:p>
        </w:tc>
      </w:tr>
      <w:tr w:rsidR="002B6BA8" w:rsidRPr="00AF36FA" w14:paraId="2769971B" w14:textId="77777777" w:rsidTr="002B6BA8">
        <w:tc>
          <w:tcPr>
            <w:tcW w:w="2248" w:type="dxa"/>
            <w:shd w:val="clear" w:color="auto" w:fill="E6E6E6"/>
          </w:tcPr>
          <w:p w14:paraId="3D6C6FBC" w14:textId="77777777" w:rsidR="002B6BA8" w:rsidRPr="00020536" w:rsidRDefault="002B6BA8" w:rsidP="00CF4A27">
            <w:pPr>
              <w:rPr>
                <w:rFonts w:cstheme="minorHAnsi"/>
                <w:b/>
                <w:sz w:val="24"/>
                <w:szCs w:val="24"/>
                <w:lang w:val="bg-BG"/>
              </w:rPr>
            </w:pPr>
            <w:proofErr w:type="spellStart"/>
            <w:r w:rsidRPr="00020536">
              <w:rPr>
                <w:rFonts w:cstheme="minorHAnsi"/>
                <w:b/>
                <w:sz w:val="24"/>
                <w:szCs w:val="24"/>
              </w:rPr>
              <w:lastRenderedPageBreak/>
              <w:t>Обект</w:t>
            </w:r>
            <w:proofErr w:type="spellEnd"/>
            <w:r w:rsidRPr="00020536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cstheme="minorHAnsi"/>
                <w:b/>
                <w:sz w:val="24"/>
                <w:szCs w:val="24"/>
              </w:rPr>
              <w:t>за</w:t>
            </w:r>
            <w:proofErr w:type="spellEnd"/>
            <w:r w:rsidRPr="00020536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cstheme="minorHAnsi"/>
                <w:b/>
                <w:sz w:val="24"/>
                <w:szCs w:val="24"/>
              </w:rPr>
              <w:t>производство</w:t>
            </w:r>
            <w:proofErr w:type="spellEnd"/>
            <w:r w:rsidRPr="00020536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cstheme="minorHAnsi"/>
                <w:b/>
                <w:sz w:val="24"/>
                <w:szCs w:val="24"/>
              </w:rPr>
              <w:t>на</w:t>
            </w:r>
            <w:proofErr w:type="spellEnd"/>
            <w:r w:rsidRPr="00020536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cstheme="minorHAnsi"/>
                <w:b/>
                <w:sz w:val="24"/>
                <w:szCs w:val="24"/>
              </w:rPr>
              <w:t>храни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04074EE0" w14:textId="77777777" w:rsidR="002B6BA8" w:rsidRPr="00AF36FA" w:rsidRDefault="002B6BA8" w:rsidP="002B6BA8">
            <w:pPr>
              <w:jc w:val="both"/>
              <w:rPr>
                <w:rFonts w:cstheme="minorHAnsi"/>
                <w:sz w:val="24"/>
                <w:szCs w:val="24"/>
              </w:rPr>
            </w:pPr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>В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сяко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помещение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сграда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, в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което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се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извършва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добив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частична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цялостна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преработка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>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приготвяне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пакетиране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препакетиране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бутилиране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етикетиране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съхранение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храни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>,</w:t>
            </w:r>
            <w:r w:rsidRPr="00AF36FA">
              <w:rPr>
                <w:rFonts w:cstheme="minorHAnsi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предназначени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консумация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z w:val="24"/>
                <w:szCs w:val="24"/>
              </w:rPr>
              <w:t>човека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B6BA8" w:rsidRPr="00AF36FA" w14:paraId="50FDE7B8" w14:textId="77777777" w:rsidTr="002B6BA8">
        <w:tc>
          <w:tcPr>
            <w:tcW w:w="2248" w:type="dxa"/>
            <w:shd w:val="clear" w:color="auto" w:fill="E6E6E6"/>
          </w:tcPr>
          <w:p w14:paraId="18D6B55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Оперативни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разходи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FF76580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Административните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разходи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разходите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поддръжка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експлоатация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активите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055CF72B" w14:textId="77777777" w:rsidTr="002B6BA8">
        <w:tc>
          <w:tcPr>
            <w:tcW w:w="2248" w:type="dxa"/>
            <w:shd w:val="clear" w:color="auto" w:fill="E6E6E6"/>
          </w:tcPr>
          <w:p w14:paraId="37AF606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Обект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производство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получени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странични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животински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  <w:t>(СЖП)</w:t>
            </w:r>
          </w:p>
        </w:tc>
        <w:tc>
          <w:tcPr>
            <w:tcW w:w="6932" w:type="dxa"/>
            <w:shd w:val="clear" w:color="auto" w:fill="F3F3F3"/>
          </w:tcPr>
          <w:p w14:paraId="60EC018A" w14:textId="72A0B425" w:rsidR="002B6BA8" w:rsidRPr="00AF36FA" w:rsidRDefault="002B6BA8" w:rsidP="002B6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Всяко предприятие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преработване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продукти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животински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произход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(в т.ч.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водни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животни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предназначени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</w:p>
          <w:p w14:paraId="5903E45F" w14:textId="1A2BE861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или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негодни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консумация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хора</w:t>
            </w: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1C3BB209" w14:textId="77777777" w:rsidTr="002B6BA8">
        <w:tc>
          <w:tcPr>
            <w:tcW w:w="2248" w:type="dxa"/>
            <w:shd w:val="clear" w:color="auto" w:fill="E6E6E6"/>
          </w:tcPr>
          <w:p w14:paraId="5A82DA40" w14:textId="77777777" w:rsidR="002B6BA8" w:rsidRPr="00B3296D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Официален каталог</w:t>
            </w:r>
          </w:p>
        </w:tc>
        <w:tc>
          <w:tcPr>
            <w:tcW w:w="6932" w:type="dxa"/>
            <w:shd w:val="clear" w:color="auto" w:fill="F3F3F3"/>
          </w:tcPr>
          <w:p w14:paraId="68FBBAD7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>
              <w:rPr>
                <w:rFonts w:cstheme="minorHAnsi"/>
                <w:snapToGrid w:val="0"/>
                <w:sz w:val="24"/>
                <w:szCs w:val="24"/>
                <w:lang w:val="ru-RU"/>
              </w:rPr>
              <w:t>П</w:t>
            </w:r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родуктов каталог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издаден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производител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официален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представител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производителя или от официален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вносител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който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публичен и общо приложим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всички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партньори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/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клиенти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т.е. не е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създаден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за целите на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конкретната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>подадена</w:t>
            </w:r>
            <w:proofErr w:type="spellEnd"/>
            <w:r w:rsidRPr="00B3296D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оферта</w:t>
            </w:r>
          </w:p>
        </w:tc>
      </w:tr>
      <w:tr w:rsidR="002B6BA8" w:rsidRPr="00AF36FA" w14:paraId="5FED6572" w14:textId="77777777" w:rsidTr="002B6BA8">
        <w:tc>
          <w:tcPr>
            <w:tcW w:w="2248" w:type="dxa"/>
            <w:shd w:val="clear" w:color="auto" w:fill="E6E6E6"/>
          </w:tcPr>
          <w:p w14:paraId="3929B44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0FF5B35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</w:rPr>
              <w:t>П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рограма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отделен документ,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изготвен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държавата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членка и одобрен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Комисията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съдържащ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съгласуван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пакет от 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да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бъдат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постигнати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помощта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>ЕФМДР</w:t>
            </w: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4AD1C7EA" w14:textId="77777777" w:rsidTr="002B6BA8">
        <w:tc>
          <w:tcPr>
            <w:tcW w:w="2248" w:type="dxa"/>
            <w:shd w:val="clear" w:color="auto" w:fill="E6E6E6"/>
          </w:tcPr>
          <w:p w14:paraId="3159AEA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Приоритет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Съюза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588D967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Приоритет</w:t>
            </w:r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Съюза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е един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приоритетите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в дадена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програма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съставен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група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мерки,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имат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конкретни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измерими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цели.</w:t>
            </w:r>
          </w:p>
        </w:tc>
      </w:tr>
      <w:tr w:rsidR="002B6BA8" w:rsidRPr="00AF36FA" w14:paraId="18E53B4B" w14:textId="77777777" w:rsidTr="002B6BA8">
        <w:tc>
          <w:tcPr>
            <w:tcW w:w="2248" w:type="dxa"/>
            <w:shd w:val="clear" w:color="auto" w:fill="E6E6E6"/>
          </w:tcPr>
          <w:p w14:paraId="6CEF4BCC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Предприятие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333BD19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Всяко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физическо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юридическо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гражданско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дружество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извършва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стопанска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дейност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независимо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собствеността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правната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организационната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форма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75310EB0" w14:textId="77777777" w:rsidTr="002B6BA8">
        <w:tc>
          <w:tcPr>
            <w:tcW w:w="2248" w:type="dxa"/>
            <w:shd w:val="clear" w:color="auto" w:fill="E6E6E6"/>
          </w:tcPr>
          <w:p w14:paraId="2D207C1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Проектно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6932" w:type="dxa"/>
            <w:shd w:val="clear" w:color="auto" w:fill="F3F3F3"/>
          </w:tcPr>
          <w:p w14:paraId="52467CD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Предложение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подадено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кандидат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предоставяне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безвъзмездна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финансова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помощ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определен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проект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включващо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формуляр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кандидатстване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други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придружителни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документи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22C65CC3" w14:textId="77777777" w:rsidTr="002B6BA8">
        <w:tc>
          <w:tcPr>
            <w:tcW w:w="2248" w:type="dxa"/>
            <w:shd w:val="clear" w:color="auto" w:fill="E6E6E6"/>
          </w:tcPr>
          <w:p w14:paraId="760D5F0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Прилежаща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инфраструктура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A04BCA7" w14:textId="77777777" w:rsidR="002B6BA8" w:rsidRPr="00AF36FA" w:rsidRDefault="002B6BA8" w:rsidP="00CF4A27">
            <w:pPr>
              <w:spacing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Прилежаща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инфраструктура 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техническата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инфраструктура по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смисъла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§ 5, т. 31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допълнителните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разпоредби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Закона за устройство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територията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както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други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сгради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съоръжения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територията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им,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обслужване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извършваните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тази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територия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включително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водопроводна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канализационна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инсталация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транспортни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съоръжения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захранващи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отвеждащи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инсталации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електричество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вода,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гориво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районно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осветление.</w:t>
            </w:r>
          </w:p>
        </w:tc>
      </w:tr>
      <w:tr w:rsidR="002B6BA8" w:rsidRPr="00AF36FA" w14:paraId="646F509D" w14:textId="77777777" w:rsidTr="002B6BA8">
        <w:tc>
          <w:tcPr>
            <w:tcW w:w="2248" w:type="dxa"/>
            <w:shd w:val="clear" w:color="auto" w:fill="E6E6E6"/>
          </w:tcPr>
          <w:p w14:paraId="2EE175B0" w14:textId="77777777" w:rsidR="002B6BA8" w:rsidRPr="00020536" w:rsidRDefault="002B6BA8" w:rsidP="00CF4A2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lastRenderedPageBreak/>
              <w:t>Преработка</w:t>
            </w:r>
            <w:proofErr w:type="spellEnd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на</w:t>
            </w:r>
            <w:proofErr w:type="spellEnd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риба</w:t>
            </w:r>
            <w:proofErr w:type="spellEnd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 и </w:t>
            </w:r>
            <w:proofErr w:type="spellStart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други</w:t>
            </w:r>
            <w:proofErr w:type="spellEnd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водни</w:t>
            </w:r>
            <w:proofErr w:type="spellEnd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</w:p>
          <w:p w14:paraId="1A6CBA68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z w:val="24"/>
                <w:szCs w:val="24"/>
                <w:u w:val="single"/>
              </w:rPr>
            </w:pPr>
            <w:proofErr w:type="spellStart"/>
            <w:r w:rsidRPr="00020536">
              <w:rPr>
                <w:rFonts w:eastAsia="Times New Roman" w:cstheme="minorHAnsi"/>
                <w:b/>
                <w:sz w:val="24"/>
                <w:szCs w:val="24"/>
              </w:rPr>
              <w:t>организми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3C74B5CD" w14:textId="3E5D24E0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g-BG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Х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имическо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физическо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преработване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като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топлинна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обработка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опушване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осоляване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дехидратация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мариноване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пресни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охладени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замразени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комбинирани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не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други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хранителни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комбинация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други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процеси</w:t>
            </w:r>
            <w:proofErr w:type="spellEnd"/>
            <w:r>
              <w:rPr>
                <w:rFonts w:eastAsia="Times New Roman" w:cstheme="minorHAnsi"/>
                <w:sz w:val="24"/>
                <w:szCs w:val="24"/>
                <w:lang w:val="bg-BG"/>
              </w:rPr>
              <w:t>.</w:t>
            </w:r>
          </w:p>
        </w:tc>
      </w:tr>
      <w:tr w:rsidR="002B6BA8" w:rsidRPr="00AF36FA" w14:paraId="39A514DD" w14:textId="77777777" w:rsidTr="002B6BA8">
        <w:tc>
          <w:tcPr>
            <w:tcW w:w="2248" w:type="dxa"/>
            <w:shd w:val="clear" w:color="auto" w:fill="E6E6E6"/>
          </w:tcPr>
          <w:p w14:paraId="1D747A64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Пускане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пазара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188822A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Пускане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пазара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притежаването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Пускане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пазара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означава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притежаването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преработени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риболов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аквакултура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цел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продажба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това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число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предлагането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продажба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всяка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друга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форма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прехвърляне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безплатно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срещу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заплащане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продажбата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разпространението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други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форми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прехвърляне</w:t>
            </w:r>
            <w:proofErr w:type="spellEnd"/>
            <w:r w:rsidRPr="00AF36F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2B6BA8" w:rsidRPr="00AF36FA" w14:paraId="28082580" w14:textId="77777777" w:rsidTr="002B6BA8">
        <w:tc>
          <w:tcPr>
            <w:tcW w:w="2248" w:type="dxa"/>
            <w:shd w:val="clear" w:color="auto" w:fill="E6E6E6"/>
          </w:tcPr>
          <w:p w14:paraId="0D1E39BB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Ръководител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Управляващия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орган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5B996D6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Ръководителят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администрацията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изпълняваща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функциите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управляващ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орган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програма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част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която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е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управляващият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орган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съответната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програма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оправомощено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него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лице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  <w:tr w:rsidR="002B6BA8" w:rsidRPr="00AF36FA" w14:paraId="2778C1A0" w14:textId="77777777" w:rsidTr="002B6BA8">
        <w:tc>
          <w:tcPr>
            <w:tcW w:w="2248" w:type="dxa"/>
            <w:shd w:val="clear" w:color="auto" w:fill="E6E6E6"/>
          </w:tcPr>
          <w:p w14:paraId="5B9361BC" w14:textId="77777777" w:rsidR="002B6BA8" w:rsidRPr="00AF36FA" w:rsidDel="00152AAB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Ресурсна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ефективност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40195904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Използване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изчерпаемите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природни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ресурси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устойчив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начин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намалявайки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въздействието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върху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околната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среда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. </w:t>
            </w:r>
          </w:p>
        </w:tc>
      </w:tr>
      <w:tr w:rsidR="002B6BA8" w:rsidRPr="00AF36FA" w14:paraId="6C4CDB04" w14:textId="77777777" w:rsidTr="002B6BA8">
        <w:tc>
          <w:tcPr>
            <w:tcW w:w="2248" w:type="dxa"/>
            <w:shd w:val="clear" w:color="auto" w:fill="E6E6E6"/>
          </w:tcPr>
          <w:p w14:paraId="5EA8E26D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10035E7F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jc w:val="both"/>
              <w:rPr>
                <w:rFonts w:cstheme="minorHAnsi"/>
                <w:snapToGrid w:val="0"/>
                <w:sz w:val="24"/>
                <w:szCs w:val="24"/>
                <w:lang w:val="ru-RU"/>
              </w:rPr>
            </w:pPr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Сектор е набор от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дейности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насочени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към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изпълнение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дадена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мярка</w:t>
            </w:r>
            <w:proofErr w:type="spellEnd"/>
          </w:p>
        </w:tc>
      </w:tr>
      <w:tr w:rsidR="002B6BA8" w:rsidRPr="00AF36FA" w14:paraId="32217991" w14:textId="77777777" w:rsidTr="002B6BA8">
        <w:tc>
          <w:tcPr>
            <w:tcW w:w="2248" w:type="dxa"/>
            <w:shd w:val="clear" w:color="auto" w:fill="E6E6E6"/>
          </w:tcPr>
          <w:p w14:paraId="5B7B2116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Сектор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рибарството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аквакултурите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1DB133EB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z w:val="24"/>
                <w:szCs w:val="24"/>
                <w:lang w:val="ru-RU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Секторът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икономиката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който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включва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всички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дейности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производство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преработка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предлагане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пазара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риболов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или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</w:rPr>
              <w:t>аквакултури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475541B9" w14:textId="77777777" w:rsidTr="002B6BA8">
        <w:tc>
          <w:tcPr>
            <w:tcW w:w="2248" w:type="dxa"/>
            <w:shd w:val="clear" w:color="auto" w:fill="E6E6E6"/>
          </w:tcPr>
          <w:p w14:paraId="4941762F" w14:textId="77777777" w:rsidR="002B6BA8" w:rsidRPr="00790AFC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cstheme="minorHAnsi"/>
                <w:b/>
                <w:bCs/>
                <w:snapToGrid w:val="0"/>
                <w:sz w:val="24"/>
                <w:szCs w:val="24"/>
                <w:lang w:val="bg-BG"/>
              </w:rPr>
              <w:t>Стратегия за водено от общностите местно развитие</w:t>
            </w:r>
          </w:p>
        </w:tc>
        <w:tc>
          <w:tcPr>
            <w:tcW w:w="6932" w:type="dxa"/>
            <w:shd w:val="clear" w:color="auto" w:fill="F3F3F3"/>
          </w:tcPr>
          <w:p w14:paraId="6F5FBFFD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Поредица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тясно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свързани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дейности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за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задоволяване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местни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цели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и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потребности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съдържаща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най-малко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елементите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посочени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в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чл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. 33,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параграф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1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от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790AFC">
              <w:rPr>
                <w:rFonts w:cstheme="minorHAnsi"/>
                <w:snapToGrid w:val="0"/>
                <w:sz w:val="24"/>
                <w:szCs w:val="24"/>
              </w:rPr>
              <w:t>Регламент</w:t>
            </w:r>
            <w:proofErr w:type="spellEnd"/>
            <w:r w:rsidRPr="00790AFC">
              <w:rPr>
                <w:rFonts w:cstheme="minorHAnsi"/>
                <w:snapToGrid w:val="0"/>
                <w:sz w:val="24"/>
                <w:szCs w:val="24"/>
              </w:rPr>
              <w:t xml:space="preserve"> № 1303/2013 г.</w:t>
            </w:r>
          </w:p>
        </w:tc>
      </w:tr>
      <w:tr w:rsidR="002B6BA8" w:rsidRPr="00AF36FA" w14:paraId="403AB566" w14:textId="77777777" w:rsidTr="002B6BA8">
        <w:tc>
          <w:tcPr>
            <w:tcW w:w="2248" w:type="dxa"/>
            <w:shd w:val="clear" w:color="auto" w:fill="E6E6E6"/>
          </w:tcPr>
          <w:p w14:paraId="2CC736F1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Съпоставими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оферти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193822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Оферти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,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които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се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сравняват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базата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>:</w:t>
            </w:r>
          </w:p>
          <w:p w14:paraId="42F4303D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а)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еднотипни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основни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технически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характеристики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; </w:t>
            </w:r>
          </w:p>
          <w:p w14:paraId="2CEB5E91" w14:textId="77777777" w:rsidR="002B6BA8" w:rsidRPr="000028BC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б)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общ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капацитет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на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оборудването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; </w:t>
            </w:r>
          </w:p>
          <w:p w14:paraId="5C97A250" w14:textId="77777777" w:rsidR="002B6BA8" w:rsidRPr="00AF36FA" w:rsidRDefault="002B6BA8" w:rsidP="00CF4A27">
            <w:pPr>
              <w:spacing w:after="6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в)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количествено-стойностни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0028BC">
              <w:rPr>
                <w:rFonts w:cstheme="minorHAnsi"/>
                <w:snapToGrid w:val="0"/>
                <w:sz w:val="24"/>
                <w:szCs w:val="24"/>
              </w:rPr>
              <w:t>сметки</w:t>
            </w:r>
            <w:proofErr w:type="spellEnd"/>
            <w:r w:rsidRPr="000028BC">
              <w:rPr>
                <w:rFonts w:cstheme="minorHAnsi"/>
                <w:snapToGrid w:val="0"/>
                <w:sz w:val="24"/>
                <w:szCs w:val="24"/>
              </w:rPr>
              <w:t>.</w:t>
            </w:r>
          </w:p>
        </w:tc>
      </w:tr>
      <w:tr w:rsidR="002B6BA8" w:rsidRPr="00AF36FA" w14:paraId="458A407C" w14:textId="77777777" w:rsidTr="002B6BA8">
        <w:trPr>
          <w:trHeight w:val="730"/>
        </w:trPr>
        <w:tc>
          <w:tcPr>
            <w:tcW w:w="2248" w:type="dxa"/>
            <w:shd w:val="clear" w:color="auto" w:fill="E6E6E6"/>
          </w:tcPr>
          <w:p w14:paraId="274DD7D5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Страничен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животински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продукт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762A0838" w14:textId="02411188" w:rsidR="002B6BA8" w:rsidRPr="002B6BA8" w:rsidRDefault="002B6BA8" w:rsidP="002B6BA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AF36FA"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родукт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получен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преработка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на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продукти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животински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произход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в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преработвателно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предприятие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,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които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не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са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g-BG"/>
              </w:rPr>
              <w:t>п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редназначени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за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консумация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от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eastAsia="Times New Roman" w:cstheme="minorHAnsi"/>
                <w:sz w:val="24"/>
                <w:szCs w:val="24"/>
              </w:rPr>
              <w:t>хора</w:t>
            </w:r>
            <w:proofErr w:type="spellEnd"/>
            <w:r w:rsidRPr="00AF36FA">
              <w:rPr>
                <w:rFonts w:eastAsia="Times New Roman" w:cstheme="minorHAnsi"/>
                <w:sz w:val="24"/>
                <w:szCs w:val="24"/>
              </w:rPr>
              <w:t>.</w:t>
            </w:r>
          </w:p>
        </w:tc>
      </w:tr>
      <w:tr w:rsidR="002B6BA8" w:rsidRPr="00AF36FA" w14:paraId="2EA07D79" w14:textId="77777777" w:rsidTr="002B6BA8">
        <w:tc>
          <w:tcPr>
            <w:tcW w:w="2248" w:type="dxa"/>
            <w:shd w:val="clear" w:color="auto" w:fill="E6E6E6"/>
          </w:tcPr>
          <w:p w14:paraId="63D89D80" w14:textId="77777777" w:rsidR="002B6BA8" w:rsidRPr="00AF36FA" w:rsidRDefault="002B6BA8" w:rsidP="00CF4A27">
            <w:pPr>
              <w:spacing w:before="100" w:beforeAutospacing="1" w:after="100" w:afterAutospacing="1" w:line="240" w:lineRule="auto"/>
              <w:rPr>
                <w:rFonts w:cstheme="minorHAnsi"/>
                <w:b/>
                <w:bCs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Традиционна</w:t>
            </w:r>
            <w:proofErr w:type="spellEnd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 xml:space="preserve"> </w:t>
            </w:r>
            <w:proofErr w:type="spellStart"/>
            <w:r w:rsidRPr="00AF36FA">
              <w:rPr>
                <w:rFonts w:cstheme="minorHAnsi"/>
                <w:b/>
                <w:bCs/>
                <w:snapToGrid w:val="0"/>
                <w:sz w:val="24"/>
                <w:szCs w:val="24"/>
              </w:rPr>
              <w:t>аквакултура</w:t>
            </w:r>
            <w:proofErr w:type="spellEnd"/>
          </w:p>
        </w:tc>
        <w:tc>
          <w:tcPr>
            <w:tcW w:w="6932" w:type="dxa"/>
            <w:shd w:val="clear" w:color="auto" w:fill="F3F3F3"/>
          </w:tcPr>
          <w:p w14:paraId="081F2A25" w14:textId="77777777" w:rsidR="002B6BA8" w:rsidRPr="00AF36FA" w:rsidRDefault="002B6BA8" w:rsidP="00CF4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napToGrid w:val="0"/>
                <w:sz w:val="24"/>
                <w:szCs w:val="24"/>
              </w:rPr>
            </w:pP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Обичайни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практики,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които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са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свързани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екстензивно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полуинтензивно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отглеждане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шаранови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пъстървови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видове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естествени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изкуствени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водоеми</w:t>
            </w:r>
            <w:proofErr w:type="spellEnd"/>
            <w:r w:rsidRPr="00AF36FA">
              <w:rPr>
                <w:rFonts w:cstheme="minorHAnsi"/>
                <w:snapToGrid w:val="0"/>
                <w:sz w:val="24"/>
                <w:szCs w:val="24"/>
                <w:lang w:val="ru-RU"/>
              </w:rPr>
              <w:t>.</w:t>
            </w:r>
          </w:p>
        </w:tc>
      </w:tr>
    </w:tbl>
    <w:p w14:paraId="5DFA4EFE" w14:textId="77777777" w:rsidR="002B6BA8" w:rsidRPr="00AF36FA" w:rsidRDefault="002B6BA8" w:rsidP="002B6BA8">
      <w:pPr>
        <w:rPr>
          <w:rFonts w:eastAsia="Calibri" w:cstheme="minorHAnsi"/>
          <w:sz w:val="24"/>
          <w:szCs w:val="24"/>
          <w:lang w:val="ru-RU"/>
        </w:rPr>
      </w:pPr>
    </w:p>
    <w:p w14:paraId="66B53D6A" w14:textId="77777777" w:rsidR="002B6BA8" w:rsidRPr="00AF36FA" w:rsidRDefault="002B6BA8" w:rsidP="002B6BA8">
      <w:pPr>
        <w:rPr>
          <w:rFonts w:cstheme="minorHAnsi"/>
          <w:sz w:val="24"/>
          <w:szCs w:val="24"/>
        </w:rPr>
      </w:pPr>
    </w:p>
    <w:p w14:paraId="6BE9E180" w14:textId="77777777" w:rsidR="00B01127" w:rsidRDefault="00B01127"/>
    <w:sectPr w:rsidR="00B01127" w:rsidSect="009314CD">
      <w:headerReference w:type="default" r:id="rId6"/>
      <w:footerReference w:type="default" r:id="rId7"/>
      <w:pgSz w:w="11906" w:h="16838"/>
      <w:pgMar w:top="1417" w:right="1417" w:bottom="1417" w:left="1417" w:header="283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52F50" w14:textId="77777777" w:rsidR="00C26B50" w:rsidRDefault="00C26B50" w:rsidP="002B6BA8">
      <w:pPr>
        <w:spacing w:after="0" w:line="240" w:lineRule="auto"/>
      </w:pPr>
      <w:r>
        <w:separator/>
      </w:r>
    </w:p>
  </w:endnote>
  <w:endnote w:type="continuationSeparator" w:id="0">
    <w:p w14:paraId="4CA155E2" w14:textId="77777777" w:rsidR="00C26B50" w:rsidRDefault="00C26B50" w:rsidP="002B6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UAlbertina-Regular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5BF66" w14:textId="77777777" w:rsidR="005207CF" w:rsidRDefault="00F8083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14:paraId="46CC65D3" w14:textId="77777777" w:rsidR="005207CF" w:rsidRDefault="00C26B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C4D4E" w14:textId="77777777" w:rsidR="00C26B50" w:rsidRDefault="00C26B50" w:rsidP="002B6BA8">
      <w:pPr>
        <w:spacing w:after="0" w:line="240" w:lineRule="auto"/>
      </w:pPr>
      <w:r>
        <w:separator/>
      </w:r>
    </w:p>
  </w:footnote>
  <w:footnote w:type="continuationSeparator" w:id="0">
    <w:p w14:paraId="177F26E9" w14:textId="77777777" w:rsidR="00C26B50" w:rsidRDefault="00C26B50" w:rsidP="002B6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7352" w14:textId="7A7E68E6" w:rsidR="000732EA" w:rsidRDefault="00917321" w:rsidP="009314CD">
    <w:pPr>
      <w:pStyle w:val="a3"/>
      <w:jc w:val="center"/>
    </w:pPr>
    <w:r>
      <w:rPr>
        <w:noProof/>
      </w:rPr>
      <w:drawing>
        <wp:inline distT="0" distB="0" distL="0" distR="0" wp14:anchorId="5E8B393D" wp14:editId="04B58204">
          <wp:extent cx="5760720" cy="1232535"/>
          <wp:effectExtent l="0" t="0" r="0" b="5715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32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A8"/>
    <w:rsid w:val="002B6BA8"/>
    <w:rsid w:val="007667FD"/>
    <w:rsid w:val="00810447"/>
    <w:rsid w:val="00917321"/>
    <w:rsid w:val="009314CD"/>
    <w:rsid w:val="00AB4245"/>
    <w:rsid w:val="00B01127"/>
    <w:rsid w:val="00B90C67"/>
    <w:rsid w:val="00BE45D3"/>
    <w:rsid w:val="00C22DDF"/>
    <w:rsid w:val="00C26B50"/>
    <w:rsid w:val="00E679B6"/>
    <w:rsid w:val="00F8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C72601"/>
  <w15:chartTrackingRefBased/>
  <w15:docId w15:val="{69979C97-8D99-4A0C-B519-28D50E37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B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B6BA8"/>
  </w:style>
  <w:style w:type="paragraph" w:styleId="a5">
    <w:name w:val="footer"/>
    <w:basedOn w:val="a"/>
    <w:link w:val="a6"/>
    <w:uiPriority w:val="99"/>
    <w:unhideWhenUsed/>
    <w:rsid w:val="002B6BA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B6BA8"/>
  </w:style>
  <w:style w:type="paragraph" w:styleId="a7">
    <w:name w:val="Normal (Web)"/>
    <w:basedOn w:val="a"/>
    <w:uiPriority w:val="99"/>
    <w:semiHidden/>
    <w:unhideWhenUsed/>
    <w:rsid w:val="002B6BA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2005</Words>
  <Characters>11430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Zlatina Moskova</dc:creator>
  <cp:keywords/>
  <dc:description/>
  <cp:lastModifiedBy>Ивелина Сулева</cp:lastModifiedBy>
  <cp:revision>7</cp:revision>
  <dcterms:created xsi:type="dcterms:W3CDTF">2019-01-10T12:45:00Z</dcterms:created>
  <dcterms:modified xsi:type="dcterms:W3CDTF">2022-01-04T09:39:00Z</dcterms:modified>
</cp:coreProperties>
</file>