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434772" w:rsidRDefault="00923E4A" w:rsidP="00D928D5">
      <w:pPr>
        <w:spacing w:after="0" w:line="276" w:lineRule="auto"/>
        <w:jc w:val="center"/>
        <w:rPr>
          <w:b/>
          <w:bCs/>
        </w:rPr>
      </w:pPr>
      <w:r w:rsidRPr="00434772">
        <w:rPr>
          <w:b/>
          <w:bCs/>
        </w:rPr>
        <w:t>По п</w:t>
      </w:r>
      <w:r w:rsidR="00D928D5" w:rsidRPr="00434772">
        <w:rPr>
          <w:b/>
          <w:bCs/>
        </w:rPr>
        <w:t xml:space="preserve">роцедура </w:t>
      </w:r>
      <w:r w:rsidRPr="00434772">
        <w:rPr>
          <w:b/>
          <w:bCs/>
        </w:rPr>
        <w:t xml:space="preserve">чрез </w:t>
      </w:r>
      <w:r w:rsidR="00D928D5" w:rsidRPr="00434772">
        <w:rPr>
          <w:b/>
          <w:bCs/>
        </w:rPr>
        <w:t xml:space="preserve">подбор на проекти </w:t>
      </w:r>
    </w:p>
    <w:p w:rsidR="00D73878" w:rsidRDefault="00434772" w:rsidP="00D928D5">
      <w:pPr>
        <w:spacing w:after="0" w:line="276" w:lineRule="auto"/>
        <w:jc w:val="center"/>
        <w:rPr>
          <w:b/>
          <w:lang w:val="en-US"/>
        </w:rPr>
      </w:pPr>
      <w:r w:rsidRPr="00434772">
        <w:rPr>
          <w:b/>
        </w:rPr>
        <w:t>BG14MFOP001-1.023 „Добавена стойност, качество на продуктите и използване на нежелания улов“</w:t>
      </w:r>
    </w:p>
    <w:p w:rsidR="00434772" w:rsidRPr="00434772" w:rsidRDefault="00434772" w:rsidP="00D928D5">
      <w:pPr>
        <w:spacing w:after="0" w:line="276" w:lineRule="auto"/>
        <w:jc w:val="center"/>
        <w:rPr>
          <w:b/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FB1549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 xml:space="preserve">1 </w:t>
            </w:r>
            <w:r w:rsidRPr="003972C5">
              <w:t>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943F53">
        <w:rPr>
          <w:snapToGrid w:val="0"/>
        </w:rPr>
        <w:t>20</w:t>
      </w:r>
      <w:r w:rsidR="00943F53">
        <w:rPr>
          <w:snapToGrid w:val="0"/>
          <w:lang w:val="en-US"/>
        </w:rPr>
        <w:t>2</w:t>
      </w:r>
      <w:r w:rsidR="003B4D92">
        <w:rPr>
          <w:snapToGrid w:val="0"/>
        </w:rPr>
        <w:t>2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912CF1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A91853">
        <w:rPr>
          <w:snapToGrid w:val="0"/>
        </w:rPr>
        <w:t xml:space="preserve"> </w:t>
      </w:r>
      <w:r w:rsidR="00912CF1">
        <w:rPr>
          <w:snapToGrid w:val="0"/>
        </w:rPr>
        <w:t>чрез подбор на проекти</w:t>
      </w:r>
      <w:r w:rsidR="00D73878" w:rsidRPr="00D73878">
        <w:t xml:space="preserve"> </w:t>
      </w:r>
      <w:r w:rsidR="002966AD" w:rsidRPr="002966AD">
        <w:rPr>
          <w:snapToGrid w:val="0"/>
          <w:lang w:val="en-US"/>
        </w:rPr>
        <w:t>BG14MFOP001-</w:t>
      </w:r>
      <w:r w:rsidR="002966AD" w:rsidRPr="00713B45">
        <w:rPr>
          <w:snapToGrid w:val="0"/>
          <w:lang w:val="en-US"/>
        </w:rPr>
        <w:t>1.0</w:t>
      </w:r>
      <w:r w:rsidR="00713B45" w:rsidRPr="00713B45">
        <w:rPr>
          <w:snapToGrid w:val="0"/>
        </w:rPr>
        <w:t>2</w:t>
      </w:r>
      <w:r w:rsidR="003B4D92">
        <w:rPr>
          <w:snapToGrid w:val="0"/>
        </w:rPr>
        <w:t>3</w:t>
      </w:r>
      <w:r w:rsidR="002966AD" w:rsidRPr="00713B45">
        <w:rPr>
          <w:snapToGrid w:val="0"/>
          <w:lang w:val="en-US"/>
        </w:rPr>
        <w:t xml:space="preserve"> </w:t>
      </w:r>
      <w:r w:rsidR="002B789C" w:rsidRPr="00713B45">
        <w:t>„</w:t>
      </w:r>
      <w:r w:rsidR="003B4D92" w:rsidRPr="003B4D92">
        <w:t>Добавена стойност, качество на продуктите и използване на нежелания улов</w:t>
      </w:r>
      <w:r w:rsidR="002B789C" w:rsidRPr="00C61DFE">
        <w:t>“, мярка 1.</w:t>
      </w:r>
      <w:r w:rsidR="003B4D92">
        <w:t>7</w:t>
      </w:r>
      <w:r w:rsidR="002B789C" w:rsidRPr="00C61DFE">
        <w:t xml:space="preserve"> „</w:t>
      </w:r>
      <w:r w:rsidR="003B4D92" w:rsidRPr="003B4D92">
        <w:t>Добавена стойност, качество на продуктите и използване на нежелания улов</w:t>
      </w:r>
      <w:r w:rsidR="002B789C" w:rsidRPr="00C61DFE">
        <w:t>“</w:t>
      </w:r>
      <w:r w:rsidRPr="00C61DFE">
        <w:rPr>
          <w:snapToGrid w:val="0"/>
          <w:lang w:val="ru-RU"/>
        </w:rPr>
        <w:t>,</w:t>
      </w:r>
      <w:r w:rsidRPr="00C61DFE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151D39">
        <w:rPr>
          <w:snapToGrid w:val="0"/>
        </w:rPr>
        <w:t>20</w:t>
      </w:r>
      <w:r w:rsidR="00151D39">
        <w:rPr>
          <w:snapToGrid w:val="0"/>
          <w:lang w:val="en-US"/>
        </w:rPr>
        <w:t>2</w:t>
      </w:r>
      <w:r w:rsidR="003B4D92">
        <w:rPr>
          <w:snapToGrid w:val="0"/>
        </w:rPr>
        <w:t>2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115535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>
        <w:rPr>
          <w:b/>
          <w:bCs/>
          <w:snapToGrid w:val="0"/>
          <w:color w:val="000000"/>
        </w:rPr>
        <w:t>....</w:t>
      </w:r>
      <w:r w:rsidR="00456381" w:rsidRPr="00115535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EC0648">
        <w:rPr>
          <w:b/>
          <w:bCs/>
          <w:snapToGrid w:val="0"/>
          <w:color w:val="000000"/>
        </w:rPr>
        <w:t xml:space="preserve"> </w:t>
      </w:r>
      <w:r w:rsidR="005D18B6">
        <w:rPr>
          <w:b/>
          <w:bCs/>
          <w:snapToGrid w:val="0"/>
          <w:color w:val="000000"/>
        </w:rPr>
        <w:t>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</w:t>
      </w:r>
      <w:r w:rsidR="00A5774D" w:rsidRPr="003B4D92">
        <w:rPr>
          <w:snapToGrid w:val="0"/>
          <w:color w:val="000000"/>
        </w:rPr>
        <w:t>Заповед № ……………. от ………..</w:t>
      </w:r>
      <w:r w:rsidR="00A5774D" w:rsidRPr="00002B39">
        <w:rPr>
          <w:snapToGrid w:val="0"/>
          <w:color w:val="000000"/>
        </w:rPr>
        <w:t xml:space="preserve"> г. на министъра на земеделието</w:t>
      </w:r>
      <w:r w:rsidR="003E7C10">
        <w:rPr>
          <w:snapToGrid w:val="0"/>
          <w:color w:val="000000"/>
        </w:rPr>
        <w:t xml:space="preserve">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</w:t>
      </w:r>
      <w:r w:rsidR="00384364">
        <w:rPr>
          <w:snapToGrid w:val="0"/>
          <w:lang w:eastAsia="bg-BG"/>
        </w:rPr>
        <w:t xml:space="preserve">, </w:t>
      </w:r>
      <w:r w:rsidRPr="00002B39">
        <w:rPr>
          <w:snapToGrid w:val="0"/>
          <w:lang w:eastAsia="bg-BG"/>
        </w:rPr>
        <w:t>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</w:t>
      </w:r>
      <w:r w:rsidR="00384364">
        <w:rPr>
          <w:snapToGrid w:val="0"/>
          <w:lang w:eastAsia="bg-BG"/>
        </w:rPr>
        <w:t xml:space="preserve"> и Условията за кандидатстване</w:t>
      </w:r>
      <w:r w:rsidRPr="00002B39">
        <w:rPr>
          <w:snapToGrid w:val="0"/>
          <w:lang w:eastAsia="bg-BG"/>
        </w:rPr>
        <w:t>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r w:rsidR="002B789C" w:rsidRPr="007671E8">
        <w:rPr>
          <w:rFonts w:eastAsia="Times New Roman"/>
          <w:lang w:eastAsia="bg-BG"/>
        </w:rPr>
        <w:t>Наредба</w:t>
      </w:r>
      <w:r w:rsidR="002B789C">
        <w:rPr>
          <w:rFonts w:eastAsia="Times New Roman"/>
          <w:lang w:eastAsia="bg-BG"/>
        </w:rPr>
        <w:t>та</w:t>
      </w:r>
      <w:r w:rsidR="002B789C" w:rsidRPr="007671E8">
        <w:rPr>
          <w:rFonts w:eastAsia="Times New Roman"/>
          <w:lang w:eastAsia="bg-BG"/>
        </w:rPr>
        <w:t xml:space="preserve"> </w:t>
      </w:r>
      <w:r w:rsidRPr="007671E8">
        <w:rPr>
          <w:rFonts w:eastAsia="Times New Roman"/>
          <w:lang w:eastAsia="bg-BG"/>
        </w:rPr>
        <w:t>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договор</w:t>
      </w:r>
      <w:r w:rsidR="00525F5F">
        <w:rPr>
          <w:snapToGrid w:val="0"/>
        </w:rPr>
        <w:t>а</w:t>
      </w:r>
      <w:r w:rsidRPr="00095B87">
        <w:rPr>
          <w:snapToGrid w:val="0"/>
        </w:rPr>
        <w:t xml:space="preserve">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r>
        <w:rPr>
          <w:b w:val="0"/>
          <w:lang w:val="bg-BG"/>
        </w:rPr>
        <w:t>2.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F5423B" w:rsidRDefault="00787C23" w:rsidP="00787C23">
      <w:pPr>
        <w:keepNext/>
        <w:spacing w:after="0" w:line="360" w:lineRule="auto"/>
        <w:jc w:val="both"/>
        <w:outlineLvl w:val="1"/>
        <w:rPr>
          <w:rFonts w:eastAsia="Times New Roman"/>
          <w:szCs w:val="20"/>
          <w:lang w:eastAsia="en-GB"/>
        </w:rPr>
      </w:pPr>
      <w:r>
        <w:rPr>
          <w:bCs/>
          <w:lang w:val="en-US"/>
        </w:rPr>
        <w:tab/>
      </w:r>
      <w:r w:rsidR="00F5423B" w:rsidRPr="00F739C8">
        <w:rPr>
          <w:bCs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F5423B">
        <w:rPr>
          <w:rFonts w:eastAsia="Times New Roman"/>
          <w:szCs w:val="20"/>
          <w:lang w:eastAsia="en-GB"/>
        </w:rPr>
        <w:t xml:space="preserve"> </w:t>
      </w:r>
    </w:p>
    <w:p w:rsidR="00F5423B" w:rsidRDefault="00C61DFE" w:rsidP="00C61DFE">
      <w:pPr>
        <w:tabs>
          <w:tab w:val="left" w:pos="540"/>
          <w:tab w:val="left" w:pos="630"/>
          <w:tab w:val="left" w:pos="1440"/>
          <w:tab w:val="left" w:pos="8931"/>
        </w:tabs>
        <w:spacing w:after="0" w:line="360" w:lineRule="auto"/>
        <w:jc w:val="both"/>
        <w:rPr>
          <w:snapToGrid w:val="0"/>
        </w:rPr>
      </w:pPr>
      <w:r>
        <w:rPr>
          <w:snapToGrid w:val="0"/>
        </w:rPr>
        <w:tab/>
        <w:t xml:space="preserve">  </w:t>
      </w:r>
      <w:r w:rsidR="0051153A">
        <w:rPr>
          <w:snapToGrid w:val="0"/>
        </w:rPr>
        <w:t xml:space="preserve">8. </w:t>
      </w:r>
      <w:r w:rsidR="00787C23" w:rsidRPr="00787C23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30.11.2023 г.</w:t>
      </w:r>
    </w:p>
    <w:p w:rsidR="0051153A" w:rsidRPr="00F34CC1" w:rsidRDefault="00F5423B" w:rsidP="00F34CC1">
      <w:pPr>
        <w:tabs>
          <w:tab w:val="left" w:pos="8931"/>
        </w:tabs>
        <w:spacing w:after="120" w:line="360" w:lineRule="auto"/>
        <w:ind w:firstLine="567"/>
        <w:jc w:val="both"/>
      </w:pPr>
      <w:r w:rsidRPr="00FD5C06">
        <w:rPr>
          <w:snapToGrid w:val="0"/>
        </w:rPr>
        <w:t xml:space="preserve">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F5423B">
        <w:rPr>
          <w:snapToGrid w:val="0"/>
        </w:rPr>
        <w:t>10</w:t>
      </w:r>
      <w:r w:rsidR="0051153A">
        <w:rPr>
          <w:snapToGrid w:val="0"/>
        </w:rPr>
        <w:t xml:space="preserve">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Default="00F5423B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="0051153A" w:rsidRPr="00002B39">
        <w:t>.1.</w:t>
      </w:r>
      <w:r w:rsidR="00AC4972">
        <w:t xml:space="preserve"> </w:t>
      </w:r>
      <w:r w:rsidRPr="0044374A">
        <w:t>Плащан</w:t>
      </w:r>
      <w:r>
        <w:t>ето</w:t>
      </w:r>
      <w:r w:rsidRPr="0044374A">
        <w:t xml:space="preserve"> </w:t>
      </w:r>
      <w:r w:rsidR="0051153A" w:rsidRPr="0044374A">
        <w:t>се извършвавъз основа на искане за плащане, като Бенефициентът може да подаде искане за авансово</w:t>
      </w:r>
      <w:r w:rsidR="00AC4972">
        <w:t>/и</w:t>
      </w:r>
      <w:r w:rsidR="0051153A"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="0051153A" w:rsidRPr="0044374A">
        <w:t>и искане за окончателно плащане</w:t>
      </w:r>
      <w:r w:rsidR="0051153A">
        <w:t xml:space="preserve">. </w:t>
      </w:r>
      <w:r w:rsidR="0051153A" w:rsidRPr="00002B39">
        <w:t xml:space="preserve">Искания за плащане се подават по следния ред: </w:t>
      </w:r>
    </w:p>
    <w:p w:rsidR="00EB3AAA" w:rsidRPr="00EC5D4D" w:rsidRDefault="00EB3AAA" w:rsidP="00EC5D4D">
      <w:pPr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CA1577">
        <w:t xml:space="preserve">т. </w:t>
      </w:r>
      <w:r w:rsidRPr="0044374A">
        <w:t>9</w:t>
      </w:r>
      <w:r w:rsidR="00F34CC1">
        <w:t xml:space="preserve"> </w:t>
      </w:r>
      <w:r w:rsidRPr="0044374A">
        <w:t xml:space="preserve">се извършват въз основа на искане за плащане, </w:t>
      </w:r>
      <w:r w:rsidRPr="00002B39">
        <w:t>пода</w:t>
      </w:r>
      <w:r w:rsidR="00F34CC1">
        <w:t>дено</w:t>
      </w:r>
      <w:r w:rsidRPr="00002B39">
        <w:t xml:space="preserve"> по следния ред:</w:t>
      </w:r>
    </w:p>
    <w:p w:rsidR="00F5423B" w:rsidRPr="00196BC7" w:rsidRDefault="00EC5D4D" w:rsidP="00EC5D4D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</w:rPr>
        <w:tab/>
      </w:r>
      <w:r w:rsidR="00F5423B">
        <w:rPr>
          <w:color w:val="000000"/>
        </w:rPr>
        <w:t>10</w:t>
      </w:r>
      <w:r w:rsidR="0051153A" w:rsidRPr="00002B39">
        <w:rPr>
          <w:color w:val="000000"/>
        </w:rPr>
        <w:t>.</w:t>
      </w:r>
      <w:r w:rsidR="00EB3AAA">
        <w:rPr>
          <w:color w:val="000000"/>
        </w:rPr>
        <w:t>2</w:t>
      </w:r>
      <w:r w:rsidR="0051153A" w:rsidRPr="00002B39">
        <w:rPr>
          <w:color w:val="000000"/>
        </w:rPr>
        <w:t xml:space="preserve">.1. Искане за авансово плащане </w:t>
      </w:r>
      <w:r w:rsidR="0051153A" w:rsidRPr="0044374A">
        <w:rPr>
          <w:color w:val="000000"/>
        </w:rPr>
        <w:t>се подава</w:t>
      </w:r>
      <w:r w:rsidR="00AC4972">
        <w:rPr>
          <w:color w:val="000000"/>
        </w:rPr>
        <w:t xml:space="preserve"> </w:t>
      </w:r>
      <w:r w:rsidR="00787C23">
        <w:rPr>
          <w:color w:val="000000"/>
        </w:rPr>
        <w:t>в срок до ................</w:t>
      </w:r>
      <w:r w:rsidR="0051153A"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 w:rsidR="0051153A">
        <w:rPr>
          <w:color w:val="000000"/>
        </w:rPr>
        <w:t xml:space="preserve"> </w:t>
      </w:r>
      <w:r w:rsidR="00787C23">
        <w:rPr>
          <w:color w:val="000000"/>
        </w:rPr>
        <w:t xml:space="preserve">може да </w:t>
      </w:r>
      <w:r w:rsidR="0051153A">
        <w:rPr>
          <w:color w:val="000000"/>
        </w:rPr>
        <w:t>е</w:t>
      </w:r>
      <w:r w:rsidR="0051153A" w:rsidRPr="0044374A">
        <w:rPr>
          <w:color w:val="000000"/>
        </w:rPr>
        <w:t xml:space="preserve"> </w:t>
      </w:r>
      <w:r w:rsidR="0051153A" w:rsidRPr="00002B39">
        <w:rPr>
          <w:color w:val="000000"/>
        </w:rPr>
        <w:t xml:space="preserve">в размер </w:t>
      </w:r>
      <w:r w:rsidR="0051153A">
        <w:rPr>
          <w:color w:val="000000"/>
        </w:rPr>
        <w:t>на</w:t>
      </w:r>
      <w:r w:rsidR="0051153A">
        <w:rPr>
          <w:color w:val="000000"/>
          <w:lang w:val="en-US"/>
        </w:rPr>
        <w:t>…………………………</w:t>
      </w:r>
      <w:r w:rsidR="0051153A" w:rsidRPr="0044374A">
        <w:t xml:space="preserve"> </w:t>
      </w:r>
      <w:proofErr w:type="spellStart"/>
      <w:r w:rsidR="00F5423B" w:rsidRPr="00196BC7">
        <w:rPr>
          <w:lang w:val="en-US"/>
        </w:rPr>
        <w:t>Размерът</w:t>
      </w:r>
      <w:proofErr w:type="spellEnd"/>
      <w:r w:rsidR="00F5423B" w:rsidRPr="00196BC7">
        <w:rPr>
          <w:lang w:val="en-US"/>
        </w:rPr>
        <w:t xml:space="preserve"> на </w:t>
      </w:r>
      <w:proofErr w:type="spellStart"/>
      <w:r w:rsidR="00F5423B" w:rsidRPr="00196BC7">
        <w:rPr>
          <w:lang w:val="en-US"/>
        </w:rPr>
        <w:t>заявеното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авансово</w:t>
      </w:r>
      <w:proofErr w:type="spellEnd"/>
      <w:r w:rsidR="006C72FC">
        <w:t xml:space="preserve"> </w:t>
      </w:r>
      <w:r w:rsidR="00F34CC1">
        <w:t>и</w:t>
      </w:r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плащане</w:t>
      </w:r>
      <w:proofErr w:type="spellEnd"/>
      <w:r w:rsidR="006C72FC">
        <w:t xml:space="preserve"> </w:t>
      </w:r>
      <w:proofErr w:type="spellStart"/>
      <w:r w:rsidR="00F5423B" w:rsidRPr="00196BC7">
        <w:rPr>
          <w:lang w:val="en-US"/>
        </w:rPr>
        <w:t>може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да</w:t>
      </w:r>
      <w:proofErr w:type="spellEnd"/>
      <w:r w:rsidR="00F5423B" w:rsidRPr="00196BC7">
        <w:rPr>
          <w:lang w:val="en-US"/>
        </w:rPr>
        <w:t xml:space="preserve"> е </w:t>
      </w:r>
      <w:r w:rsidR="00F5423B" w:rsidRPr="00196BC7">
        <w:t>до 40% от размера на БФП по т.</w:t>
      </w:r>
      <w:r w:rsidR="00F5423B">
        <w:t xml:space="preserve"> </w:t>
      </w:r>
      <w:r w:rsidR="00F5423B" w:rsidRPr="00196BC7">
        <w:t>3.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</w:p>
    <w:p w:rsidR="00254516" w:rsidRDefault="00EC5D4D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ab/>
      </w:r>
      <w:r w:rsidR="00F5423B">
        <w:t>10</w:t>
      </w:r>
      <w:r w:rsidR="0051153A" w:rsidRPr="00002B39">
        <w:t>.</w:t>
      </w:r>
      <w:r w:rsidR="00EB3AAA">
        <w:t>2</w:t>
      </w:r>
      <w:r w:rsidR="0051153A" w:rsidRPr="00002B39">
        <w:t>.2. Искане за междинно плащане</w:t>
      </w:r>
      <w:r w:rsidR="0051153A">
        <w:rPr>
          <w:lang w:val="en-US"/>
        </w:rPr>
        <w:t xml:space="preserve"> </w:t>
      </w:r>
      <w:r w:rsidR="0051153A" w:rsidRPr="0044374A">
        <w:rPr>
          <w:lang w:val="en-US"/>
        </w:rPr>
        <w:t xml:space="preserve">се </w:t>
      </w:r>
      <w:proofErr w:type="spellStart"/>
      <w:r w:rsidR="0051153A" w:rsidRPr="0044374A">
        <w:rPr>
          <w:lang w:val="en-US"/>
        </w:rPr>
        <w:t>подава</w:t>
      </w:r>
      <w:proofErr w:type="spellEnd"/>
      <w:r w:rsidR="0051153A" w:rsidRPr="0044374A">
        <w:rPr>
          <w:lang w:val="en-US"/>
        </w:rPr>
        <w:t xml:space="preserve"> </w:t>
      </w:r>
      <w:r w:rsidR="00787C23">
        <w:t>не по-късно от срока, посочен в</w:t>
      </w:r>
      <w:r w:rsidR="0051153A">
        <w:t xml:space="preserve"> </w:t>
      </w:r>
      <w:proofErr w:type="spellStart"/>
      <w:r w:rsidR="0051153A" w:rsidRPr="0044374A">
        <w:rPr>
          <w:lang w:val="en-US"/>
        </w:rPr>
        <w:t>Общите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условия</w:t>
      </w:r>
      <w:proofErr w:type="spellEnd"/>
      <w:r w:rsidR="00AA190D">
        <w:t>,</w:t>
      </w:r>
      <w:r w:rsidR="0051153A" w:rsidRPr="0044374A">
        <w:rPr>
          <w:lang w:val="en-US"/>
        </w:rPr>
        <w:t xml:space="preserve"> и </w:t>
      </w:r>
      <w:proofErr w:type="spellStart"/>
      <w:r w:rsidR="0051153A" w:rsidRPr="0044374A">
        <w:rPr>
          <w:lang w:val="en-US"/>
        </w:rPr>
        <w:t>може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да</w:t>
      </w:r>
      <w:proofErr w:type="spellEnd"/>
      <w:r w:rsidR="0051153A" w:rsidRPr="0044374A">
        <w:rPr>
          <w:lang w:val="en-US"/>
        </w:rPr>
        <w:t xml:space="preserve"> </w:t>
      </w:r>
      <w:r w:rsidR="0051153A">
        <w:rPr>
          <w:lang w:val="en-US"/>
        </w:rPr>
        <w:t xml:space="preserve">e </w:t>
      </w:r>
      <w:r w:rsidR="0051153A">
        <w:t>в размер на ………………………….</w:t>
      </w:r>
      <w:r w:rsidR="0051153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51153A">
        <w:t xml:space="preserve">размера </w:t>
      </w:r>
      <w:r w:rsidR="0051153A" w:rsidRPr="00002B39">
        <w:t>на БФП по т. 3</w:t>
      </w:r>
      <w:r w:rsidR="0051153A">
        <w:t xml:space="preserve">. </w:t>
      </w:r>
      <w:r w:rsidR="00787C23" w:rsidRPr="00787C23">
        <w:t>Срокът за изпълнение на обособената част от одобрения проект, предвиден за междинно плащане е …………….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</w:t>
      </w:r>
      <w:r w:rsidR="00F5423B">
        <w:t>10</w:t>
      </w:r>
      <w:r w:rsidRPr="00002B39">
        <w:rPr>
          <w:lang w:val="en-US"/>
        </w:rPr>
        <w:t>.</w:t>
      </w:r>
      <w:r w:rsidR="00EB3AAA">
        <w:t>2</w:t>
      </w:r>
      <w:r w:rsidRPr="00002B39">
        <w:rPr>
          <w:lang w:val="en-US"/>
        </w:rPr>
        <w:t xml:space="preserve">.3. </w:t>
      </w:r>
      <w:r w:rsidR="00EB3AAA" w:rsidRPr="00196BC7">
        <w:t xml:space="preserve">Искане за окончателно плащане се подава </w:t>
      </w:r>
      <w:r w:rsidR="00787C23">
        <w:t>в срока, посочен в</w:t>
      </w:r>
      <w:r w:rsidR="00F34CC1">
        <w:t xml:space="preserve"> </w:t>
      </w:r>
      <w:r w:rsidR="00EB3AAA" w:rsidRPr="00196BC7">
        <w:t xml:space="preserve">Общите условия и може да е в размер на ……………………………………. </w:t>
      </w:r>
      <w:r w:rsidR="00714672" w:rsidRPr="00714672">
        <w:t>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51153A" w:rsidRPr="00002B39" w:rsidRDefault="00EB3AA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51153A" w:rsidRPr="00002B39">
        <w:rPr>
          <w:snapToGrid w:val="0"/>
        </w:rPr>
        <w:t>.</w:t>
      </w:r>
      <w:r>
        <w:rPr>
          <w:snapToGrid w:val="0"/>
        </w:rPr>
        <w:t>3</w:t>
      </w:r>
      <w:r w:rsidR="0051153A" w:rsidRPr="00002B39">
        <w:rPr>
          <w:snapToGrid w:val="0"/>
        </w:rPr>
        <w:t>. Плащан</w:t>
      </w:r>
      <w:r w:rsidR="0051153A">
        <w:rPr>
          <w:snapToGrid w:val="0"/>
        </w:rPr>
        <w:t>ия</w:t>
      </w:r>
      <w:r w:rsidR="0051153A" w:rsidRPr="00002B39">
        <w:rPr>
          <w:snapToGrid w:val="0"/>
        </w:rPr>
        <w:t>т</w:t>
      </w:r>
      <w:r w:rsidR="0051153A">
        <w:rPr>
          <w:snapToGrid w:val="0"/>
        </w:rPr>
        <w:t>а</w:t>
      </w:r>
      <w:r w:rsidR="0051153A" w:rsidRPr="00002B39">
        <w:rPr>
          <w:snapToGrid w:val="0"/>
        </w:rPr>
        <w:t xml:space="preserve"> по този договор се извършва</w:t>
      </w:r>
      <w:r w:rsidR="0051153A">
        <w:rPr>
          <w:snapToGrid w:val="0"/>
        </w:rPr>
        <w:t>т</w:t>
      </w:r>
      <w:r w:rsidR="0051153A" w:rsidRPr="00002B39">
        <w:rPr>
          <w:snapToGrid w:val="0"/>
        </w:rPr>
        <w:t xml:space="preserve"> в левове, по банков път, </w:t>
      </w:r>
      <w:r w:rsidR="0051153A"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</w:rPr>
        <w:t>11</w:t>
      </w:r>
      <w:r w:rsidR="0051153A">
        <w:rPr>
          <w:snapToGrid w:val="0"/>
        </w:rPr>
        <w:t xml:space="preserve">. </w:t>
      </w:r>
      <w:r w:rsidR="0051153A" w:rsidRPr="00095B87">
        <w:rPr>
          <w:snapToGrid w:val="0"/>
        </w:rPr>
        <w:t xml:space="preserve">Отчитането на </w:t>
      </w:r>
      <w:r w:rsidR="0051153A">
        <w:rPr>
          <w:snapToGrid w:val="0"/>
        </w:rPr>
        <w:t xml:space="preserve">изпълнението на </w:t>
      </w:r>
      <w:r w:rsidR="00714672">
        <w:rPr>
          <w:snapToGrid w:val="0"/>
        </w:rPr>
        <w:t xml:space="preserve">одобрения </w:t>
      </w:r>
      <w:r w:rsidR="0051153A" w:rsidRPr="00095B87">
        <w:rPr>
          <w:snapToGrid w:val="0"/>
        </w:rPr>
        <w:t xml:space="preserve">проект се извършва </w:t>
      </w:r>
      <w:r w:rsidR="0051153A">
        <w:rPr>
          <w:snapToGrid w:val="0"/>
        </w:rPr>
        <w:t xml:space="preserve">по реда, условията и в </w:t>
      </w:r>
      <w:r w:rsidR="0051153A" w:rsidRPr="00095B87">
        <w:rPr>
          <w:snapToGrid w:val="0"/>
        </w:rPr>
        <w:t>сроковете, определени в Общите условия</w:t>
      </w:r>
      <w:r w:rsidR="00714672">
        <w:rPr>
          <w:snapToGrid w:val="0"/>
        </w:rPr>
        <w:t xml:space="preserve"> и </w:t>
      </w:r>
      <w:r w:rsidR="0051153A" w:rsidRPr="00095B87">
        <w:rPr>
          <w:snapToGrid w:val="0"/>
        </w:rPr>
        <w:t>Условията за изпълнение</w:t>
      </w:r>
      <w:r w:rsidR="00714672">
        <w:rPr>
          <w:snapToGrid w:val="0"/>
          <w:lang w:eastAsia="bg-BG"/>
        </w:rPr>
        <w:t>.</w:t>
      </w:r>
    </w:p>
    <w:p w:rsidR="00714672" w:rsidRP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="0051153A">
        <w:rPr>
          <w:snapToGrid w:val="0"/>
          <w:lang w:eastAsia="bg-BG"/>
        </w:rPr>
        <w:t xml:space="preserve">. </w:t>
      </w:r>
      <w:r w:rsidR="00714672" w:rsidRPr="00714672">
        <w:rPr>
          <w:snapToGrid w:val="0"/>
          <w:lang w:eastAsia="bg-BG"/>
        </w:rPr>
        <w:t>Приложим режим на държавна помощ: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Определяне на финансовото подпомагане като „помощ“: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(3) Безвъзмездната финансова помощ в размер на .....................................................................  се отпуска на основание помощ de minimis съгласно разпоредбите на Регламент (EC) № 1407/2013 г.(в случаите, в които е приложимо).</w:t>
      </w:r>
    </w:p>
    <w:p w:rsidR="00714672" w:rsidRDefault="00714672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51153A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51153A">
        <w:rPr>
          <w:snapToGrid w:val="0"/>
          <w:lang w:eastAsia="bg-BG"/>
        </w:rPr>
        <w:t xml:space="preserve">. </w:t>
      </w:r>
      <w:r w:rsidR="0051153A"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51153A"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="0051153A" w:rsidRPr="002C78F5">
        <w:rPr>
          <w:snapToGrid w:val="0"/>
        </w:rPr>
        <w:t xml:space="preserve"> </w:t>
      </w:r>
      <w:r w:rsidR="0051153A" w:rsidRPr="00455C2F">
        <w:rPr>
          <w:snapToGrid w:val="0"/>
        </w:rPr>
        <w:t>ал. 1 и 2</w:t>
      </w:r>
      <w:r w:rsidR="0051153A">
        <w:rPr>
          <w:snapToGrid w:val="0"/>
        </w:rPr>
        <w:t xml:space="preserve"> </w:t>
      </w:r>
      <w:r w:rsidR="0051153A"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="0051153A" w:rsidRPr="002C78F5">
        <w:rPr>
          <w:snapToGrid w:val="0"/>
        </w:rPr>
        <w:t>ЗУСЕСИФ</w:t>
      </w:r>
      <w:r w:rsidR="0051153A"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3B67E0">
        <w:rPr>
          <w:snapToGrid w:val="0"/>
          <w:lang w:val="en-US"/>
        </w:rPr>
        <w:t>VIII</w:t>
      </w:r>
      <w:r w:rsidR="00714672">
        <w:rPr>
          <w:snapToGrid w:val="0"/>
          <w:lang w:val="en-US"/>
        </w:rPr>
        <w:t xml:space="preserve">  </w:t>
      </w:r>
      <w:r w:rsidR="004112F4">
        <w:rPr>
          <w:snapToGrid w:val="0"/>
        </w:rPr>
        <w:t>от</w:t>
      </w:r>
      <w:r w:rsidR="0051153A">
        <w:rPr>
          <w:snapToGrid w:val="0"/>
        </w:rPr>
        <w:t xml:space="preserve"> Общите условия</w:t>
      </w:r>
      <w:r w:rsidR="0051153A" w:rsidRPr="002C78F5">
        <w:rPr>
          <w:snapToGrid w:val="0"/>
          <w:lang w:eastAsia="bg-BG"/>
        </w:rPr>
        <w:t>.</w:t>
      </w:r>
    </w:p>
    <w:p w:rsidR="0051153A" w:rsidRPr="00095B87" w:rsidRDefault="00EB3AA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>14</w:t>
      </w:r>
      <w:r w:rsidR="0051153A">
        <w:rPr>
          <w:snapToGrid w:val="0"/>
        </w:rPr>
        <w:t>.</w:t>
      </w:r>
      <w:r w:rsidR="00714672">
        <w:rPr>
          <w:snapToGrid w:val="0"/>
        </w:rPr>
        <w:t xml:space="preserve"> Настоящият д</w:t>
      </w:r>
      <w:r w:rsidR="0051153A" w:rsidRPr="00095B87">
        <w:rPr>
          <w:snapToGrid w:val="0"/>
        </w:rPr>
        <w:t>оговор може да бъде прекратен при условията и реда на  чл. 39</w:t>
      </w:r>
      <w:r w:rsidR="0051153A">
        <w:rPr>
          <w:snapToGrid w:val="0"/>
        </w:rPr>
        <w:t xml:space="preserve">, ал. </w:t>
      </w:r>
      <w:proofErr w:type="gramStart"/>
      <w:r w:rsidR="00714672">
        <w:rPr>
          <w:snapToGrid w:val="0"/>
          <w:lang w:val="en-US"/>
        </w:rPr>
        <w:t xml:space="preserve">1 </w:t>
      </w:r>
      <w:r w:rsidR="00714672">
        <w:rPr>
          <w:snapToGrid w:val="0"/>
        </w:rPr>
        <w:t>и ал.</w:t>
      </w:r>
      <w:proofErr w:type="gramEnd"/>
      <w:r w:rsidR="00714672">
        <w:rPr>
          <w:snapToGrid w:val="0"/>
        </w:rPr>
        <w:t xml:space="preserve"> 2</w:t>
      </w:r>
      <w:r w:rsidR="0051153A" w:rsidRPr="00095B87">
        <w:rPr>
          <w:snapToGrid w:val="0"/>
        </w:rPr>
        <w:t xml:space="preserve"> от ЗУСЕСИФ и/или </w:t>
      </w:r>
      <w:r w:rsidR="00383BA2">
        <w:rPr>
          <w:rFonts w:eastAsia="Times New Roman"/>
          <w:lang w:eastAsia="en-GB"/>
        </w:rPr>
        <w:t>Раздел</w:t>
      </w:r>
      <w:r w:rsidR="0051153A" w:rsidRPr="005C2E30">
        <w:rPr>
          <w:rFonts w:eastAsia="Times New Roman"/>
          <w:lang w:eastAsia="en-GB"/>
        </w:rPr>
        <w:t xml:space="preserve"> Х</w:t>
      </w:r>
      <w:r w:rsidR="0051153A" w:rsidRPr="005C2E30">
        <w:rPr>
          <w:rFonts w:eastAsia="Times New Roman"/>
          <w:lang w:val="en-US" w:eastAsia="en-GB"/>
        </w:rPr>
        <w:t>I</w:t>
      </w:r>
      <w:r w:rsidR="0051153A" w:rsidRPr="005C2E30">
        <w:rPr>
          <w:rFonts w:eastAsia="Times New Roman"/>
          <w:lang w:eastAsia="en-GB"/>
        </w:rPr>
        <w:t xml:space="preserve"> </w:t>
      </w:r>
      <w:r w:rsidR="0051153A">
        <w:rPr>
          <w:snapToGrid w:val="0"/>
        </w:rPr>
        <w:t xml:space="preserve">от </w:t>
      </w:r>
      <w:r w:rsidR="0051153A" w:rsidRPr="00095B87">
        <w:rPr>
          <w:snapToGrid w:val="0"/>
        </w:rPr>
        <w:t>Общите условия.</w:t>
      </w:r>
    </w:p>
    <w:p w:rsidR="00687149" w:rsidRPr="00687149" w:rsidRDefault="00EB3AAA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51153A">
        <w:rPr>
          <w:snapToGrid w:val="0"/>
          <w:lang w:eastAsia="bg-BG"/>
        </w:rPr>
        <w:t xml:space="preserve">. </w:t>
      </w:r>
      <w:r w:rsidR="00687149" w:rsidRPr="00687149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 /АДПБФП/ в съответствие с раздел ХI от Общите условия.</w:t>
      </w:r>
    </w:p>
    <w:p w:rsidR="00687149" w:rsidRDefault="00687149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687149">
        <w:rPr>
          <w:snapToGrid w:val="0"/>
          <w:lang w:eastAsia="bg-BG"/>
        </w:rPr>
        <w:t>16. След подписване на настоящия договор, бенефициентът е задължен да проведе процедура за избор на изпълнител, съгласно 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и Условията за изпълнение.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:rsidR="00361A9E" w:rsidRDefault="00687149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687149">
        <w:rPr>
          <w:snapToGrid w:val="0"/>
          <w:lang w:eastAsia="bg-BG"/>
        </w:rPr>
        <w:t>16.1.В случай, че бенефициентът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:rsidR="0051153A" w:rsidRDefault="00EB3AAA" w:rsidP="00361A9E">
      <w:pPr>
        <w:spacing w:after="120" w:line="360" w:lineRule="auto"/>
        <w:ind w:firstLine="567"/>
        <w:jc w:val="both"/>
        <w:textAlignment w:val="center"/>
      </w:pPr>
      <w:r>
        <w:t>17</w:t>
      </w:r>
      <w:r w:rsidR="0051153A">
        <w:t xml:space="preserve">. </w:t>
      </w:r>
      <w:r w:rsidR="0051153A" w:rsidRPr="00CC3341">
        <w:t xml:space="preserve">Процедурата за </w:t>
      </w:r>
      <w:r w:rsidR="0051153A">
        <w:t xml:space="preserve">избор на изпълнител не </w:t>
      </w:r>
      <w:r w:rsidR="000F7880">
        <w:t xml:space="preserve">следва да </w:t>
      </w:r>
      <w:r w:rsidR="0051153A">
        <w:t xml:space="preserve">води до </w:t>
      </w:r>
      <w:r w:rsidR="0051153A" w:rsidRPr="00CC3341">
        <w:t>промяна в срока за изпълнение на проекта</w:t>
      </w:r>
      <w:r w:rsidR="0051153A">
        <w:t xml:space="preserve"> по т. 7.</w:t>
      </w:r>
      <w:r w:rsidR="0051153A" w:rsidRPr="00AB47E2">
        <w:t xml:space="preserve"> </w:t>
      </w:r>
    </w:p>
    <w:p w:rsidR="0051153A" w:rsidRDefault="00EB3AA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>
        <w:t>8</w:t>
      </w:r>
      <w:r w:rsidR="0051153A">
        <w:t>.</w:t>
      </w:r>
      <w:r w:rsidR="0051153A">
        <w:tab/>
      </w:r>
      <w:r w:rsidR="0051153A" w:rsidRPr="00166166">
        <w:t>След приключване на процедур</w:t>
      </w:r>
      <w:r w:rsidR="0051153A">
        <w:t>а</w:t>
      </w:r>
      <w:r w:rsidR="0051153A" w:rsidRPr="00166166">
        <w:t>т</w:t>
      </w:r>
      <w:r w:rsidR="0051153A">
        <w:t>а</w:t>
      </w:r>
      <w:r w:rsidR="0051153A" w:rsidRPr="00166166">
        <w:t xml:space="preserve"> по </w:t>
      </w:r>
      <w:r w:rsidR="0051153A" w:rsidRPr="00C07468">
        <w:t>т.</w:t>
      </w:r>
      <w:r w:rsidR="0051153A">
        <w:t xml:space="preserve"> </w:t>
      </w:r>
      <w:r w:rsidR="00383BA2">
        <w:rPr>
          <w:lang w:val="en-US"/>
        </w:rPr>
        <w:t>16</w:t>
      </w:r>
      <w:r w:rsidR="0051153A" w:rsidRPr="00166166">
        <w:t xml:space="preserve"> </w:t>
      </w:r>
      <w:r w:rsidR="00687149" w:rsidRPr="00687149">
        <w:t>и т.</w:t>
      </w:r>
      <w:r w:rsidR="003B4D92">
        <w:t xml:space="preserve"> </w:t>
      </w:r>
      <w:bookmarkStart w:id="2" w:name="_GoBack"/>
      <w:bookmarkEnd w:id="2"/>
      <w:r w:rsidR="00687149" w:rsidRPr="00687149">
        <w:t>16.</w:t>
      </w:r>
      <w:r w:rsidR="00687149">
        <w:t xml:space="preserve"> </w:t>
      </w:r>
      <w:r w:rsidR="0051153A" w:rsidRPr="00166166">
        <w:t xml:space="preserve">бенефициентът </w:t>
      </w:r>
      <w:r w:rsidR="0051153A">
        <w:t xml:space="preserve">и </w:t>
      </w:r>
      <w:r w:rsidR="0051153A" w:rsidRPr="00941EBB">
        <w:t xml:space="preserve">УО на ПМДР </w:t>
      </w:r>
      <w:r w:rsidR="0051153A">
        <w:t xml:space="preserve">сключват </w:t>
      </w:r>
      <w:r w:rsidR="0051153A" w:rsidRPr="00941EBB">
        <w:t>допълнително</w:t>
      </w:r>
      <w:r w:rsidR="0051153A" w:rsidRPr="00166166">
        <w:t xml:space="preserve"> споразумение</w:t>
      </w:r>
      <w:r w:rsidR="0051153A" w:rsidRPr="00166166">
        <w:rPr>
          <w:lang w:val="ru-RU"/>
        </w:rPr>
        <w:t xml:space="preserve">, </w:t>
      </w:r>
      <w:r w:rsidR="0051153A" w:rsidRPr="00166166">
        <w:t xml:space="preserve">в което се посочват избраните изпълнители и окончателния размер на БФП </w:t>
      </w:r>
      <w:r w:rsidR="0051153A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361A9E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51153A" w:rsidRPr="00166166">
        <w:rPr>
          <w:snapToGrid w:val="0"/>
          <w:lang w:eastAsia="bg-BG"/>
        </w:rPr>
        <w:t>. Цялата кореспонденция, свързана с договора</w:t>
      </w:r>
      <w:r w:rsidR="00687149">
        <w:rPr>
          <w:snapToGrid w:val="0"/>
          <w:lang w:eastAsia="bg-BG"/>
        </w:rPr>
        <w:t xml:space="preserve"> и проекта</w:t>
      </w:r>
      <w:r w:rsidR="0051153A"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(ИСУН</w:t>
      </w:r>
      <w:r w:rsidR="0051153A">
        <w:rPr>
          <w:snapToGrid w:val="0"/>
          <w:lang w:eastAsia="bg-BG"/>
        </w:rPr>
        <w:t xml:space="preserve"> 2020</w:t>
      </w:r>
      <w:r w:rsidR="0051153A" w:rsidRPr="00166166">
        <w:rPr>
          <w:snapToGrid w:val="0"/>
          <w:lang w:eastAsia="bg-BG"/>
        </w:rPr>
        <w:t>)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51153A">
        <w:rPr>
          <w:snapToGrid w:val="0"/>
          <w:lang w:eastAsia="bg-BG"/>
        </w:rPr>
        <w:t>у и на Условията за изпълнение.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t>20</w:t>
      </w:r>
      <w:r w:rsidR="00731D3B">
        <w:rPr>
          <w:snapToGrid w:val="0"/>
        </w:rPr>
        <w:t xml:space="preserve">.2. </w:t>
      </w:r>
      <w:r w:rsidR="00687149" w:rsidRPr="00687149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носител);</w:t>
      </w:r>
      <w:r w:rsidR="00731D3B">
        <w:rPr>
          <w:snapToGrid w:val="0"/>
        </w:rPr>
        <w:t>;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 1</w:t>
      </w:r>
      <w:r w:rsidR="00877512">
        <w:rPr>
          <w:snapToGrid w:val="0"/>
          <w:lang w:val="en-US"/>
        </w:rPr>
        <w:t>6</w:t>
      </w:r>
      <w:r w:rsidR="00687149" w:rsidRPr="00687149">
        <w:rPr>
          <w:snapToGrid w:val="0"/>
        </w:rPr>
        <w:t xml:space="preserve"> - Методика за определяне размера на финансовите корекции по проекти, финансирани от ПМДР</w:t>
      </w:r>
      <w:r w:rsidR="0051153A" w:rsidRPr="00002B39">
        <w:rPr>
          <w:snapToGrid w:val="0"/>
        </w:rPr>
        <w:t xml:space="preserve">; </w:t>
      </w:r>
    </w:p>
    <w:p w:rsidR="00687149" w:rsidRPr="00687149" w:rsidRDefault="00361A9E" w:rsidP="00687149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4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</w:t>
      </w:r>
      <w:r w:rsidR="00877512">
        <w:rPr>
          <w:snapToGrid w:val="0"/>
          <w:lang w:val="en-US"/>
        </w:rPr>
        <w:t xml:space="preserve"> </w:t>
      </w:r>
      <w:r w:rsidR="00687149" w:rsidRPr="00687149">
        <w:rPr>
          <w:snapToGrid w:val="0"/>
        </w:rPr>
        <w:t xml:space="preserve">8-1 – Декларации към АДБФП (Декларация за липса на нередности; Декларация за липса на конфликт на интереси; Декларация по чл. 10, параграф 5 от Регламент (ЕС) № 508/2014 г; Декларация  за свързаност по смисъла на § 1, т. 13 и т. 14 от допълнителните разпоредби на ЗППЦК; 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 Декларация № 9 за липса на промяна в обстоятелствата, декларирани от кандидата към момента на подаване на формуляра за кандидатстване); </w:t>
      </w:r>
    </w:p>
    <w:p w:rsidR="00687149" w:rsidRDefault="00687149" w:rsidP="00687149">
      <w:pPr>
        <w:spacing w:after="0" w:line="360" w:lineRule="auto"/>
        <w:ind w:firstLine="567"/>
        <w:jc w:val="both"/>
        <w:rPr>
          <w:snapToGrid w:val="0"/>
        </w:rPr>
      </w:pPr>
      <w:r w:rsidRPr="00687149">
        <w:rPr>
          <w:snapToGrid w:val="0"/>
        </w:rPr>
        <w:t>20.5. Декларация №1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B54CD9" w:rsidRDefault="00361A9E" w:rsidP="00687149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>
        <w:rPr>
          <w:snapToGrid w:val="0"/>
        </w:rPr>
        <w:t>1</w:t>
      </w:r>
      <w:r w:rsidR="0015041E">
        <w:rPr>
          <w:snapToGrid w:val="0"/>
        </w:rPr>
        <w:t>.</w:t>
      </w:r>
      <w:r w:rsidR="0051153A" w:rsidRPr="00002B39">
        <w:t xml:space="preserve"> </w:t>
      </w:r>
      <w:r w:rsidR="00687149" w:rsidRPr="00687149">
        <w:t>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С подписването на </w:t>
      </w:r>
      <w:r w:rsidR="00687149">
        <w:rPr>
          <w:snapToGrid w:val="0"/>
        </w:rPr>
        <w:t xml:space="preserve">настоящият </w:t>
      </w:r>
      <w:r w:rsidRPr="00002B39">
        <w:rPr>
          <w:snapToGrid w:val="0"/>
        </w:rPr>
        <w:t>договор</w:t>
      </w:r>
      <w:r w:rsidR="00687149">
        <w:rPr>
          <w:snapToGrid w:val="0"/>
        </w:rPr>
        <w:t xml:space="preserve"> </w:t>
      </w:r>
      <w:r w:rsidRPr="00002B39">
        <w:rPr>
          <w:snapToGrid w:val="0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AC1464">
      <w:pPr>
        <w:spacing w:after="0" w:line="276" w:lineRule="auto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17" w:rsidRDefault="00B87D17" w:rsidP="004B466E">
      <w:pPr>
        <w:spacing w:after="0" w:line="240" w:lineRule="auto"/>
      </w:pPr>
      <w:r>
        <w:separator/>
      </w:r>
    </w:p>
  </w:endnote>
  <w:endnote w:type="continuationSeparator" w:id="0">
    <w:p w:rsidR="00B87D17" w:rsidRDefault="00B87D1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00"/>
    <w:family w:val="roman"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D9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17" w:rsidRDefault="00B87D17" w:rsidP="004B466E">
      <w:pPr>
        <w:spacing w:after="0" w:line="240" w:lineRule="auto"/>
      </w:pPr>
      <w:r>
        <w:separator/>
      </w:r>
    </w:p>
  </w:footnote>
  <w:footnote w:type="continuationSeparator" w:id="0">
    <w:p w:rsidR="00B87D17" w:rsidRDefault="00B87D17" w:rsidP="004B466E">
      <w:pPr>
        <w:spacing w:after="0" w:line="240" w:lineRule="auto"/>
      </w:pPr>
      <w:r>
        <w:continuationSeparator/>
      </w:r>
    </w:p>
  </w:footnote>
  <w:footnote w:id="1">
    <w:p w:rsidR="005032E7" w:rsidRPr="00434772" w:rsidRDefault="005032E7" w:rsidP="004B466E">
      <w:pPr>
        <w:pStyle w:val="FootnoteText"/>
        <w:rPr>
          <w:lang w:val="en-US"/>
        </w:rPr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</w:t>
      </w:r>
      <w:r w:rsidR="0006172E" w:rsidRPr="00CE55D6">
        <w:t xml:space="preserve">Процедура </w:t>
      </w:r>
      <w:r w:rsidR="00D73878" w:rsidRPr="00CE55D6">
        <w:rPr>
          <w:rFonts w:ascii="Calibri" w:hAnsi="Calibri" w:cs="Calibri"/>
          <w:sz w:val="24"/>
          <w:szCs w:val="24"/>
        </w:rPr>
        <w:t xml:space="preserve"> </w:t>
      </w:r>
      <w:r w:rsidR="00270E60" w:rsidRPr="00CE55D6">
        <w:rPr>
          <w:rFonts w:ascii="Calibri" w:hAnsi="Calibri" w:cs="Calibri"/>
          <w:sz w:val="24"/>
          <w:szCs w:val="24"/>
        </w:rPr>
        <w:t>BG14MFOP001-1.0</w:t>
      </w:r>
      <w:r w:rsidR="00CE55D6" w:rsidRPr="00CE55D6">
        <w:rPr>
          <w:rFonts w:ascii="Calibri" w:hAnsi="Calibri" w:cs="Calibri"/>
          <w:sz w:val="24"/>
          <w:szCs w:val="24"/>
        </w:rPr>
        <w:t>2</w:t>
      </w:r>
      <w:r w:rsidR="00434772">
        <w:rPr>
          <w:rFonts w:ascii="Calibri" w:hAnsi="Calibri" w:cs="Calibri"/>
          <w:sz w:val="24"/>
          <w:szCs w:val="24"/>
          <w:lang w:val="en-US"/>
        </w:rPr>
        <w:t>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C5F3A"/>
    <w:rsid w:val="000D3A24"/>
    <w:rsid w:val="000F220D"/>
    <w:rsid w:val="000F7880"/>
    <w:rsid w:val="001104D1"/>
    <w:rsid w:val="001133D6"/>
    <w:rsid w:val="00114F61"/>
    <w:rsid w:val="00115535"/>
    <w:rsid w:val="001221E4"/>
    <w:rsid w:val="0012343C"/>
    <w:rsid w:val="001244EC"/>
    <w:rsid w:val="0012707F"/>
    <w:rsid w:val="001273FC"/>
    <w:rsid w:val="00143C01"/>
    <w:rsid w:val="0015041E"/>
    <w:rsid w:val="00151D39"/>
    <w:rsid w:val="001533E6"/>
    <w:rsid w:val="00155FDE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54516"/>
    <w:rsid w:val="00255728"/>
    <w:rsid w:val="002606BF"/>
    <w:rsid w:val="00262651"/>
    <w:rsid w:val="002643A3"/>
    <w:rsid w:val="00270E60"/>
    <w:rsid w:val="0027671B"/>
    <w:rsid w:val="00277C8C"/>
    <w:rsid w:val="0028336D"/>
    <w:rsid w:val="002854DB"/>
    <w:rsid w:val="00291CE3"/>
    <w:rsid w:val="002966AD"/>
    <w:rsid w:val="002A6877"/>
    <w:rsid w:val="002A6FA2"/>
    <w:rsid w:val="002B15A9"/>
    <w:rsid w:val="002B1F07"/>
    <w:rsid w:val="002B3DF3"/>
    <w:rsid w:val="002B789C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4355D"/>
    <w:rsid w:val="003504A6"/>
    <w:rsid w:val="0035387F"/>
    <w:rsid w:val="00355573"/>
    <w:rsid w:val="00360726"/>
    <w:rsid w:val="00361A9E"/>
    <w:rsid w:val="003631B2"/>
    <w:rsid w:val="0037649A"/>
    <w:rsid w:val="00383BA2"/>
    <w:rsid w:val="00384364"/>
    <w:rsid w:val="00384F35"/>
    <w:rsid w:val="0039078D"/>
    <w:rsid w:val="00390977"/>
    <w:rsid w:val="003A00BE"/>
    <w:rsid w:val="003A2934"/>
    <w:rsid w:val="003A69F0"/>
    <w:rsid w:val="003B4D92"/>
    <w:rsid w:val="003B6554"/>
    <w:rsid w:val="003B67E0"/>
    <w:rsid w:val="003C068B"/>
    <w:rsid w:val="003C17C7"/>
    <w:rsid w:val="003E7C10"/>
    <w:rsid w:val="003F6CBB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4772"/>
    <w:rsid w:val="004354EC"/>
    <w:rsid w:val="00437BD0"/>
    <w:rsid w:val="0044374A"/>
    <w:rsid w:val="004469C0"/>
    <w:rsid w:val="00456381"/>
    <w:rsid w:val="00457CEE"/>
    <w:rsid w:val="0046143C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21DA"/>
    <w:rsid w:val="0050113E"/>
    <w:rsid w:val="005032E7"/>
    <w:rsid w:val="0051153A"/>
    <w:rsid w:val="00525F5F"/>
    <w:rsid w:val="005433F4"/>
    <w:rsid w:val="00546FFF"/>
    <w:rsid w:val="00547A10"/>
    <w:rsid w:val="00556E2B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4B51"/>
    <w:rsid w:val="005E441F"/>
    <w:rsid w:val="005E52EB"/>
    <w:rsid w:val="005E5647"/>
    <w:rsid w:val="005F08C1"/>
    <w:rsid w:val="005F59E0"/>
    <w:rsid w:val="005F6303"/>
    <w:rsid w:val="0061557D"/>
    <w:rsid w:val="00631535"/>
    <w:rsid w:val="00636796"/>
    <w:rsid w:val="00655ECA"/>
    <w:rsid w:val="00664C08"/>
    <w:rsid w:val="00664D64"/>
    <w:rsid w:val="00667846"/>
    <w:rsid w:val="00680E9E"/>
    <w:rsid w:val="00687149"/>
    <w:rsid w:val="00687578"/>
    <w:rsid w:val="006903D4"/>
    <w:rsid w:val="006A0C06"/>
    <w:rsid w:val="006B3568"/>
    <w:rsid w:val="006C1E11"/>
    <w:rsid w:val="006C2D9C"/>
    <w:rsid w:val="006C72FC"/>
    <w:rsid w:val="006D23EB"/>
    <w:rsid w:val="006E1CA8"/>
    <w:rsid w:val="00705030"/>
    <w:rsid w:val="0071054D"/>
    <w:rsid w:val="00713B45"/>
    <w:rsid w:val="00714672"/>
    <w:rsid w:val="00716ABE"/>
    <w:rsid w:val="007178A3"/>
    <w:rsid w:val="00723214"/>
    <w:rsid w:val="00731D3B"/>
    <w:rsid w:val="00744CD1"/>
    <w:rsid w:val="0076014C"/>
    <w:rsid w:val="00761720"/>
    <w:rsid w:val="00770371"/>
    <w:rsid w:val="00785510"/>
    <w:rsid w:val="00786487"/>
    <w:rsid w:val="00787C23"/>
    <w:rsid w:val="00795061"/>
    <w:rsid w:val="007D3784"/>
    <w:rsid w:val="007E1561"/>
    <w:rsid w:val="007E1FFD"/>
    <w:rsid w:val="007E589C"/>
    <w:rsid w:val="007E65EF"/>
    <w:rsid w:val="007F414A"/>
    <w:rsid w:val="00804256"/>
    <w:rsid w:val="00814176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77512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CF1"/>
    <w:rsid w:val="00913615"/>
    <w:rsid w:val="00915F93"/>
    <w:rsid w:val="0092395B"/>
    <w:rsid w:val="00923E4A"/>
    <w:rsid w:val="00932CBA"/>
    <w:rsid w:val="00937F3C"/>
    <w:rsid w:val="00941D6C"/>
    <w:rsid w:val="00943F53"/>
    <w:rsid w:val="00944D27"/>
    <w:rsid w:val="009529E2"/>
    <w:rsid w:val="00955517"/>
    <w:rsid w:val="0096694D"/>
    <w:rsid w:val="009816B6"/>
    <w:rsid w:val="00983525"/>
    <w:rsid w:val="009859CD"/>
    <w:rsid w:val="00994564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17"/>
    <w:rsid w:val="00A53F15"/>
    <w:rsid w:val="00A55C79"/>
    <w:rsid w:val="00A5774D"/>
    <w:rsid w:val="00A629B0"/>
    <w:rsid w:val="00A666A5"/>
    <w:rsid w:val="00A66A7A"/>
    <w:rsid w:val="00A67230"/>
    <w:rsid w:val="00A75964"/>
    <w:rsid w:val="00A770AA"/>
    <w:rsid w:val="00A83CEC"/>
    <w:rsid w:val="00A84421"/>
    <w:rsid w:val="00A91853"/>
    <w:rsid w:val="00AA190D"/>
    <w:rsid w:val="00AB1C25"/>
    <w:rsid w:val="00AB4A87"/>
    <w:rsid w:val="00AC0933"/>
    <w:rsid w:val="00AC1464"/>
    <w:rsid w:val="00AC4972"/>
    <w:rsid w:val="00AD0B21"/>
    <w:rsid w:val="00AD33E2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40148"/>
    <w:rsid w:val="00B54CD9"/>
    <w:rsid w:val="00B64783"/>
    <w:rsid w:val="00B67976"/>
    <w:rsid w:val="00B70F9A"/>
    <w:rsid w:val="00B71F20"/>
    <w:rsid w:val="00B72B83"/>
    <w:rsid w:val="00B75FFB"/>
    <w:rsid w:val="00B81ABF"/>
    <w:rsid w:val="00B82DFA"/>
    <w:rsid w:val="00B87D17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16E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61DFE"/>
    <w:rsid w:val="00C675CD"/>
    <w:rsid w:val="00C80A58"/>
    <w:rsid w:val="00C8470A"/>
    <w:rsid w:val="00C86D2C"/>
    <w:rsid w:val="00CA0189"/>
    <w:rsid w:val="00CA1577"/>
    <w:rsid w:val="00CA25D2"/>
    <w:rsid w:val="00CC6928"/>
    <w:rsid w:val="00CC73B2"/>
    <w:rsid w:val="00CD0360"/>
    <w:rsid w:val="00CE081F"/>
    <w:rsid w:val="00CE0D3F"/>
    <w:rsid w:val="00CE2053"/>
    <w:rsid w:val="00CE55D6"/>
    <w:rsid w:val="00CE7C54"/>
    <w:rsid w:val="00D034D4"/>
    <w:rsid w:val="00D06BFE"/>
    <w:rsid w:val="00D13626"/>
    <w:rsid w:val="00D222EC"/>
    <w:rsid w:val="00D3334D"/>
    <w:rsid w:val="00D51FE5"/>
    <w:rsid w:val="00D70585"/>
    <w:rsid w:val="00D73878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45F85"/>
    <w:rsid w:val="00E539C4"/>
    <w:rsid w:val="00E54104"/>
    <w:rsid w:val="00E643D6"/>
    <w:rsid w:val="00E71612"/>
    <w:rsid w:val="00E81272"/>
    <w:rsid w:val="00E87B72"/>
    <w:rsid w:val="00E933D8"/>
    <w:rsid w:val="00E9716F"/>
    <w:rsid w:val="00EB3AAA"/>
    <w:rsid w:val="00EC0648"/>
    <w:rsid w:val="00EC0BAF"/>
    <w:rsid w:val="00EC0BE1"/>
    <w:rsid w:val="00EC1FBD"/>
    <w:rsid w:val="00EC3FAA"/>
    <w:rsid w:val="00EC5D4D"/>
    <w:rsid w:val="00ED4A52"/>
    <w:rsid w:val="00ED6BAE"/>
    <w:rsid w:val="00EE42E7"/>
    <w:rsid w:val="00F032D4"/>
    <w:rsid w:val="00F0360E"/>
    <w:rsid w:val="00F04253"/>
    <w:rsid w:val="00F22176"/>
    <w:rsid w:val="00F23B1F"/>
    <w:rsid w:val="00F34CC1"/>
    <w:rsid w:val="00F36CB8"/>
    <w:rsid w:val="00F43117"/>
    <w:rsid w:val="00F5423B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8</Pages>
  <Words>1970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77</cp:revision>
  <cp:lastPrinted>2018-12-13T07:12:00Z</cp:lastPrinted>
  <dcterms:created xsi:type="dcterms:W3CDTF">2018-11-05T09:41:00Z</dcterms:created>
  <dcterms:modified xsi:type="dcterms:W3CDTF">2022-05-31T07:31:00Z</dcterms:modified>
</cp:coreProperties>
</file>