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25" w:type="dxa"/>
        <w:tblInd w:w="1492" w:type="dxa"/>
        <w:tblLayout w:type="fixed"/>
        <w:tblCellMar>
          <w:left w:w="0" w:type="dxa"/>
          <w:right w:w="0" w:type="dxa"/>
        </w:tblCellMar>
        <w:tblLook w:val="0000" w:firstRow="0" w:lastRow="0" w:firstColumn="0" w:lastColumn="0" w:noHBand="0" w:noVBand="0"/>
      </w:tblPr>
      <w:tblGrid>
        <w:gridCol w:w="3445"/>
        <w:gridCol w:w="1217"/>
        <w:gridCol w:w="4337"/>
        <w:gridCol w:w="2126"/>
      </w:tblGrid>
      <w:tr w:rsidR="00025E58" w:rsidRPr="00144A1F" w14:paraId="21AAFF0D" w14:textId="77777777" w:rsidTr="00E756A6">
        <w:trPr>
          <w:trHeight w:val="1256"/>
          <w:tblHeader/>
        </w:trPr>
        <w:tc>
          <w:tcPr>
            <w:tcW w:w="3445" w:type="dxa"/>
            <w:vMerge w:val="restart"/>
            <w:tcBorders>
              <w:top w:val="single" w:sz="1" w:space="0" w:color="000000"/>
              <w:left w:val="single" w:sz="1" w:space="0" w:color="000000"/>
            </w:tcBorders>
            <w:vAlign w:val="center"/>
          </w:tcPr>
          <w:p w14:paraId="69D3DF59" w14:textId="77777777" w:rsidR="00025E58"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 xml:space="preserve">Министерство на </w:t>
            </w:r>
            <w:r w:rsidR="00971D91">
              <w:rPr>
                <w:rFonts w:eastAsia="HG Mincho Light J"/>
                <w:b/>
                <w:color w:val="000000"/>
                <w:sz w:val="20"/>
                <w:szCs w:val="20"/>
                <w:lang w:val="bg-BG"/>
              </w:rPr>
              <w:t>земеделието</w:t>
            </w:r>
          </w:p>
          <w:p w14:paraId="002C4755" w14:textId="77777777" w:rsidR="00971D91" w:rsidRPr="00144A1F" w:rsidRDefault="00971D91" w:rsidP="00E756A6">
            <w:pPr>
              <w:widowControl w:val="0"/>
              <w:suppressLineNumbers/>
              <w:suppressAutoHyphens/>
              <w:jc w:val="center"/>
              <w:rPr>
                <w:rFonts w:eastAsia="HG Mincho Light J"/>
                <w:b/>
                <w:color w:val="000000"/>
                <w:sz w:val="20"/>
                <w:szCs w:val="20"/>
                <w:lang w:val="bg-BG"/>
              </w:rPr>
            </w:pPr>
          </w:p>
          <w:p w14:paraId="3DB92DDE" w14:textId="77777777" w:rsidR="00025E58" w:rsidRPr="00877A5F" w:rsidRDefault="00025E58" w:rsidP="00E756A6">
            <w:pPr>
              <w:widowControl w:val="0"/>
              <w:suppressLineNumbers/>
              <w:suppressAutoHyphens/>
              <w:jc w:val="center"/>
              <w:rPr>
                <w:rFonts w:eastAsia="HG Mincho Light J"/>
                <w:b/>
                <w:color w:val="000000"/>
                <w:sz w:val="20"/>
                <w:szCs w:val="20"/>
                <w:lang w:val="en-US"/>
              </w:rPr>
            </w:pPr>
            <w:r>
              <w:rPr>
                <w:rFonts w:eastAsia="HG Mincho Light J"/>
                <w:b/>
                <w:color w:val="000000"/>
                <w:sz w:val="20"/>
                <w:szCs w:val="20"/>
                <w:lang w:val="bg-BG"/>
              </w:rPr>
              <w:t>Д</w:t>
            </w:r>
            <w:r w:rsidRPr="00144A1F">
              <w:rPr>
                <w:rFonts w:eastAsia="HG Mincho Light J"/>
                <w:b/>
                <w:color w:val="000000"/>
                <w:sz w:val="20"/>
                <w:szCs w:val="20"/>
                <w:lang w:val="bg-BG"/>
              </w:rPr>
              <w:t>ирекция “</w:t>
            </w:r>
            <w:r>
              <w:rPr>
                <w:rFonts w:eastAsia="HG Mincho Light J"/>
                <w:b/>
                <w:color w:val="000000"/>
                <w:sz w:val="20"/>
                <w:szCs w:val="20"/>
                <w:lang w:val="bg-BG"/>
              </w:rPr>
              <w:t>Морско дело и рибарство</w:t>
            </w:r>
            <w:r w:rsidRPr="00144A1F">
              <w:rPr>
                <w:rFonts w:eastAsia="HG Mincho Light J"/>
                <w:b/>
                <w:color w:val="000000"/>
                <w:sz w:val="20"/>
                <w:szCs w:val="20"/>
                <w:lang w:val="bg-BG"/>
              </w:rPr>
              <w:t xml:space="preserve">” – Управляващ орган на </w:t>
            </w:r>
            <w:r>
              <w:rPr>
                <w:rFonts w:eastAsia="HG Mincho Light J"/>
                <w:b/>
                <w:color w:val="000000"/>
                <w:sz w:val="20"/>
                <w:szCs w:val="20"/>
                <w:lang w:val="bg-BG"/>
              </w:rPr>
              <w:t>ПМДР</w:t>
            </w:r>
            <w:r>
              <w:rPr>
                <w:rFonts w:eastAsia="HG Mincho Light J"/>
                <w:b/>
                <w:color w:val="000000"/>
                <w:sz w:val="20"/>
                <w:szCs w:val="20"/>
                <w:lang w:val="en-US"/>
              </w:rPr>
              <w:t xml:space="preserve"> 2014 - 2020</w:t>
            </w:r>
          </w:p>
        </w:tc>
        <w:tc>
          <w:tcPr>
            <w:tcW w:w="5554" w:type="dxa"/>
            <w:gridSpan w:val="2"/>
            <w:tcBorders>
              <w:top w:val="single" w:sz="1" w:space="0" w:color="000000"/>
              <w:left w:val="single" w:sz="1" w:space="0" w:color="000000"/>
              <w:bottom w:val="single" w:sz="1" w:space="0" w:color="000000"/>
            </w:tcBorders>
            <w:vAlign w:val="center"/>
          </w:tcPr>
          <w:p w14:paraId="04217B04"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НАРЪЧНИК ПО ПРОГРАМА ЗА МОРСКО ДЕЛО И РИБАРСТВО</w:t>
            </w:r>
            <w:r w:rsidRPr="00144A1F">
              <w:rPr>
                <w:rFonts w:eastAsia="HG Mincho Light J"/>
                <w:b/>
                <w:color w:val="000000"/>
                <w:sz w:val="20"/>
                <w:szCs w:val="20"/>
                <w:lang w:val="bg-BG"/>
              </w:rPr>
              <w:t>” 2014 -2020 (</w:t>
            </w:r>
            <w:r>
              <w:rPr>
                <w:rFonts w:eastAsia="HG Mincho Light J"/>
                <w:b/>
                <w:color w:val="000000"/>
                <w:sz w:val="20"/>
                <w:szCs w:val="20"/>
                <w:lang w:val="bg-BG"/>
              </w:rPr>
              <w:t>ПМДР</w:t>
            </w:r>
            <w:r w:rsidRPr="00144A1F">
              <w:rPr>
                <w:rFonts w:eastAsia="HG Mincho Light J"/>
                <w:b/>
                <w:color w:val="000000"/>
                <w:sz w:val="20"/>
                <w:szCs w:val="20"/>
                <w:lang w:val="bg-BG"/>
              </w:rPr>
              <w:t>)</w:t>
            </w:r>
          </w:p>
        </w:tc>
        <w:tc>
          <w:tcPr>
            <w:tcW w:w="2126" w:type="dxa"/>
            <w:tcBorders>
              <w:top w:val="single" w:sz="1" w:space="0" w:color="000000"/>
              <w:left w:val="single" w:sz="1" w:space="0" w:color="000000"/>
              <w:bottom w:val="single" w:sz="1" w:space="0" w:color="000000"/>
              <w:right w:val="single" w:sz="1" w:space="0" w:color="000000"/>
            </w:tcBorders>
            <w:vAlign w:val="center"/>
          </w:tcPr>
          <w:p w14:paraId="1378F065"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lang w:val="bg-BG"/>
              </w:rPr>
              <w:t xml:space="preserve">Вариант </w:t>
            </w:r>
            <w:r>
              <w:rPr>
                <w:rFonts w:eastAsia="HG Mincho Light J"/>
                <w:b/>
                <w:color w:val="000000"/>
                <w:sz w:val="20"/>
                <w:lang w:val="bg-BG"/>
              </w:rPr>
              <w:t>2</w:t>
            </w:r>
          </w:p>
        </w:tc>
      </w:tr>
      <w:tr w:rsidR="00025E58" w:rsidRPr="00144A1F" w14:paraId="52D1FE82" w14:textId="77777777" w:rsidTr="00E756A6">
        <w:trPr>
          <w:trHeight w:val="747"/>
        </w:trPr>
        <w:tc>
          <w:tcPr>
            <w:tcW w:w="3445" w:type="dxa"/>
            <w:vMerge/>
            <w:tcBorders>
              <w:left w:val="single" w:sz="1" w:space="0" w:color="000000"/>
            </w:tcBorders>
            <w:vAlign w:val="center"/>
          </w:tcPr>
          <w:p w14:paraId="38075D94"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1217" w:type="dxa"/>
            <w:tcBorders>
              <w:left w:val="single" w:sz="1" w:space="0" w:color="000000"/>
              <w:bottom w:val="single" w:sz="1" w:space="0" w:color="000000"/>
              <w:right w:val="single" w:sz="1" w:space="0" w:color="000000"/>
            </w:tcBorders>
            <w:vAlign w:val="center"/>
          </w:tcPr>
          <w:p w14:paraId="0D9DD807"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Глава 4, раздел 2, </w:t>
            </w:r>
            <w:r w:rsidRPr="00144A1F">
              <w:rPr>
                <w:rFonts w:eastAsia="HG Mincho Light J"/>
                <w:b/>
                <w:color w:val="000000"/>
                <w:sz w:val="20"/>
                <w:szCs w:val="20"/>
                <w:lang w:val="bg-BG"/>
              </w:rPr>
              <w:t xml:space="preserve">Приложение </w:t>
            </w:r>
          </w:p>
          <w:p w14:paraId="7B752F2D"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4.II.1.</w:t>
            </w:r>
            <w:r>
              <w:rPr>
                <w:rFonts w:eastAsia="HG Mincho Light J"/>
                <w:b/>
                <w:color w:val="000000"/>
                <w:sz w:val="20"/>
                <w:szCs w:val="20"/>
                <w:lang w:val="bg-BG"/>
              </w:rPr>
              <w:t>7</w:t>
            </w:r>
            <w:r w:rsidRPr="00144A1F">
              <w:rPr>
                <w:rFonts w:eastAsia="HG Mincho Light J"/>
                <w:b/>
                <w:color w:val="000000"/>
                <w:sz w:val="20"/>
                <w:szCs w:val="20"/>
                <w:lang w:val="bg-BG"/>
              </w:rPr>
              <w:t>.</w:t>
            </w:r>
          </w:p>
        </w:tc>
        <w:tc>
          <w:tcPr>
            <w:tcW w:w="4337" w:type="dxa"/>
            <w:tcBorders>
              <w:left w:val="single" w:sz="1" w:space="0" w:color="000000"/>
              <w:bottom w:val="single" w:sz="1" w:space="0" w:color="000000"/>
              <w:right w:val="single" w:sz="1" w:space="0" w:color="000000"/>
            </w:tcBorders>
            <w:vAlign w:val="center"/>
          </w:tcPr>
          <w:p w14:paraId="599FB8BF" w14:textId="77777777" w:rsidR="00025E58" w:rsidRPr="00144A1F" w:rsidRDefault="00025E58" w:rsidP="00E756A6">
            <w:pPr>
              <w:widowControl w:val="0"/>
              <w:suppressLineNumbers/>
              <w:suppressAutoHyphens/>
              <w:jc w:val="center"/>
              <w:rPr>
                <w:b/>
                <w:sz w:val="20"/>
                <w:szCs w:val="20"/>
                <w:lang w:val="bg-BG"/>
              </w:rPr>
            </w:pPr>
            <w:r w:rsidRPr="00144A1F">
              <w:rPr>
                <w:b/>
                <w:sz w:val="20"/>
                <w:szCs w:val="20"/>
                <w:lang w:val="bg-BG"/>
              </w:rPr>
              <w:t>ПРОЦЕДУРИ ЗА ПРЕДОСТАВЯНЕ НА БЕЗВЪЗМЕЗДНА ФИНАНСОВА ПОМОЩ</w:t>
            </w:r>
          </w:p>
          <w:p w14:paraId="5F7F6AB3" w14:textId="77777777" w:rsidR="00025E58" w:rsidRPr="00144A1F" w:rsidRDefault="00025E58" w:rsidP="00E756A6">
            <w:pPr>
              <w:widowControl w:val="0"/>
              <w:suppressLineNumbers/>
              <w:suppressAutoHyphens/>
              <w:jc w:val="center"/>
              <w:rPr>
                <w:b/>
                <w:iCs/>
                <w:sz w:val="20"/>
                <w:szCs w:val="20"/>
                <w:lang w:val="bg-BG"/>
              </w:rPr>
            </w:pPr>
          </w:p>
          <w:p w14:paraId="362D43C6" w14:textId="77777777" w:rsidR="00025E58" w:rsidRPr="00144A1F" w:rsidRDefault="00025E58" w:rsidP="00E756A6">
            <w:pPr>
              <w:widowControl w:val="0"/>
              <w:suppressLineNumbers/>
              <w:suppressAutoHyphens/>
              <w:jc w:val="center"/>
              <w:rPr>
                <w:b/>
                <w:iCs/>
                <w:sz w:val="20"/>
                <w:szCs w:val="20"/>
                <w:lang w:val="bg-BG"/>
              </w:rPr>
            </w:pPr>
          </w:p>
          <w:p w14:paraId="018DC83E" w14:textId="77777777" w:rsidR="00025E58" w:rsidRPr="00F609C8" w:rsidRDefault="00025E58" w:rsidP="00E756A6">
            <w:pPr>
              <w:widowControl w:val="0"/>
              <w:suppressLineNumbers/>
              <w:suppressAutoHyphens/>
              <w:jc w:val="center"/>
              <w:rPr>
                <w:rFonts w:eastAsia="HG Mincho Light J"/>
                <w:b/>
                <w:color w:val="000000"/>
                <w:sz w:val="20"/>
                <w:szCs w:val="20"/>
                <w:lang w:val="bg-BG"/>
              </w:rPr>
            </w:pPr>
            <w:r w:rsidRPr="00144A1F">
              <w:rPr>
                <w:b/>
                <w:iCs/>
                <w:sz w:val="20"/>
                <w:szCs w:val="20"/>
                <w:lang w:val="bg-BG"/>
              </w:rPr>
              <w:t xml:space="preserve">Образец на Списък на проектните предложения, </w:t>
            </w:r>
            <w:r>
              <w:rPr>
                <w:b/>
                <w:iCs/>
                <w:sz w:val="20"/>
                <w:szCs w:val="20"/>
                <w:lang w:val="bg-BG"/>
              </w:rPr>
              <w:t xml:space="preserve"> които не се допускат до техническа и финансова оценка</w:t>
            </w:r>
          </w:p>
        </w:tc>
        <w:tc>
          <w:tcPr>
            <w:tcW w:w="2126" w:type="dxa"/>
            <w:tcBorders>
              <w:left w:val="single" w:sz="1" w:space="0" w:color="000000"/>
              <w:bottom w:val="single" w:sz="1" w:space="0" w:color="000000"/>
              <w:right w:val="single" w:sz="1" w:space="0" w:color="000000"/>
            </w:tcBorders>
            <w:vAlign w:val="center"/>
          </w:tcPr>
          <w:p w14:paraId="3747A6AD"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b/>
                <w:sz w:val="20"/>
                <w:szCs w:val="20"/>
                <w:lang w:val="bg-BG"/>
              </w:rPr>
              <w:t xml:space="preserve">страница: </w:t>
            </w:r>
            <w:r w:rsidRPr="00144A1F">
              <w:rPr>
                <w:rStyle w:val="PageNumber"/>
                <w:sz w:val="20"/>
                <w:szCs w:val="20"/>
                <w:lang w:val="bg-BG"/>
              </w:rPr>
              <w:fldChar w:fldCharType="begin"/>
            </w:r>
            <w:r w:rsidRPr="00144A1F">
              <w:rPr>
                <w:rStyle w:val="PageNumber"/>
                <w:sz w:val="20"/>
                <w:szCs w:val="20"/>
                <w:lang w:val="bg-BG"/>
              </w:rPr>
              <w:instrText xml:space="preserve"> PAGE </w:instrText>
            </w:r>
            <w:r w:rsidRPr="00144A1F">
              <w:rPr>
                <w:rStyle w:val="PageNumber"/>
                <w:sz w:val="20"/>
                <w:szCs w:val="20"/>
                <w:lang w:val="bg-BG"/>
              </w:rPr>
              <w:fldChar w:fldCharType="separate"/>
            </w:r>
            <w:r>
              <w:rPr>
                <w:rStyle w:val="PageNumber"/>
                <w:noProof/>
                <w:sz w:val="20"/>
                <w:szCs w:val="20"/>
                <w:lang w:val="bg-BG"/>
              </w:rPr>
              <w:t>1</w:t>
            </w:r>
            <w:r w:rsidRPr="00144A1F">
              <w:rPr>
                <w:rStyle w:val="PageNumber"/>
                <w:sz w:val="20"/>
                <w:szCs w:val="20"/>
                <w:lang w:val="bg-BG"/>
              </w:rPr>
              <w:fldChar w:fldCharType="end"/>
            </w:r>
            <w:r w:rsidRPr="00144A1F">
              <w:rPr>
                <w:rStyle w:val="PageNumber"/>
                <w:sz w:val="20"/>
                <w:szCs w:val="20"/>
                <w:lang w:val="bg-BG"/>
              </w:rPr>
              <w:t>/</w:t>
            </w:r>
            <w:r w:rsidRPr="00144A1F">
              <w:rPr>
                <w:rStyle w:val="PageNumber"/>
                <w:sz w:val="20"/>
                <w:szCs w:val="20"/>
                <w:lang w:val="bg-BG"/>
              </w:rPr>
              <w:fldChar w:fldCharType="begin"/>
            </w:r>
            <w:r w:rsidRPr="00144A1F">
              <w:rPr>
                <w:rStyle w:val="PageNumber"/>
                <w:sz w:val="20"/>
                <w:szCs w:val="20"/>
                <w:lang w:val="bg-BG"/>
              </w:rPr>
              <w:instrText xml:space="preserve"> NUMPAGES </w:instrText>
            </w:r>
            <w:r w:rsidRPr="00144A1F">
              <w:rPr>
                <w:rStyle w:val="PageNumber"/>
                <w:sz w:val="20"/>
                <w:szCs w:val="20"/>
                <w:lang w:val="bg-BG"/>
              </w:rPr>
              <w:fldChar w:fldCharType="separate"/>
            </w:r>
            <w:r>
              <w:rPr>
                <w:rStyle w:val="PageNumber"/>
                <w:noProof/>
                <w:sz w:val="20"/>
                <w:szCs w:val="20"/>
                <w:lang w:val="bg-BG"/>
              </w:rPr>
              <w:t>2</w:t>
            </w:r>
            <w:r w:rsidRPr="00144A1F">
              <w:rPr>
                <w:rStyle w:val="PageNumber"/>
                <w:sz w:val="20"/>
                <w:szCs w:val="20"/>
                <w:lang w:val="bg-BG"/>
              </w:rPr>
              <w:fldChar w:fldCharType="end"/>
            </w:r>
          </w:p>
        </w:tc>
      </w:tr>
      <w:tr w:rsidR="00025E58" w:rsidRPr="00144A1F" w14:paraId="508DB717" w14:textId="77777777" w:rsidTr="00E756A6">
        <w:trPr>
          <w:trHeight w:val="697"/>
        </w:trPr>
        <w:tc>
          <w:tcPr>
            <w:tcW w:w="3445" w:type="dxa"/>
            <w:vMerge/>
            <w:tcBorders>
              <w:left w:val="single" w:sz="1" w:space="0" w:color="000000"/>
            </w:tcBorders>
            <w:vAlign w:val="center"/>
          </w:tcPr>
          <w:p w14:paraId="5D1DA75A"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tcBorders>
            <w:vAlign w:val="center"/>
          </w:tcPr>
          <w:p w14:paraId="55AA17A3"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Одобрен от: Ръководител на Управляващия орган</w:t>
            </w:r>
          </w:p>
        </w:tc>
        <w:tc>
          <w:tcPr>
            <w:tcW w:w="2126" w:type="dxa"/>
            <w:tcBorders>
              <w:left w:val="single" w:sz="1" w:space="0" w:color="000000"/>
              <w:bottom w:val="single" w:sz="4" w:space="0" w:color="auto"/>
              <w:right w:val="single" w:sz="1" w:space="0" w:color="000000"/>
            </w:tcBorders>
            <w:vAlign w:val="center"/>
          </w:tcPr>
          <w:p w14:paraId="7959B049"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Дата:</w:t>
            </w:r>
          </w:p>
          <w:p w14:paraId="00CCEC31" w14:textId="77777777" w:rsidR="00025E58" w:rsidRPr="00D81A6C" w:rsidRDefault="00D81A6C"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 2022</w:t>
            </w:r>
          </w:p>
        </w:tc>
      </w:tr>
      <w:tr w:rsidR="00025E58" w:rsidRPr="00144A1F" w14:paraId="6A8B10F7" w14:textId="77777777" w:rsidTr="00E756A6">
        <w:trPr>
          <w:trHeight w:val="697"/>
        </w:trPr>
        <w:tc>
          <w:tcPr>
            <w:tcW w:w="3445" w:type="dxa"/>
            <w:tcBorders>
              <w:left w:val="single" w:sz="1" w:space="0" w:color="000000"/>
              <w:bottom w:val="single" w:sz="1" w:space="0" w:color="000000"/>
            </w:tcBorders>
            <w:vAlign w:val="center"/>
          </w:tcPr>
          <w:p w14:paraId="67B5DC66"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bottom w:val="single" w:sz="1" w:space="0" w:color="000000"/>
              <w:right w:val="single" w:sz="4" w:space="0" w:color="auto"/>
            </w:tcBorders>
            <w:vAlign w:val="center"/>
          </w:tcPr>
          <w:p w14:paraId="46D521B3"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2126" w:type="dxa"/>
            <w:tcBorders>
              <w:top w:val="single" w:sz="4" w:space="0" w:color="auto"/>
              <w:left w:val="single" w:sz="4" w:space="0" w:color="auto"/>
              <w:bottom w:val="single" w:sz="4" w:space="0" w:color="auto"/>
              <w:right w:val="single" w:sz="4" w:space="0" w:color="auto"/>
            </w:tcBorders>
            <w:vAlign w:val="center"/>
          </w:tcPr>
          <w:p w14:paraId="797AB866" w14:textId="77777777" w:rsidR="00025E58" w:rsidRPr="00D4220F" w:rsidRDefault="00025E58" w:rsidP="00E756A6">
            <w:pPr>
              <w:widowControl w:val="0"/>
              <w:suppressLineNumbers/>
              <w:suppressAutoHyphens/>
              <w:jc w:val="center"/>
              <w:rPr>
                <w:rFonts w:eastAsia="HG Mincho Light J"/>
                <w:b/>
                <w:color w:val="000000"/>
                <w:sz w:val="20"/>
                <w:szCs w:val="20"/>
                <w:lang w:val="bg-BG"/>
              </w:rPr>
            </w:pPr>
            <w:r w:rsidRPr="00D4220F">
              <w:rPr>
                <w:rFonts w:eastAsia="HG Mincho Light J"/>
                <w:b/>
                <w:color w:val="000000"/>
                <w:sz w:val="20"/>
                <w:szCs w:val="20"/>
                <w:lang w:val="bg-BG"/>
              </w:rPr>
              <w:t>Версия:</w:t>
            </w:r>
          </w:p>
          <w:p w14:paraId="7401223A" w14:textId="77777777" w:rsidR="00025E58" w:rsidRPr="00144A1F" w:rsidRDefault="00D81A6C"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 2022</w:t>
            </w:r>
          </w:p>
        </w:tc>
      </w:tr>
    </w:tbl>
    <w:p w14:paraId="7416C458" w14:textId="77777777" w:rsidR="00025E58" w:rsidRDefault="00025E58">
      <w:pPr>
        <w:rPr>
          <w:lang w:val="bg-BG"/>
        </w:rPr>
      </w:pPr>
    </w:p>
    <w:p w14:paraId="28776466" w14:textId="1FA48C9E" w:rsidR="00025E58" w:rsidRDefault="00D166C0" w:rsidP="00D166C0">
      <w:pPr>
        <w:jc w:val="center"/>
        <w:rPr>
          <w:lang w:val="bg-BG"/>
        </w:rPr>
      </w:pPr>
      <w:r>
        <w:rPr>
          <w:b/>
          <w:lang w:val="bg-BG"/>
        </w:rPr>
        <w:t>Списък на проектните предложения</w:t>
      </w:r>
      <w:r w:rsidR="00025E58" w:rsidRPr="005F44E0">
        <w:rPr>
          <w:b/>
          <w:lang w:val="bg-BG"/>
        </w:rPr>
        <w:t xml:space="preserve">, </w:t>
      </w:r>
      <w:r>
        <w:rPr>
          <w:b/>
          <w:lang w:val="bg-BG"/>
        </w:rPr>
        <w:t>които не се допускат до те</w:t>
      </w:r>
      <w:r w:rsidR="0093219F">
        <w:rPr>
          <w:b/>
          <w:lang w:val="bg-BG"/>
        </w:rPr>
        <w:t>хническа и финансова оценка по П</w:t>
      </w:r>
      <w:r>
        <w:rPr>
          <w:b/>
          <w:lang w:val="bg-BG"/>
        </w:rPr>
        <w:t>роцедура</w:t>
      </w:r>
      <w:r w:rsidR="00025E58">
        <w:rPr>
          <w:b/>
          <w:lang w:val="bg-BG"/>
        </w:rPr>
        <w:t xml:space="preserve"> </w:t>
      </w:r>
      <w:r>
        <w:rPr>
          <w:b/>
          <w:lang w:val="bg-BG"/>
        </w:rPr>
        <w:t xml:space="preserve">№ </w:t>
      </w:r>
      <w:r w:rsidR="004F0226" w:rsidRPr="004F0226">
        <w:rPr>
          <w:b/>
          <w:lang w:val="bg-BG"/>
        </w:rPr>
        <w:t>BG14MFOP001-4.098</w:t>
      </w:r>
      <w:bookmarkStart w:id="0" w:name="_GoBack"/>
      <w:bookmarkEnd w:id="0"/>
      <w:r w:rsidR="002703C2" w:rsidRPr="002703C2">
        <w:rPr>
          <w:b/>
          <w:lang w:val="bg-BG"/>
        </w:rPr>
        <w:t>-S1, мярка 508-1 „Развитие и популяризиране на идентичността на територията на МИРГ Бургас-Камено“ от Стратегията за ВОМР на МИРГ Бургас-Камено</w:t>
      </w:r>
      <w:r w:rsidR="00723FE7">
        <w:rPr>
          <w:b/>
          <w:lang w:val="bg-BG"/>
        </w:rPr>
        <w:t xml:space="preserve"> </w:t>
      </w:r>
      <w:r w:rsidRPr="00D166C0">
        <w:rPr>
          <w:b/>
          <w:lang w:val="bg-BG"/>
        </w:rPr>
        <w:t>по Програмата за морско дело и рибарство 2014-2020 г.</w:t>
      </w:r>
    </w:p>
    <w:p w14:paraId="07535D6C" w14:textId="77777777" w:rsidR="00025E58" w:rsidRDefault="00025E58">
      <w:pPr>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2141"/>
        <w:gridCol w:w="1888"/>
        <w:gridCol w:w="3119"/>
        <w:gridCol w:w="5459"/>
      </w:tblGrid>
      <w:tr w:rsidR="00025E58" w:rsidRPr="00723FE7" w14:paraId="2427EF56" w14:textId="77777777" w:rsidTr="00723FE7">
        <w:trPr>
          <w:trHeight w:val="990"/>
        </w:trPr>
        <w:tc>
          <w:tcPr>
            <w:tcW w:w="615" w:type="dxa"/>
            <w:shd w:val="clear" w:color="auto" w:fill="auto"/>
          </w:tcPr>
          <w:p w14:paraId="2433ACD6" w14:textId="77777777" w:rsidR="00025E58" w:rsidRPr="00723FE7" w:rsidRDefault="00025E58" w:rsidP="00E756A6">
            <w:pPr>
              <w:jc w:val="center"/>
              <w:rPr>
                <w:b/>
                <w:sz w:val="22"/>
                <w:szCs w:val="22"/>
                <w:lang w:val="bg-BG"/>
              </w:rPr>
            </w:pPr>
            <w:r w:rsidRPr="00723FE7">
              <w:rPr>
                <w:b/>
                <w:sz w:val="22"/>
                <w:szCs w:val="22"/>
                <w:lang w:val="bg-BG"/>
              </w:rPr>
              <w:t>№</w:t>
            </w:r>
          </w:p>
        </w:tc>
        <w:tc>
          <w:tcPr>
            <w:tcW w:w="2141" w:type="dxa"/>
            <w:shd w:val="clear" w:color="auto" w:fill="auto"/>
          </w:tcPr>
          <w:p w14:paraId="6D7A54D9" w14:textId="77777777" w:rsidR="00025E58" w:rsidRPr="00723FE7" w:rsidRDefault="00025E58" w:rsidP="00E756A6">
            <w:pPr>
              <w:jc w:val="center"/>
              <w:rPr>
                <w:b/>
                <w:sz w:val="22"/>
                <w:szCs w:val="22"/>
                <w:lang w:val="bg-BG"/>
              </w:rPr>
            </w:pPr>
            <w:r w:rsidRPr="00723FE7">
              <w:rPr>
                <w:b/>
                <w:sz w:val="22"/>
                <w:szCs w:val="22"/>
                <w:lang w:val="bg-BG"/>
              </w:rPr>
              <w:t xml:space="preserve">Рег. № на проектното предложение </w:t>
            </w:r>
          </w:p>
        </w:tc>
        <w:tc>
          <w:tcPr>
            <w:tcW w:w="1888" w:type="dxa"/>
            <w:shd w:val="clear" w:color="auto" w:fill="auto"/>
          </w:tcPr>
          <w:p w14:paraId="0915F123" w14:textId="77777777" w:rsidR="00025E58" w:rsidRPr="00723FE7" w:rsidRDefault="00025E58" w:rsidP="00E756A6">
            <w:pPr>
              <w:jc w:val="center"/>
              <w:rPr>
                <w:b/>
                <w:sz w:val="22"/>
                <w:szCs w:val="22"/>
                <w:lang w:val="bg-BG"/>
              </w:rPr>
            </w:pPr>
            <w:r w:rsidRPr="00723FE7">
              <w:rPr>
                <w:b/>
                <w:sz w:val="22"/>
                <w:szCs w:val="22"/>
                <w:lang w:val="bg-BG"/>
              </w:rPr>
              <w:t>Наименование на кандидата</w:t>
            </w:r>
          </w:p>
        </w:tc>
        <w:tc>
          <w:tcPr>
            <w:tcW w:w="3119" w:type="dxa"/>
            <w:shd w:val="clear" w:color="auto" w:fill="auto"/>
          </w:tcPr>
          <w:p w14:paraId="29D07933" w14:textId="77777777" w:rsidR="00025E58" w:rsidRPr="00723FE7" w:rsidRDefault="00025E58" w:rsidP="00E756A6">
            <w:pPr>
              <w:jc w:val="center"/>
              <w:rPr>
                <w:b/>
                <w:sz w:val="22"/>
                <w:szCs w:val="22"/>
                <w:lang w:val="bg-BG"/>
              </w:rPr>
            </w:pPr>
            <w:r w:rsidRPr="00723FE7">
              <w:rPr>
                <w:b/>
                <w:sz w:val="22"/>
                <w:szCs w:val="22"/>
                <w:lang w:val="bg-BG"/>
              </w:rPr>
              <w:t>Наименование на проектното предложение</w:t>
            </w:r>
          </w:p>
        </w:tc>
        <w:tc>
          <w:tcPr>
            <w:tcW w:w="5459" w:type="dxa"/>
            <w:shd w:val="clear" w:color="auto" w:fill="auto"/>
          </w:tcPr>
          <w:p w14:paraId="3DC656D2" w14:textId="77777777" w:rsidR="00025E58" w:rsidRPr="00723FE7" w:rsidRDefault="00025E58" w:rsidP="00E756A6">
            <w:pPr>
              <w:jc w:val="center"/>
              <w:rPr>
                <w:b/>
                <w:sz w:val="22"/>
                <w:szCs w:val="22"/>
                <w:lang w:val="bg-BG"/>
              </w:rPr>
            </w:pPr>
            <w:r w:rsidRPr="00723FE7">
              <w:rPr>
                <w:b/>
                <w:sz w:val="22"/>
                <w:szCs w:val="22"/>
                <w:lang w:val="bg-BG"/>
              </w:rPr>
              <w:t>Основание за отхвърляне</w:t>
            </w:r>
          </w:p>
          <w:p w14:paraId="7CFD8017" w14:textId="77777777" w:rsidR="00025E58" w:rsidRPr="00723FE7" w:rsidRDefault="00025E58" w:rsidP="00E756A6">
            <w:pPr>
              <w:jc w:val="center"/>
              <w:rPr>
                <w:b/>
                <w:i/>
                <w:sz w:val="22"/>
                <w:szCs w:val="22"/>
                <w:lang w:val="bg-BG"/>
              </w:rPr>
            </w:pPr>
            <w:r w:rsidRPr="00723FE7">
              <w:rPr>
                <w:b/>
                <w:i/>
                <w:sz w:val="22"/>
                <w:szCs w:val="22"/>
                <w:lang w:val="bg-BG"/>
              </w:rPr>
              <w:t xml:space="preserve">(посочват се конкретните основания, а не само препратки към документите и условията, които не са изпълнени) </w:t>
            </w:r>
          </w:p>
        </w:tc>
      </w:tr>
      <w:tr w:rsidR="00025E58" w:rsidRPr="00723FE7" w14:paraId="461DFB23" w14:textId="77777777" w:rsidTr="0093219F">
        <w:tc>
          <w:tcPr>
            <w:tcW w:w="615" w:type="dxa"/>
            <w:shd w:val="clear" w:color="auto" w:fill="auto"/>
          </w:tcPr>
          <w:p w14:paraId="2B158F2F" w14:textId="77777777" w:rsidR="00025E58" w:rsidRPr="00723FE7" w:rsidRDefault="00025E58" w:rsidP="00E756A6">
            <w:pPr>
              <w:jc w:val="center"/>
              <w:rPr>
                <w:b/>
                <w:sz w:val="22"/>
                <w:szCs w:val="22"/>
                <w:lang w:val="bg-BG"/>
              </w:rPr>
            </w:pPr>
          </w:p>
          <w:p w14:paraId="7522C8DA" w14:textId="77777777" w:rsidR="00025E58" w:rsidRPr="00723FE7" w:rsidRDefault="00025E58" w:rsidP="00E756A6">
            <w:pPr>
              <w:jc w:val="center"/>
              <w:rPr>
                <w:b/>
                <w:sz w:val="22"/>
                <w:szCs w:val="22"/>
                <w:lang w:val="bg-BG"/>
              </w:rPr>
            </w:pPr>
            <w:r w:rsidRPr="00723FE7">
              <w:rPr>
                <w:b/>
                <w:sz w:val="22"/>
                <w:szCs w:val="22"/>
                <w:lang w:val="bg-BG"/>
              </w:rPr>
              <w:t>1.</w:t>
            </w:r>
          </w:p>
          <w:p w14:paraId="528037AC" w14:textId="77777777" w:rsidR="00025E58" w:rsidRPr="00723FE7" w:rsidRDefault="00025E58" w:rsidP="00E756A6">
            <w:pPr>
              <w:jc w:val="center"/>
              <w:rPr>
                <w:b/>
                <w:sz w:val="22"/>
                <w:szCs w:val="22"/>
                <w:lang w:val="bg-BG"/>
              </w:rPr>
            </w:pPr>
          </w:p>
        </w:tc>
        <w:tc>
          <w:tcPr>
            <w:tcW w:w="2141" w:type="dxa"/>
            <w:shd w:val="clear" w:color="auto" w:fill="auto"/>
          </w:tcPr>
          <w:p w14:paraId="1BE4B1A8" w14:textId="77777777" w:rsidR="00025E58" w:rsidRPr="00723FE7" w:rsidRDefault="00025E58" w:rsidP="00E756A6">
            <w:pPr>
              <w:jc w:val="center"/>
              <w:rPr>
                <w:b/>
                <w:sz w:val="22"/>
                <w:szCs w:val="22"/>
                <w:lang w:val="bg-BG"/>
              </w:rPr>
            </w:pPr>
          </w:p>
          <w:p w14:paraId="2F802A49" w14:textId="77777777" w:rsidR="00025E58" w:rsidRPr="00723FE7" w:rsidRDefault="00723FE7" w:rsidP="002703C2">
            <w:pPr>
              <w:jc w:val="center"/>
              <w:rPr>
                <w:sz w:val="22"/>
                <w:szCs w:val="22"/>
                <w:lang w:val="bg-BG"/>
              </w:rPr>
            </w:pPr>
            <w:r w:rsidRPr="00723FE7">
              <w:rPr>
                <w:sz w:val="22"/>
                <w:szCs w:val="22"/>
                <w:lang w:val="bg-BG"/>
              </w:rPr>
              <w:t>BG14MFOP001-4.0</w:t>
            </w:r>
            <w:r w:rsidR="002703C2">
              <w:rPr>
                <w:sz w:val="22"/>
                <w:szCs w:val="22"/>
                <w:lang w:val="bg-BG"/>
              </w:rPr>
              <w:t>98</w:t>
            </w:r>
            <w:r w:rsidRPr="00723FE7">
              <w:rPr>
                <w:sz w:val="22"/>
                <w:szCs w:val="22"/>
                <w:lang w:val="bg-BG"/>
              </w:rPr>
              <w:t>-0001</w:t>
            </w:r>
          </w:p>
        </w:tc>
        <w:tc>
          <w:tcPr>
            <w:tcW w:w="1888" w:type="dxa"/>
            <w:shd w:val="clear" w:color="auto" w:fill="auto"/>
          </w:tcPr>
          <w:p w14:paraId="62E30B75" w14:textId="77777777" w:rsidR="00025E58" w:rsidRPr="00723FE7" w:rsidRDefault="00025E58" w:rsidP="00E756A6">
            <w:pPr>
              <w:jc w:val="center"/>
              <w:rPr>
                <w:b/>
                <w:sz w:val="22"/>
                <w:szCs w:val="22"/>
                <w:lang w:val="bg-BG"/>
              </w:rPr>
            </w:pPr>
          </w:p>
          <w:p w14:paraId="3B3B78A5" w14:textId="77777777" w:rsidR="00025E58" w:rsidRPr="00723FE7" w:rsidRDefault="002703C2" w:rsidP="00D81A6C">
            <w:pPr>
              <w:jc w:val="center"/>
              <w:rPr>
                <w:rFonts w:asciiTheme="minorHAnsi" w:hAnsiTheme="minorHAnsi"/>
                <w:sz w:val="22"/>
                <w:szCs w:val="22"/>
                <w:lang w:val="bg-BG"/>
              </w:rPr>
            </w:pPr>
            <w:r w:rsidRPr="002703C2">
              <w:rPr>
                <w:rFonts w:ascii="Roboto" w:hAnsi="Roboto"/>
                <w:sz w:val="22"/>
                <w:szCs w:val="22"/>
                <w:lang w:val="bg-BG"/>
              </w:rPr>
              <w:t>Сдружение "Петлите" (Булстат: 176459509)</w:t>
            </w:r>
            <w:r w:rsidR="00723FE7" w:rsidRPr="00723FE7">
              <w:rPr>
                <w:rFonts w:ascii="Roboto" w:hAnsi="Roboto"/>
                <w:sz w:val="22"/>
                <w:szCs w:val="22"/>
                <w:lang w:val="bg-BG"/>
              </w:rPr>
              <w:t>”</w:t>
            </w:r>
          </w:p>
        </w:tc>
        <w:tc>
          <w:tcPr>
            <w:tcW w:w="3119" w:type="dxa"/>
            <w:shd w:val="clear" w:color="auto" w:fill="auto"/>
          </w:tcPr>
          <w:p w14:paraId="7390366B" w14:textId="77777777" w:rsidR="00025E58" w:rsidRPr="00E744C7" w:rsidRDefault="00025E58" w:rsidP="00E756A6">
            <w:pPr>
              <w:jc w:val="center"/>
              <w:rPr>
                <w:sz w:val="22"/>
                <w:szCs w:val="22"/>
                <w:lang w:val="bg-BG"/>
              </w:rPr>
            </w:pPr>
          </w:p>
          <w:p w14:paraId="7E8496F6" w14:textId="77777777" w:rsidR="00025E58" w:rsidRPr="00E744C7" w:rsidRDefault="002703C2" w:rsidP="00F73A86">
            <w:pPr>
              <w:jc w:val="center"/>
              <w:rPr>
                <w:sz w:val="22"/>
                <w:szCs w:val="22"/>
                <w:lang w:val="bg-BG"/>
              </w:rPr>
            </w:pPr>
            <w:r w:rsidRPr="00E744C7">
              <w:rPr>
                <w:sz w:val="22"/>
                <w:szCs w:val="22"/>
                <w:lang w:val="bg-BG"/>
              </w:rPr>
              <w:t>"Легенда за мома Руса и змея"</w:t>
            </w:r>
          </w:p>
        </w:tc>
        <w:tc>
          <w:tcPr>
            <w:tcW w:w="5459" w:type="dxa"/>
            <w:shd w:val="clear" w:color="auto" w:fill="auto"/>
          </w:tcPr>
          <w:p w14:paraId="3FA05161" w14:textId="4002AB84" w:rsidR="002703C2" w:rsidRPr="00E744C7" w:rsidRDefault="002703C2" w:rsidP="002703C2">
            <w:pPr>
              <w:jc w:val="both"/>
              <w:rPr>
                <w:lang w:val="bg-BG"/>
              </w:rPr>
            </w:pPr>
            <w:r w:rsidRPr="00E744C7">
              <w:rPr>
                <w:lang w:val="bg-BG"/>
              </w:rPr>
              <w:t xml:space="preserve">Проектното предложение не отговаря на </w:t>
            </w:r>
            <w:r w:rsidRPr="00E744C7">
              <w:rPr>
                <w:b/>
                <w:i/>
                <w:lang w:val="bg-BG"/>
              </w:rPr>
              <w:t>Критерий № 3</w:t>
            </w:r>
            <w:r w:rsidRPr="00E744C7">
              <w:rPr>
                <w:lang w:val="bg-BG"/>
              </w:rPr>
              <w:t xml:space="preserve"> </w:t>
            </w:r>
            <w:r w:rsidRPr="00E744C7">
              <w:rPr>
                <w:b/>
                <w:i/>
                <w:lang w:val="bg-BG"/>
              </w:rPr>
              <w:t>„Налице са всички изискуеми документи и са попълнени съгласно изискванията, посочени в т. 24 от Условията за кандидатстване по настоящата процедура“</w:t>
            </w:r>
            <w:r w:rsidRPr="00E744C7">
              <w:rPr>
                <w:b/>
                <w:lang w:val="bg-BG"/>
              </w:rPr>
              <w:t xml:space="preserve"> </w:t>
            </w:r>
            <w:r w:rsidRPr="00E744C7">
              <w:rPr>
                <w:lang w:val="bg-BG"/>
              </w:rPr>
              <w:t xml:space="preserve">от Приложение 4а „Критерии и методология за оценка от </w:t>
            </w:r>
            <w:r w:rsidR="00E744C7" w:rsidRPr="00E744C7">
              <w:rPr>
                <w:lang w:val="bg-BG"/>
              </w:rPr>
              <w:t xml:space="preserve">УК </w:t>
            </w:r>
            <w:r w:rsidRPr="00E744C7">
              <w:rPr>
                <w:lang w:val="bg-BG"/>
              </w:rPr>
              <w:t xml:space="preserve">по Процедура за подбор на проекти – BG14MFOP001-4.098 „Развитие и популяризиране идентичността на територията на </w:t>
            </w:r>
            <w:r w:rsidRPr="00E744C7">
              <w:rPr>
                <w:lang w:val="bg-BG"/>
              </w:rPr>
              <w:lastRenderedPageBreak/>
              <w:t xml:space="preserve">МИРГ от Стратегията за водено от общностите местно развитие на МИРГ „Бургас-Камено“. </w:t>
            </w:r>
            <w:r w:rsidRPr="00E744C7">
              <w:rPr>
                <w:color w:val="000000"/>
                <w:lang w:val="ru-RU"/>
              </w:rPr>
              <w:t>По време на оценката на проектното предложение</w:t>
            </w:r>
            <w:r w:rsidR="00FC67BC" w:rsidRPr="00E744C7">
              <w:rPr>
                <w:color w:val="000000"/>
                <w:lang w:val="ru-RU"/>
              </w:rPr>
              <w:t>,</w:t>
            </w:r>
            <w:r w:rsidRPr="00E744C7">
              <w:rPr>
                <w:color w:val="000000"/>
                <w:lang w:val="ru-RU"/>
              </w:rPr>
              <w:t xml:space="preserve"> комуникацията с кандидата и редакцията на установени неточности по подаденото проектно предложение, се извършват електронно чрез профила на кандидата в ИСУН 2020, от който е подаден съответният проект. </w:t>
            </w:r>
          </w:p>
          <w:p w14:paraId="44DFDB3F" w14:textId="1B2695BC" w:rsidR="002703C2" w:rsidRPr="00E744C7" w:rsidRDefault="002703C2" w:rsidP="002703C2">
            <w:pPr>
              <w:ind w:firstLine="720"/>
              <w:jc w:val="both"/>
              <w:rPr>
                <w:lang w:val="bg-BG"/>
              </w:rPr>
            </w:pPr>
            <w:r w:rsidRPr="00E744C7">
              <w:rPr>
                <w:lang w:val="bg-BG"/>
              </w:rPr>
              <w:t xml:space="preserve">След извършена проверка на предоставените документи и съгласно чл. 34, ал. 2 от ЗУСЕСИФ: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E744C7">
              <w:rPr>
                <w:lang w:val="bg-BG"/>
              </w:rPr>
              <w:t>нередовности</w:t>
            </w:r>
            <w:proofErr w:type="spellEnd"/>
            <w:r w:rsidRPr="00E744C7">
              <w:rPr>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 отстраняването на </w:t>
            </w:r>
            <w:proofErr w:type="spellStart"/>
            <w:r w:rsidRPr="00E744C7">
              <w:rPr>
                <w:lang w:val="bg-BG"/>
              </w:rPr>
              <w:t>нередовностите</w:t>
            </w:r>
            <w:proofErr w:type="spellEnd"/>
            <w:r w:rsidRPr="00E744C7">
              <w:rPr>
                <w:lang w:val="bg-BG"/>
              </w:rPr>
              <w:t xml:space="preserve"> в срок може да доведе до прекратяване на производството по отношение на кандидата. Отстраняването на </w:t>
            </w:r>
            <w:proofErr w:type="spellStart"/>
            <w:r w:rsidRPr="00E744C7">
              <w:rPr>
                <w:lang w:val="bg-BG"/>
              </w:rPr>
              <w:t>нередовностите</w:t>
            </w:r>
            <w:proofErr w:type="spellEnd"/>
            <w:r w:rsidRPr="00E744C7">
              <w:rPr>
                <w:lang w:val="bg-BG"/>
              </w:rPr>
              <w:t xml:space="preserve"> не може да води до подобряване на качеството на проектното предложение“</w:t>
            </w:r>
            <w:r w:rsidR="009771A7" w:rsidRPr="00E744C7">
              <w:rPr>
                <w:lang w:val="bg-BG"/>
              </w:rPr>
              <w:t xml:space="preserve"> и</w:t>
            </w:r>
            <w:r w:rsidRPr="00E744C7">
              <w:rPr>
                <w:lang w:val="bg-BG"/>
              </w:rPr>
              <w:t xml:space="preserve"> </w:t>
            </w:r>
            <w:r w:rsidR="009771A7" w:rsidRPr="00E744C7">
              <w:rPr>
                <w:lang w:val="bg-BG"/>
              </w:rPr>
              <w:t>в</w:t>
            </w:r>
            <w:r w:rsidRPr="00E744C7">
              <w:rPr>
                <w:lang w:val="bg-BG"/>
              </w:rPr>
              <w:t xml:space="preserve">ъв връзка с точка 24 „Списък на документите, които се подават на етап кандидатстване“ от Условия за кандидатстване, утвърдени от УО със Заповед № МДР-ПП-01-163/16.11.2021 г., на 29.04.2022 г. е изпратено уведомление с регистрационен номер BG14MFOP001-4.098-0001-M002, с което е поискана допълнителна информация от кандидата чрез Модул „Комуникация“ в ИСУН 2020. Указан е срок до 09.05.2022 г., в който да бъдат предоставени долуописаните липсващи документи и информация, а именно: </w:t>
            </w:r>
          </w:p>
          <w:p w14:paraId="5AEAE3C4" w14:textId="77777777" w:rsidR="002703C2" w:rsidRPr="00E744C7" w:rsidRDefault="002703C2" w:rsidP="002703C2">
            <w:pPr>
              <w:ind w:firstLine="720"/>
              <w:jc w:val="both"/>
              <w:rPr>
                <w:lang w:val="bg-BG"/>
              </w:rPr>
            </w:pPr>
            <w:r w:rsidRPr="00E744C7">
              <w:rPr>
                <w:lang w:val="bg-BG"/>
              </w:rPr>
              <w:t xml:space="preserve">1. Решение на УС на Сдружение „Петлите“ </w:t>
            </w:r>
            <w:r w:rsidRPr="00E744C7">
              <w:rPr>
                <w:lang w:val="bg-BG"/>
              </w:rPr>
              <w:lastRenderedPageBreak/>
              <w:t>съгласно подточка 5 от т. 24 от Условията за кандидатстване (УК).</w:t>
            </w:r>
          </w:p>
          <w:p w14:paraId="0030B4EB" w14:textId="77777777" w:rsidR="002703C2" w:rsidRPr="00E744C7" w:rsidRDefault="002703C2" w:rsidP="002703C2">
            <w:pPr>
              <w:ind w:firstLine="720"/>
              <w:jc w:val="both"/>
              <w:rPr>
                <w:lang w:val="bg-BG"/>
              </w:rPr>
            </w:pPr>
            <w:r w:rsidRPr="00E744C7">
              <w:rPr>
                <w:lang w:val="bg-BG"/>
              </w:rPr>
              <w:t>2. Приложение №1Б – Декларации към УК, подписано с КЕП съгласно указанията в подточка 18 от т. 24 от УК.</w:t>
            </w:r>
          </w:p>
          <w:p w14:paraId="67993F42" w14:textId="0377B173" w:rsidR="002703C2" w:rsidRPr="00E744C7" w:rsidRDefault="002703C2" w:rsidP="002703C2">
            <w:pPr>
              <w:ind w:firstLine="720"/>
              <w:jc w:val="both"/>
              <w:rPr>
                <w:lang w:val="bg-BG"/>
              </w:rPr>
            </w:pPr>
            <w:r w:rsidRPr="00E744C7">
              <w:rPr>
                <w:lang w:val="bg-BG"/>
              </w:rPr>
              <w:t xml:space="preserve">3. Коригирани оферти от </w:t>
            </w:r>
            <w:proofErr w:type="spellStart"/>
            <w:r w:rsidRPr="00E744C7">
              <w:rPr>
                <w:lang w:val="bg-BG"/>
              </w:rPr>
              <w:t>оферентите</w:t>
            </w:r>
            <w:proofErr w:type="spellEnd"/>
            <w:r w:rsidRPr="00E744C7">
              <w:rPr>
                <w:lang w:val="bg-BG"/>
              </w:rPr>
              <w:t xml:space="preserve"> „</w:t>
            </w:r>
            <w:proofErr w:type="spellStart"/>
            <w:r w:rsidRPr="00E744C7">
              <w:rPr>
                <w:lang w:val="bg-BG"/>
              </w:rPr>
              <w:t>Про</w:t>
            </w:r>
            <w:proofErr w:type="spellEnd"/>
            <w:r w:rsidRPr="00E744C7">
              <w:rPr>
                <w:lang w:val="bg-BG"/>
              </w:rPr>
              <w:t xml:space="preserve"> Техника </w:t>
            </w:r>
            <w:proofErr w:type="spellStart"/>
            <w:r w:rsidRPr="00E744C7">
              <w:rPr>
                <w:lang w:val="bg-BG"/>
              </w:rPr>
              <w:t>Евент</w:t>
            </w:r>
            <w:proofErr w:type="spellEnd"/>
            <w:r w:rsidRPr="00E744C7">
              <w:rPr>
                <w:lang w:val="bg-BG"/>
              </w:rPr>
              <w:t xml:space="preserve"> Бургас“  ООД, „АР Дизайн“ ООД, „Ем Ен Джи Холидей“ ООД, „Панда Фойерверки“ ООД, тъй като приложените към </w:t>
            </w:r>
            <w:r w:rsidR="009771A7" w:rsidRPr="00E744C7">
              <w:rPr>
                <w:lang w:val="bg-BG"/>
              </w:rPr>
              <w:t>проектното предложение</w:t>
            </w:r>
            <w:r w:rsidRPr="00E744C7">
              <w:rPr>
                <w:lang w:val="bg-BG"/>
              </w:rPr>
              <w:t xml:space="preserve"> оферти не съдържат ЕИК на оферента, както и информация дали това е крайна цена или цена без ДДС съгласно изискванията към вида на офертите, посочени в подточка 3 от т. 24 от УК.</w:t>
            </w:r>
          </w:p>
          <w:p w14:paraId="7D1CC767" w14:textId="77777777" w:rsidR="002703C2" w:rsidRPr="00E744C7" w:rsidRDefault="002703C2" w:rsidP="002703C2">
            <w:pPr>
              <w:ind w:firstLine="720"/>
              <w:jc w:val="both"/>
              <w:rPr>
                <w:lang w:val="bg-BG"/>
              </w:rPr>
            </w:pPr>
            <w:r w:rsidRPr="00E744C7">
              <w:rPr>
                <w:lang w:val="bg-BG"/>
              </w:rPr>
              <w:t>4. Справки – декларации на всички оференти, с които се доказва изискването годишния оборот, който се отнася до предмета на доставката, услугата или строителството (специфичен оборот) през някоя от предходните три или общо за предходните три приключили финансови години преди датата на офертата, да е равен или по-голям от стойността на доставката, услугата или строителството. Изискването за специфичен оборот се доказва от оферента със справка-декларация, подписана от законния представител на оферента. Справката трябва да е придружена от Отчет за приходите и разходите за съответните приключили финансови години, в зависимост от датата, на която оферента е учреден или започнал дейността си съгласно подточка 3Б от т. 24 от УК.</w:t>
            </w:r>
          </w:p>
          <w:p w14:paraId="541AAF61" w14:textId="21DF380F" w:rsidR="002703C2" w:rsidRPr="00E744C7" w:rsidRDefault="002703C2" w:rsidP="002703C2">
            <w:pPr>
              <w:ind w:firstLine="720"/>
              <w:jc w:val="both"/>
              <w:rPr>
                <w:lang w:val="bg-BG"/>
              </w:rPr>
            </w:pPr>
            <w:r w:rsidRPr="00E744C7">
              <w:rPr>
                <w:lang w:val="bg-BG"/>
              </w:rPr>
              <w:t xml:space="preserve">5. Удостоверение от Националната агенция за приходите за липса на задължения на кандидат–оригинал или копие, заверено от кандидата </w:t>
            </w:r>
          </w:p>
          <w:p w14:paraId="1EC70AE9" w14:textId="77777777" w:rsidR="002703C2" w:rsidRPr="00E744C7" w:rsidRDefault="002703C2" w:rsidP="002703C2">
            <w:pPr>
              <w:ind w:firstLine="720"/>
              <w:jc w:val="both"/>
              <w:rPr>
                <w:lang w:val="bg-BG"/>
              </w:rPr>
            </w:pPr>
            <w:r w:rsidRPr="00E744C7">
              <w:rPr>
                <w:lang w:val="bg-BG"/>
              </w:rPr>
              <w:lastRenderedPageBreak/>
              <w:t xml:space="preserve">или  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кандидата за последната приключена финансова година, но не повече от 50 000 лв.  - оригинал или копие, заверено от кандидата;  </w:t>
            </w:r>
          </w:p>
          <w:p w14:paraId="54FA4AFC" w14:textId="77777777" w:rsidR="002703C2" w:rsidRPr="00E744C7" w:rsidRDefault="002703C2" w:rsidP="002703C2">
            <w:pPr>
              <w:ind w:firstLine="720"/>
              <w:jc w:val="both"/>
              <w:rPr>
                <w:lang w:val="bg-BG"/>
              </w:rPr>
            </w:pPr>
            <w:r w:rsidRPr="00E744C7">
              <w:rPr>
                <w:lang w:val="bg-BG"/>
              </w:rPr>
              <w:t>или  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14:paraId="211B842F" w14:textId="57AEAF08" w:rsidR="002703C2" w:rsidRPr="00E744C7" w:rsidRDefault="002703C2" w:rsidP="002703C2">
            <w:pPr>
              <w:ind w:firstLine="720"/>
              <w:jc w:val="both"/>
              <w:rPr>
                <w:bCs/>
                <w:lang w:val="bg-BG"/>
              </w:rPr>
            </w:pPr>
            <w:r w:rsidRPr="00E744C7">
              <w:rPr>
                <w:lang w:val="bg-BG"/>
              </w:rPr>
              <w:t>Кандидатът не е отговорил на комуникацията в регламентирания срок, не е предоставил изисканите допълнително информация и документи, с което прави невъзможно извършването на оценка на проектното предложение. Съгласно изискванията, посочени в Условията за кандидатстване на процедурата, раздел 24: „</w:t>
            </w:r>
            <w:r w:rsidRPr="00E744C7">
              <w:rPr>
                <w:bCs/>
                <w:lang w:val="bg-BG"/>
              </w:rPr>
              <w:t xml:space="preserve">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 </w:t>
            </w:r>
            <w:r w:rsidR="00FC67BC" w:rsidRPr="00E744C7">
              <w:rPr>
                <w:bCs/>
                <w:lang w:val="bg-BG"/>
              </w:rPr>
              <w:t>В допълнение, съгласно</w:t>
            </w:r>
            <w:r w:rsidRPr="00E744C7">
              <w:rPr>
                <w:bCs/>
                <w:lang w:val="bg-BG"/>
              </w:rPr>
              <w:t xml:space="preserve"> раздел 24 от УК: „Неотстраняването на </w:t>
            </w:r>
            <w:proofErr w:type="spellStart"/>
            <w:r w:rsidRPr="00E744C7">
              <w:rPr>
                <w:bCs/>
                <w:lang w:val="bg-BG"/>
              </w:rPr>
              <w:t>нередовностите</w:t>
            </w:r>
            <w:proofErr w:type="spellEnd"/>
            <w:r w:rsidRPr="00E744C7">
              <w:rPr>
                <w:bCs/>
                <w:lang w:val="bg-BG"/>
              </w:rPr>
              <w:t xml:space="preserve"> в срок може да доведе до прекратяване на производството по отношение на кандидата, до получаване на по-малък брой точки от проектното предложение или до редуциране на разходи в бюджета на проекта“. </w:t>
            </w:r>
          </w:p>
          <w:p w14:paraId="5ADD3005" w14:textId="5EFDFCC7" w:rsidR="00E744C7" w:rsidRPr="00E744C7" w:rsidRDefault="00E744C7" w:rsidP="00E744C7">
            <w:pPr>
              <w:ind w:firstLine="709"/>
              <w:jc w:val="both"/>
              <w:rPr>
                <w:lang w:val="bg-BG"/>
              </w:rPr>
            </w:pPr>
            <w:r w:rsidRPr="00E744C7">
              <w:rPr>
                <w:lang w:val="bg-BG"/>
              </w:rPr>
              <w:t xml:space="preserve">В изпълнение на разпоредбата на чл. 34, ал. 2 на ЗУСЕСИФ и когато след допълнително </w:t>
            </w:r>
            <w:r w:rsidRPr="00E744C7">
              <w:rPr>
                <w:lang w:val="bg-BG"/>
              </w:rPr>
              <w:lastRenderedPageBreak/>
              <w:t>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УК по процедурата, проектното предложение не отговаря на Условията, поради което същото се отхвърля</w:t>
            </w:r>
            <w:r>
              <w:rPr>
                <w:lang w:val="bg-BG"/>
              </w:rPr>
              <w:t xml:space="preserve"> на етап Административно съответствие и допустимост</w:t>
            </w:r>
            <w:r w:rsidRPr="00E744C7">
              <w:rPr>
                <w:lang w:val="bg-BG"/>
              </w:rPr>
              <w:t>.</w:t>
            </w:r>
          </w:p>
          <w:p w14:paraId="2CEF219C" w14:textId="77777777" w:rsidR="002703C2" w:rsidRPr="00E744C7" w:rsidRDefault="002703C2" w:rsidP="002703C2">
            <w:pPr>
              <w:ind w:firstLine="720"/>
              <w:jc w:val="both"/>
              <w:rPr>
                <w:lang w:val="bg-BG"/>
              </w:rPr>
            </w:pPr>
            <w:r w:rsidRPr="00E744C7">
              <w:rPr>
                <w:lang w:val="bg-BG"/>
              </w:rPr>
              <w:t>Поради изложените по-горе аргументи, проектно предложение с рег. № BG14MFOP001-4.098-0001 е включено в Списъка на проектните предложения, които не се допускат до етап Техническа и финансова оценка по настоящата процедура.</w:t>
            </w:r>
          </w:p>
          <w:p w14:paraId="6CE91D82" w14:textId="77777777" w:rsidR="00723FE7" w:rsidRPr="00E744C7" w:rsidRDefault="00723FE7" w:rsidP="00745E5F">
            <w:pPr>
              <w:jc w:val="both"/>
              <w:rPr>
                <w:sz w:val="22"/>
                <w:szCs w:val="22"/>
                <w:lang w:val="bg-BG"/>
              </w:rPr>
            </w:pPr>
          </w:p>
        </w:tc>
      </w:tr>
    </w:tbl>
    <w:p w14:paraId="073851BF" w14:textId="77777777" w:rsidR="00025E58" w:rsidRDefault="00025E58">
      <w:pPr>
        <w:rPr>
          <w:lang w:val="bg-BG"/>
        </w:rPr>
      </w:pPr>
    </w:p>
    <w:p w14:paraId="16A4D2AC" w14:textId="77777777" w:rsidR="00CD2ADF" w:rsidRPr="00CD2ADF" w:rsidRDefault="00CD2ADF" w:rsidP="00CD2ADF">
      <w:pPr>
        <w:rPr>
          <w:lang w:val="bg-BG"/>
        </w:rPr>
      </w:pPr>
      <w:r w:rsidRPr="00CD2ADF">
        <w:rPr>
          <w:lang w:val="bg-BG"/>
        </w:rPr>
        <w:t xml:space="preserve">ЗАБЕЛЕЖКА: </w:t>
      </w:r>
    </w:p>
    <w:p w14:paraId="4C32D27F" w14:textId="77777777" w:rsidR="00CD2ADF" w:rsidRPr="00CD2ADF" w:rsidRDefault="00CD2ADF" w:rsidP="00CD2ADF">
      <w:pPr>
        <w:jc w:val="both"/>
        <w:rPr>
          <w:lang w:val="bg-BG"/>
        </w:rPr>
      </w:pPr>
      <w:r w:rsidRPr="00CD2ADF">
        <w:rPr>
          <w:lang w:val="bg-BG"/>
        </w:rPr>
        <w:t>Съгласно разпоредбите на чл. 34, ал. 3 от ЗУСЕСИФ, кандидатите, чиито проектни предложения са предложени за отхвърляне на етап оценка на административното съответствие и допустимостта по горепосочената процедура, могат да подадат писмени възражения срещу предложението за отхвърлянето им пред Ръководителя на Управляващия орган, в едноседмичен срок от съобщаването.</w:t>
      </w:r>
    </w:p>
    <w:p w14:paraId="54C22CF3" w14:textId="77777777" w:rsidR="00CD2ADF" w:rsidRPr="00025E58" w:rsidRDefault="00CD2ADF">
      <w:pPr>
        <w:rPr>
          <w:lang w:val="bg-BG"/>
        </w:rPr>
      </w:pPr>
    </w:p>
    <w:sectPr w:rsidR="00CD2ADF" w:rsidRPr="00025E58" w:rsidSect="00025E58">
      <w:pgSz w:w="15840" w:h="12240" w:orient="landscape"/>
      <w:pgMar w:top="1417" w:right="1417" w:bottom="1417" w:left="1417"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DA06BF" w15:done="0"/>
  <w15:commentEx w15:paraId="52417A1E" w15:done="0"/>
  <w15:commentEx w15:paraId="34F6BB9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G Mincho Light J">
    <w:altName w:val="Times New Roman"/>
    <w:charset w:val="00"/>
    <w:family w:val="auto"/>
    <w:pitch w:val="variable"/>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0CB1"/>
    <w:multiLevelType w:val="hybridMultilevel"/>
    <w:tmpl w:val="37D40732"/>
    <w:lvl w:ilvl="0" w:tplc="63B23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5B2DCF"/>
    <w:multiLevelType w:val="hybridMultilevel"/>
    <w:tmpl w:val="78D04B20"/>
    <w:lvl w:ilvl="0" w:tplc="64463166">
      <w:start w:val="1"/>
      <w:numFmt w:val="lowerLetter"/>
      <w:lvlText w:val="%1)"/>
      <w:lvlJc w:val="left"/>
      <w:pPr>
        <w:ind w:left="795" w:hanging="37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42B60EDE"/>
    <w:multiLevelType w:val="hybridMultilevel"/>
    <w:tmpl w:val="F866EC32"/>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liya Stoilova">
    <w15:presenceInfo w15:providerId="AD" w15:userId="S-1-5-21-3673932534-3318588094-701912851-7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58"/>
    <w:rsid w:val="00025E58"/>
    <w:rsid w:val="00044CEB"/>
    <w:rsid w:val="000D61E5"/>
    <w:rsid w:val="000F726B"/>
    <w:rsid w:val="001F6238"/>
    <w:rsid w:val="00263F5E"/>
    <w:rsid w:val="002703C2"/>
    <w:rsid w:val="004B5779"/>
    <w:rsid w:val="004F0226"/>
    <w:rsid w:val="00723FE7"/>
    <w:rsid w:val="00745E5F"/>
    <w:rsid w:val="0079197B"/>
    <w:rsid w:val="008246D7"/>
    <w:rsid w:val="009266D4"/>
    <w:rsid w:val="0093219F"/>
    <w:rsid w:val="00971D91"/>
    <w:rsid w:val="009771A7"/>
    <w:rsid w:val="009F10FC"/>
    <w:rsid w:val="00B45446"/>
    <w:rsid w:val="00CD2ADF"/>
    <w:rsid w:val="00D166C0"/>
    <w:rsid w:val="00D81A6C"/>
    <w:rsid w:val="00D9025C"/>
    <w:rsid w:val="00E11D69"/>
    <w:rsid w:val="00E744C7"/>
    <w:rsid w:val="00F5302D"/>
    <w:rsid w:val="00F73A86"/>
    <w:rsid w:val="00FC67BC"/>
    <w:rsid w:val="00FD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5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25E58"/>
  </w:style>
  <w:style w:type="paragraph" w:styleId="ListParagraph">
    <w:name w:val="List Paragraph"/>
    <w:basedOn w:val="Normal"/>
    <w:uiPriority w:val="34"/>
    <w:qFormat/>
    <w:rsid w:val="0093219F"/>
    <w:pPr>
      <w:ind w:left="720"/>
      <w:contextualSpacing/>
    </w:pPr>
  </w:style>
  <w:style w:type="character" w:styleId="CommentReference">
    <w:name w:val="annotation reference"/>
    <w:basedOn w:val="DefaultParagraphFont"/>
    <w:uiPriority w:val="99"/>
    <w:semiHidden/>
    <w:unhideWhenUsed/>
    <w:rsid w:val="00FC67BC"/>
    <w:rPr>
      <w:sz w:val="16"/>
      <w:szCs w:val="16"/>
    </w:rPr>
  </w:style>
  <w:style w:type="paragraph" w:styleId="CommentText">
    <w:name w:val="annotation text"/>
    <w:basedOn w:val="Normal"/>
    <w:link w:val="CommentTextChar"/>
    <w:uiPriority w:val="99"/>
    <w:semiHidden/>
    <w:unhideWhenUsed/>
    <w:rsid w:val="00FC67BC"/>
    <w:rPr>
      <w:sz w:val="20"/>
      <w:szCs w:val="20"/>
    </w:rPr>
  </w:style>
  <w:style w:type="character" w:customStyle="1" w:styleId="CommentTextChar">
    <w:name w:val="Comment Text Char"/>
    <w:basedOn w:val="DefaultParagraphFont"/>
    <w:link w:val="CommentText"/>
    <w:uiPriority w:val="99"/>
    <w:semiHidden/>
    <w:rsid w:val="00FC67B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C67BC"/>
    <w:rPr>
      <w:b/>
      <w:bCs/>
    </w:rPr>
  </w:style>
  <w:style w:type="character" w:customStyle="1" w:styleId="CommentSubjectChar">
    <w:name w:val="Comment Subject Char"/>
    <w:basedOn w:val="CommentTextChar"/>
    <w:link w:val="CommentSubject"/>
    <w:uiPriority w:val="99"/>
    <w:semiHidden/>
    <w:rsid w:val="00FC67B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C6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7BC"/>
    <w:rPr>
      <w:rFonts w:ascii="Segoe UI" w:eastAsia="Times New Roman" w:hAnsi="Segoe UI" w:cs="Segoe UI"/>
      <w:sz w:val="18"/>
      <w:szCs w:val="18"/>
      <w:lang w:val="en-GB"/>
    </w:rPr>
  </w:style>
  <w:style w:type="paragraph" w:customStyle="1" w:styleId="CharChar2CharCharCharChar">
    <w:name w:val="Char Char2 Char Char Char Char"/>
    <w:basedOn w:val="Normal"/>
    <w:rsid w:val="00E744C7"/>
    <w:rPr>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5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25E58"/>
  </w:style>
  <w:style w:type="paragraph" w:styleId="ListParagraph">
    <w:name w:val="List Paragraph"/>
    <w:basedOn w:val="Normal"/>
    <w:uiPriority w:val="34"/>
    <w:qFormat/>
    <w:rsid w:val="0093219F"/>
    <w:pPr>
      <w:ind w:left="720"/>
      <w:contextualSpacing/>
    </w:pPr>
  </w:style>
  <w:style w:type="character" w:styleId="CommentReference">
    <w:name w:val="annotation reference"/>
    <w:basedOn w:val="DefaultParagraphFont"/>
    <w:uiPriority w:val="99"/>
    <w:semiHidden/>
    <w:unhideWhenUsed/>
    <w:rsid w:val="00FC67BC"/>
    <w:rPr>
      <w:sz w:val="16"/>
      <w:szCs w:val="16"/>
    </w:rPr>
  </w:style>
  <w:style w:type="paragraph" w:styleId="CommentText">
    <w:name w:val="annotation text"/>
    <w:basedOn w:val="Normal"/>
    <w:link w:val="CommentTextChar"/>
    <w:uiPriority w:val="99"/>
    <w:semiHidden/>
    <w:unhideWhenUsed/>
    <w:rsid w:val="00FC67BC"/>
    <w:rPr>
      <w:sz w:val="20"/>
      <w:szCs w:val="20"/>
    </w:rPr>
  </w:style>
  <w:style w:type="character" w:customStyle="1" w:styleId="CommentTextChar">
    <w:name w:val="Comment Text Char"/>
    <w:basedOn w:val="DefaultParagraphFont"/>
    <w:link w:val="CommentText"/>
    <w:uiPriority w:val="99"/>
    <w:semiHidden/>
    <w:rsid w:val="00FC67B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C67BC"/>
    <w:rPr>
      <w:b/>
      <w:bCs/>
    </w:rPr>
  </w:style>
  <w:style w:type="character" w:customStyle="1" w:styleId="CommentSubjectChar">
    <w:name w:val="Comment Subject Char"/>
    <w:basedOn w:val="CommentTextChar"/>
    <w:link w:val="CommentSubject"/>
    <w:uiPriority w:val="99"/>
    <w:semiHidden/>
    <w:rsid w:val="00FC67B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C6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7BC"/>
    <w:rPr>
      <w:rFonts w:ascii="Segoe UI" w:eastAsia="Times New Roman" w:hAnsi="Segoe UI" w:cs="Segoe UI"/>
      <w:sz w:val="18"/>
      <w:szCs w:val="18"/>
      <w:lang w:val="en-GB"/>
    </w:rPr>
  </w:style>
  <w:style w:type="paragraph" w:customStyle="1" w:styleId="CharChar2CharCharCharChar">
    <w:name w:val="Char Char2 Char Char Char Char"/>
    <w:basedOn w:val="Normal"/>
    <w:rsid w:val="00E744C7"/>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Boyanova</dc:creator>
  <cp:lastModifiedBy>Zornitsa Vasileva</cp:lastModifiedBy>
  <cp:revision>4</cp:revision>
  <dcterms:created xsi:type="dcterms:W3CDTF">2022-05-27T12:44:00Z</dcterms:created>
  <dcterms:modified xsi:type="dcterms:W3CDTF">2022-05-27T13:52:00Z</dcterms:modified>
</cp:coreProperties>
</file>