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46" w:rsidRPr="00C032B6" w:rsidRDefault="00B909A2" w:rsidP="00C032B6">
      <w:pPr>
        <w:pStyle w:val="NormalWeb"/>
        <w:spacing w:after="0"/>
        <w:ind w:left="-284"/>
        <w:jc w:val="both"/>
        <w:textAlignment w:val="baseline"/>
        <w:rPr>
          <w:b/>
          <w:bCs/>
          <w:color w:val="000000"/>
          <w:kern w:val="24"/>
        </w:rPr>
      </w:pPr>
      <w:r w:rsidRPr="00C032B6">
        <w:rPr>
          <w:b/>
          <w:bCs/>
          <w:noProof/>
          <w:color w:val="000000"/>
          <w:kern w:val="24"/>
          <w:lang w:val="bg-BG" w:eastAsia="bg-BG"/>
        </w:rPr>
        <w:drawing>
          <wp:anchor distT="0" distB="0" distL="114300" distR="114300" simplePos="0" relativeHeight="251663360" behindDoc="0" locked="0" layoutInCell="1" allowOverlap="1">
            <wp:simplePos x="0" y="0"/>
            <wp:positionH relativeFrom="column">
              <wp:posOffset>5676265</wp:posOffset>
            </wp:positionH>
            <wp:positionV relativeFrom="paragraph">
              <wp:posOffset>-247015</wp:posOffset>
            </wp:positionV>
            <wp:extent cx="1583690" cy="1384935"/>
            <wp:effectExtent l="0" t="0" r="0" b="5715"/>
            <wp:wrapNone/>
            <wp:docPr id="2" name="Picture 2"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g-cent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2B6">
        <w:rPr>
          <w:noProof/>
          <w:lang w:val="bg-BG" w:eastAsia="bg-BG"/>
        </w:rPr>
        <w:drawing>
          <wp:anchor distT="0" distB="0" distL="114300" distR="114300" simplePos="0" relativeHeight="251656192" behindDoc="0" locked="0" layoutInCell="1" allowOverlap="1">
            <wp:simplePos x="0" y="0"/>
            <wp:positionH relativeFrom="margin">
              <wp:posOffset>57150</wp:posOffset>
            </wp:positionH>
            <wp:positionV relativeFrom="paragraph">
              <wp:posOffset>-9525</wp:posOffset>
            </wp:positionV>
            <wp:extent cx="932815" cy="640080"/>
            <wp:effectExtent l="0" t="0" r="635" b="7620"/>
            <wp:wrapThrough wrapText="bothSides">
              <wp:wrapPolygon edited="0">
                <wp:start x="0" y="0"/>
                <wp:lineTo x="0" y="21214"/>
                <wp:lineTo x="21174" y="21214"/>
                <wp:lineTo x="2117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2815" cy="640080"/>
                    </a:xfrm>
                    <a:prstGeom prst="rect">
                      <a:avLst/>
                    </a:prstGeom>
                    <a:noFill/>
                  </pic:spPr>
                </pic:pic>
              </a:graphicData>
            </a:graphic>
          </wp:anchor>
        </w:drawing>
      </w:r>
      <w:r w:rsidR="00E31346" w:rsidRPr="00C032B6">
        <w:rPr>
          <w:b/>
          <w:bCs/>
          <w:color w:val="000000"/>
          <w:kern w:val="24"/>
        </w:rPr>
        <w:t xml:space="preserve"> </w:t>
      </w:r>
    </w:p>
    <w:p w:rsidR="00E31346" w:rsidRPr="00C032B6" w:rsidRDefault="00E31346" w:rsidP="00C032B6">
      <w:pPr>
        <w:pStyle w:val="NormalWeb"/>
        <w:spacing w:after="0"/>
        <w:ind w:left="-284"/>
        <w:jc w:val="both"/>
        <w:textAlignment w:val="baseline"/>
        <w:rPr>
          <w:b/>
          <w:bCs/>
          <w:color w:val="000000"/>
          <w:kern w:val="24"/>
        </w:rPr>
      </w:pPr>
    </w:p>
    <w:p w:rsidR="00E31346" w:rsidRPr="00C032B6" w:rsidRDefault="00E31346" w:rsidP="00C032B6">
      <w:pPr>
        <w:pStyle w:val="NormalWeb"/>
        <w:spacing w:after="0"/>
        <w:ind w:left="-284"/>
        <w:jc w:val="both"/>
        <w:textAlignment w:val="baseline"/>
        <w:rPr>
          <w:b/>
          <w:bCs/>
          <w:color w:val="000000"/>
          <w:kern w:val="24"/>
        </w:rPr>
      </w:pPr>
    </w:p>
    <w:p w:rsidR="00E31346" w:rsidRPr="00C032B6" w:rsidRDefault="00E31346" w:rsidP="00C032B6">
      <w:pPr>
        <w:pStyle w:val="NormalWeb"/>
        <w:spacing w:after="0"/>
        <w:ind w:left="-284"/>
        <w:jc w:val="both"/>
        <w:textAlignment w:val="baseline"/>
        <w:rPr>
          <w:b/>
          <w:bCs/>
          <w:color w:val="000000"/>
          <w:kern w:val="24"/>
        </w:rPr>
      </w:pPr>
    </w:p>
    <w:p w:rsidR="00E31346" w:rsidRPr="00C032B6" w:rsidRDefault="00E31346" w:rsidP="00C032B6">
      <w:pPr>
        <w:pStyle w:val="NormalWeb"/>
        <w:spacing w:after="0"/>
        <w:ind w:left="-284"/>
        <w:jc w:val="both"/>
        <w:textAlignment w:val="baseline"/>
        <w:rPr>
          <w:b/>
          <w:bCs/>
          <w:color w:val="000000"/>
          <w:kern w:val="24"/>
        </w:rPr>
      </w:pPr>
    </w:p>
    <w:p w:rsidR="00E31346" w:rsidRPr="00B909A2" w:rsidRDefault="00B909A2" w:rsidP="00937DC8">
      <w:pPr>
        <w:pStyle w:val="NormalWeb"/>
        <w:spacing w:after="0"/>
        <w:ind w:left="-284"/>
        <w:textAlignment w:val="baseline"/>
        <w:rPr>
          <w:b/>
          <w:bCs/>
          <w:color w:val="000000"/>
          <w:kern w:val="24"/>
          <w:sz w:val="20"/>
          <w:szCs w:val="20"/>
        </w:rPr>
      </w:pPr>
      <w:r>
        <w:rPr>
          <w:b/>
          <w:bCs/>
          <w:color w:val="000000"/>
          <w:kern w:val="24"/>
          <w:lang w:val="bg-BG"/>
        </w:rPr>
        <w:t xml:space="preserve">      </w:t>
      </w:r>
      <w:r w:rsidR="00E31346" w:rsidRPr="00B909A2">
        <w:rPr>
          <w:b/>
          <w:bCs/>
          <w:color w:val="000000"/>
          <w:kern w:val="24"/>
          <w:sz w:val="20"/>
          <w:szCs w:val="20"/>
        </w:rPr>
        <w:t>ЕВРОПЕЙСКИ СЪЮЗ</w:t>
      </w:r>
    </w:p>
    <w:p w:rsidR="00937DC8" w:rsidRPr="00B909A2" w:rsidRDefault="00B909A2" w:rsidP="00937DC8">
      <w:pPr>
        <w:pStyle w:val="NormalWeb"/>
        <w:spacing w:after="0"/>
        <w:ind w:left="-284"/>
        <w:textAlignment w:val="baseline"/>
        <w:rPr>
          <w:color w:val="000000"/>
          <w:kern w:val="24"/>
          <w:sz w:val="20"/>
          <w:szCs w:val="20"/>
        </w:rPr>
      </w:pPr>
      <w:r>
        <w:rPr>
          <w:color w:val="000000"/>
          <w:kern w:val="24"/>
          <w:sz w:val="20"/>
          <w:szCs w:val="20"/>
          <w:lang w:val="bg-BG"/>
        </w:rPr>
        <w:t xml:space="preserve">       </w:t>
      </w:r>
      <w:r w:rsidR="00E31346" w:rsidRPr="00B909A2">
        <w:rPr>
          <w:color w:val="000000"/>
          <w:kern w:val="24"/>
          <w:sz w:val="20"/>
          <w:szCs w:val="20"/>
        </w:rPr>
        <w:t>ЕВРОПЕЙСКИ ФОНД</w:t>
      </w:r>
      <w:r w:rsidR="00937DC8" w:rsidRPr="00B909A2">
        <w:rPr>
          <w:color w:val="000000"/>
          <w:kern w:val="24"/>
          <w:sz w:val="20"/>
          <w:szCs w:val="20"/>
          <w:lang w:val="bg-BG"/>
        </w:rPr>
        <w:t xml:space="preserve"> </w:t>
      </w:r>
      <w:r w:rsidR="00E31346" w:rsidRPr="00B909A2">
        <w:rPr>
          <w:color w:val="000000"/>
          <w:kern w:val="24"/>
          <w:sz w:val="20"/>
          <w:szCs w:val="20"/>
          <w:lang w:val="bg-BG"/>
        </w:rPr>
        <w:t>З</w:t>
      </w:r>
      <w:r w:rsidR="00E31346" w:rsidRPr="00B909A2">
        <w:rPr>
          <w:color w:val="000000"/>
          <w:kern w:val="24"/>
          <w:sz w:val="20"/>
          <w:szCs w:val="20"/>
        </w:rPr>
        <w:t xml:space="preserve">А </w:t>
      </w:r>
    </w:p>
    <w:p w:rsidR="00E31346" w:rsidRPr="00B909A2" w:rsidRDefault="00B909A2" w:rsidP="00937DC8">
      <w:pPr>
        <w:pStyle w:val="NormalWeb"/>
        <w:spacing w:after="0"/>
        <w:ind w:left="-284" w:firstLine="284"/>
        <w:textAlignment w:val="baseline"/>
        <w:rPr>
          <w:color w:val="000000"/>
          <w:kern w:val="24"/>
          <w:sz w:val="20"/>
          <w:szCs w:val="20"/>
        </w:rPr>
      </w:pPr>
      <w:r>
        <w:rPr>
          <w:color w:val="000000"/>
          <w:kern w:val="24"/>
          <w:sz w:val="20"/>
          <w:szCs w:val="20"/>
          <w:lang w:val="bg-BG"/>
        </w:rPr>
        <w:t xml:space="preserve">  </w:t>
      </w:r>
      <w:r w:rsidR="00E31346" w:rsidRPr="00B909A2">
        <w:rPr>
          <w:color w:val="000000"/>
          <w:kern w:val="24"/>
          <w:sz w:val="20"/>
          <w:szCs w:val="20"/>
        </w:rPr>
        <w:t>МОРСКО ДЕЛО И РИБАРСТВО</w:t>
      </w:r>
    </w:p>
    <w:p w:rsidR="00E31346" w:rsidRPr="00C032B6" w:rsidRDefault="00E31346" w:rsidP="00C032B6">
      <w:pPr>
        <w:jc w:val="both"/>
        <w:rPr>
          <w:rFonts w:ascii="Times New Roman" w:hAnsi="Times New Roman" w:cs="Times New Roman"/>
          <w:b/>
          <w:bCs/>
          <w:color w:val="000000"/>
          <w:sz w:val="24"/>
          <w:szCs w:val="24"/>
          <w:lang w:val="bg-BG"/>
        </w:rPr>
      </w:pPr>
    </w:p>
    <w:p w:rsidR="000346A8" w:rsidRPr="000D2E14" w:rsidRDefault="00AC2FE7" w:rsidP="000D2E14">
      <w:pPr>
        <w:spacing w:after="0"/>
        <w:jc w:val="center"/>
        <w:rPr>
          <w:rFonts w:ascii="Times New Roman" w:hAnsi="Times New Roman" w:cs="Times New Roman"/>
          <w:b/>
          <w:bCs/>
          <w:color w:val="000000"/>
          <w:sz w:val="24"/>
          <w:szCs w:val="24"/>
          <w:lang w:val="bg-BG"/>
        </w:rPr>
      </w:pPr>
      <w:r w:rsidRPr="00C032B6">
        <w:rPr>
          <w:rFonts w:ascii="Times New Roman" w:hAnsi="Times New Roman" w:cs="Times New Roman"/>
          <w:b/>
          <w:bCs/>
          <w:color w:val="000000"/>
          <w:sz w:val="24"/>
          <w:szCs w:val="24"/>
          <w:lang w:val="bg-BG"/>
        </w:rPr>
        <w:t xml:space="preserve">Таблица за отразяване на постъпили становища във връзка с провеждането на </w:t>
      </w:r>
      <w:r w:rsidR="000D2E14">
        <w:rPr>
          <w:rFonts w:ascii="Times New Roman" w:hAnsi="Times New Roman" w:cs="Times New Roman"/>
          <w:b/>
          <w:bCs/>
          <w:color w:val="000000"/>
          <w:sz w:val="24"/>
          <w:szCs w:val="24"/>
          <w:lang w:val="bg-BG"/>
        </w:rPr>
        <w:t>двадесета</w:t>
      </w:r>
      <w:r w:rsidRPr="00C032B6">
        <w:rPr>
          <w:rFonts w:ascii="Times New Roman" w:hAnsi="Times New Roman" w:cs="Times New Roman"/>
          <w:b/>
          <w:bCs/>
          <w:color w:val="000000"/>
          <w:sz w:val="24"/>
          <w:szCs w:val="24"/>
          <w:lang w:val="bg-BG"/>
        </w:rPr>
        <w:t xml:space="preserve"> писмена процедура за неприсъствено вземане на решение от членовете на К</w:t>
      </w:r>
      <w:r w:rsidR="00F91362" w:rsidRPr="00C032B6">
        <w:rPr>
          <w:rFonts w:ascii="Times New Roman" w:hAnsi="Times New Roman" w:cs="Times New Roman"/>
          <w:b/>
          <w:bCs/>
          <w:color w:val="000000"/>
          <w:sz w:val="24"/>
          <w:szCs w:val="24"/>
          <w:lang w:val="bg-BG"/>
        </w:rPr>
        <w:t>омитета за наблюдение</w:t>
      </w:r>
      <w:r w:rsidRPr="00C032B6">
        <w:rPr>
          <w:rFonts w:ascii="Times New Roman" w:hAnsi="Times New Roman" w:cs="Times New Roman"/>
          <w:b/>
          <w:bCs/>
          <w:color w:val="000000"/>
          <w:sz w:val="24"/>
          <w:szCs w:val="24"/>
          <w:lang w:val="bg-BG"/>
        </w:rPr>
        <w:t xml:space="preserve"> на </w:t>
      </w:r>
      <w:r w:rsidR="00F91362" w:rsidRPr="00C032B6">
        <w:rPr>
          <w:rFonts w:ascii="Times New Roman" w:hAnsi="Times New Roman" w:cs="Times New Roman"/>
          <w:b/>
          <w:bCs/>
          <w:color w:val="000000"/>
          <w:sz w:val="24"/>
          <w:szCs w:val="24"/>
          <w:lang w:val="bg-BG"/>
        </w:rPr>
        <w:t xml:space="preserve">Програмата за морско дело и рибарство </w:t>
      </w:r>
      <w:r w:rsidR="00F91362" w:rsidRPr="000D2E14">
        <w:rPr>
          <w:rFonts w:ascii="Times New Roman" w:hAnsi="Times New Roman" w:cs="Times New Roman"/>
          <w:b/>
          <w:bCs/>
          <w:color w:val="000000"/>
          <w:sz w:val="24"/>
          <w:szCs w:val="24"/>
          <w:lang w:val="bg-BG"/>
        </w:rPr>
        <w:t>(</w:t>
      </w:r>
      <w:r w:rsidRPr="00C032B6">
        <w:rPr>
          <w:rFonts w:ascii="Times New Roman" w:hAnsi="Times New Roman" w:cs="Times New Roman"/>
          <w:b/>
          <w:bCs/>
          <w:color w:val="000000"/>
          <w:sz w:val="24"/>
          <w:szCs w:val="24"/>
          <w:lang w:val="bg-BG"/>
        </w:rPr>
        <w:t>ПМДР</w:t>
      </w:r>
      <w:r w:rsidR="00F91362" w:rsidRPr="000D2E14">
        <w:rPr>
          <w:rFonts w:ascii="Times New Roman" w:hAnsi="Times New Roman" w:cs="Times New Roman"/>
          <w:b/>
          <w:bCs/>
          <w:color w:val="000000"/>
          <w:sz w:val="24"/>
          <w:szCs w:val="24"/>
          <w:lang w:val="bg-BG"/>
        </w:rPr>
        <w:t xml:space="preserve">) 2014-2021 </w:t>
      </w:r>
      <w:r w:rsidR="00F91362" w:rsidRPr="00C032B6">
        <w:rPr>
          <w:rFonts w:ascii="Times New Roman" w:hAnsi="Times New Roman" w:cs="Times New Roman"/>
          <w:b/>
          <w:bCs/>
          <w:color w:val="000000"/>
          <w:sz w:val="24"/>
          <w:szCs w:val="24"/>
          <w:lang w:val="bg-BG"/>
        </w:rPr>
        <w:t xml:space="preserve">г. </w:t>
      </w:r>
      <w:r w:rsidRPr="00C032B6">
        <w:rPr>
          <w:rFonts w:ascii="Times New Roman" w:hAnsi="Times New Roman" w:cs="Times New Roman"/>
          <w:b/>
          <w:bCs/>
          <w:color w:val="000000"/>
          <w:sz w:val="24"/>
          <w:szCs w:val="24"/>
          <w:lang w:val="bg-BG"/>
        </w:rPr>
        <w:t>за одобрение</w:t>
      </w:r>
      <w:r w:rsidR="00A65F39" w:rsidRPr="000D2E14">
        <w:rPr>
          <w:rFonts w:ascii="Times New Roman" w:hAnsi="Times New Roman" w:cs="Times New Roman"/>
          <w:b/>
          <w:bCs/>
          <w:color w:val="000000"/>
          <w:sz w:val="24"/>
          <w:szCs w:val="24"/>
          <w:lang w:val="bg-BG"/>
        </w:rPr>
        <w:t xml:space="preserve"> на </w:t>
      </w:r>
      <w:r w:rsidR="000D2E14" w:rsidRPr="000D2E14">
        <w:rPr>
          <w:rFonts w:ascii="Times New Roman" w:hAnsi="Times New Roman" w:cs="Times New Roman"/>
          <w:b/>
          <w:bCs/>
          <w:color w:val="000000"/>
          <w:sz w:val="24"/>
          <w:szCs w:val="24"/>
          <w:lang w:val="bg-BG"/>
        </w:rPr>
        <w:t>изменението на Индикативната годишна работна програма (ИГРП) за 2022 г. на ПМДР и на изменението на документа за Критерии за подбор по мерките по ПМДР</w:t>
      </w:r>
      <w:r w:rsidRPr="00C032B6">
        <w:rPr>
          <w:rFonts w:ascii="Times New Roman" w:hAnsi="Times New Roman" w:cs="Times New Roman"/>
          <w:b/>
          <w:bCs/>
          <w:color w:val="000000"/>
          <w:sz w:val="24"/>
          <w:szCs w:val="24"/>
          <w:lang w:val="bg-BG"/>
        </w:rPr>
        <w:t>,</w:t>
      </w:r>
    </w:p>
    <w:p w:rsidR="00A65F39" w:rsidRPr="00C032B6" w:rsidRDefault="00A65F39" w:rsidP="00937DC8">
      <w:pPr>
        <w:spacing w:after="0"/>
        <w:jc w:val="center"/>
        <w:rPr>
          <w:rFonts w:ascii="Times New Roman" w:hAnsi="Times New Roman" w:cs="Times New Roman"/>
          <w:b/>
          <w:bCs/>
          <w:color w:val="000000"/>
          <w:sz w:val="24"/>
          <w:szCs w:val="24"/>
          <w:lang w:val="bg-BG"/>
        </w:rPr>
      </w:pPr>
      <w:r w:rsidRPr="00C032B6">
        <w:rPr>
          <w:rFonts w:ascii="Times New Roman" w:hAnsi="Times New Roman" w:cs="Times New Roman"/>
          <w:b/>
          <w:bCs/>
          <w:color w:val="000000"/>
          <w:sz w:val="24"/>
          <w:szCs w:val="24"/>
          <w:lang w:val="bg-BG"/>
        </w:rPr>
        <w:t>2</w:t>
      </w:r>
      <w:r w:rsidR="000D2E14">
        <w:rPr>
          <w:rFonts w:ascii="Times New Roman" w:hAnsi="Times New Roman" w:cs="Times New Roman"/>
          <w:b/>
          <w:bCs/>
          <w:color w:val="000000"/>
          <w:sz w:val="24"/>
          <w:szCs w:val="24"/>
          <w:lang w:val="bg-BG"/>
        </w:rPr>
        <w:t>5</w:t>
      </w:r>
      <w:r w:rsidRPr="00C032B6">
        <w:rPr>
          <w:rFonts w:ascii="Times New Roman" w:hAnsi="Times New Roman" w:cs="Times New Roman"/>
          <w:b/>
          <w:bCs/>
          <w:color w:val="000000"/>
          <w:sz w:val="24"/>
          <w:szCs w:val="24"/>
          <w:lang w:val="bg-BG"/>
        </w:rPr>
        <w:t xml:space="preserve"> </w:t>
      </w:r>
      <w:r w:rsidR="000D2E14">
        <w:rPr>
          <w:rFonts w:ascii="Times New Roman" w:hAnsi="Times New Roman" w:cs="Times New Roman"/>
          <w:b/>
          <w:bCs/>
          <w:color w:val="000000"/>
          <w:sz w:val="24"/>
          <w:szCs w:val="24"/>
          <w:lang w:val="bg-BG"/>
        </w:rPr>
        <w:t>март</w:t>
      </w:r>
      <w:r w:rsidRPr="00C032B6">
        <w:rPr>
          <w:rFonts w:ascii="Times New Roman" w:hAnsi="Times New Roman" w:cs="Times New Roman"/>
          <w:b/>
          <w:bCs/>
          <w:color w:val="000000"/>
          <w:sz w:val="24"/>
          <w:szCs w:val="24"/>
          <w:lang w:val="bg-BG"/>
        </w:rPr>
        <w:t xml:space="preserve"> 202</w:t>
      </w:r>
      <w:r w:rsidR="000D2E14">
        <w:rPr>
          <w:rFonts w:ascii="Times New Roman" w:hAnsi="Times New Roman" w:cs="Times New Roman"/>
          <w:b/>
          <w:bCs/>
          <w:color w:val="000000"/>
          <w:sz w:val="24"/>
          <w:szCs w:val="24"/>
          <w:lang w:val="bg-BG"/>
        </w:rPr>
        <w:t>2</w:t>
      </w:r>
      <w:r w:rsidR="000B31EB">
        <w:rPr>
          <w:rFonts w:ascii="Times New Roman" w:hAnsi="Times New Roman" w:cs="Times New Roman"/>
          <w:b/>
          <w:bCs/>
          <w:color w:val="000000"/>
          <w:sz w:val="24"/>
          <w:szCs w:val="24"/>
          <w:lang w:val="bg-BG"/>
        </w:rPr>
        <w:t xml:space="preserve"> г. - </w:t>
      </w:r>
      <w:r w:rsidR="000D2E14">
        <w:rPr>
          <w:rFonts w:ascii="Times New Roman" w:hAnsi="Times New Roman" w:cs="Times New Roman"/>
          <w:b/>
          <w:bCs/>
          <w:color w:val="000000"/>
          <w:sz w:val="24"/>
          <w:szCs w:val="24"/>
          <w:lang w:val="bg-BG"/>
        </w:rPr>
        <w:t>11</w:t>
      </w:r>
      <w:r w:rsidRPr="00C032B6">
        <w:rPr>
          <w:rFonts w:ascii="Times New Roman" w:hAnsi="Times New Roman" w:cs="Times New Roman"/>
          <w:b/>
          <w:bCs/>
          <w:color w:val="000000"/>
          <w:sz w:val="24"/>
          <w:szCs w:val="24"/>
          <w:lang w:val="bg-BG"/>
        </w:rPr>
        <w:t xml:space="preserve"> </w:t>
      </w:r>
      <w:r w:rsidR="000D2E14">
        <w:rPr>
          <w:rFonts w:ascii="Times New Roman" w:hAnsi="Times New Roman" w:cs="Times New Roman"/>
          <w:b/>
          <w:bCs/>
          <w:color w:val="000000"/>
          <w:sz w:val="24"/>
          <w:szCs w:val="24"/>
          <w:lang w:val="bg-BG"/>
        </w:rPr>
        <w:t>април</w:t>
      </w:r>
      <w:r w:rsidRPr="00C032B6">
        <w:rPr>
          <w:rFonts w:ascii="Times New Roman" w:hAnsi="Times New Roman" w:cs="Times New Roman"/>
          <w:b/>
          <w:bCs/>
          <w:color w:val="000000"/>
          <w:sz w:val="24"/>
          <w:szCs w:val="24"/>
          <w:lang w:val="bg-BG"/>
        </w:rPr>
        <w:t xml:space="preserve"> 202</w:t>
      </w:r>
      <w:r w:rsidR="000D2E14">
        <w:rPr>
          <w:rFonts w:ascii="Times New Roman" w:hAnsi="Times New Roman" w:cs="Times New Roman"/>
          <w:b/>
          <w:bCs/>
          <w:color w:val="000000"/>
          <w:sz w:val="24"/>
          <w:szCs w:val="24"/>
          <w:lang w:val="bg-BG"/>
        </w:rPr>
        <w:t>2</w:t>
      </w:r>
      <w:r w:rsidRPr="00C032B6">
        <w:rPr>
          <w:rFonts w:ascii="Times New Roman" w:hAnsi="Times New Roman" w:cs="Times New Roman"/>
          <w:b/>
          <w:bCs/>
          <w:color w:val="000000"/>
          <w:sz w:val="24"/>
          <w:szCs w:val="24"/>
          <w:lang w:val="bg-BG"/>
        </w:rPr>
        <w:t xml:space="preserve"> г.</w:t>
      </w:r>
      <w:r w:rsidR="001F5F84">
        <w:rPr>
          <w:rFonts w:ascii="Times New Roman" w:hAnsi="Times New Roman" w:cs="Times New Roman"/>
          <w:b/>
          <w:bCs/>
          <w:color w:val="000000"/>
          <w:sz w:val="24"/>
          <w:szCs w:val="24"/>
          <w:lang w:val="bg-BG"/>
        </w:rPr>
        <w:t xml:space="preserve"> (консолидирана)</w:t>
      </w:r>
    </w:p>
    <w:p w:rsidR="00E31346" w:rsidRPr="00C032B6" w:rsidRDefault="00E31346" w:rsidP="00C032B6">
      <w:pPr>
        <w:jc w:val="both"/>
        <w:rPr>
          <w:rFonts w:ascii="Times New Roman" w:hAnsi="Times New Roman" w:cs="Times New Roman"/>
          <w:b/>
          <w:sz w:val="24"/>
          <w:szCs w:val="24"/>
          <w:lang w:val="bg-BG"/>
        </w:rPr>
      </w:pPr>
    </w:p>
    <w:tbl>
      <w:tblPr>
        <w:tblStyle w:val="TableGrid"/>
        <w:tblW w:w="0" w:type="auto"/>
        <w:tblLook w:val="04A0" w:firstRow="1" w:lastRow="0" w:firstColumn="1" w:lastColumn="0" w:noHBand="0" w:noVBand="1"/>
      </w:tblPr>
      <w:tblGrid>
        <w:gridCol w:w="625"/>
        <w:gridCol w:w="2096"/>
        <w:gridCol w:w="6477"/>
        <w:gridCol w:w="3801"/>
      </w:tblGrid>
      <w:tr w:rsidR="00E31346" w:rsidRPr="00C032B6" w:rsidTr="00502DBF">
        <w:tc>
          <w:tcPr>
            <w:tcW w:w="625" w:type="dxa"/>
            <w:shd w:val="clear" w:color="auto" w:fill="BDD6EE" w:themeFill="accent1" w:themeFillTint="66"/>
          </w:tcPr>
          <w:p w:rsidR="00E31346" w:rsidRPr="00C032B6" w:rsidRDefault="00E31346" w:rsidP="00C032B6">
            <w:pPr>
              <w:jc w:val="both"/>
              <w:rPr>
                <w:rFonts w:ascii="Times New Roman" w:hAnsi="Times New Roman" w:cs="Times New Roman"/>
                <w:b/>
                <w:sz w:val="24"/>
                <w:szCs w:val="24"/>
                <w:lang w:val="bg-BG"/>
              </w:rPr>
            </w:pPr>
            <w:r w:rsidRPr="00C032B6">
              <w:rPr>
                <w:rFonts w:ascii="Times New Roman" w:hAnsi="Times New Roman" w:cs="Times New Roman"/>
                <w:b/>
                <w:sz w:val="24"/>
                <w:szCs w:val="24"/>
                <w:lang w:val="bg-BG"/>
              </w:rPr>
              <w:t>№</w:t>
            </w:r>
          </w:p>
        </w:tc>
        <w:tc>
          <w:tcPr>
            <w:tcW w:w="2096" w:type="dxa"/>
            <w:shd w:val="clear" w:color="auto" w:fill="BDD6EE" w:themeFill="accent1" w:themeFillTint="66"/>
          </w:tcPr>
          <w:p w:rsidR="00E31346" w:rsidRPr="00C032B6" w:rsidRDefault="00E31346" w:rsidP="005E4DEB">
            <w:pPr>
              <w:jc w:val="center"/>
              <w:rPr>
                <w:rFonts w:ascii="Times New Roman" w:hAnsi="Times New Roman" w:cs="Times New Roman"/>
                <w:b/>
                <w:sz w:val="24"/>
                <w:szCs w:val="24"/>
                <w:lang w:val="bg-BG"/>
              </w:rPr>
            </w:pPr>
          </w:p>
          <w:p w:rsidR="00E31346" w:rsidRPr="00C032B6" w:rsidRDefault="000346A8" w:rsidP="005E4DEB">
            <w:pPr>
              <w:jc w:val="center"/>
              <w:rPr>
                <w:rFonts w:ascii="Times New Roman" w:hAnsi="Times New Roman" w:cs="Times New Roman"/>
                <w:b/>
                <w:sz w:val="24"/>
                <w:szCs w:val="24"/>
                <w:lang w:val="bg-BG"/>
              </w:rPr>
            </w:pPr>
            <w:r w:rsidRPr="00C032B6">
              <w:rPr>
                <w:rFonts w:ascii="Times New Roman" w:hAnsi="Times New Roman" w:cs="Times New Roman"/>
                <w:b/>
                <w:sz w:val="24"/>
                <w:szCs w:val="24"/>
                <w:lang w:val="bg-BG"/>
              </w:rPr>
              <w:t xml:space="preserve">ЧЛЕН/ </w:t>
            </w:r>
            <w:r w:rsidR="00E31346" w:rsidRPr="00C032B6">
              <w:rPr>
                <w:rFonts w:ascii="Times New Roman" w:hAnsi="Times New Roman" w:cs="Times New Roman"/>
                <w:b/>
                <w:sz w:val="24"/>
                <w:szCs w:val="24"/>
                <w:lang w:val="bg-BG"/>
              </w:rPr>
              <w:t>ОРГАНИЗАЦИЯ</w:t>
            </w:r>
          </w:p>
          <w:p w:rsidR="00E31346" w:rsidRPr="00C032B6" w:rsidRDefault="00E31346" w:rsidP="005E4DEB">
            <w:pPr>
              <w:jc w:val="center"/>
              <w:rPr>
                <w:rFonts w:ascii="Times New Roman" w:hAnsi="Times New Roman" w:cs="Times New Roman"/>
                <w:b/>
                <w:sz w:val="24"/>
                <w:szCs w:val="24"/>
                <w:lang w:val="bg-BG"/>
              </w:rPr>
            </w:pPr>
          </w:p>
        </w:tc>
        <w:tc>
          <w:tcPr>
            <w:tcW w:w="6477" w:type="dxa"/>
            <w:shd w:val="clear" w:color="auto" w:fill="BDD6EE" w:themeFill="accent1" w:themeFillTint="66"/>
          </w:tcPr>
          <w:p w:rsidR="00E31346" w:rsidRPr="00C032B6" w:rsidRDefault="00E31346" w:rsidP="005E4DEB">
            <w:pPr>
              <w:jc w:val="center"/>
              <w:rPr>
                <w:rFonts w:ascii="Times New Roman" w:hAnsi="Times New Roman" w:cs="Times New Roman"/>
                <w:b/>
                <w:sz w:val="24"/>
                <w:szCs w:val="24"/>
                <w:lang w:val="bg-BG"/>
              </w:rPr>
            </w:pPr>
          </w:p>
          <w:p w:rsidR="00E31346" w:rsidRPr="00C032B6" w:rsidRDefault="00E31346" w:rsidP="005E4DEB">
            <w:pPr>
              <w:jc w:val="center"/>
              <w:rPr>
                <w:rFonts w:ascii="Times New Roman" w:hAnsi="Times New Roman" w:cs="Times New Roman"/>
                <w:b/>
                <w:sz w:val="24"/>
                <w:szCs w:val="24"/>
                <w:lang w:val="bg-BG"/>
              </w:rPr>
            </w:pPr>
            <w:r w:rsidRPr="00C032B6">
              <w:rPr>
                <w:rFonts w:ascii="Times New Roman" w:hAnsi="Times New Roman" w:cs="Times New Roman"/>
                <w:b/>
                <w:sz w:val="24"/>
                <w:szCs w:val="24"/>
                <w:lang w:val="bg-BG"/>
              </w:rPr>
              <w:t>СТАНОВИЩЕ</w:t>
            </w:r>
          </w:p>
        </w:tc>
        <w:tc>
          <w:tcPr>
            <w:tcW w:w="3801" w:type="dxa"/>
            <w:shd w:val="clear" w:color="auto" w:fill="BDD6EE" w:themeFill="accent1" w:themeFillTint="66"/>
          </w:tcPr>
          <w:p w:rsidR="00E31346" w:rsidRPr="00C032B6" w:rsidRDefault="00E31346" w:rsidP="005E4DEB">
            <w:pPr>
              <w:jc w:val="center"/>
              <w:rPr>
                <w:rFonts w:ascii="Times New Roman" w:hAnsi="Times New Roman" w:cs="Times New Roman"/>
                <w:b/>
                <w:sz w:val="24"/>
                <w:szCs w:val="24"/>
                <w:lang w:val="bg-BG"/>
              </w:rPr>
            </w:pPr>
          </w:p>
          <w:p w:rsidR="00E31346" w:rsidRPr="00C032B6" w:rsidRDefault="00E31346" w:rsidP="005E4DEB">
            <w:pPr>
              <w:jc w:val="center"/>
              <w:rPr>
                <w:rFonts w:ascii="Times New Roman" w:hAnsi="Times New Roman" w:cs="Times New Roman"/>
                <w:b/>
                <w:sz w:val="24"/>
                <w:szCs w:val="24"/>
                <w:lang w:val="bg-BG"/>
              </w:rPr>
            </w:pPr>
            <w:r w:rsidRPr="00C032B6">
              <w:rPr>
                <w:rFonts w:ascii="Times New Roman" w:hAnsi="Times New Roman" w:cs="Times New Roman"/>
                <w:b/>
                <w:sz w:val="24"/>
                <w:szCs w:val="24"/>
                <w:lang w:val="bg-BG"/>
              </w:rPr>
              <w:t xml:space="preserve">КОМЕНТАР НА </w:t>
            </w:r>
            <w:r w:rsidR="000346A8" w:rsidRPr="00C032B6">
              <w:rPr>
                <w:rFonts w:ascii="Times New Roman" w:hAnsi="Times New Roman" w:cs="Times New Roman"/>
                <w:b/>
                <w:sz w:val="24"/>
                <w:szCs w:val="24"/>
                <w:lang w:val="bg-BG"/>
              </w:rPr>
              <w:t>УО на ПМДР</w:t>
            </w:r>
          </w:p>
        </w:tc>
      </w:tr>
      <w:tr w:rsidR="00E31346" w:rsidRPr="00C032B6" w:rsidTr="00502DBF">
        <w:trPr>
          <w:trHeight w:val="1075"/>
        </w:trPr>
        <w:tc>
          <w:tcPr>
            <w:tcW w:w="625" w:type="dxa"/>
          </w:tcPr>
          <w:p w:rsidR="00E31346" w:rsidRPr="00C032B6" w:rsidRDefault="00E31346" w:rsidP="00C032B6">
            <w:pPr>
              <w:jc w:val="both"/>
              <w:rPr>
                <w:rFonts w:ascii="Times New Roman" w:hAnsi="Times New Roman" w:cs="Times New Roman"/>
                <w:b/>
                <w:sz w:val="24"/>
                <w:szCs w:val="24"/>
                <w:lang w:val="bg-BG"/>
              </w:rPr>
            </w:pPr>
            <w:r w:rsidRPr="00C032B6">
              <w:rPr>
                <w:rFonts w:ascii="Times New Roman" w:hAnsi="Times New Roman" w:cs="Times New Roman"/>
                <w:b/>
                <w:sz w:val="24"/>
                <w:szCs w:val="24"/>
                <w:lang w:val="bg-BG"/>
              </w:rPr>
              <w:t>1.</w:t>
            </w:r>
          </w:p>
        </w:tc>
        <w:tc>
          <w:tcPr>
            <w:tcW w:w="2096" w:type="dxa"/>
          </w:tcPr>
          <w:p w:rsidR="00F91362" w:rsidRPr="00C032B6" w:rsidRDefault="00A65F39"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Министерство на финансите</w:t>
            </w:r>
            <w:r w:rsidR="00727027" w:rsidRPr="00C032B6">
              <w:rPr>
                <w:rFonts w:ascii="Times New Roman" w:hAnsi="Times New Roman" w:cs="Times New Roman"/>
                <w:sz w:val="24"/>
                <w:szCs w:val="24"/>
                <w:lang w:val="bg-BG"/>
              </w:rPr>
              <w:t>,</w:t>
            </w:r>
          </w:p>
          <w:p w:rsidR="00727027" w:rsidRPr="00C032B6" w:rsidRDefault="00727027"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Весела Данева</w:t>
            </w:r>
          </w:p>
        </w:tc>
        <w:tc>
          <w:tcPr>
            <w:tcW w:w="6477" w:type="dxa"/>
          </w:tcPr>
          <w:p w:rsidR="006F4C97" w:rsidRPr="006F4C97" w:rsidRDefault="006F4C97" w:rsidP="006F4C97">
            <w:pPr>
              <w:ind w:firstLine="720"/>
              <w:jc w:val="both"/>
              <w:rPr>
                <w:rFonts w:ascii="Times New Roman" w:eastAsia="Calibri" w:hAnsi="Times New Roman" w:cs="Times New Roman"/>
                <w:color w:val="000000"/>
                <w:sz w:val="24"/>
                <w:szCs w:val="24"/>
                <w:lang w:val="bg-BG"/>
              </w:rPr>
            </w:pPr>
            <w:r w:rsidRPr="006F4C97">
              <w:rPr>
                <w:rFonts w:ascii="Times New Roman" w:eastAsia="Calibri" w:hAnsi="Times New Roman" w:cs="Times New Roman"/>
                <w:color w:val="000000"/>
                <w:sz w:val="24"/>
                <w:szCs w:val="24"/>
                <w:lang w:val="bg-BG"/>
              </w:rPr>
              <w:t xml:space="preserve">С проекта на изменена ИГРП за 2022 г. се предлага включване на процедура по мярка 6.3 „Интегрирана морска политика. Повишаване на знанията за състоянието на морската среда“, за която се посочва, че не представлява държавна помощ или минимална помощ. Предвид разпоредбите на член 8 от Регламент (ЕС) № 508/2014 и с оглед на посоченото в точки (5), (6) и (7) от въведението на  Съобщение на Комисията - Насоки за преглед на държавната помощ за рибарството и </w:t>
            </w:r>
            <w:proofErr w:type="spellStart"/>
            <w:r w:rsidRPr="006F4C97">
              <w:rPr>
                <w:rFonts w:ascii="Times New Roman" w:eastAsia="Calibri" w:hAnsi="Times New Roman" w:cs="Times New Roman"/>
                <w:color w:val="000000"/>
                <w:sz w:val="24"/>
                <w:szCs w:val="24"/>
                <w:lang w:val="bg-BG"/>
              </w:rPr>
              <w:t>аквакултурите</w:t>
            </w:r>
            <w:proofErr w:type="spellEnd"/>
            <w:r w:rsidRPr="006F4C97">
              <w:rPr>
                <w:rFonts w:ascii="Times New Roman" w:eastAsia="Calibri" w:hAnsi="Times New Roman" w:cs="Times New Roman"/>
                <w:color w:val="000000"/>
                <w:sz w:val="24"/>
                <w:szCs w:val="24"/>
                <w:lang w:val="bg-BG"/>
              </w:rPr>
              <w:t xml:space="preserve"> (2015/C 217/01) (Насоките), подпомагането по мерките, свързани с Интегрираната морска политика (ИМП) – по приоритетна ос 6 от ПМДР, следва да се предоставя по общите правила за държавните помощи на ЕС, тъй като не попада в сектора на </w:t>
            </w:r>
            <w:r w:rsidRPr="006F4C97">
              <w:rPr>
                <w:rFonts w:ascii="Times New Roman" w:eastAsia="Calibri" w:hAnsi="Times New Roman" w:cs="Times New Roman"/>
                <w:color w:val="000000"/>
                <w:sz w:val="24"/>
                <w:szCs w:val="24"/>
                <w:lang w:val="bg-BG"/>
              </w:rPr>
              <w:lastRenderedPageBreak/>
              <w:t xml:space="preserve">рибарството и </w:t>
            </w:r>
            <w:proofErr w:type="spellStart"/>
            <w:r w:rsidRPr="006F4C97">
              <w:rPr>
                <w:rFonts w:ascii="Times New Roman" w:eastAsia="Calibri" w:hAnsi="Times New Roman" w:cs="Times New Roman"/>
                <w:color w:val="000000"/>
                <w:sz w:val="24"/>
                <w:szCs w:val="24"/>
                <w:lang w:val="bg-BG"/>
              </w:rPr>
              <w:t>аквакултурите</w:t>
            </w:r>
            <w:proofErr w:type="spellEnd"/>
            <w:r w:rsidRPr="006F4C97">
              <w:rPr>
                <w:rFonts w:ascii="Times New Roman" w:eastAsia="Calibri" w:hAnsi="Times New Roman" w:cs="Times New Roman"/>
                <w:color w:val="000000"/>
                <w:sz w:val="24"/>
                <w:szCs w:val="24"/>
                <w:lang w:val="bg-BG"/>
              </w:rPr>
              <w:t>. Свързани с ИМП са също така мярка 6.1 „Интегрирана морска политика. Интегрирано морско наблюдение“ и мярка 6.2 „Интегрирана морска политика. Опазване на морската среда, по-специално на биологичното разнообразие и морските защитени зони, като обектите по Натура 2000, в съответствие със задълженията, установени в директиви 92/43/ЕИО и 2009/147/ЕО“.</w:t>
            </w:r>
          </w:p>
          <w:p w:rsidR="006F4C97" w:rsidRPr="006F4C97" w:rsidRDefault="006F4C97" w:rsidP="006F4C97">
            <w:pPr>
              <w:ind w:firstLine="720"/>
              <w:jc w:val="both"/>
              <w:rPr>
                <w:rFonts w:ascii="Times New Roman" w:eastAsia="Calibri" w:hAnsi="Times New Roman" w:cs="Times New Roman"/>
                <w:color w:val="000000"/>
                <w:sz w:val="24"/>
                <w:szCs w:val="24"/>
                <w:lang w:val="bg-BG"/>
              </w:rPr>
            </w:pPr>
            <w:r w:rsidRPr="006F4C97">
              <w:rPr>
                <w:rFonts w:ascii="Times New Roman" w:eastAsia="Calibri" w:hAnsi="Times New Roman" w:cs="Times New Roman"/>
                <w:color w:val="000000"/>
                <w:sz w:val="24"/>
                <w:szCs w:val="24"/>
                <w:lang w:val="bg-BG"/>
              </w:rPr>
              <w:t xml:space="preserve">Предвид горното и в изпълнение на разпоредбата на чл. 26, ал. 3 от ЗУСЕСИФ, проектите на документи, определящи условията за кандидатстване и условията за изпълнение на одобрените проекти по посочените мерки, преди внасянето им за утвърждаване, следва да бъдат съгласувани за съответствие с приложимите правила за държавните помощи с министъра на финансите по реда на </w:t>
            </w:r>
            <w:r w:rsidRPr="006F4C97">
              <w:rPr>
                <w:rFonts w:ascii="Times New Roman" w:eastAsia="Calibri" w:hAnsi="Times New Roman" w:cs="Times New Roman"/>
                <w:i/>
                <w:color w:val="000000"/>
                <w:sz w:val="24"/>
                <w:szCs w:val="24"/>
                <w:lang w:val="bg-BG"/>
              </w:rPr>
              <w:t>Наредба № 4 от 22.07.2016 г. за определяне на реда за съгласуване на проектите на документи по чл. 26, ал. 1 от Закона за управление на средствата от Европейските структурни и инвестиционни фондове</w:t>
            </w:r>
            <w:r w:rsidRPr="006F4C97">
              <w:rPr>
                <w:rFonts w:ascii="Times New Roman" w:eastAsia="Calibri" w:hAnsi="Times New Roman" w:cs="Times New Roman"/>
                <w:color w:val="000000"/>
                <w:sz w:val="24"/>
                <w:szCs w:val="24"/>
                <w:lang w:val="bg-BG"/>
              </w:rPr>
              <w:t xml:space="preserve">. </w:t>
            </w:r>
            <w:r w:rsidRPr="006F4C97">
              <w:rPr>
                <w:rFonts w:ascii="Times New Roman" w:eastAsia="Calibri" w:hAnsi="Times New Roman" w:cs="Times New Roman"/>
                <w:b/>
                <w:color w:val="000000"/>
                <w:sz w:val="24"/>
                <w:szCs w:val="24"/>
                <w:lang w:val="bg-BG"/>
              </w:rPr>
              <w:t>Към настоящия момент, в Министерството на финансите, не са постъпвали документи за съгласуване по процедури по посочените мерки</w:t>
            </w:r>
            <w:r w:rsidRPr="006F4C97">
              <w:rPr>
                <w:rFonts w:ascii="Times New Roman" w:eastAsia="Calibri" w:hAnsi="Times New Roman" w:cs="Times New Roman"/>
                <w:color w:val="000000"/>
                <w:sz w:val="24"/>
                <w:szCs w:val="24"/>
                <w:lang w:val="bg-BG"/>
              </w:rPr>
              <w:t xml:space="preserve">, а видно от документа Втора междинна оценка на програмата, до края на 2021 г. по приоритетна ос 6 са минали три процедури за прием на проекти.  Освен това, прави впечатление, че в Междинната оценка не се посочва фактът, че за тези процедури не са изпълнени задълженията по чл. 26, ал. 3 от ЗУСЕСИФ, отговорността за което е изцяло на Управляващия орган. </w:t>
            </w:r>
          </w:p>
          <w:p w:rsidR="006F4C97" w:rsidRPr="006F4C97" w:rsidRDefault="006F4C97" w:rsidP="006F4C97">
            <w:pPr>
              <w:ind w:firstLine="720"/>
              <w:jc w:val="both"/>
              <w:rPr>
                <w:rFonts w:ascii="Times New Roman" w:eastAsia="Calibri" w:hAnsi="Times New Roman" w:cs="Times New Roman"/>
                <w:color w:val="000000"/>
                <w:sz w:val="24"/>
                <w:szCs w:val="24"/>
                <w:lang w:val="bg-BG"/>
              </w:rPr>
            </w:pPr>
            <w:r w:rsidRPr="006F4C97">
              <w:rPr>
                <w:rFonts w:ascii="Times New Roman" w:eastAsia="Calibri" w:hAnsi="Times New Roman" w:cs="Times New Roman"/>
                <w:color w:val="000000"/>
                <w:sz w:val="24"/>
                <w:szCs w:val="24"/>
                <w:lang w:val="bg-BG"/>
              </w:rPr>
              <w:t xml:space="preserve">След като направихме преглед в ИСУН на публикуваните Условия за кандидатстване (УК) по приключили процедури за подбор на проекти по мерки от Приоритетна ос 6, установихме че информацията в раздел 16 </w:t>
            </w:r>
            <w:r w:rsidRPr="006F4C97">
              <w:rPr>
                <w:rFonts w:ascii="Times New Roman" w:eastAsia="Calibri" w:hAnsi="Times New Roman" w:cs="Times New Roman"/>
                <w:i/>
                <w:color w:val="000000"/>
                <w:sz w:val="24"/>
                <w:szCs w:val="24"/>
                <w:lang w:val="bg-BG"/>
              </w:rPr>
              <w:t>„Приложим режим на минимални/държавни помощи (ако е приложимо)“</w:t>
            </w:r>
            <w:r w:rsidRPr="006F4C97">
              <w:rPr>
                <w:rFonts w:ascii="Times New Roman" w:eastAsia="Calibri" w:hAnsi="Times New Roman" w:cs="Times New Roman"/>
                <w:color w:val="000000"/>
                <w:sz w:val="24"/>
                <w:szCs w:val="24"/>
                <w:lang w:val="bg-BG"/>
              </w:rPr>
              <w:t xml:space="preserve"> е неясна, непълна и в голяма степен противоречива. По наше мнение изложеното в УК не </w:t>
            </w:r>
            <w:r w:rsidRPr="006F4C97">
              <w:rPr>
                <w:rFonts w:ascii="Times New Roman" w:eastAsia="Calibri" w:hAnsi="Times New Roman" w:cs="Times New Roman"/>
                <w:color w:val="000000"/>
                <w:sz w:val="24"/>
                <w:szCs w:val="24"/>
                <w:lang w:val="bg-BG"/>
              </w:rPr>
              <w:lastRenderedPageBreak/>
              <w:t xml:space="preserve">аргументира оценката на УО, че безвъзмездната финансова помощ не представлява държавна помощ по смисъла на чл. 107, параграф 1 от ДФЕС. За целта, при изготвянето на насоките към кандидатите, УО би могъл да следва утвърденото от министъра на финансите </w:t>
            </w:r>
            <w:r w:rsidRPr="006F4C97">
              <w:rPr>
                <w:rFonts w:ascii="Times New Roman" w:eastAsia="Calibri" w:hAnsi="Times New Roman" w:cs="Times New Roman"/>
                <w:i/>
                <w:color w:val="000000"/>
                <w:sz w:val="24"/>
                <w:szCs w:val="24"/>
                <w:lang w:val="bg-BG"/>
              </w:rPr>
              <w:t>Методическо указание за осигуряване на съответствие с приложимите правила по държавните помощи  №УК-2/17.09.2019 г.</w:t>
            </w:r>
            <w:r w:rsidRPr="006F4C97">
              <w:rPr>
                <w:rFonts w:ascii="Times New Roman" w:eastAsia="Calibri" w:hAnsi="Times New Roman" w:cs="Times New Roman"/>
                <w:color w:val="000000"/>
                <w:sz w:val="24"/>
                <w:szCs w:val="24"/>
                <w:lang w:val="bg-BG"/>
              </w:rPr>
              <w:t xml:space="preserve">, публикувано на  </w:t>
            </w:r>
            <w:hyperlink r:id="rId8" w:history="1">
              <w:r w:rsidRPr="006F4C97">
                <w:rPr>
                  <w:rFonts w:ascii="Times New Roman" w:eastAsia="Calibri" w:hAnsi="Times New Roman" w:cs="Times New Roman"/>
                  <w:color w:val="000000"/>
                  <w:sz w:val="24"/>
                  <w:szCs w:val="24"/>
                  <w:lang w:val="bg-BG"/>
                </w:rPr>
                <w:t>https://stateaid.minfin.bg/bg/page/572</w:t>
              </w:r>
            </w:hyperlink>
            <w:r w:rsidRPr="006F4C97">
              <w:rPr>
                <w:rFonts w:ascii="Times New Roman" w:eastAsia="Calibri" w:hAnsi="Times New Roman" w:cs="Times New Roman"/>
                <w:color w:val="000000"/>
                <w:sz w:val="24"/>
                <w:szCs w:val="24"/>
                <w:lang w:val="bg-BG"/>
              </w:rPr>
              <w:t>.</w:t>
            </w:r>
          </w:p>
          <w:p w:rsidR="006F4C97" w:rsidRPr="006F4C97" w:rsidRDefault="006F4C97" w:rsidP="006F4C97">
            <w:pPr>
              <w:ind w:firstLine="720"/>
              <w:jc w:val="both"/>
              <w:rPr>
                <w:rFonts w:ascii="Times New Roman" w:eastAsia="Calibri" w:hAnsi="Times New Roman" w:cs="Times New Roman"/>
                <w:color w:val="000000"/>
                <w:sz w:val="24"/>
                <w:szCs w:val="24"/>
                <w:lang w:val="bg-BG"/>
              </w:rPr>
            </w:pPr>
            <w:r w:rsidRPr="006F4C97">
              <w:rPr>
                <w:rFonts w:ascii="Times New Roman" w:eastAsia="Calibri" w:hAnsi="Times New Roman" w:cs="Times New Roman"/>
                <w:color w:val="000000"/>
                <w:sz w:val="24"/>
                <w:szCs w:val="24"/>
                <w:lang w:val="bg-BG"/>
              </w:rPr>
              <w:t>По отношение на предоставения документ „Обосновка за изменение на Индикативната годишна работна програма (ИГРП) за 2022 г. по Програмата за морско дело и рибарство (ПМДР)2014-2020 г.“ прави впечатление, че не са посочени мотиви за промените на ИГРП, свързани с  Мярка 1.6 „Опазване и възстановяване на морското биологично разнообразие“, поради което предлагаме същият да се допълни в това отношение.</w:t>
            </w:r>
          </w:p>
          <w:p w:rsidR="006F4C97" w:rsidRPr="006F4C97" w:rsidRDefault="006F4C97" w:rsidP="006F4C97">
            <w:pPr>
              <w:ind w:firstLine="720"/>
              <w:jc w:val="both"/>
              <w:rPr>
                <w:rFonts w:ascii="Times New Roman" w:eastAsia="Calibri" w:hAnsi="Times New Roman" w:cs="Times New Roman"/>
                <w:color w:val="000000"/>
                <w:sz w:val="24"/>
                <w:szCs w:val="24"/>
                <w:lang w:val="bg-BG"/>
              </w:rPr>
            </w:pPr>
            <w:r w:rsidRPr="006F4C97">
              <w:rPr>
                <w:rFonts w:ascii="Times New Roman" w:eastAsia="Calibri" w:hAnsi="Times New Roman" w:cs="Times New Roman"/>
                <w:color w:val="000000"/>
                <w:sz w:val="24"/>
                <w:szCs w:val="24"/>
                <w:lang w:val="bg-BG"/>
              </w:rPr>
              <w:t xml:space="preserve">По отношение на  документа „Обосновка за промяна на документа за Критерии за подбор по мерките по Програмата за морско дело и рибарство 2014-2020 г. (ПМДР 2014-2020)“ според нас, предлаганото изменение на критериите по мярка 6.3 е недостатъчно аргументирано, още повече, че Регламент № 508/2014 не е претърпял изменение в чл. 80, параграф 1, буква „в“ след приемането им от КН в началото на програмния период. С така предложените четири критерия за подбор, които са с еднаква тежест, реално липсва </w:t>
            </w:r>
            <w:proofErr w:type="spellStart"/>
            <w:r w:rsidRPr="006F4C97">
              <w:rPr>
                <w:rFonts w:ascii="Times New Roman" w:eastAsia="Calibri" w:hAnsi="Times New Roman" w:cs="Times New Roman"/>
                <w:color w:val="000000"/>
                <w:sz w:val="24"/>
                <w:szCs w:val="24"/>
                <w:lang w:val="bg-BG"/>
              </w:rPr>
              <w:t>приоритизиращия</w:t>
            </w:r>
            <w:proofErr w:type="spellEnd"/>
            <w:r w:rsidRPr="006F4C97">
              <w:rPr>
                <w:rFonts w:ascii="Times New Roman" w:eastAsia="Calibri" w:hAnsi="Times New Roman" w:cs="Times New Roman"/>
                <w:color w:val="000000"/>
                <w:sz w:val="24"/>
                <w:szCs w:val="24"/>
                <w:lang w:val="bg-BG"/>
              </w:rPr>
              <w:t xml:space="preserve"> фактор. Считаме за важно критериите за подбор да отразяват целите и приоритетите на следваната политика, като за целта по-голяма тежест да имат проектите, включващи дейности с по-голямо значение за развитието на ИМП, както и от гледна точка на постигане в максимална степен „общия интерес“ на мярката. В тази връзка, предлагаме да се обмисли залагането на съществени критерии за подбор, които критерии да гарантират прозрачна и недискриминационна процедура по мярката. </w:t>
            </w:r>
          </w:p>
          <w:p w:rsidR="006F4C97" w:rsidRPr="006F4C97" w:rsidRDefault="006F4C97" w:rsidP="006F4C97">
            <w:pPr>
              <w:ind w:firstLine="720"/>
              <w:jc w:val="both"/>
              <w:rPr>
                <w:rFonts w:ascii="Times New Roman" w:eastAsia="Calibri" w:hAnsi="Times New Roman" w:cs="Times New Roman"/>
                <w:color w:val="000000"/>
                <w:sz w:val="24"/>
                <w:szCs w:val="24"/>
                <w:lang w:val="bg-BG"/>
              </w:rPr>
            </w:pPr>
            <w:r w:rsidRPr="006F4C97">
              <w:rPr>
                <w:rFonts w:ascii="Times New Roman" w:eastAsia="Calibri" w:hAnsi="Times New Roman" w:cs="Times New Roman"/>
                <w:color w:val="000000"/>
                <w:sz w:val="24"/>
                <w:szCs w:val="24"/>
                <w:lang w:val="bg-BG"/>
              </w:rPr>
              <w:lastRenderedPageBreak/>
              <w:t xml:space="preserve">В заключение, отново обръщаме внимание, че УО следва да предприеме стъпки за съгласуване с министъра на финансите на условията по процедурите по мерки от програмата, за които се прилагат общите правила по държавните помощи, в изпълнение на чл. 26, ал. 3 от ЗУСЕСИФ, и на изискванията по Закона за държавните помощи. </w:t>
            </w:r>
          </w:p>
          <w:p w:rsidR="006F4C97" w:rsidRPr="006F4C97" w:rsidRDefault="006F4C97" w:rsidP="006F4C97">
            <w:pPr>
              <w:ind w:firstLine="720"/>
              <w:jc w:val="both"/>
              <w:rPr>
                <w:rFonts w:ascii="Times New Roman" w:eastAsia="Calibri" w:hAnsi="Times New Roman" w:cs="Times New Roman"/>
                <w:sz w:val="24"/>
                <w:szCs w:val="24"/>
                <w:lang w:val="bg-BG" w:eastAsia="bg-BG"/>
              </w:rPr>
            </w:pPr>
            <w:r w:rsidRPr="006F4C97">
              <w:rPr>
                <w:rFonts w:ascii="Times New Roman" w:eastAsia="Calibri" w:hAnsi="Times New Roman" w:cs="Times New Roman"/>
                <w:color w:val="000000"/>
                <w:sz w:val="24"/>
                <w:szCs w:val="24"/>
                <w:lang w:val="bg-BG"/>
              </w:rPr>
              <w:t xml:space="preserve">Искаме да подчертаем, че финансовите корекции за нарушаване на правилата за държавната помощ могат да са в размер на 100% от получената БФП (чл. 70, ал. 1, т.2 от ЗУСЕСИФ), а съгласно разпоредбата на чл. 77 от ЗУСЕСИФ, при констатирани от Европейската комисия или одитния орган слабости в системата за управление и контрол на програмата, управляващия орган може да коригира разходите, подадени за сертификация към Европейската комисия, като използва единна ставка или екстраполирана финансова корекция. Тези разходи са за сметка на бюджета на първостепенния разпоредител с бюджет, в чиято структура е управляващият орган, в случая – за сметка на Министерството на земеделието.  </w:t>
            </w:r>
          </w:p>
          <w:p w:rsidR="00E31346" w:rsidRPr="00C032B6" w:rsidRDefault="00E31346" w:rsidP="006F4C97">
            <w:pPr>
              <w:ind w:firstLine="720"/>
              <w:jc w:val="both"/>
              <w:rPr>
                <w:rFonts w:ascii="Times New Roman" w:hAnsi="Times New Roman" w:cs="Times New Roman"/>
                <w:sz w:val="24"/>
                <w:szCs w:val="24"/>
                <w:lang w:val="bg-BG"/>
              </w:rPr>
            </w:pPr>
          </w:p>
        </w:tc>
        <w:tc>
          <w:tcPr>
            <w:tcW w:w="3801" w:type="dxa"/>
          </w:tcPr>
          <w:p w:rsidR="004E4BE0" w:rsidRDefault="004E4BE0" w:rsidP="00C032B6">
            <w:pPr>
              <w:jc w:val="both"/>
              <w:rPr>
                <w:rFonts w:ascii="Times New Roman" w:hAnsi="Times New Roman" w:cs="Times New Roman"/>
                <w:sz w:val="24"/>
                <w:szCs w:val="24"/>
                <w:lang w:val="bg-BG"/>
              </w:rPr>
            </w:pPr>
          </w:p>
          <w:p w:rsidR="00B357DF" w:rsidRDefault="00F44B32" w:rsidP="00C032B6">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Преди утвърждаване на Условията за кандидатстване и Условията за изпълнение  </w:t>
            </w:r>
            <w:r w:rsidR="00671B06">
              <w:rPr>
                <w:rFonts w:ascii="Times New Roman" w:hAnsi="Times New Roman" w:cs="Times New Roman"/>
                <w:sz w:val="24"/>
                <w:szCs w:val="24"/>
                <w:lang w:val="bg-BG"/>
              </w:rPr>
              <w:t xml:space="preserve">по предвидения прием през 2022 г. </w:t>
            </w:r>
            <w:r>
              <w:rPr>
                <w:rFonts w:ascii="Times New Roman" w:hAnsi="Times New Roman" w:cs="Times New Roman"/>
                <w:sz w:val="24"/>
                <w:szCs w:val="24"/>
                <w:lang w:val="bg-BG"/>
              </w:rPr>
              <w:t>по мярка 6.3 „П</w:t>
            </w:r>
            <w:r w:rsidRPr="006F4C97">
              <w:rPr>
                <w:rFonts w:ascii="Times New Roman" w:hAnsi="Times New Roman" w:cs="Times New Roman"/>
                <w:sz w:val="24"/>
                <w:szCs w:val="24"/>
                <w:lang w:val="bg-BG"/>
              </w:rPr>
              <w:t>овишаване на знан</w:t>
            </w:r>
            <w:r>
              <w:rPr>
                <w:rFonts w:ascii="Times New Roman" w:hAnsi="Times New Roman" w:cs="Times New Roman"/>
                <w:sz w:val="24"/>
                <w:szCs w:val="24"/>
                <w:lang w:val="bg-BG"/>
              </w:rPr>
              <w:t xml:space="preserve">ията за състоянието на морската </w:t>
            </w:r>
            <w:r w:rsidRPr="006F4C97">
              <w:rPr>
                <w:rFonts w:ascii="Times New Roman" w:hAnsi="Times New Roman" w:cs="Times New Roman"/>
                <w:sz w:val="24"/>
                <w:szCs w:val="24"/>
                <w:lang w:val="bg-BG"/>
              </w:rPr>
              <w:t>среда</w:t>
            </w:r>
            <w:r>
              <w:rPr>
                <w:rFonts w:ascii="Times New Roman" w:hAnsi="Times New Roman" w:cs="Times New Roman"/>
                <w:sz w:val="24"/>
                <w:szCs w:val="24"/>
                <w:lang w:val="bg-BG"/>
              </w:rPr>
              <w:t xml:space="preserve">“ Управляващият орган на ПМДР ще ги съгласува с министъра на финансите, съгласно реда, определен в </w:t>
            </w:r>
            <w:r w:rsidRPr="00F44B32">
              <w:rPr>
                <w:rFonts w:ascii="Times New Roman" w:hAnsi="Times New Roman" w:cs="Times New Roman"/>
                <w:sz w:val="24"/>
                <w:szCs w:val="24"/>
                <w:lang w:val="bg-BG"/>
              </w:rPr>
              <w:t>Наредба № 4 от 22.07.2016 г.</w:t>
            </w:r>
          </w:p>
          <w:p w:rsidR="00A06876" w:rsidRPr="007658B6" w:rsidRDefault="00A06876" w:rsidP="00A06876">
            <w:pPr>
              <w:jc w:val="both"/>
              <w:rPr>
                <w:rFonts w:ascii="Times New Roman" w:eastAsia="Calibri" w:hAnsi="Times New Roman" w:cs="Times New Roman"/>
                <w:color w:val="000000"/>
                <w:sz w:val="24"/>
                <w:szCs w:val="24"/>
              </w:rPr>
            </w:pPr>
            <w:r>
              <w:rPr>
                <w:rFonts w:ascii="Times New Roman" w:hAnsi="Times New Roman" w:cs="Times New Roman"/>
                <w:sz w:val="24"/>
                <w:szCs w:val="24"/>
                <w:lang w:val="bg-BG"/>
              </w:rPr>
              <w:t xml:space="preserve">Съгласуването на мерките по </w:t>
            </w:r>
            <w:r>
              <w:rPr>
                <w:rFonts w:ascii="Times New Roman" w:hAnsi="Times New Roman" w:cs="Times New Roman"/>
                <w:sz w:val="24"/>
                <w:szCs w:val="24"/>
                <w:lang w:val="bg-BG"/>
              </w:rPr>
              <w:lastRenderedPageBreak/>
              <w:t>Приоритет на Съюза 6 „</w:t>
            </w:r>
            <w:r w:rsidRPr="006F4C97">
              <w:rPr>
                <w:rFonts w:ascii="Times New Roman" w:eastAsia="Calibri" w:hAnsi="Times New Roman" w:cs="Times New Roman"/>
                <w:color w:val="000000"/>
                <w:sz w:val="24"/>
                <w:szCs w:val="24"/>
                <w:lang w:val="bg-BG"/>
              </w:rPr>
              <w:t>Интегрираната морска политика</w:t>
            </w:r>
            <w:r>
              <w:rPr>
                <w:rFonts w:ascii="Times New Roman" w:eastAsia="Calibri" w:hAnsi="Times New Roman" w:cs="Times New Roman"/>
                <w:color w:val="000000"/>
                <w:sz w:val="24"/>
                <w:szCs w:val="24"/>
                <w:lang w:val="bg-BG"/>
              </w:rPr>
              <w:t xml:space="preserve">“ </w:t>
            </w:r>
            <w:r w:rsidR="00DF56E0" w:rsidRPr="006F4C97">
              <w:rPr>
                <w:rFonts w:ascii="Times New Roman" w:eastAsia="Calibri" w:hAnsi="Times New Roman" w:cs="Times New Roman"/>
                <w:color w:val="000000"/>
                <w:sz w:val="24"/>
                <w:szCs w:val="24"/>
                <w:lang w:val="bg-BG"/>
              </w:rPr>
              <w:t>за съответствие с приложимите правила за държавните помощи с министъра на финансите</w:t>
            </w:r>
            <w:r w:rsidR="00DF56E0">
              <w:rPr>
                <w:rFonts w:ascii="Times New Roman" w:eastAsia="Calibri" w:hAnsi="Times New Roman" w:cs="Times New Roman"/>
                <w:color w:val="000000"/>
                <w:sz w:val="24"/>
                <w:szCs w:val="24"/>
                <w:lang w:val="bg-BG"/>
              </w:rPr>
              <w:t xml:space="preserve"> </w:t>
            </w:r>
            <w:r>
              <w:rPr>
                <w:rFonts w:ascii="Times New Roman" w:eastAsia="Calibri" w:hAnsi="Times New Roman" w:cs="Times New Roman"/>
                <w:color w:val="000000"/>
                <w:sz w:val="24"/>
                <w:szCs w:val="24"/>
                <w:lang w:val="bg-BG"/>
              </w:rPr>
              <w:t xml:space="preserve">е поставяно на въпрос от Министерството на финансите и при предходни случаи. </w:t>
            </w:r>
            <w:r w:rsidR="00787344">
              <w:rPr>
                <w:rFonts w:ascii="Times New Roman" w:eastAsia="Calibri" w:hAnsi="Times New Roman" w:cs="Times New Roman"/>
                <w:color w:val="000000"/>
                <w:sz w:val="24"/>
                <w:szCs w:val="24"/>
                <w:lang w:val="bg-BG"/>
              </w:rPr>
              <w:t xml:space="preserve">В тази връзка, </w:t>
            </w:r>
            <w:r>
              <w:rPr>
                <w:rFonts w:ascii="Times New Roman" w:eastAsia="Calibri" w:hAnsi="Times New Roman" w:cs="Times New Roman"/>
                <w:color w:val="000000"/>
                <w:sz w:val="24"/>
                <w:szCs w:val="24"/>
                <w:lang w:val="bg-BG"/>
              </w:rPr>
              <w:t xml:space="preserve">Управляващият орган изрази своето становище, че </w:t>
            </w:r>
            <w:r w:rsidR="00787344">
              <w:rPr>
                <w:rFonts w:ascii="Times New Roman" w:eastAsia="Calibri" w:hAnsi="Times New Roman" w:cs="Times New Roman"/>
                <w:color w:val="000000"/>
                <w:sz w:val="24"/>
                <w:szCs w:val="24"/>
                <w:lang w:val="bg-BG"/>
              </w:rPr>
              <w:t xml:space="preserve">предвид </w:t>
            </w:r>
            <w:r>
              <w:rPr>
                <w:rFonts w:ascii="Times New Roman" w:eastAsia="Calibri" w:hAnsi="Times New Roman" w:cs="Times New Roman"/>
                <w:color w:val="000000"/>
                <w:sz w:val="24"/>
                <w:szCs w:val="24"/>
                <w:lang w:val="bg-BG"/>
              </w:rPr>
              <w:t>естеството, характерът и целите на тези мерки</w:t>
            </w:r>
            <w:r w:rsidR="00530E18">
              <w:rPr>
                <w:rFonts w:ascii="Times New Roman" w:eastAsia="Calibri" w:hAnsi="Times New Roman" w:cs="Times New Roman"/>
                <w:color w:val="000000"/>
                <w:sz w:val="24"/>
                <w:szCs w:val="24"/>
                <w:lang w:val="bg-BG"/>
              </w:rPr>
              <w:t>,</w:t>
            </w:r>
            <w:r w:rsidR="00787344">
              <w:rPr>
                <w:rFonts w:ascii="Times New Roman" w:eastAsia="Calibri" w:hAnsi="Times New Roman" w:cs="Times New Roman"/>
                <w:color w:val="000000"/>
                <w:sz w:val="24"/>
                <w:szCs w:val="24"/>
                <w:lang w:val="bg-BG"/>
              </w:rPr>
              <w:t xml:space="preserve"> </w:t>
            </w:r>
            <w:r w:rsidR="00530E18">
              <w:rPr>
                <w:rFonts w:ascii="Times New Roman" w:eastAsia="Calibri" w:hAnsi="Times New Roman" w:cs="Times New Roman"/>
                <w:color w:val="000000"/>
                <w:sz w:val="24"/>
                <w:szCs w:val="24"/>
                <w:lang w:val="bg-BG"/>
              </w:rPr>
              <w:t xml:space="preserve">с </w:t>
            </w:r>
            <w:r w:rsidR="00787344">
              <w:rPr>
                <w:rFonts w:ascii="Times New Roman" w:eastAsia="Calibri" w:hAnsi="Times New Roman" w:cs="Times New Roman"/>
                <w:color w:val="000000"/>
                <w:sz w:val="24"/>
                <w:szCs w:val="24"/>
                <w:lang w:val="bg-BG"/>
              </w:rPr>
              <w:t xml:space="preserve">тяхното </w:t>
            </w:r>
            <w:r>
              <w:rPr>
                <w:rFonts w:ascii="Times New Roman" w:eastAsia="Calibri" w:hAnsi="Times New Roman" w:cs="Times New Roman"/>
                <w:color w:val="000000"/>
                <w:sz w:val="24"/>
                <w:szCs w:val="24"/>
                <w:lang w:val="bg-BG"/>
              </w:rPr>
              <w:t xml:space="preserve">изпълнението няма да бъде </w:t>
            </w:r>
            <w:r w:rsidR="00530E18">
              <w:rPr>
                <w:rFonts w:ascii="Times New Roman" w:eastAsia="Calibri" w:hAnsi="Times New Roman" w:cs="Times New Roman"/>
                <w:color w:val="000000"/>
                <w:sz w:val="24"/>
                <w:szCs w:val="24"/>
                <w:lang w:val="bg-BG"/>
              </w:rPr>
              <w:t xml:space="preserve">нарушена </w:t>
            </w:r>
            <w:r>
              <w:rPr>
                <w:rFonts w:ascii="Times New Roman" w:eastAsia="Calibri" w:hAnsi="Times New Roman" w:cs="Times New Roman"/>
                <w:color w:val="000000"/>
                <w:sz w:val="24"/>
                <w:szCs w:val="24"/>
                <w:lang w:val="bg-BG"/>
              </w:rPr>
              <w:t>и няма да бъде заплашена</w:t>
            </w:r>
            <w:r w:rsidR="00530E18">
              <w:rPr>
                <w:rFonts w:ascii="Times New Roman" w:eastAsia="Calibri" w:hAnsi="Times New Roman" w:cs="Times New Roman"/>
                <w:color w:val="000000"/>
                <w:sz w:val="24"/>
                <w:szCs w:val="24"/>
                <w:lang w:val="bg-BG"/>
              </w:rPr>
              <w:t xml:space="preserve"> от </w:t>
            </w:r>
            <w:r w:rsidRPr="00E619E9">
              <w:rPr>
                <w:rFonts w:ascii="Times New Roman" w:eastAsia="Calibri" w:hAnsi="Times New Roman" w:cs="Times New Roman"/>
                <w:color w:val="000000"/>
                <w:sz w:val="24"/>
                <w:szCs w:val="24"/>
                <w:lang w:val="bg-BG"/>
              </w:rPr>
              <w:t>нарушение конкуренцията чрез поставяне в по-благоприятно положение на определени предприятия или производството на някои стоки на вътрешния пазар.</w:t>
            </w:r>
          </w:p>
          <w:p w:rsidR="00A06876" w:rsidRPr="00A06876" w:rsidRDefault="00A06876" w:rsidP="00C032B6">
            <w:pPr>
              <w:jc w:val="both"/>
              <w:rPr>
                <w:rFonts w:ascii="Times New Roman" w:eastAsia="Calibri" w:hAnsi="Times New Roman" w:cs="Times New Roman"/>
                <w:color w:val="000000"/>
                <w:sz w:val="24"/>
                <w:szCs w:val="24"/>
                <w:lang w:val="bg-BG"/>
              </w:rPr>
            </w:pPr>
          </w:p>
          <w:p w:rsidR="004E4BE0" w:rsidRDefault="004E4BE0" w:rsidP="004E4BE0">
            <w:pPr>
              <w:jc w:val="both"/>
              <w:rPr>
                <w:rFonts w:ascii="Times New Roman" w:hAnsi="Times New Roman" w:cs="Times New Roman"/>
                <w:sz w:val="24"/>
                <w:szCs w:val="24"/>
                <w:lang w:val="bg-BG"/>
              </w:rPr>
            </w:pPr>
          </w:p>
          <w:p w:rsidR="00E619E9" w:rsidRPr="00E619E9" w:rsidRDefault="004E4BE0" w:rsidP="00E619E9">
            <w:pPr>
              <w:jc w:val="both"/>
              <w:rPr>
                <w:rFonts w:ascii="Times New Roman" w:eastAsia="Calibri" w:hAnsi="Times New Roman" w:cs="Times New Roman"/>
                <w:color w:val="000000"/>
                <w:sz w:val="24"/>
                <w:szCs w:val="24"/>
                <w:lang w:val="bg-BG"/>
              </w:rPr>
            </w:pPr>
            <w:r>
              <w:rPr>
                <w:rFonts w:ascii="Times New Roman" w:hAnsi="Times New Roman" w:cs="Times New Roman"/>
                <w:sz w:val="24"/>
                <w:szCs w:val="24"/>
                <w:lang w:val="bg-BG"/>
              </w:rPr>
              <w:t xml:space="preserve">По отношение на </w:t>
            </w:r>
            <w:r w:rsidRPr="006F4C97">
              <w:rPr>
                <w:rFonts w:ascii="Times New Roman" w:eastAsia="Calibri" w:hAnsi="Times New Roman" w:cs="Times New Roman"/>
                <w:color w:val="000000"/>
                <w:sz w:val="24"/>
                <w:szCs w:val="24"/>
                <w:lang w:val="bg-BG"/>
              </w:rPr>
              <w:t>мярка 6.1 „Интегрирано морско наблюдение“</w:t>
            </w:r>
            <w:r>
              <w:rPr>
                <w:rFonts w:ascii="Times New Roman" w:eastAsia="Calibri" w:hAnsi="Times New Roman" w:cs="Times New Roman"/>
                <w:color w:val="000000"/>
                <w:sz w:val="24"/>
                <w:szCs w:val="24"/>
                <w:lang w:val="bg-BG"/>
              </w:rPr>
              <w:t xml:space="preserve"> следва да се има предвид, че тя се изпълнява от конкретен публичен бенефициент – Изпълнителна агенция „Морска администрация“. Дей</w:t>
            </w:r>
            <w:r w:rsidR="00E619E9">
              <w:rPr>
                <w:rFonts w:ascii="Times New Roman" w:eastAsia="Calibri" w:hAnsi="Times New Roman" w:cs="Times New Roman"/>
                <w:color w:val="000000"/>
                <w:sz w:val="24"/>
                <w:szCs w:val="24"/>
                <w:lang w:val="bg-BG"/>
              </w:rPr>
              <w:t>ностите по проекта са свързани с</w:t>
            </w:r>
            <w:r>
              <w:rPr>
                <w:rFonts w:ascii="Times New Roman" w:eastAsia="Calibri" w:hAnsi="Times New Roman" w:cs="Times New Roman"/>
                <w:color w:val="000000"/>
                <w:sz w:val="24"/>
                <w:szCs w:val="24"/>
                <w:lang w:val="bg-BG"/>
              </w:rPr>
              <w:t xml:space="preserve"> </w:t>
            </w:r>
            <w:r w:rsidR="00E619E9">
              <w:rPr>
                <w:rFonts w:ascii="Times New Roman" w:eastAsia="Calibri" w:hAnsi="Times New Roman" w:cs="Times New Roman"/>
                <w:color w:val="000000"/>
                <w:sz w:val="24"/>
                <w:szCs w:val="24"/>
                <w:lang w:val="bg-BG"/>
              </w:rPr>
              <w:t>и</w:t>
            </w:r>
            <w:r w:rsidR="00E619E9" w:rsidRPr="00E619E9">
              <w:rPr>
                <w:rFonts w:ascii="Times New Roman" w:eastAsia="Calibri" w:hAnsi="Times New Roman" w:cs="Times New Roman"/>
                <w:color w:val="000000"/>
                <w:sz w:val="24"/>
                <w:szCs w:val="24"/>
                <w:lang w:val="bg-BG"/>
              </w:rPr>
              <w:t>зграждане и поддръжка на Център за данни  за опериране на н</w:t>
            </w:r>
            <w:r w:rsidR="00E619E9">
              <w:rPr>
                <w:rFonts w:ascii="Times New Roman" w:eastAsia="Calibri" w:hAnsi="Times New Roman" w:cs="Times New Roman"/>
                <w:color w:val="000000"/>
                <w:sz w:val="24"/>
                <w:szCs w:val="24"/>
                <w:lang w:val="bg-BG"/>
              </w:rPr>
              <w:t xml:space="preserve">ационален CISE </w:t>
            </w:r>
            <w:proofErr w:type="spellStart"/>
            <w:r w:rsidR="00E619E9">
              <w:rPr>
                <w:rFonts w:ascii="Times New Roman" w:eastAsia="Calibri" w:hAnsi="Times New Roman" w:cs="Times New Roman"/>
                <w:color w:val="000000"/>
                <w:sz w:val="24"/>
                <w:szCs w:val="24"/>
                <w:lang w:val="bg-BG"/>
              </w:rPr>
              <w:t>Node</w:t>
            </w:r>
            <w:proofErr w:type="spellEnd"/>
            <w:r w:rsidR="00E619E9">
              <w:rPr>
                <w:rFonts w:ascii="Times New Roman" w:eastAsia="Calibri" w:hAnsi="Times New Roman" w:cs="Times New Roman"/>
                <w:color w:val="000000"/>
                <w:sz w:val="24"/>
                <w:szCs w:val="24"/>
                <w:lang w:val="bg-BG"/>
              </w:rPr>
              <w:t xml:space="preserve"> – </w:t>
            </w:r>
            <w:proofErr w:type="spellStart"/>
            <w:r w:rsidR="00E619E9">
              <w:rPr>
                <w:rFonts w:ascii="Times New Roman" w:eastAsia="Calibri" w:hAnsi="Times New Roman" w:cs="Times New Roman"/>
                <w:color w:val="000000"/>
                <w:sz w:val="24"/>
                <w:szCs w:val="24"/>
                <w:lang w:val="bg-BG"/>
              </w:rPr>
              <w:t>Bulgaria</w:t>
            </w:r>
            <w:proofErr w:type="spellEnd"/>
            <w:r w:rsidR="00E619E9">
              <w:rPr>
                <w:rFonts w:ascii="Times New Roman" w:eastAsia="Calibri" w:hAnsi="Times New Roman" w:cs="Times New Roman"/>
                <w:color w:val="000000"/>
                <w:sz w:val="24"/>
                <w:szCs w:val="24"/>
                <w:lang w:val="bg-BG"/>
              </w:rPr>
              <w:t xml:space="preserve"> и с р</w:t>
            </w:r>
            <w:r w:rsidR="00E619E9" w:rsidRPr="00E619E9">
              <w:rPr>
                <w:rFonts w:ascii="Times New Roman" w:eastAsia="Calibri" w:hAnsi="Times New Roman" w:cs="Times New Roman"/>
                <w:color w:val="000000"/>
                <w:sz w:val="24"/>
                <w:szCs w:val="24"/>
                <w:lang w:val="bg-BG"/>
              </w:rPr>
              <w:t xml:space="preserve">азработка на външен модул (графичен </w:t>
            </w:r>
            <w:r w:rsidR="00E619E9" w:rsidRPr="00E619E9">
              <w:rPr>
                <w:rFonts w:ascii="Times New Roman" w:eastAsia="Calibri" w:hAnsi="Times New Roman" w:cs="Times New Roman"/>
                <w:color w:val="000000"/>
                <w:sz w:val="24"/>
                <w:szCs w:val="24"/>
                <w:lang w:val="bg-BG"/>
              </w:rPr>
              <w:lastRenderedPageBreak/>
              <w:t>потребителски интерфейс) за осъществяване на функциите на публичните органи в Република България, които имат правомощия в морските й пространства, включително и за о</w:t>
            </w:r>
            <w:r w:rsidR="00E619E9">
              <w:rPr>
                <w:rFonts w:ascii="Times New Roman" w:eastAsia="Calibri" w:hAnsi="Times New Roman" w:cs="Times New Roman"/>
                <w:color w:val="000000"/>
                <w:sz w:val="24"/>
                <w:szCs w:val="24"/>
                <w:lang w:val="bg-BG"/>
              </w:rPr>
              <w:t xml:space="preserve">бмен на чувствителна информация. </w:t>
            </w:r>
            <w:r>
              <w:rPr>
                <w:rFonts w:ascii="Times New Roman" w:eastAsia="Calibri" w:hAnsi="Times New Roman" w:cs="Times New Roman"/>
                <w:color w:val="000000"/>
                <w:sz w:val="24"/>
                <w:szCs w:val="24"/>
                <w:lang w:val="bg-BG"/>
              </w:rPr>
              <w:t xml:space="preserve">В този смисъл, </w:t>
            </w:r>
            <w:r w:rsidR="00E619E9">
              <w:rPr>
                <w:rFonts w:ascii="Times New Roman" w:eastAsia="Calibri" w:hAnsi="Times New Roman" w:cs="Times New Roman"/>
                <w:color w:val="000000"/>
                <w:sz w:val="24"/>
                <w:szCs w:val="24"/>
                <w:lang w:val="bg-BG"/>
              </w:rPr>
              <w:t xml:space="preserve">не е </w:t>
            </w:r>
            <w:r w:rsidR="00E619E9" w:rsidRPr="00E619E9">
              <w:rPr>
                <w:rFonts w:ascii="Times New Roman" w:eastAsia="Calibri" w:hAnsi="Times New Roman" w:cs="Times New Roman"/>
                <w:color w:val="000000"/>
                <w:sz w:val="24"/>
                <w:szCs w:val="24"/>
                <w:lang w:val="bg-BG"/>
              </w:rPr>
              <w:t xml:space="preserve">нарушена </w:t>
            </w:r>
            <w:r w:rsidR="00E619E9">
              <w:rPr>
                <w:rFonts w:ascii="Times New Roman" w:eastAsia="Calibri" w:hAnsi="Times New Roman" w:cs="Times New Roman"/>
                <w:color w:val="000000"/>
                <w:sz w:val="24"/>
                <w:szCs w:val="24"/>
                <w:lang w:val="bg-BG"/>
              </w:rPr>
              <w:t xml:space="preserve"> и не е</w:t>
            </w:r>
            <w:r w:rsidR="00E619E9" w:rsidRPr="00E619E9">
              <w:rPr>
                <w:rFonts w:ascii="Times New Roman" w:eastAsia="Calibri" w:hAnsi="Times New Roman" w:cs="Times New Roman"/>
                <w:color w:val="000000"/>
                <w:sz w:val="24"/>
                <w:szCs w:val="24"/>
                <w:lang w:val="bg-BG"/>
              </w:rPr>
              <w:t xml:space="preserve"> заплашена от нарушение конкуренцията чрез поставяне в по-благоприятно положение на определени предприятия или производството на някои стоки на вътрешния пазар.</w:t>
            </w:r>
          </w:p>
          <w:p w:rsidR="00391EDB" w:rsidRDefault="00391EDB" w:rsidP="00C032B6">
            <w:pPr>
              <w:jc w:val="both"/>
              <w:rPr>
                <w:rFonts w:ascii="Times New Roman" w:hAnsi="Times New Roman" w:cs="Times New Roman"/>
                <w:sz w:val="24"/>
                <w:szCs w:val="24"/>
                <w:lang w:val="bg-BG"/>
              </w:rPr>
            </w:pPr>
          </w:p>
          <w:p w:rsidR="00E619E9" w:rsidRDefault="00E619E9" w:rsidP="00C032B6">
            <w:pPr>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 xml:space="preserve">По отношение на мярка </w:t>
            </w:r>
            <w:r w:rsidRPr="006F4C97">
              <w:rPr>
                <w:rFonts w:ascii="Times New Roman" w:eastAsia="Calibri" w:hAnsi="Times New Roman" w:cs="Times New Roman"/>
                <w:color w:val="000000"/>
                <w:sz w:val="24"/>
                <w:szCs w:val="24"/>
                <w:lang w:val="bg-BG"/>
              </w:rPr>
              <w:t>6.2 „Опазване на морската среда, по-специално на биологичното разнообразие и морските защитени зони, като обектите по Натура 2000, в съответствие със задълженията, установени в директиви 92/43/ЕИО и 2009/147/ЕО</w:t>
            </w:r>
            <w:r>
              <w:rPr>
                <w:rFonts w:ascii="Times New Roman" w:eastAsia="Calibri" w:hAnsi="Times New Roman" w:cs="Times New Roman"/>
                <w:color w:val="000000"/>
                <w:sz w:val="24"/>
                <w:szCs w:val="24"/>
                <w:lang w:val="bg-BG"/>
              </w:rPr>
              <w:t>“ следва да се има предвид, че с последното изменение на ПМДР</w:t>
            </w:r>
            <w:r w:rsidR="0055224F">
              <w:rPr>
                <w:rFonts w:ascii="Times New Roman" w:eastAsia="Calibri" w:hAnsi="Times New Roman" w:cs="Times New Roman"/>
                <w:color w:val="000000"/>
                <w:sz w:val="24"/>
                <w:szCs w:val="24"/>
                <w:lang w:val="bg-BG"/>
              </w:rPr>
              <w:t>, одобрено с Р</w:t>
            </w:r>
            <w:r w:rsidR="0055224F" w:rsidRPr="0055224F">
              <w:rPr>
                <w:rFonts w:ascii="Times New Roman" w:eastAsia="Calibri" w:hAnsi="Times New Roman" w:cs="Times New Roman"/>
                <w:color w:val="000000"/>
                <w:sz w:val="24"/>
                <w:szCs w:val="24"/>
                <w:lang w:val="bg-BG"/>
              </w:rPr>
              <w:t xml:space="preserve">ешение за изпълнение на </w:t>
            </w:r>
            <w:r w:rsidR="0055224F">
              <w:rPr>
                <w:rFonts w:ascii="Times New Roman" w:eastAsia="Calibri" w:hAnsi="Times New Roman" w:cs="Times New Roman"/>
                <w:color w:val="000000"/>
                <w:sz w:val="24"/>
                <w:szCs w:val="24"/>
                <w:lang w:val="bg-BG"/>
              </w:rPr>
              <w:t>К</w:t>
            </w:r>
            <w:r w:rsidR="0055224F" w:rsidRPr="0055224F">
              <w:rPr>
                <w:rFonts w:ascii="Times New Roman" w:eastAsia="Calibri" w:hAnsi="Times New Roman" w:cs="Times New Roman"/>
                <w:color w:val="000000"/>
                <w:sz w:val="24"/>
                <w:szCs w:val="24"/>
                <w:lang w:val="bg-BG"/>
              </w:rPr>
              <w:t xml:space="preserve">омисията от 14.12.2020 </w:t>
            </w:r>
            <w:r w:rsidR="0055224F">
              <w:rPr>
                <w:rFonts w:ascii="Times New Roman" w:eastAsia="Calibri" w:hAnsi="Times New Roman" w:cs="Times New Roman"/>
                <w:color w:val="000000"/>
                <w:sz w:val="24"/>
                <w:szCs w:val="24"/>
                <w:lang w:val="bg-BG"/>
              </w:rPr>
              <w:t>г., тя вече не е част от програмата. По нея няма обявявани приеми на проектни предложения.</w:t>
            </w:r>
          </w:p>
          <w:p w:rsidR="0055224F" w:rsidRDefault="0055224F" w:rsidP="00C032B6">
            <w:pPr>
              <w:jc w:val="both"/>
              <w:rPr>
                <w:rFonts w:ascii="Times New Roman" w:eastAsia="Calibri" w:hAnsi="Times New Roman" w:cs="Times New Roman"/>
                <w:color w:val="000000"/>
                <w:sz w:val="24"/>
                <w:szCs w:val="24"/>
                <w:lang w:val="bg-BG"/>
              </w:rPr>
            </w:pPr>
          </w:p>
          <w:p w:rsidR="0055224F" w:rsidRDefault="0055224F" w:rsidP="00C032B6">
            <w:pPr>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 xml:space="preserve">По отношение на липсата на мотиви </w:t>
            </w:r>
            <w:r w:rsidRPr="006F4C97">
              <w:rPr>
                <w:rFonts w:ascii="Times New Roman" w:eastAsia="Calibri" w:hAnsi="Times New Roman" w:cs="Times New Roman"/>
                <w:color w:val="000000"/>
                <w:sz w:val="24"/>
                <w:szCs w:val="24"/>
                <w:lang w:val="bg-BG"/>
              </w:rPr>
              <w:t xml:space="preserve">за промените на ИГРП, </w:t>
            </w:r>
            <w:r w:rsidRPr="006F4C97">
              <w:rPr>
                <w:rFonts w:ascii="Times New Roman" w:eastAsia="Calibri" w:hAnsi="Times New Roman" w:cs="Times New Roman"/>
                <w:color w:val="000000"/>
                <w:sz w:val="24"/>
                <w:szCs w:val="24"/>
                <w:lang w:val="bg-BG"/>
              </w:rPr>
              <w:lastRenderedPageBreak/>
              <w:t xml:space="preserve">свързани с  </w:t>
            </w:r>
            <w:r w:rsidR="00E22BC3">
              <w:rPr>
                <w:rFonts w:ascii="Times New Roman" w:eastAsia="Calibri" w:hAnsi="Times New Roman" w:cs="Times New Roman"/>
                <w:color w:val="000000"/>
                <w:sz w:val="24"/>
                <w:szCs w:val="24"/>
                <w:lang w:val="bg-BG"/>
              </w:rPr>
              <w:t>м</w:t>
            </w:r>
            <w:r w:rsidRPr="006F4C97">
              <w:rPr>
                <w:rFonts w:ascii="Times New Roman" w:eastAsia="Calibri" w:hAnsi="Times New Roman" w:cs="Times New Roman"/>
                <w:color w:val="000000"/>
                <w:sz w:val="24"/>
                <w:szCs w:val="24"/>
                <w:lang w:val="bg-BG"/>
              </w:rPr>
              <w:t>ярка 1.6 „Опазване и възстановяване на морското биологично разнообразие</w:t>
            </w:r>
            <w:r w:rsidR="00ED549F">
              <w:rPr>
                <w:rFonts w:ascii="Times New Roman" w:eastAsia="Calibri" w:hAnsi="Times New Roman" w:cs="Times New Roman"/>
                <w:color w:val="000000"/>
                <w:sz w:val="24"/>
                <w:szCs w:val="24"/>
                <w:lang w:val="bg-BG"/>
              </w:rPr>
              <w:t>, следва д</w:t>
            </w:r>
            <w:r w:rsidR="005F2ACE">
              <w:rPr>
                <w:rFonts w:ascii="Times New Roman" w:eastAsia="Calibri" w:hAnsi="Times New Roman" w:cs="Times New Roman"/>
                <w:color w:val="000000"/>
                <w:sz w:val="24"/>
                <w:szCs w:val="24"/>
                <w:lang w:val="bg-BG"/>
              </w:rPr>
              <w:t>а</w:t>
            </w:r>
            <w:r w:rsidR="00ED549F">
              <w:rPr>
                <w:rFonts w:ascii="Times New Roman" w:eastAsia="Calibri" w:hAnsi="Times New Roman" w:cs="Times New Roman"/>
                <w:color w:val="000000"/>
                <w:sz w:val="24"/>
                <w:szCs w:val="24"/>
                <w:lang w:val="bg-BG"/>
              </w:rPr>
              <w:t xml:space="preserve"> се има предвид, </w:t>
            </w:r>
            <w:r>
              <w:rPr>
                <w:rFonts w:ascii="Times New Roman" w:eastAsia="Calibri" w:hAnsi="Times New Roman" w:cs="Times New Roman"/>
                <w:color w:val="000000"/>
                <w:sz w:val="24"/>
                <w:szCs w:val="24"/>
                <w:lang w:val="bg-BG"/>
              </w:rPr>
              <w:t>че предложения</w:t>
            </w:r>
            <w:r w:rsidR="00ED549F">
              <w:rPr>
                <w:rFonts w:ascii="Times New Roman" w:eastAsia="Calibri" w:hAnsi="Times New Roman" w:cs="Times New Roman"/>
                <w:color w:val="000000"/>
                <w:sz w:val="24"/>
                <w:szCs w:val="24"/>
                <w:lang w:val="bg-BG"/>
              </w:rPr>
              <w:t>т</w:t>
            </w:r>
            <w:r>
              <w:rPr>
                <w:rFonts w:ascii="Times New Roman" w:eastAsia="Calibri" w:hAnsi="Times New Roman" w:cs="Times New Roman"/>
                <w:color w:val="000000"/>
                <w:sz w:val="24"/>
                <w:szCs w:val="24"/>
                <w:lang w:val="bg-BG"/>
              </w:rPr>
              <w:t xml:space="preserve"> текст за допълване на допустимите разходи </w:t>
            </w:r>
            <w:r w:rsidR="00ED549F">
              <w:rPr>
                <w:rFonts w:ascii="Times New Roman" w:eastAsia="Calibri" w:hAnsi="Times New Roman" w:cs="Times New Roman"/>
                <w:color w:val="000000"/>
                <w:sz w:val="24"/>
                <w:szCs w:val="24"/>
                <w:lang w:val="bg-BG"/>
              </w:rPr>
              <w:t xml:space="preserve">е свързан с </w:t>
            </w:r>
            <w:r>
              <w:rPr>
                <w:rFonts w:ascii="Times New Roman" w:eastAsia="Calibri" w:hAnsi="Times New Roman" w:cs="Times New Roman"/>
                <w:color w:val="000000"/>
                <w:sz w:val="24"/>
                <w:szCs w:val="24"/>
                <w:lang w:val="bg-BG"/>
              </w:rPr>
              <w:t xml:space="preserve">разписаните дейности и добавянето му в </w:t>
            </w:r>
            <w:r w:rsidR="00ED549F">
              <w:rPr>
                <w:rFonts w:ascii="Times New Roman" w:eastAsia="Calibri" w:hAnsi="Times New Roman" w:cs="Times New Roman"/>
                <w:color w:val="000000"/>
                <w:sz w:val="24"/>
                <w:szCs w:val="24"/>
                <w:lang w:val="bg-BG"/>
              </w:rPr>
              <w:t xml:space="preserve">ИГРП </w:t>
            </w:r>
            <w:r>
              <w:rPr>
                <w:rFonts w:ascii="Times New Roman" w:eastAsia="Calibri" w:hAnsi="Times New Roman" w:cs="Times New Roman"/>
                <w:color w:val="000000"/>
                <w:sz w:val="24"/>
                <w:szCs w:val="24"/>
                <w:lang w:val="bg-BG"/>
              </w:rPr>
              <w:t xml:space="preserve">има </w:t>
            </w:r>
            <w:r w:rsidR="005F2ACE">
              <w:rPr>
                <w:rFonts w:ascii="Times New Roman" w:eastAsia="Calibri" w:hAnsi="Times New Roman" w:cs="Times New Roman"/>
                <w:color w:val="000000"/>
                <w:sz w:val="24"/>
                <w:szCs w:val="24"/>
                <w:lang w:val="bg-BG"/>
              </w:rPr>
              <w:t xml:space="preserve">уточняващ </w:t>
            </w:r>
            <w:r>
              <w:rPr>
                <w:rFonts w:ascii="Times New Roman" w:eastAsia="Calibri" w:hAnsi="Times New Roman" w:cs="Times New Roman"/>
                <w:color w:val="000000"/>
                <w:sz w:val="24"/>
                <w:szCs w:val="24"/>
                <w:lang w:val="bg-BG"/>
              </w:rPr>
              <w:t>технически характер.</w:t>
            </w:r>
          </w:p>
          <w:p w:rsidR="0094513A" w:rsidRDefault="0094513A" w:rsidP="00C032B6">
            <w:pPr>
              <w:jc w:val="both"/>
              <w:rPr>
                <w:rFonts w:ascii="Times New Roman" w:eastAsia="Calibri" w:hAnsi="Times New Roman" w:cs="Times New Roman"/>
                <w:color w:val="000000"/>
                <w:sz w:val="24"/>
                <w:szCs w:val="24"/>
                <w:lang w:val="bg-BG"/>
              </w:rPr>
            </w:pPr>
          </w:p>
          <w:p w:rsidR="0094513A" w:rsidRDefault="0094513A" w:rsidP="00C032B6">
            <w:pPr>
              <w:jc w:val="both"/>
              <w:rPr>
                <w:rFonts w:ascii="Times New Roman" w:eastAsia="Calibri" w:hAnsi="Times New Roman" w:cs="Times New Roman"/>
                <w:color w:val="000000"/>
                <w:sz w:val="24"/>
                <w:szCs w:val="24"/>
                <w:lang w:val="bg-BG"/>
              </w:rPr>
            </w:pPr>
          </w:p>
          <w:p w:rsidR="0094513A" w:rsidRDefault="0094513A" w:rsidP="00C032B6">
            <w:pPr>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 xml:space="preserve">По отношение на твърдението, че </w:t>
            </w:r>
            <w:r w:rsidRPr="006F4C97">
              <w:rPr>
                <w:rFonts w:ascii="Times New Roman" w:eastAsia="Calibri" w:hAnsi="Times New Roman" w:cs="Times New Roman"/>
                <w:color w:val="000000"/>
                <w:sz w:val="24"/>
                <w:szCs w:val="24"/>
                <w:lang w:val="bg-BG"/>
              </w:rPr>
              <w:t>четири</w:t>
            </w:r>
            <w:r>
              <w:rPr>
                <w:rFonts w:ascii="Times New Roman" w:eastAsia="Calibri" w:hAnsi="Times New Roman" w:cs="Times New Roman"/>
                <w:color w:val="000000"/>
                <w:sz w:val="24"/>
                <w:szCs w:val="24"/>
                <w:lang w:val="bg-BG"/>
              </w:rPr>
              <w:t>те</w:t>
            </w:r>
            <w:r w:rsidRPr="006F4C97">
              <w:rPr>
                <w:rFonts w:ascii="Times New Roman" w:eastAsia="Calibri" w:hAnsi="Times New Roman" w:cs="Times New Roman"/>
                <w:color w:val="000000"/>
                <w:sz w:val="24"/>
                <w:szCs w:val="24"/>
                <w:lang w:val="bg-BG"/>
              </w:rPr>
              <w:t xml:space="preserve"> критерия за подбор, </w:t>
            </w:r>
            <w:r>
              <w:rPr>
                <w:rFonts w:ascii="Times New Roman" w:eastAsia="Calibri" w:hAnsi="Times New Roman" w:cs="Times New Roman"/>
                <w:color w:val="000000"/>
                <w:sz w:val="24"/>
                <w:szCs w:val="24"/>
                <w:lang w:val="bg-BG"/>
              </w:rPr>
              <w:t xml:space="preserve">са с еднаква тежест и </w:t>
            </w:r>
            <w:r w:rsidRPr="006F4C97">
              <w:rPr>
                <w:rFonts w:ascii="Times New Roman" w:eastAsia="Calibri" w:hAnsi="Times New Roman" w:cs="Times New Roman"/>
                <w:color w:val="000000"/>
                <w:sz w:val="24"/>
                <w:szCs w:val="24"/>
                <w:lang w:val="bg-BG"/>
              </w:rPr>
              <w:t xml:space="preserve">реално липсва </w:t>
            </w:r>
            <w:proofErr w:type="spellStart"/>
            <w:r w:rsidRPr="006F4C97">
              <w:rPr>
                <w:rFonts w:ascii="Times New Roman" w:eastAsia="Calibri" w:hAnsi="Times New Roman" w:cs="Times New Roman"/>
                <w:color w:val="000000"/>
                <w:sz w:val="24"/>
                <w:szCs w:val="24"/>
                <w:lang w:val="bg-BG"/>
              </w:rPr>
              <w:t>приоритизиращия</w:t>
            </w:r>
            <w:proofErr w:type="spellEnd"/>
            <w:r w:rsidRPr="006F4C97">
              <w:rPr>
                <w:rFonts w:ascii="Times New Roman" w:eastAsia="Calibri" w:hAnsi="Times New Roman" w:cs="Times New Roman"/>
                <w:color w:val="000000"/>
                <w:sz w:val="24"/>
                <w:szCs w:val="24"/>
                <w:lang w:val="bg-BG"/>
              </w:rPr>
              <w:t xml:space="preserve"> фактор</w:t>
            </w:r>
            <w:r>
              <w:rPr>
                <w:rFonts w:ascii="Times New Roman" w:eastAsia="Calibri" w:hAnsi="Times New Roman" w:cs="Times New Roman"/>
                <w:color w:val="000000"/>
                <w:sz w:val="24"/>
                <w:szCs w:val="24"/>
                <w:lang w:val="bg-BG"/>
              </w:rPr>
              <w:t>, следва да се има предвид следното:</w:t>
            </w:r>
          </w:p>
          <w:p w:rsidR="0094513A" w:rsidRDefault="0094513A" w:rsidP="00C032B6">
            <w:pPr>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 xml:space="preserve">Всяко проектно предложение може да покрива различен брой критерии, следователно е налице </w:t>
            </w:r>
            <w:proofErr w:type="spellStart"/>
            <w:r>
              <w:rPr>
                <w:rFonts w:ascii="Times New Roman" w:eastAsia="Calibri" w:hAnsi="Times New Roman" w:cs="Times New Roman"/>
                <w:color w:val="000000"/>
                <w:sz w:val="24"/>
                <w:szCs w:val="24"/>
                <w:lang w:val="bg-BG"/>
              </w:rPr>
              <w:t>приоритизация</w:t>
            </w:r>
            <w:proofErr w:type="spellEnd"/>
            <w:r>
              <w:rPr>
                <w:rFonts w:ascii="Times New Roman" w:eastAsia="Calibri" w:hAnsi="Times New Roman" w:cs="Times New Roman"/>
                <w:color w:val="000000"/>
                <w:sz w:val="24"/>
                <w:szCs w:val="24"/>
                <w:lang w:val="bg-BG"/>
              </w:rPr>
              <w:t xml:space="preserve"> на проектите. В този смисъл, равният брой точки за всеки от предложените критерии </w:t>
            </w:r>
            <w:r w:rsidR="00D55EF0">
              <w:rPr>
                <w:rFonts w:ascii="Times New Roman" w:eastAsia="Calibri" w:hAnsi="Times New Roman" w:cs="Times New Roman"/>
                <w:color w:val="000000"/>
                <w:sz w:val="24"/>
                <w:szCs w:val="24"/>
                <w:lang w:val="bg-BG"/>
              </w:rPr>
              <w:t xml:space="preserve">не означава, че </w:t>
            </w:r>
            <w:r w:rsidR="005F2ACE">
              <w:rPr>
                <w:rFonts w:ascii="Times New Roman" w:eastAsia="Calibri" w:hAnsi="Times New Roman" w:cs="Times New Roman"/>
                <w:color w:val="000000"/>
                <w:sz w:val="24"/>
                <w:szCs w:val="24"/>
                <w:lang w:val="bg-BG"/>
              </w:rPr>
              <w:t xml:space="preserve">липсва </w:t>
            </w:r>
            <w:proofErr w:type="spellStart"/>
            <w:r w:rsidR="005F2ACE">
              <w:rPr>
                <w:rFonts w:ascii="Times New Roman" w:eastAsia="Calibri" w:hAnsi="Times New Roman" w:cs="Times New Roman"/>
                <w:color w:val="000000"/>
                <w:sz w:val="24"/>
                <w:szCs w:val="24"/>
                <w:lang w:val="bg-BG"/>
              </w:rPr>
              <w:t>приоритизиращият</w:t>
            </w:r>
            <w:proofErr w:type="spellEnd"/>
            <w:r w:rsidR="005F2ACE">
              <w:rPr>
                <w:rFonts w:ascii="Times New Roman" w:eastAsia="Calibri" w:hAnsi="Times New Roman" w:cs="Times New Roman"/>
                <w:color w:val="000000"/>
                <w:sz w:val="24"/>
                <w:szCs w:val="24"/>
                <w:lang w:val="bg-BG"/>
              </w:rPr>
              <w:t xml:space="preserve"> фактор</w:t>
            </w:r>
            <w:r w:rsidR="00D55EF0">
              <w:rPr>
                <w:rFonts w:ascii="Times New Roman" w:eastAsia="Calibri" w:hAnsi="Times New Roman" w:cs="Times New Roman"/>
                <w:color w:val="000000"/>
                <w:sz w:val="24"/>
                <w:szCs w:val="24"/>
                <w:lang w:val="bg-BG"/>
              </w:rPr>
              <w:t>.</w:t>
            </w:r>
          </w:p>
          <w:p w:rsidR="0094513A" w:rsidRPr="0055224F" w:rsidRDefault="0094513A" w:rsidP="00C032B6">
            <w:pPr>
              <w:jc w:val="both"/>
              <w:rPr>
                <w:rFonts w:ascii="Times New Roman" w:eastAsia="Calibri" w:hAnsi="Times New Roman" w:cs="Times New Roman"/>
                <w:color w:val="000000"/>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tc>
      </w:tr>
      <w:tr w:rsidR="00471935" w:rsidRPr="00C032B6" w:rsidTr="009D3016">
        <w:trPr>
          <w:trHeight w:val="1615"/>
        </w:trPr>
        <w:tc>
          <w:tcPr>
            <w:tcW w:w="625" w:type="dxa"/>
          </w:tcPr>
          <w:p w:rsidR="00471935" w:rsidRDefault="00471935" w:rsidP="00C032B6">
            <w:pPr>
              <w:jc w:val="both"/>
              <w:rPr>
                <w:rFonts w:ascii="Times New Roman" w:hAnsi="Times New Roman" w:cs="Times New Roman"/>
                <w:b/>
                <w:sz w:val="24"/>
                <w:szCs w:val="24"/>
                <w:lang w:val="bg-BG"/>
              </w:rPr>
            </w:pPr>
          </w:p>
          <w:p w:rsidR="00471935" w:rsidRDefault="006F4C97" w:rsidP="00C032B6">
            <w:pPr>
              <w:jc w:val="both"/>
              <w:rPr>
                <w:rFonts w:ascii="Times New Roman" w:hAnsi="Times New Roman" w:cs="Times New Roman"/>
                <w:b/>
                <w:sz w:val="24"/>
                <w:szCs w:val="24"/>
                <w:lang w:val="bg-BG"/>
              </w:rPr>
            </w:pPr>
            <w:r>
              <w:rPr>
                <w:rFonts w:ascii="Times New Roman" w:hAnsi="Times New Roman" w:cs="Times New Roman"/>
                <w:b/>
                <w:sz w:val="24"/>
                <w:szCs w:val="24"/>
                <w:lang w:val="bg-BG"/>
              </w:rPr>
              <w:t>2</w:t>
            </w:r>
            <w:r w:rsidR="001F5F84">
              <w:rPr>
                <w:rFonts w:ascii="Times New Roman" w:hAnsi="Times New Roman" w:cs="Times New Roman"/>
                <w:b/>
                <w:sz w:val="24"/>
                <w:szCs w:val="24"/>
                <w:lang w:val="bg-BG"/>
              </w:rPr>
              <w:t>.</w:t>
            </w: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Pr="00C032B6" w:rsidRDefault="00471935" w:rsidP="00C032B6">
            <w:pPr>
              <w:jc w:val="both"/>
              <w:rPr>
                <w:rFonts w:ascii="Times New Roman" w:hAnsi="Times New Roman" w:cs="Times New Roman"/>
                <w:b/>
                <w:sz w:val="24"/>
                <w:szCs w:val="24"/>
                <w:lang w:val="bg-BG"/>
              </w:rPr>
            </w:pPr>
          </w:p>
        </w:tc>
        <w:tc>
          <w:tcPr>
            <w:tcW w:w="2096" w:type="dxa"/>
          </w:tcPr>
          <w:p w:rsidR="00471935" w:rsidRPr="00C032B6" w:rsidRDefault="006F4C97" w:rsidP="006F4C97">
            <w:pPr>
              <w:rPr>
                <w:rFonts w:ascii="Times New Roman" w:hAnsi="Times New Roman" w:cs="Times New Roman"/>
                <w:sz w:val="24"/>
                <w:szCs w:val="24"/>
                <w:lang w:val="bg-BG"/>
              </w:rPr>
            </w:pPr>
            <w:r w:rsidRPr="008258E1">
              <w:rPr>
                <w:rFonts w:ascii="Times New Roman" w:hAnsi="Times New Roman"/>
                <w:sz w:val="24"/>
                <w:szCs w:val="24"/>
              </w:rPr>
              <w:t>БГ ФИШ НЕТУЪРК</w:t>
            </w:r>
          </w:p>
        </w:tc>
        <w:tc>
          <w:tcPr>
            <w:tcW w:w="6477" w:type="dxa"/>
          </w:tcPr>
          <w:p w:rsid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Във връзка с </w:t>
            </w:r>
            <w:r>
              <w:rPr>
                <w:rFonts w:ascii="Times New Roman" w:hAnsi="Times New Roman" w:cs="Times New Roman"/>
                <w:sz w:val="24"/>
                <w:szCs w:val="24"/>
                <w:lang w:val="bg-BG"/>
              </w:rPr>
              <w:t xml:space="preserve">необходимостта от актуализация на мерките </w:t>
            </w:r>
            <w:r w:rsidR="000869DC">
              <w:rPr>
                <w:rFonts w:ascii="Times New Roman" w:hAnsi="Times New Roman" w:cs="Times New Roman"/>
                <w:sz w:val="24"/>
                <w:szCs w:val="24"/>
                <w:lang w:val="bg-BG"/>
              </w:rPr>
              <w:t xml:space="preserve">и поканата за предоставяне на предложение за изменение </w:t>
            </w:r>
            <w:r w:rsidR="000869DC" w:rsidRPr="000869DC">
              <w:rPr>
                <w:rFonts w:ascii="Times New Roman" w:hAnsi="Times New Roman" w:cs="Times New Roman"/>
                <w:sz w:val="24"/>
                <w:szCs w:val="24"/>
                <w:lang w:val="bg-BG"/>
              </w:rPr>
              <w:t xml:space="preserve">и допълнение на мерките по Програмата от страна на БГ Фиш Нетуърк правим следните предложения: </w:t>
            </w:r>
            <w:r w:rsidRPr="006F4C97">
              <w:rPr>
                <w:rFonts w:ascii="Times New Roman" w:hAnsi="Times New Roman" w:cs="Times New Roman"/>
                <w:sz w:val="24"/>
                <w:szCs w:val="24"/>
                <w:lang w:val="bg-BG"/>
              </w:rPr>
              <w:t>предлагаме следното изменение</w:t>
            </w:r>
            <w:r>
              <w:rPr>
                <w:rFonts w:ascii="Times New Roman" w:hAnsi="Times New Roman" w:cs="Times New Roman"/>
                <w:sz w:val="24"/>
                <w:szCs w:val="24"/>
                <w:lang w:val="bg-BG"/>
              </w:rPr>
              <w:t xml:space="preserve"> и </w:t>
            </w:r>
            <w:r w:rsidRPr="006F4C97">
              <w:rPr>
                <w:rFonts w:ascii="Times New Roman" w:hAnsi="Times New Roman" w:cs="Times New Roman"/>
                <w:sz w:val="24"/>
                <w:szCs w:val="24"/>
                <w:lang w:val="bg-BG"/>
              </w:rPr>
              <w:t>допълнение на критериите за подбор на прое</w:t>
            </w:r>
            <w:r>
              <w:rPr>
                <w:rFonts w:ascii="Times New Roman" w:hAnsi="Times New Roman" w:cs="Times New Roman"/>
                <w:sz w:val="24"/>
                <w:szCs w:val="24"/>
                <w:lang w:val="bg-BG"/>
              </w:rPr>
              <w:t xml:space="preserve">ктни предложения по мярка 6.3. </w:t>
            </w:r>
            <w:r w:rsidRPr="006F4C97">
              <w:rPr>
                <w:rFonts w:ascii="Times New Roman" w:hAnsi="Times New Roman" w:cs="Times New Roman"/>
                <w:sz w:val="24"/>
                <w:szCs w:val="24"/>
                <w:lang w:val="bg-BG"/>
              </w:rPr>
              <w:t>„Интегрирана морска политика, повишаване на знан</w:t>
            </w:r>
            <w:r>
              <w:rPr>
                <w:rFonts w:ascii="Times New Roman" w:hAnsi="Times New Roman" w:cs="Times New Roman"/>
                <w:sz w:val="24"/>
                <w:szCs w:val="24"/>
                <w:lang w:val="bg-BG"/>
              </w:rPr>
              <w:t xml:space="preserve">ията за състоянието на морската </w:t>
            </w:r>
            <w:r w:rsidRPr="006F4C97">
              <w:rPr>
                <w:rFonts w:ascii="Times New Roman" w:hAnsi="Times New Roman" w:cs="Times New Roman"/>
                <w:sz w:val="24"/>
                <w:szCs w:val="24"/>
                <w:lang w:val="bg-BG"/>
              </w:rPr>
              <w:t>среда“, член 80.1.в по ПМДР 2014-2020 г.:</w:t>
            </w:r>
          </w:p>
          <w:p w:rsidR="006F4C97" w:rsidRPr="006F4C97" w:rsidRDefault="006F4C97" w:rsidP="006F4C97">
            <w:pPr>
              <w:jc w:val="both"/>
              <w:rPr>
                <w:rFonts w:ascii="Times New Roman" w:hAnsi="Times New Roman" w:cs="Times New Roman"/>
                <w:sz w:val="24"/>
                <w:szCs w:val="24"/>
                <w:lang w:val="bg-BG"/>
              </w:rPr>
            </w:pPr>
          </w:p>
          <w:p w:rsid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1. Максималният размер на БФП да бъде променен от 400 000,00 лв. на 900 000,00 лв. </w:t>
            </w:r>
          </w:p>
          <w:p w:rsidR="006F4C97" w:rsidRPr="006F4C97" w:rsidRDefault="006F4C97" w:rsidP="006F4C97">
            <w:pPr>
              <w:jc w:val="both"/>
              <w:rPr>
                <w:rFonts w:ascii="Times New Roman" w:hAnsi="Times New Roman" w:cs="Times New Roman"/>
                <w:sz w:val="24"/>
                <w:szCs w:val="24"/>
                <w:lang w:val="bg-BG"/>
              </w:rPr>
            </w:pP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2. Към критериите за подбор по мярката да бъдат добавени следните </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критерии:</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2.1. 4. Проектното предложение е свързано с проучвания на </w:t>
            </w:r>
          </w:p>
          <w:p w:rsidR="006F4C97" w:rsidRPr="006F4C97" w:rsidRDefault="006F4C97" w:rsidP="006F4C97">
            <w:pPr>
              <w:jc w:val="both"/>
              <w:rPr>
                <w:rFonts w:ascii="Times New Roman" w:hAnsi="Times New Roman" w:cs="Times New Roman"/>
                <w:sz w:val="24"/>
                <w:szCs w:val="24"/>
                <w:lang w:val="bg-BG"/>
              </w:rPr>
            </w:pPr>
            <w:proofErr w:type="spellStart"/>
            <w:r w:rsidRPr="006F4C97">
              <w:rPr>
                <w:rFonts w:ascii="Times New Roman" w:hAnsi="Times New Roman" w:cs="Times New Roman"/>
                <w:sz w:val="24"/>
                <w:szCs w:val="24"/>
                <w:lang w:val="bg-BG"/>
              </w:rPr>
              <w:t>двучерупчести</w:t>
            </w:r>
            <w:proofErr w:type="spellEnd"/>
            <w:r w:rsidRPr="006F4C97">
              <w:rPr>
                <w:rFonts w:ascii="Times New Roman" w:hAnsi="Times New Roman" w:cs="Times New Roman"/>
                <w:sz w:val="24"/>
                <w:szCs w:val="24"/>
                <w:lang w:val="bg-BG"/>
              </w:rPr>
              <w:t xml:space="preserve"> мекотели видове и популации, и техните местообитания – 25 точки</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2.2. 5. Проектното предложение е свързано с проучвания на </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биосредата на местообитанията на </w:t>
            </w:r>
            <w:proofErr w:type="spellStart"/>
            <w:r w:rsidRPr="006F4C97">
              <w:rPr>
                <w:rFonts w:ascii="Times New Roman" w:hAnsi="Times New Roman" w:cs="Times New Roman"/>
                <w:sz w:val="24"/>
                <w:szCs w:val="24"/>
                <w:lang w:val="bg-BG"/>
              </w:rPr>
              <w:t>двучерупчести</w:t>
            </w:r>
            <w:proofErr w:type="spellEnd"/>
            <w:r w:rsidRPr="006F4C97">
              <w:rPr>
                <w:rFonts w:ascii="Times New Roman" w:hAnsi="Times New Roman" w:cs="Times New Roman"/>
                <w:sz w:val="24"/>
                <w:szCs w:val="24"/>
                <w:lang w:val="bg-BG"/>
              </w:rPr>
              <w:t xml:space="preserve"> мекотели видове и популации и </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създаването на модел на динамиката на промените в тази биосреда – 25 точки</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2.3. 6. Проектното предложение е свързано със създаване на </w:t>
            </w:r>
            <w:r w:rsidRPr="006F4C97">
              <w:rPr>
                <w:rFonts w:ascii="Times New Roman" w:hAnsi="Times New Roman" w:cs="Times New Roman"/>
                <w:sz w:val="24"/>
                <w:szCs w:val="24"/>
                <w:lang w:val="bg-BG"/>
              </w:rPr>
              <w:lastRenderedPageBreak/>
              <w:t xml:space="preserve">системи </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за мониторинг и контрол на местата за улов и възпроизводство на </w:t>
            </w:r>
            <w:proofErr w:type="spellStart"/>
            <w:r w:rsidRPr="006F4C97">
              <w:rPr>
                <w:rFonts w:ascii="Times New Roman" w:hAnsi="Times New Roman" w:cs="Times New Roman"/>
                <w:sz w:val="24"/>
                <w:szCs w:val="24"/>
                <w:lang w:val="bg-BG"/>
              </w:rPr>
              <w:t>двучерупчести</w:t>
            </w:r>
            <w:proofErr w:type="spellEnd"/>
            <w:r w:rsidRPr="006F4C97">
              <w:rPr>
                <w:rFonts w:ascii="Times New Roman" w:hAnsi="Times New Roman" w:cs="Times New Roman"/>
                <w:sz w:val="24"/>
                <w:szCs w:val="24"/>
                <w:lang w:val="bg-BG"/>
              </w:rPr>
              <w:t xml:space="preserve"> </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мекотели видове и популации – 25 точки</w:t>
            </w:r>
          </w:p>
          <w:p w:rsidR="006F4C97" w:rsidRPr="006F4C97"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 xml:space="preserve">2.4. 7. Проекти, насочени към изследване на морската среда и </w:t>
            </w:r>
          </w:p>
          <w:p w:rsidR="00471935" w:rsidRDefault="006F4C97" w:rsidP="006F4C97">
            <w:pPr>
              <w:jc w:val="both"/>
              <w:rPr>
                <w:rFonts w:ascii="Times New Roman" w:hAnsi="Times New Roman" w:cs="Times New Roman"/>
                <w:sz w:val="24"/>
                <w:szCs w:val="24"/>
                <w:lang w:val="bg-BG"/>
              </w:rPr>
            </w:pPr>
            <w:r w:rsidRPr="006F4C97">
              <w:rPr>
                <w:rFonts w:ascii="Times New Roman" w:hAnsi="Times New Roman" w:cs="Times New Roman"/>
                <w:sz w:val="24"/>
                <w:szCs w:val="24"/>
                <w:lang w:val="bg-BG"/>
              </w:rPr>
              <w:t>морското дъно – 25 точки</w:t>
            </w:r>
          </w:p>
          <w:p w:rsidR="006F4C97" w:rsidRDefault="006F4C97" w:rsidP="006F4C97">
            <w:pPr>
              <w:jc w:val="both"/>
              <w:rPr>
                <w:rFonts w:ascii="Times New Roman" w:hAnsi="Times New Roman" w:cs="Times New Roman"/>
                <w:sz w:val="24"/>
                <w:szCs w:val="24"/>
                <w:lang w:val="bg-BG"/>
              </w:rPr>
            </w:pPr>
          </w:p>
          <w:p w:rsidR="006F4C97" w:rsidRPr="00C032B6" w:rsidRDefault="006F4C97" w:rsidP="001A1899">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Предлагаме кръгът с допустимите кандидати по мярка 6.3 в ИГРП за 2022 г. да бъде разширен с включване в него на </w:t>
            </w:r>
            <w:r w:rsidRPr="006F4C97">
              <w:rPr>
                <w:rFonts w:ascii="Times New Roman" w:hAnsi="Times New Roman" w:cs="Times New Roman"/>
                <w:sz w:val="24"/>
                <w:szCs w:val="24"/>
                <w:lang w:val="bg-BG"/>
              </w:rPr>
              <w:t xml:space="preserve">Институт по биоразнообразие и екосистеми - София; </w:t>
            </w:r>
            <w:r w:rsidR="001A1899">
              <w:rPr>
                <w:rFonts w:ascii="Times New Roman" w:hAnsi="Times New Roman" w:cs="Times New Roman"/>
                <w:sz w:val="24"/>
                <w:szCs w:val="24"/>
                <w:lang w:val="bg-BG"/>
              </w:rPr>
              <w:t>И</w:t>
            </w:r>
            <w:r w:rsidRPr="006F4C97">
              <w:rPr>
                <w:rFonts w:ascii="Times New Roman" w:hAnsi="Times New Roman" w:cs="Times New Roman"/>
                <w:sz w:val="24"/>
                <w:szCs w:val="24"/>
                <w:lang w:val="bg-BG"/>
              </w:rPr>
              <w:t xml:space="preserve">нститут по океанология - Варна; </w:t>
            </w:r>
            <w:r w:rsidR="008E1088">
              <w:rPr>
                <w:rFonts w:ascii="Times New Roman" w:hAnsi="Times New Roman" w:cs="Times New Roman"/>
                <w:sz w:val="24"/>
                <w:szCs w:val="24"/>
                <w:lang w:val="bg-BG"/>
              </w:rPr>
              <w:t>И</w:t>
            </w:r>
            <w:r w:rsidRPr="006F4C97">
              <w:rPr>
                <w:rFonts w:ascii="Times New Roman" w:hAnsi="Times New Roman" w:cs="Times New Roman"/>
                <w:sz w:val="24"/>
                <w:szCs w:val="24"/>
                <w:lang w:val="bg-BG"/>
              </w:rPr>
              <w:t>нститут по рибни ресурси - Варна; ЦОРХВ</w:t>
            </w:r>
            <w:r>
              <w:rPr>
                <w:rFonts w:ascii="Times New Roman" w:hAnsi="Times New Roman" w:cs="Times New Roman"/>
                <w:sz w:val="24"/>
                <w:szCs w:val="24"/>
                <w:lang w:val="bg-BG"/>
              </w:rPr>
              <w:t>.</w:t>
            </w:r>
          </w:p>
        </w:tc>
        <w:tc>
          <w:tcPr>
            <w:tcW w:w="3801" w:type="dxa"/>
          </w:tcPr>
          <w:p w:rsidR="00471935" w:rsidRDefault="00F15F35" w:rsidP="008E1088">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Предвид разполагаемия</w:t>
            </w:r>
            <w:r w:rsidR="008E1088">
              <w:rPr>
                <w:rFonts w:ascii="Times New Roman" w:hAnsi="Times New Roman" w:cs="Times New Roman"/>
                <w:sz w:val="24"/>
                <w:szCs w:val="24"/>
                <w:lang w:val="bg-BG"/>
              </w:rPr>
              <w:t xml:space="preserve"> финансов ресурс по мярката</w:t>
            </w:r>
            <w:r>
              <w:rPr>
                <w:rFonts w:ascii="Times New Roman" w:hAnsi="Times New Roman" w:cs="Times New Roman"/>
                <w:sz w:val="24"/>
                <w:szCs w:val="24"/>
                <w:lang w:val="bg-BG"/>
              </w:rPr>
              <w:t>, максималният</w:t>
            </w:r>
            <w:r w:rsidRPr="006F4C97">
              <w:rPr>
                <w:rFonts w:ascii="Times New Roman" w:hAnsi="Times New Roman" w:cs="Times New Roman"/>
                <w:sz w:val="24"/>
                <w:szCs w:val="24"/>
                <w:lang w:val="bg-BG"/>
              </w:rPr>
              <w:t xml:space="preserve"> размер на БФП</w:t>
            </w:r>
            <w:r>
              <w:rPr>
                <w:rFonts w:ascii="Times New Roman" w:hAnsi="Times New Roman" w:cs="Times New Roman"/>
                <w:sz w:val="24"/>
                <w:szCs w:val="24"/>
                <w:lang w:val="bg-BG"/>
              </w:rPr>
              <w:t xml:space="preserve"> се </w:t>
            </w:r>
            <w:r w:rsidR="00805966">
              <w:rPr>
                <w:rFonts w:ascii="Times New Roman" w:hAnsi="Times New Roman" w:cs="Times New Roman"/>
                <w:sz w:val="24"/>
                <w:szCs w:val="24"/>
                <w:lang w:val="bg-BG"/>
              </w:rPr>
              <w:t>променя на до 600 000,00 лв. БФП, т.е. предложението се променя частично.</w:t>
            </w:r>
            <w:bookmarkStart w:id="0" w:name="_GoBack"/>
            <w:bookmarkEnd w:id="0"/>
          </w:p>
          <w:p w:rsidR="008E1088" w:rsidRDefault="008E1088" w:rsidP="008E1088">
            <w:pPr>
              <w:jc w:val="both"/>
              <w:rPr>
                <w:rFonts w:ascii="Times New Roman" w:hAnsi="Times New Roman" w:cs="Times New Roman"/>
                <w:sz w:val="24"/>
                <w:szCs w:val="24"/>
                <w:lang w:val="bg-BG"/>
              </w:rPr>
            </w:pPr>
          </w:p>
          <w:p w:rsidR="008E1088" w:rsidRDefault="008E1088" w:rsidP="008E1088">
            <w:pPr>
              <w:jc w:val="both"/>
              <w:rPr>
                <w:rFonts w:ascii="Times New Roman" w:hAnsi="Times New Roman" w:cs="Times New Roman"/>
                <w:sz w:val="24"/>
                <w:szCs w:val="24"/>
                <w:lang w:val="bg-BG"/>
              </w:rPr>
            </w:pPr>
            <w:r>
              <w:rPr>
                <w:rFonts w:ascii="Times New Roman" w:hAnsi="Times New Roman" w:cs="Times New Roman"/>
                <w:sz w:val="24"/>
                <w:szCs w:val="24"/>
                <w:lang w:val="bg-BG"/>
              </w:rPr>
              <w:t>По отношение предложените нови критерии, предложението се приема частично.</w:t>
            </w:r>
          </w:p>
          <w:p w:rsidR="008E1088" w:rsidRDefault="008E1088" w:rsidP="008E1088">
            <w:pPr>
              <w:jc w:val="both"/>
              <w:rPr>
                <w:rFonts w:ascii="Times New Roman" w:hAnsi="Times New Roman" w:cs="Times New Roman"/>
                <w:sz w:val="24"/>
                <w:szCs w:val="24"/>
                <w:lang w:val="bg-BG"/>
              </w:rPr>
            </w:pPr>
          </w:p>
          <w:p w:rsidR="008E62D3" w:rsidRDefault="008E62D3" w:rsidP="008E62D3">
            <w:pPr>
              <w:jc w:val="both"/>
              <w:rPr>
                <w:rFonts w:ascii="Times New Roman" w:hAnsi="Times New Roman" w:cs="Times New Roman"/>
                <w:sz w:val="24"/>
                <w:szCs w:val="24"/>
                <w:lang w:val="bg-BG"/>
              </w:rPr>
            </w:pPr>
          </w:p>
          <w:p w:rsidR="00AD36C2" w:rsidRDefault="00AD36C2" w:rsidP="008E62D3">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След преглед и анализ на предложените критерии, УО на ПМДР </w:t>
            </w:r>
            <w:proofErr w:type="spellStart"/>
            <w:r>
              <w:rPr>
                <w:rFonts w:ascii="Times New Roman" w:hAnsi="Times New Roman" w:cs="Times New Roman"/>
                <w:sz w:val="24"/>
                <w:szCs w:val="24"/>
                <w:lang w:val="bg-BG"/>
              </w:rPr>
              <w:t>кумулира</w:t>
            </w:r>
            <w:proofErr w:type="spellEnd"/>
            <w:r>
              <w:rPr>
                <w:rFonts w:ascii="Times New Roman" w:hAnsi="Times New Roman" w:cs="Times New Roman"/>
                <w:sz w:val="24"/>
                <w:szCs w:val="24"/>
                <w:lang w:val="bg-BG"/>
              </w:rPr>
              <w:t xml:space="preserve"> един общ </w:t>
            </w:r>
            <w:r w:rsidR="00F15F35">
              <w:rPr>
                <w:rFonts w:ascii="Times New Roman" w:hAnsi="Times New Roman" w:cs="Times New Roman"/>
                <w:sz w:val="24"/>
                <w:szCs w:val="24"/>
                <w:lang w:val="bg-BG"/>
              </w:rPr>
              <w:t xml:space="preserve">критерий </w:t>
            </w:r>
            <w:r>
              <w:rPr>
                <w:rFonts w:ascii="Times New Roman" w:hAnsi="Times New Roman" w:cs="Times New Roman"/>
                <w:sz w:val="24"/>
                <w:szCs w:val="24"/>
                <w:lang w:val="bg-BG"/>
              </w:rPr>
              <w:t xml:space="preserve">и той ще бъде добавен към тези от документа за </w:t>
            </w:r>
            <w:r w:rsidRPr="00AD36C2">
              <w:rPr>
                <w:rFonts w:ascii="Times New Roman" w:hAnsi="Times New Roman" w:cs="Times New Roman"/>
                <w:sz w:val="24"/>
                <w:szCs w:val="24"/>
                <w:lang w:val="bg-BG"/>
              </w:rPr>
              <w:t>Критерии за подбор по мерките по</w:t>
            </w:r>
            <w:r>
              <w:rPr>
                <w:rFonts w:ascii="Times New Roman" w:hAnsi="Times New Roman" w:cs="Times New Roman"/>
                <w:sz w:val="24"/>
                <w:szCs w:val="24"/>
                <w:lang w:val="bg-BG"/>
              </w:rPr>
              <w:t xml:space="preserve"> ПМДР: </w:t>
            </w:r>
          </w:p>
          <w:p w:rsidR="00AD36C2" w:rsidRDefault="00AD36C2" w:rsidP="008E62D3">
            <w:pPr>
              <w:jc w:val="both"/>
              <w:rPr>
                <w:rFonts w:ascii="Times New Roman" w:hAnsi="Times New Roman" w:cs="Times New Roman"/>
                <w:sz w:val="24"/>
                <w:szCs w:val="24"/>
                <w:lang w:val="bg-BG"/>
              </w:rPr>
            </w:pPr>
          </w:p>
          <w:p w:rsidR="00361070" w:rsidRPr="006F4C97" w:rsidRDefault="009D3016" w:rsidP="00361070">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361070">
              <w:rPr>
                <w:rFonts w:ascii="Times New Roman" w:hAnsi="Times New Roman" w:cs="Times New Roman"/>
                <w:sz w:val="24"/>
                <w:szCs w:val="24"/>
                <w:lang w:val="bg-BG"/>
              </w:rPr>
              <w:t xml:space="preserve">5. </w:t>
            </w:r>
            <w:r w:rsidR="00361070" w:rsidRPr="006F4C97">
              <w:rPr>
                <w:rFonts w:ascii="Times New Roman" w:hAnsi="Times New Roman" w:cs="Times New Roman"/>
                <w:sz w:val="24"/>
                <w:szCs w:val="24"/>
                <w:lang w:val="bg-BG"/>
              </w:rPr>
              <w:t xml:space="preserve">Проектното предложение е свързано с проучвания на </w:t>
            </w:r>
          </w:p>
          <w:p w:rsidR="00AD36C2" w:rsidRDefault="00361070" w:rsidP="00361070">
            <w:pPr>
              <w:jc w:val="both"/>
              <w:rPr>
                <w:rFonts w:ascii="Times New Roman" w:hAnsi="Times New Roman" w:cs="Times New Roman"/>
                <w:sz w:val="24"/>
                <w:szCs w:val="24"/>
                <w:lang w:val="bg-BG"/>
              </w:rPr>
            </w:pPr>
            <w:proofErr w:type="spellStart"/>
            <w:r w:rsidRPr="006F4C97">
              <w:rPr>
                <w:rFonts w:ascii="Times New Roman" w:hAnsi="Times New Roman" w:cs="Times New Roman"/>
                <w:sz w:val="24"/>
                <w:szCs w:val="24"/>
                <w:lang w:val="bg-BG"/>
              </w:rPr>
              <w:t>двучерупчести</w:t>
            </w:r>
            <w:proofErr w:type="spellEnd"/>
            <w:r w:rsidRPr="006F4C97">
              <w:rPr>
                <w:rFonts w:ascii="Times New Roman" w:hAnsi="Times New Roman" w:cs="Times New Roman"/>
                <w:sz w:val="24"/>
                <w:szCs w:val="24"/>
                <w:lang w:val="bg-BG"/>
              </w:rPr>
              <w:t xml:space="preserve"> мекотели видове и популации</w:t>
            </w:r>
            <w:r>
              <w:rPr>
                <w:rFonts w:ascii="Times New Roman" w:hAnsi="Times New Roman" w:cs="Times New Roman"/>
                <w:sz w:val="24"/>
                <w:szCs w:val="24"/>
                <w:lang w:val="bg-BG"/>
              </w:rPr>
              <w:t xml:space="preserve">, в това число </w:t>
            </w:r>
            <w:r w:rsidRPr="006F4C97">
              <w:rPr>
                <w:rFonts w:ascii="Times New Roman" w:hAnsi="Times New Roman" w:cs="Times New Roman"/>
                <w:sz w:val="24"/>
                <w:szCs w:val="24"/>
                <w:lang w:val="bg-BG"/>
              </w:rPr>
              <w:t xml:space="preserve">създаване </w:t>
            </w:r>
            <w:r w:rsidRPr="006F4C97">
              <w:rPr>
                <w:rFonts w:ascii="Times New Roman" w:hAnsi="Times New Roman" w:cs="Times New Roman"/>
                <w:sz w:val="24"/>
                <w:szCs w:val="24"/>
                <w:lang w:val="bg-BG"/>
              </w:rPr>
              <w:lastRenderedPageBreak/>
              <w:t xml:space="preserve">на системи за мониторинг и контрол на местата за улов и възпроизводство на </w:t>
            </w:r>
            <w:proofErr w:type="spellStart"/>
            <w:r w:rsidRPr="006F4C97">
              <w:rPr>
                <w:rFonts w:ascii="Times New Roman" w:hAnsi="Times New Roman" w:cs="Times New Roman"/>
                <w:sz w:val="24"/>
                <w:szCs w:val="24"/>
                <w:lang w:val="bg-BG"/>
              </w:rPr>
              <w:t>двучерупчести</w:t>
            </w:r>
            <w:proofErr w:type="spellEnd"/>
            <w:r w:rsidRPr="006F4C97">
              <w:rPr>
                <w:rFonts w:ascii="Times New Roman" w:hAnsi="Times New Roman" w:cs="Times New Roman"/>
                <w:sz w:val="24"/>
                <w:szCs w:val="24"/>
                <w:lang w:val="bg-BG"/>
              </w:rPr>
              <w:t xml:space="preserve"> мекотели видове и популации</w:t>
            </w:r>
            <w:r>
              <w:rPr>
                <w:rFonts w:ascii="Times New Roman" w:hAnsi="Times New Roman" w:cs="Times New Roman"/>
                <w:sz w:val="24"/>
                <w:szCs w:val="24"/>
                <w:lang w:val="bg-BG"/>
              </w:rPr>
              <w:t xml:space="preserve"> – 25 точки.</w:t>
            </w:r>
            <w:r w:rsidR="009D3016">
              <w:rPr>
                <w:rFonts w:ascii="Times New Roman" w:hAnsi="Times New Roman" w:cs="Times New Roman"/>
                <w:sz w:val="24"/>
                <w:szCs w:val="24"/>
                <w:lang w:val="bg-BG"/>
              </w:rPr>
              <w:t>“</w:t>
            </w:r>
          </w:p>
          <w:p w:rsidR="00361070" w:rsidRDefault="00361070" w:rsidP="00361070">
            <w:pPr>
              <w:jc w:val="both"/>
              <w:rPr>
                <w:rFonts w:ascii="Times New Roman" w:hAnsi="Times New Roman" w:cs="Times New Roman"/>
                <w:sz w:val="24"/>
                <w:szCs w:val="24"/>
                <w:lang w:val="bg-BG"/>
              </w:rPr>
            </w:pPr>
          </w:p>
          <w:p w:rsidR="00361070" w:rsidRDefault="00361070" w:rsidP="00361070">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Към критерий 4 от документа за </w:t>
            </w:r>
            <w:r w:rsidRPr="00AD36C2">
              <w:rPr>
                <w:rFonts w:ascii="Times New Roman" w:hAnsi="Times New Roman" w:cs="Times New Roman"/>
                <w:sz w:val="24"/>
                <w:szCs w:val="24"/>
                <w:lang w:val="bg-BG"/>
              </w:rPr>
              <w:t>Критерии за подбор по мерките по</w:t>
            </w:r>
            <w:r>
              <w:rPr>
                <w:rFonts w:ascii="Times New Roman" w:hAnsi="Times New Roman" w:cs="Times New Roman"/>
                <w:sz w:val="24"/>
                <w:szCs w:val="24"/>
                <w:lang w:val="bg-BG"/>
              </w:rPr>
              <w:t xml:space="preserve"> ПМДР се добавя следния текст: </w:t>
            </w:r>
            <w:r w:rsidR="009D3016">
              <w:rPr>
                <w:rFonts w:ascii="Times New Roman" w:hAnsi="Times New Roman" w:cs="Times New Roman"/>
                <w:sz w:val="24"/>
                <w:szCs w:val="24"/>
                <w:lang w:val="bg-BG"/>
              </w:rPr>
              <w:t>„</w:t>
            </w:r>
            <w:r>
              <w:rPr>
                <w:rFonts w:ascii="Times New Roman" w:hAnsi="Times New Roman" w:cs="Times New Roman"/>
                <w:sz w:val="24"/>
                <w:szCs w:val="24"/>
                <w:lang w:val="bg-BG"/>
              </w:rPr>
              <w:t>включващо и изследвания на морско дъно</w:t>
            </w:r>
            <w:r w:rsidR="009D3016">
              <w:rPr>
                <w:rFonts w:ascii="Times New Roman" w:hAnsi="Times New Roman" w:cs="Times New Roman"/>
                <w:sz w:val="24"/>
                <w:szCs w:val="24"/>
                <w:lang w:val="bg-BG"/>
              </w:rPr>
              <w:t>“</w:t>
            </w:r>
            <w:r>
              <w:rPr>
                <w:rFonts w:ascii="Times New Roman" w:hAnsi="Times New Roman" w:cs="Times New Roman"/>
                <w:sz w:val="24"/>
                <w:szCs w:val="24"/>
                <w:lang w:val="bg-BG"/>
              </w:rPr>
              <w:t>.</w:t>
            </w:r>
          </w:p>
          <w:p w:rsidR="00361070" w:rsidRDefault="00361070" w:rsidP="00361070">
            <w:pPr>
              <w:jc w:val="both"/>
              <w:rPr>
                <w:rFonts w:ascii="Times New Roman" w:hAnsi="Times New Roman" w:cs="Times New Roman"/>
                <w:sz w:val="24"/>
                <w:szCs w:val="24"/>
                <w:lang w:val="bg-BG"/>
              </w:rPr>
            </w:pPr>
          </w:p>
          <w:p w:rsidR="00361070" w:rsidRDefault="00361070" w:rsidP="00361070">
            <w:pPr>
              <w:jc w:val="both"/>
              <w:rPr>
                <w:rFonts w:ascii="Times New Roman" w:hAnsi="Times New Roman" w:cs="Times New Roman"/>
                <w:sz w:val="24"/>
                <w:szCs w:val="24"/>
                <w:lang w:val="bg-BG"/>
              </w:rPr>
            </w:pPr>
            <w:r>
              <w:rPr>
                <w:rFonts w:ascii="Times New Roman" w:hAnsi="Times New Roman" w:cs="Times New Roman"/>
                <w:sz w:val="24"/>
                <w:szCs w:val="24"/>
                <w:lang w:val="bg-BG"/>
              </w:rPr>
              <w:t>Общият брой точки от 100 се променя на 125.</w:t>
            </w:r>
          </w:p>
          <w:p w:rsidR="00AD36C2" w:rsidRDefault="00AD36C2" w:rsidP="008E62D3">
            <w:pPr>
              <w:jc w:val="both"/>
              <w:rPr>
                <w:rFonts w:ascii="Times New Roman" w:hAnsi="Times New Roman" w:cs="Times New Roman"/>
                <w:sz w:val="24"/>
                <w:szCs w:val="24"/>
                <w:lang w:val="bg-BG"/>
              </w:rPr>
            </w:pPr>
          </w:p>
          <w:p w:rsidR="00AD36C2" w:rsidRDefault="00AD36C2" w:rsidP="008E62D3">
            <w:pPr>
              <w:jc w:val="both"/>
              <w:rPr>
                <w:rFonts w:ascii="Times New Roman" w:hAnsi="Times New Roman" w:cs="Times New Roman"/>
                <w:sz w:val="24"/>
                <w:szCs w:val="24"/>
                <w:lang w:val="bg-BG"/>
              </w:rPr>
            </w:pPr>
          </w:p>
          <w:p w:rsidR="009D3016" w:rsidRDefault="009D3016" w:rsidP="009D3016">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По отношение включването на повече допустими кандидати, следва да се има предвид, че изброените институти попадат </w:t>
            </w:r>
            <w:r w:rsidR="00F15F35">
              <w:rPr>
                <w:rFonts w:ascii="Times New Roman" w:hAnsi="Times New Roman" w:cs="Times New Roman"/>
                <w:sz w:val="24"/>
                <w:szCs w:val="24"/>
                <w:lang w:val="bg-BG"/>
              </w:rPr>
              <w:t xml:space="preserve">в обхвата на </w:t>
            </w:r>
            <w:r>
              <w:rPr>
                <w:rFonts w:ascii="Times New Roman" w:hAnsi="Times New Roman" w:cs="Times New Roman"/>
                <w:sz w:val="24"/>
                <w:szCs w:val="24"/>
                <w:lang w:val="bg-BG"/>
              </w:rPr>
              <w:t xml:space="preserve">допустимите кандидати по </w:t>
            </w:r>
            <w:r w:rsidR="00F15F35">
              <w:rPr>
                <w:rFonts w:ascii="Times New Roman" w:hAnsi="Times New Roman" w:cs="Times New Roman"/>
                <w:sz w:val="24"/>
                <w:szCs w:val="24"/>
                <w:lang w:val="bg-BG"/>
              </w:rPr>
              <w:t>процедурата</w:t>
            </w:r>
            <w:r>
              <w:rPr>
                <w:rFonts w:ascii="Times New Roman" w:hAnsi="Times New Roman" w:cs="Times New Roman"/>
                <w:sz w:val="24"/>
                <w:szCs w:val="24"/>
                <w:lang w:val="bg-BG"/>
              </w:rPr>
              <w:t xml:space="preserve">. </w:t>
            </w:r>
          </w:p>
          <w:p w:rsidR="008E1088" w:rsidRPr="00C032B6" w:rsidRDefault="008E62D3" w:rsidP="007658B6">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С цел гарантиране на устойчивост и завършеност на проектните предложения, като </w:t>
            </w:r>
            <w:r w:rsidR="00284E96">
              <w:rPr>
                <w:rFonts w:ascii="Times New Roman" w:hAnsi="Times New Roman" w:cs="Times New Roman"/>
                <w:sz w:val="24"/>
                <w:szCs w:val="24"/>
                <w:lang w:val="bg-BG"/>
              </w:rPr>
              <w:t>допустим кандидат ще бъд</w:t>
            </w:r>
            <w:r w:rsidR="007658B6">
              <w:rPr>
                <w:rFonts w:ascii="Times New Roman" w:hAnsi="Times New Roman" w:cs="Times New Roman"/>
                <w:sz w:val="24"/>
                <w:szCs w:val="24"/>
                <w:lang w:val="bg-BG"/>
              </w:rPr>
              <w:t>ат</w:t>
            </w:r>
            <w:r w:rsidR="00284E96">
              <w:rPr>
                <w:rFonts w:ascii="Times New Roman" w:hAnsi="Times New Roman" w:cs="Times New Roman"/>
                <w:sz w:val="24"/>
                <w:szCs w:val="24"/>
                <w:lang w:val="bg-BG"/>
              </w:rPr>
              <w:t xml:space="preserve"> </w:t>
            </w:r>
            <w:r>
              <w:rPr>
                <w:rFonts w:ascii="Times New Roman" w:hAnsi="Times New Roman" w:cs="Times New Roman"/>
                <w:sz w:val="24"/>
                <w:szCs w:val="24"/>
                <w:lang w:val="bg-BG"/>
              </w:rPr>
              <w:t>включен</w:t>
            </w:r>
            <w:r w:rsidR="007658B6">
              <w:rPr>
                <w:rFonts w:ascii="Times New Roman" w:hAnsi="Times New Roman" w:cs="Times New Roman"/>
                <w:sz w:val="24"/>
                <w:szCs w:val="24"/>
                <w:lang w:val="bg-BG"/>
              </w:rPr>
              <w:t>и</w:t>
            </w:r>
            <w:r>
              <w:rPr>
                <w:rFonts w:ascii="Times New Roman" w:hAnsi="Times New Roman" w:cs="Times New Roman"/>
                <w:sz w:val="24"/>
                <w:szCs w:val="24"/>
                <w:lang w:val="bg-BG"/>
              </w:rPr>
              <w:t xml:space="preserve"> </w:t>
            </w:r>
            <w:r w:rsidR="007658B6">
              <w:rPr>
                <w:rFonts w:ascii="Times New Roman" w:hAnsi="Times New Roman" w:cs="Times New Roman"/>
                <w:sz w:val="24"/>
                <w:szCs w:val="24"/>
                <w:lang w:val="bg-BG"/>
              </w:rPr>
              <w:t xml:space="preserve">и </w:t>
            </w:r>
            <w:r w:rsidR="007658B6" w:rsidRPr="007658B6">
              <w:rPr>
                <w:rFonts w:ascii="Times New Roman" w:hAnsi="Times New Roman" w:cs="Times New Roman"/>
                <w:sz w:val="24"/>
                <w:szCs w:val="24"/>
                <w:lang w:val="bg-BG"/>
              </w:rPr>
              <w:t>публични организации в сферата на оценка на риска по хранителната верига в земеделието</w:t>
            </w:r>
            <w:r w:rsidR="007658B6">
              <w:rPr>
                <w:rFonts w:ascii="Times New Roman" w:hAnsi="Times New Roman" w:cs="Times New Roman"/>
                <w:sz w:val="24"/>
                <w:szCs w:val="24"/>
                <w:lang w:val="bg-BG"/>
              </w:rPr>
              <w:t>.</w:t>
            </w:r>
          </w:p>
        </w:tc>
      </w:tr>
    </w:tbl>
    <w:p w:rsidR="00E31346" w:rsidRPr="00C032B6" w:rsidRDefault="00E31346" w:rsidP="00C032B6">
      <w:pPr>
        <w:jc w:val="both"/>
        <w:rPr>
          <w:rFonts w:ascii="Times New Roman" w:hAnsi="Times New Roman" w:cs="Times New Roman"/>
          <w:b/>
          <w:sz w:val="24"/>
          <w:szCs w:val="24"/>
          <w:lang w:val="bg-BG"/>
        </w:rPr>
      </w:pPr>
    </w:p>
    <w:sectPr w:rsidR="00E31346" w:rsidRPr="00C032B6" w:rsidSect="00E31346">
      <w:pgSz w:w="15840" w:h="12240" w:orient="landscape"/>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B6BAB"/>
    <w:multiLevelType w:val="hybridMultilevel"/>
    <w:tmpl w:val="8F7622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74633C3C"/>
    <w:multiLevelType w:val="hybridMultilevel"/>
    <w:tmpl w:val="36DCEB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6D"/>
    <w:rsid w:val="00012D11"/>
    <w:rsid w:val="000346A8"/>
    <w:rsid w:val="00035963"/>
    <w:rsid w:val="00071C13"/>
    <w:rsid w:val="000869DC"/>
    <w:rsid w:val="000B31EB"/>
    <w:rsid w:val="000D0BC9"/>
    <w:rsid w:val="000D2E14"/>
    <w:rsid w:val="000F67AD"/>
    <w:rsid w:val="000F77EE"/>
    <w:rsid w:val="001020C9"/>
    <w:rsid w:val="00104198"/>
    <w:rsid w:val="0015482D"/>
    <w:rsid w:val="001953BD"/>
    <w:rsid w:val="001A1899"/>
    <w:rsid w:val="001D24B6"/>
    <w:rsid w:val="001F5F84"/>
    <w:rsid w:val="002529F2"/>
    <w:rsid w:val="00284E96"/>
    <w:rsid w:val="002C02FC"/>
    <w:rsid w:val="00360816"/>
    <w:rsid w:val="00361070"/>
    <w:rsid w:val="00391EDB"/>
    <w:rsid w:val="003A3224"/>
    <w:rsid w:val="003A33B1"/>
    <w:rsid w:val="004054F5"/>
    <w:rsid w:val="00471935"/>
    <w:rsid w:val="00476EC5"/>
    <w:rsid w:val="004970BC"/>
    <w:rsid w:val="004D7357"/>
    <w:rsid w:val="004E4BE0"/>
    <w:rsid w:val="00502DBF"/>
    <w:rsid w:val="00505D96"/>
    <w:rsid w:val="00530E18"/>
    <w:rsid w:val="0055224F"/>
    <w:rsid w:val="005E4DEB"/>
    <w:rsid w:val="005F27DD"/>
    <w:rsid w:val="005F2ACE"/>
    <w:rsid w:val="00603F79"/>
    <w:rsid w:val="00635A62"/>
    <w:rsid w:val="00636C64"/>
    <w:rsid w:val="00652066"/>
    <w:rsid w:val="0065486D"/>
    <w:rsid w:val="00671B06"/>
    <w:rsid w:val="006842FB"/>
    <w:rsid w:val="00684B24"/>
    <w:rsid w:val="00696A13"/>
    <w:rsid w:val="006E598E"/>
    <w:rsid w:val="006F4C97"/>
    <w:rsid w:val="00707792"/>
    <w:rsid w:val="00727027"/>
    <w:rsid w:val="0075026F"/>
    <w:rsid w:val="007658B6"/>
    <w:rsid w:val="007720AA"/>
    <w:rsid w:val="00787344"/>
    <w:rsid w:val="007C67F9"/>
    <w:rsid w:val="00805966"/>
    <w:rsid w:val="008113B0"/>
    <w:rsid w:val="0082567F"/>
    <w:rsid w:val="00834CB4"/>
    <w:rsid w:val="00857058"/>
    <w:rsid w:val="008624CB"/>
    <w:rsid w:val="00866412"/>
    <w:rsid w:val="00884597"/>
    <w:rsid w:val="008E1088"/>
    <w:rsid w:val="008E62D3"/>
    <w:rsid w:val="00910CC5"/>
    <w:rsid w:val="00937DC8"/>
    <w:rsid w:val="0094513A"/>
    <w:rsid w:val="00973BF7"/>
    <w:rsid w:val="009A3D90"/>
    <w:rsid w:val="009B7386"/>
    <w:rsid w:val="009D3016"/>
    <w:rsid w:val="00A06876"/>
    <w:rsid w:val="00A2409F"/>
    <w:rsid w:val="00A431BD"/>
    <w:rsid w:val="00A47B63"/>
    <w:rsid w:val="00A65F39"/>
    <w:rsid w:val="00AA266F"/>
    <w:rsid w:val="00AB31F1"/>
    <w:rsid w:val="00AC2FE7"/>
    <w:rsid w:val="00AD36C2"/>
    <w:rsid w:val="00B27AB0"/>
    <w:rsid w:val="00B357DF"/>
    <w:rsid w:val="00B909A2"/>
    <w:rsid w:val="00BA32A9"/>
    <w:rsid w:val="00BC7868"/>
    <w:rsid w:val="00BD35FC"/>
    <w:rsid w:val="00BE4D70"/>
    <w:rsid w:val="00BF3589"/>
    <w:rsid w:val="00C032B6"/>
    <w:rsid w:val="00C50B77"/>
    <w:rsid w:val="00CF0F06"/>
    <w:rsid w:val="00D13748"/>
    <w:rsid w:val="00D55EF0"/>
    <w:rsid w:val="00D634B3"/>
    <w:rsid w:val="00DF56E0"/>
    <w:rsid w:val="00E22BC3"/>
    <w:rsid w:val="00E31346"/>
    <w:rsid w:val="00E420F2"/>
    <w:rsid w:val="00E619E9"/>
    <w:rsid w:val="00EC2142"/>
    <w:rsid w:val="00ED549F"/>
    <w:rsid w:val="00EE7D49"/>
    <w:rsid w:val="00F10F5D"/>
    <w:rsid w:val="00F15F35"/>
    <w:rsid w:val="00F302AE"/>
    <w:rsid w:val="00F4235A"/>
    <w:rsid w:val="00F44B32"/>
    <w:rsid w:val="00F47B26"/>
    <w:rsid w:val="00F50A5A"/>
    <w:rsid w:val="00F91362"/>
    <w:rsid w:val="00FB5138"/>
    <w:rsid w:val="00FC1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1346"/>
    <w:pPr>
      <w:spacing w:after="240" w:line="240" w:lineRule="atLeast"/>
    </w:pPr>
    <w:rPr>
      <w:rFonts w:ascii="Times New Roman" w:eastAsia="Times New Roman" w:hAnsi="Times New Roman" w:cs="Times New Roman"/>
      <w:sz w:val="24"/>
      <w:szCs w:val="24"/>
    </w:rPr>
  </w:style>
  <w:style w:type="table" w:styleId="TableGrid">
    <w:name w:val="Table Grid"/>
    <w:basedOn w:val="TableNormal"/>
    <w:uiPriority w:val="39"/>
    <w:rsid w:val="00E3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50A5A"/>
    <w:pPr>
      <w:tabs>
        <w:tab w:val="center" w:pos="4536"/>
        <w:tab w:val="right" w:pos="9072"/>
      </w:tabs>
      <w:spacing w:after="0" w:line="240" w:lineRule="auto"/>
    </w:pPr>
    <w:rPr>
      <w:rFonts w:ascii="Calibri" w:eastAsia="Calibri" w:hAnsi="Calibri" w:cs="Calibri"/>
      <w:lang w:val="bg-BG"/>
    </w:rPr>
  </w:style>
  <w:style w:type="character" w:customStyle="1" w:styleId="HeaderChar">
    <w:name w:val="Header Char"/>
    <w:basedOn w:val="DefaultParagraphFont"/>
    <w:link w:val="Header"/>
    <w:uiPriority w:val="99"/>
    <w:rsid w:val="00F50A5A"/>
    <w:rPr>
      <w:rFonts w:ascii="Calibri" w:eastAsia="Calibri" w:hAnsi="Calibri" w:cs="Calibri"/>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1346"/>
    <w:pPr>
      <w:spacing w:after="240" w:line="240" w:lineRule="atLeast"/>
    </w:pPr>
    <w:rPr>
      <w:rFonts w:ascii="Times New Roman" w:eastAsia="Times New Roman" w:hAnsi="Times New Roman" w:cs="Times New Roman"/>
      <w:sz w:val="24"/>
      <w:szCs w:val="24"/>
    </w:rPr>
  </w:style>
  <w:style w:type="table" w:styleId="TableGrid">
    <w:name w:val="Table Grid"/>
    <w:basedOn w:val="TableNormal"/>
    <w:uiPriority w:val="39"/>
    <w:rsid w:val="00E3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50A5A"/>
    <w:pPr>
      <w:tabs>
        <w:tab w:val="center" w:pos="4536"/>
        <w:tab w:val="right" w:pos="9072"/>
      </w:tabs>
      <w:spacing w:after="0" w:line="240" w:lineRule="auto"/>
    </w:pPr>
    <w:rPr>
      <w:rFonts w:ascii="Calibri" w:eastAsia="Calibri" w:hAnsi="Calibri" w:cs="Calibri"/>
      <w:lang w:val="bg-BG"/>
    </w:rPr>
  </w:style>
  <w:style w:type="character" w:customStyle="1" w:styleId="HeaderChar">
    <w:name w:val="Header Char"/>
    <w:basedOn w:val="DefaultParagraphFont"/>
    <w:link w:val="Header"/>
    <w:uiPriority w:val="99"/>
    <w:rsid w:val="00F50A5A"/>
    <w:rPr>
      <w:rFonts w:ascii="Calibri" w:eastAsia="Calibri" w:hAnsi="Calibri" w:cs="Calibri"/>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45542">
      <w:bodyDiv w:val="1"/>
      <w:marLeft w:val="0"/>
      <w:marRight w:val="0"/>
      <w:marTop w:val="0"/>
      <w:marBottom w:val="0"/>
      <w:divBdr>
        <w:top w:val="none" w:sz="0" w:space="0" w:color="auto"/>
        <w:left w:val="none" w:sz="0" w:space="0" w:color="auto"/>
        <w:bottom w:val="none" w:sz="0" w:space="0" w:color="auto"/>
        <w:right w:val="none" w:sz="0" w:space="0" w:color="auto"/>
      </w:divBdr>
    </w:div>
    <w:div w:id="178495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eaid.minfin.bg/bg/page/572"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1715</Words>
  <Characters>9781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Antoaneta Hyubner</cp:lastModifiedBy>
  <cp:revision>3</cp:revision>
  <dcterms:created xsi:type="dcterms:W3CDTF">2022-04-14T07:31:00Z</dcterms:created>
  <dcterms:modified xsi:type="dcterms:W3CDTF">2022-05-03T12:07:00Z</dcterms:modified>
</cp:coreProperties>
</file>