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A2A0C" w14:textId="77777777" w:rsidR="00737872" w:rsidRPr="00C06848" w:rsidRDefault="00737872" w:rsidP="00974C7D">
      <w:pPr>
        <w:spacing w:before="120" w:after="120" w:line="240" w:lineRule="auto"/>
        <w:jc w:val="both"/>
        <w:rPr>
          <w:rFonts w:ascii="Arial" w:hAnsi="Arial" w:cs="Arial"/>
          <w:b/>
          <w:bCs/>
        </w:rPr>
      </w:pPr>
    </w:p>
    <w:p w14:paraId="5C9BDA56" w14:textId="77777777" w:rsidR="00737872" w:rsidRPr="00C06848" w:rsidRDefault="00737872" w:rsidP="00974C7D">
      <w:pPr>
        <w:tabs>
          <w:tab w:val="left" w:pos="-180"/>
        </w:tabs>
        <w:spacing w:before="120" w:after="120" w:line="240" w:lineRule="auto"/>
        <w:ind w:left="5954"/>
        <w:jc w:val="both"/>
        <w:rPr>
          <w:rFonts w:ascii="Arial" w:hAnsi="Arial" w:cs="Arial"/>
          <w:b/>
          <w:bCs/>
        </w:rPr>
      </w:pPr>
      <w:r w:rsidRPr="00C06848">
        <w:rPr>
          <w:rFonts w:ascii="Arial" w:hAnsi="Arial" w:cs="Arial"/>
          <w:b/>
          <w:bCs/>
        </w:rPr>
        <w:t>Приложение № 2</w:t>
      </w:r>
    </w:p>
    <w:p w14:paraId="6213F61F" w14:textId="16862D68" w:rsidR="00737872" w:rsidRPr="00F5416D" w:rsidRDefault="00737872" w:rsidP="00974C7D">
      <w:pPr>
        <w:tabs>
          <w:tab w:val="left" w:pos="-180"/>
        </w:tabs>
        <w:spacing w:before="120" w:after="120" w:line="240" w:lineRule="auto"/>
        <w:ind w:left="5954"/>
        <w:jc w:val="both"/>
        <w:rPr>
          <w:rFonts w:ascii="Arial" w:hAnsi="Arial" w:cs="Arial"/>
          <w:b/>
          <w:bCs/>
        </w:rPr>
      </w:pPr>
      <w:r w:rsidRPr="00C06848">
        <w:rPr>
          <w:rFonts w:ascii="Arial" w:hAnsi="Arial" w:cs="Arial"/>
          <w:b/>
          <w:bCs/>
        </w:rPr>
        <w:t>към Заповед №</w:t>
      </w:r>
      <w:r w:rsidR="0018161B" w:rsidRPr="00C06848">
        <w:rPr>
          <w:rFonts w:ascii="Arial" w:hAnsi="Arial" w:cs="Arial"/>
          <w:b/>
          <w:bCs/>
        </w:rPr>
        <w:t xml:space="preserve"> </w:t>
      </w:r>
      <w:r w:rsidR="00DA4055" w:rsidRPr="00DA4055">
        <w:rPr>
          <w:rFonts w:ascii="Arial" w:hAnsi="Arial" w:cs="Arial"/>
          <w:b/>
          <w:bCs/>
        </w:rPr>
        <w:t>МДР-ПП-09-77 / 31.05.2022 г.</w:t>
      </w:r>
      <w:bookmarkStart w:id="0" w:name="_GoBack"/>
      <w:bookmarkEnd w:id="0"/>
    </w:p>
    <w:p w14:paraId="32D5FE25" w14:textId="77777777" w:rsidR="00737872" w:rsidRPr="00F5416D" w:rsidRDefault="00737872" w:rsidP="00974C7D">
      <w:pPr>
        <w:tabs>
          <w:tab w:val="left" w:pos="-180"/>
        </w:tabs>
        <w:spacing w:before="120" w:after="120" w:line="240" w:lineRule="auto"/>
        <w:jc w:val="both"/>
        <w:rPr>
          <w:rFonts w:ascii="Arial" w:hAnsi="Arial" w:cs="Arial"/>
          <w:b/>
          <w:bCs/>
        </w:rPr>
      </w:pPr>
    </w:p>
    <w:p w14:paraId="5683A715" w14:textId="77777777" w:rsidR="00737872" w:rsidRPr="00737B32" w:rsidRDefault="00737872" w:rsidP="00974C7D">
      <w:pPr>
        <w:spacing w:before="120" w:after="120" w:line="240" w:lineRule="auto"/>
        <w:jc w:val="both"/>
        <w:rPr>
          <w:rFonts w:ascii="Arial" w:hAnsi="Arial" w:cs="Arial"/>
          <w:b/>
          <w:bCs/>
        </w:rPr>
      </w:pPr>
    </w:p>
    <w:p w14:paraId="13ADC213" w14:textId="77777777" w:rsidR="00737872" w:rsidRPr="00AE7A10" w:rsidRDefault="00737872" w:rsidP="00974C7D">
      <w:pPr>
        <w:spacing w:before="120" w:after="120" w:line="240" w:lineRule="auto"/>
        <w:jc w:val="both"/>
        <w:rPr>
          <w:rFonts w:ascii="Arial" w:hAnsi="Arial" w:cs="Arial"/>
          <w:b/>
          <w:bCs/>
        </w:rPr>
      </w:pPr>
    </w:p>
    <w:p w14:paraId="0BFB0688" w14:textId="77777777" w:rsidR="00737872" w:rsidRPr="00B42A43" w:rsidRDefault="00737872" w:rsidP="00974C7D">
      <w:pPr>
        <w:tabs>
          <w:tab w:val="left" w:pos="-180"/>
        </w:tabs>
        <w:spacing w:before="120" w:after="120" w:line="240" w:lineRule="auto"/>
        <w:jc w:val="both"/>
        <w:rPr>
          <w:rFonts w:ascii="Arial" w:hAnsi="Arial" w:cs="Arial"/>
          <w:b/>
          <w:bCs/>
        </w:rPr>
      </w:pPr>
    </w:p>
    <w:p w14:paraId="383648A7" w14:textId="77777777" w:rsidR="00737872" w:rsidRPr="00974C7D" w:rsidRDefault="00737872" w:rsidP="00974C7D">
      <w:pPr>
        <w:tabs>
          <w:tab w:val="left" w:pos="-180"/>
        </w:tabs>
        <w:spacing w:before="120" w:after="120" w:line="240" w:lineRule="auto"/>
        <w:jc w:val="center"/>
        <w:rPr>
          <w:rFonts w:ascii="Arial" w:hAnsi="Arial" w:cs="Arial"/>
          <w:b/>
          <w:bCs/>
          <w:sz w:val="44"/>
          <w:szCs w:val="44"/>
        </w:rPr>
      </w:pPr>
      <w:r w:rsidRPr="00974C7D">
        <w:rPr>
          <w:rFonts w:ascii="Arial" w:hAnsi="Arial" w:cs="Arial"/>
          <w:b/>
          <w:bCs/>
          <w:sz w:val="44"/>
          <w:szCs w:val="44"/>
        </w:rPr>
        <w:t>Условия за изпълнение</w:t>
      </w:r>
    </w:p>
    <w:p w14:paraId="158DFFD1" w14:textId="77777777" w:rsidR="00737872" w:rsidRPr="00C06848" w:rsidRDefault="00737872" w:rsidP="00974C7D">
      <w:pPr>
        <w:tabs>
          <w:tab w:val="left" w:pos="-180"/>
        </w:tabs>
        <w:spacing w:before="120" w:after="120" w:line="240" w:lineRule="auto"/>
        <w:jc w:val="center"/>
        <w:rPr>
          <w:rFonts w:ascii="Arial" w:hAnsi="Arial" w:cs="Arial"/>
          <w:b/>
          <w:bCs/>
          <w:sz w:val="36"/>
          <w:szCs w:val="36"/>
        </w:rPr>
      </w:pPr>
    </w:p>
    <w:p w14:paraId="039BC3E7" w14:textId="77777777" w:rsidR="00737872" w:rsidRPr="00F5416D" w:rsidRDefault="00737872" w:rsidP="00974C7D">
      <w:pPr>
        <w:tabs>
          <w:tab w:val="left" w:pos="-180"/>
        </w:tabs>
        <w:spacing w:before="120" w:after="120" w:line="240" w:lineRule="auto"/>
        <w:jc w:val="center"/>
        <w:rPr>
          <w:rFonts w:ascii="Arial" w:hAnsi="Arial" w:cs="Arial"/>
          <w:b/>
          <w:bCs/>
        </w:rPr>
      </w:pPr>
      <w:r w:rsidRPr="00C06848">
        <w:rPr>
          <w:rFonts w:ascii="Arial" w:hAnsi="Arial" w:cs="Arial"/>
          <w:b/>
          <w:bCs/>
        </w:rPr>
        <w:t xml:space="preserve">на проекти по </w:t>
      </w:r>
      <w:r w:rsidRPr="00F5416D">
        <w:rPr>
          <w:rFonts w:ascii="Arial" w:hAnsi="Arial" w:cs="Arial"/>
          <w:b/>
          <w:bCs/>
        </w:rPr>
        <w:t>Процедура чрез подбор на проекти</w:t>
      </w:r>
    </w:p>
    <w:p w14:paraId="09B739A1" w14:textId="717FCBB9" w:rsidR="00737872" w:rsidRPr="00AE7A10" w:rsidRDefault="00737872" w:rsidP="00974C7D">
      <w:pPr>
        <w:tabs>
          <w:tab w:val="left" w:pos="-180"/>
        </w:tabs>
        <w:spacing w:before="120" w:after="120" w:line="240" w:lineRule="auto"/>
        <w:jc w:val="center"/>
        <w:rPr>
          <w:rFonts w:ascii="Arial" w:hAnsi="Arial" w:cs="Arial"/>
          <w:b/>
          <w:bCs/>
        </w:rPr>
      </w:pPr>
      <w:r w:rsidRPr="00737B32">
        <w:rPr>
          <w:rFonts w:ascii="Arial" w:hAnsi="Arial" w:cs="Arial"/>
          <w:b/>
          <w:bCs/>
        </w:rPr>
        <w:t>BG14MFOP001-1.0</w:t>
      </w:r>
      <w:r w:rsidR="00C06848" w:rsidRPr="00AE7A10">
        <w:rPr>
          <w:rFonts w:ascii="Arial" w:hAnsi="Arial" w:cs="Arial"/>
          <w:b/>
          <w:bCs/>
        </w:rPr>
        <w:t>24</w:t>
      </w:r>
      <w:r w:rsidRPr="00AE7A10">
        <w:rPr>
          <w:rFonts w:ascii="Arial" w:hAnsi="Arial" w:cs="Arial"/>
          <w:b/>
          <w:bCs/>
        </w:rPr>
        <w:t xml:space="preserve"> „Рибарски пристанища, кейове за разтоварване, рибни борси и лодкостоянки“,</w:t>
      </w:r>
    </w:p>
    <w:p w14:paraId="552A9E9E" w14:textId="053DCCD8" w:rsidR="00737872" w:rsidRPr="00C06848" w:rsidRDefault="00737872" w:rsidP="00974C7D">
      <w:pPr>
        <w:tabs>
          <w:tab w:val="left" w:pos="-180"/>
        </w:tabs>
        <w:spacing w:before="120" w:after="120" w:line="240" w:lineRule="auto"/>
        <w:jc w:val="center"/>
        <w:rPr>
          <w:rFonts w:ascii="Arial" w:hAnsi="Arial" w:cs="Arial"/>
          <w:b/>
          <w:bCs/>
        </w:rPr>
      </w:pPr>
      <w:r w:rsidRPr="00B42A43">
        <w:rPr>
          <w:rFonts w:ascii="Arial" w:hAnsi="Arial" w:cs="Arial"/>
          <w:b/>
          <w:bCs/>
        </w:rPr>
        <w:t>Мярка 1.8. „Рибарски пристанища, кейове за разтоварване, рибни борси и лодкостоянки”</w:t>
      </w:r>
    </w:p>
    <w:p w14:paraId="5F13F807" w14:textId="77777777" w:rsidR="00737872" w:rsidRPr="00C06848" w:rsidRDefault="00737872" w:rsidP="00974C7D">
      <w:pPr>
        <w:tabs>
          <w:tab w:val="left" w:pos="-180"/>
        </w:tabs>
        <w:spacing w:before="120" w:after="120" w:line="240" w:lineRule="auto"/>
        <w:jc w:val="center"/>
        <w:rPr>
          <w:rFonts w:ascii="Arial" w:hAnsi="Arial" w:cs="Arial"/>
          <w:b/>
          <w:bCs/>
          <w:lang w:val="ru-RU"/>
        </w:rPr>
      </w:pPr>
      <w:r w:rsidRPr="00C06848">
        <w:rPr>
          <w:rFonts w:ascii="Arial" w:hAnsi="Arial" w:cs="Arial"/>
          <w:b/>
          <w:bCs/>
          <w:lang w:val="ru-RU"/>
        </w:rPr>
        <w:t>Сектор „Инвестиции насочени към изграждане и/или модернизация на лодкостоянки“</w:t>
      </w:r>
    </w:p>
    <w:p w14:paraId="1C1EFC36" w14:textId="77777777" w:rsidR="00737872" w:rsidRPr="00C06848" w:rsidRDefault="00737872" w:rsidP="00974C7D">
      <w:pPr>
        <w:tabs>
          <w:tab w:val="left" w:pos="-180"/>
        </w:tabs>
        <w:spacing w:before="120" w:after="120" w:line="240" w:lineRule="auto"/>
        <w:jc w:val="center"/>
        <w:rPr>
          <w:rFonts w:ascii="Arial" w:hAnsi="Arial" w:cs="Arial"/>
          <w:b/>
          <w:bCs/>
          <w:lang w:val="ru-RU"/>
        </w:rPr>
      </w:pPr>
    </w:p>
    <w:p w14:paraId="6BBE6B06" w14:textId="77777777" w:rsidR="00737872" w:rsidRPr="00C06848" w:rsidRDefault="00737872" w:rsidP="00974C7D">
      <w:pPr>
        <w:tabs>
          <w:tab w:val="left" w:pos="-180"/>
        </w:tabs>
        <w:spacing w:before="120" w:after="120" w:line="240" w:lineRule="auto"/>
        <w:jc w:val="both"/>
        <w:rPr>
          <w:rFonts w:ascii="Arial" w:hAnsi="Arial" w:cs="Arial"/>
          <w:b/>
          <w:bCs/>
          <w:lang w:val="ru-RU"/>
        </w:rPr>
      </w:pPr>
      <w:r w:rsidRPr="00C06848">
        <w:rPr>
          <w:rFonts w:ascii="Arial" w:hAnsi="Arial" w:cs="Arial"/>
          <w:b/>
          <w:bCs/>
          <w:lang w:val="ru-RU"/>
        </w:rPr>
        <w:br w:type="page"/>
      </w:r>
    </w:p>
    <w:p w14:paraId="031CA2FE" w14:textId="77777777" w:rsidR="00737872" w:rsidRPr="00C06848" w:rsidRDefault="00737872" w:rsidP="00974C7D">
      <w:pPr>
        <w:pStyle w:val="TOCHeading"/>
        <w:spacing w:before="120" w:after="120" w:line="240" w:lineRule="auto"/>
        <w:jc w:val="both"/>
        <w:rPr>
          <w:rFonts w:ascii="Arial" w:hAnsi="Arial" w:cs="Arial"/>
          <w:sz w:val="22"/>
          <w:szCs w:val="22"/>
        </w:rPr>
      </w:pPr>
      <w:r w:rsidRPr="00C06848">
        <w:rPr>
          <w:rFonts w:ascii="Arial" w:hAnsi="Arial" w:cs="Arial"/>
          <w:sz w:val="22"/>
          <w:szCs w:val="22"/>
        </w:rPr>
        <w:lastRenderedPageBreak/>
        <w:t>Съдържание</w:t>
      </w:r>
    </w:p>
    <w:p w14:paraId="7CA5ADA1" w14:textId="77777777" w:rsidR="00737872" w:rsidRPr="00C06848" w:rsidRDefault="00737872" w:rsidP="00974C7D">
      <w:pPr>
        <w:spacing w:before="120" w:after="120" w:line="240" w:lineRule="auto"/>
        <w:jc w:val="both"/>
        <w:rPr>
          <w:rFonts w:ascii="Arial" w:hAnsi="Arial" w:cs="Arial"/>
          <w:lang w:eastAsia="bg-BG"/>
        </w:rPr>
      </w:pPr>
    </w:p>
    <w:p w14:paraId="0F28489F" w14:textId="77777777" w:rsidR="00737872" w:rsidRPr="00C06848" w:rsidRDefault="002C4E80" w:rsidP="00974C7D">
      <w:pPr>
        <w:tabs>
          <w:tab w:val="right" w:leader="dot" w:pos="9346"/>
        </w:tabs>
        <w:spacing w:before="120" w:after="120" w:line="240" w:lineRule="auto"/>
        <w:jc w:val="both"/>
        <w:rPr>
          <w:rFonts w:ascii="Arial" w:eastAsia="Calibri" w:hAnsi="Arial" w:cs="Arial"/>
          <w:noProof w:val="0"/>
          <w:lang w:eastAsia="bg-BG"/>
        </w:rPr>
      </w:pPr>
      <w:hyperlink w:anchor="_Toc442348057" w:history="1">
        <w:r w:rsidR="00737872" w:rsidRPr="00C06848">
          <w:rPr>
            <w:rFonts w:ascii="Arial" w:eastAsia="Calibri" w:hAnsi="Arial" w:cs="Arial"/>
            <w:noProof w:val="0"/>
            <w:color w:val="000000" w:themeColor="text1"/>
          </w:rPr>
          <w:t>1. Техническо изпълнение на проектите</w:t>
        </w:r>
        <w:r w:rsidR="00737872" w:rsidRPr="00C06848">
          <w:rPr>
            <w:rFonts w:ascii="Arial" w:eastAsia="Calibri" w:hAnsi="Arial" w:cs="Arial"/>
            <w:noProof w:val="0"/>
            <w:webHidden/>
          </w:rPr>
          <w:tab/>
        </w:r>
        <w:r w:rsidR="00737872" w:rsidRPr="00974C7D">
          <w:rPr>
            <w:rFonts w:ascii="Arial" w:eastAsia="Calibri" w:hAnsi="Arial" w:cs="Arial"/>
            <w:noProof w:val="0"/>
            <w:webHidden/>
          </w:rPr>
          <w:fldChar w:fldCharType="begin"/>
        </w:r>
        <w:r w:rsidR="00737872" w:rsidRPr="00C06848">
          <w:rPr>
            <w:rFonts w:ascii="Arial" w:eastAsia="Calibri" w:hAnsi="Arial" w:cs="Arial"/>
            <w:noProof w:val="0"/>
            <w:webHidden/>
          </w:rPr>
          <w:instrText xml:space="preserve"> PAGEREF _Toc442348057 \h </w:instrText>
        </w:r>
        <w:r w:rsidR="00737872" w:rsidRPr="00974C7D">
          <w:rPr>
            <w:rFonts w:ascii="Arial" w:eastAsia="Calibri" w:hAnsi="Arial" w:cs="Arial"/>
            <w:noProof w:val="0"/>
            <w:webHidden/>
          </w:rPr>
        </w:r>
        <w:r w:rsidR="00737872" w:rsidRPr="00974C7D">
          <w:rPr>
            <w:rFonts w:ascii="Arial" w:eastAsia="Calibri" w:hAnsi="Arial" w:cs="Arial"/>
            <w:noProof w:val="0"/>
            <w:webHidden/>
          </w:rPr>
          <w:fldChar w:fldCharType="separate"/>
        </w:r>
        <w:r w:rsidR="00737872" w:rsidRPr="00C06848">
          <w:rPr>
            <w:rFonts w:ascii="Arial" w:eastAsia="Calibri" w:hAnsi="Arial" w:cs="Arial"/>
            <w:bCs/>
            <w:webHidden/>
          </w:rPr>
          <w:t>3</w:t>
        </w:r>
        <w:r w:rsidR="00737872" w:rsidRPr="00974C7D">
          <w:rPr>
            <w:rFonts w:ascii="Arial" w:eastAsia="Calibri" w:hAnsi="Arial" w:cs="Arial"/>
            <w:noProof w:val="0"/>
            <w:webHidden/>
          </w:rPr>
          <w:fldChar w:fldCharType="end"/>
        </w:r>
      </w:hyperlink>
    </w:p>
    <w:p w14:paraId="1776AF17" w14:textId="77777777" w:rsidR="00737872" w:rsidRPr="00C06848" w:rsidRDefault="002C4E80" w:rsidP="00974C7D">
      <w:pPr>
        <w:tabs>
          <w:tab w:val="right" w:leader="dot" w:pos="9346"/>
        </w:tabs>
        <w:spacing w:before="120" w:after="120" w:line="240" w:lineRule="auto"/>
        <w:jc w:val="both"/>
        <w:rPr>
          <w:rFonts w:ascii="Arial" w:eastAsia="Calibri" w:hAnsi="Arial" w:cs="Arial"/>
          <w:noProof w:val="0"/>
        </w:rPr>
      </w:pPr>
      <w:hyperlink w:anchor="_Toc442348058" w:history="1">
        <w:r w:rsidR="00737872" w:rsidRPr="00C06848">
          <w:rPr>
            <w:rFonts w:ascii="Arial" w:eastAsia="Calibri" w:hAnsi="Arial" w:cs="Arial"/>
            <w:noProof w:val="0"/>
            <w:color w:val="000000" w:themeColor="text1"/>
          </w:rPr>
          <w:t>2. Финансово изпълнение на проектите и плащане</w:t>
        </w:r>
        <w:r w:rsidR="00737872" w:rsidRPr="00C06848">
          <w:rPr>
            <w:rFonts w:ascii="Arial" w:eastAsia="Calibri" w:hAnsi="Arial" w:cs="Arial"/>
            <w:noProof w:val="0"/>
            <w:webHidden/>
          </w:rPr>
          <w:tab/>
        </w:r>
      </w:hyperlink>
      <w:r w:rsidR="00737872" w:rsidRPr="00C06848">
        <w:rPr>
          <w:rFonts w:ascii="Arial" w:eastAsia="Calibri" w:hAnsi="Arial" w:cs="Arial"/>
          <w:noProof w:val="0"/>
        </w:rPr>
        <w:t>10</w:t>
      </w:r>
    </w:p>
    <w:p w14:paraId="3F27C917" w14:textId="77777777" w:rsidR="00737872" w:rsidRPr="00C06848" w:rsidRDefault="002C4E80" w:rsidP="00974C7D">
      <w:pPr>
        <w:tabs>
          <w:tab w:val="right" w:leader="dot" w:pos="9346"/>
        </w:tabs>
        <w:spacing w:before="120" w:after="120" w:line="240" w:lineRule="auto"/>
        <w:jc w:val="both"/>
        <w:rPr>
          <w:rFonts w:ascii="Arial" w:eastAsia="Calibri" w:hAnsi="Arial" w:cs="Arial"/>
          <w:noProof w:val="0"/>
          <w:lang w:eastAsia="bg-BG"/>
        </w:rPr>
      </w:pPr>
      <w:hyperlink w:anchor="_Toc442348059" w:history="1">
        <w:r w:rsidR="00737872" w:rsidRPr="00C06848">
          <w:rPr>
            <w:rFonts w:ascii="Arial" w:eastAsia="Calibri" w:hAnsi="Arial" w:cs="Arial"/>
            <w:noProof w:val="0"/>
            <w:color w:val="000000" w:themeColor="text1"/>
          </w:rPr>
          <w:t>3. Мерки за информиране и публичност</w:t>
        </w:r>
        <w:r w:rsidR="00737872" w:rsidRPr="00C06848">
          <w:rPr>
            <w:rFonts w:ascii="Arial" w:eastAsia="Calibri" w:hAnsi="Arial" w:cs="Arial"/>
            <w:noProof w:val="0"/>
            <w:webHidden/>
          </w:rPr>
          <w:tab/>
        </w:r>
        <w:r w:rsidR="00737872" w:rsidRPr="00974C7D">
          <w:rPr>
            <w:rFonts w:ascii="Arial" w:eastAsia="Calibri" w:hAnsi="Arial" w:cs="Arial"/>
            <w:noProof w:val="0"/>
            <w:webHidden/>
          </w:rPr>
          <w:fldChar w:fldCharType="begin"/>
        </w:r>
        <w:r w:rsidR="00737872" w:rsidRPr="00C06848">
          <w:rPr>
            <w:rFonts w:ascii="Arial" w:eastAsia="Calibri" w:hAnsi="Arial" w:cs="Arial"/>
            <w:noProof w:val="0"/>
            <w:webHidden/>
          </w:rPr>
          <w:instrText xml:space="preserve"> PAGEREF _Toc442348059 \h </w:instrText>
        </w:r>
        <w:r w:rsidR="00737872" w:rsidRPr="00974C7D">
          <w:rPr>
            <w:rFonts w:ascii="Arial" w:eastAsia="Calibri" w:hAnsi="Arial" w:cs="Arial"/>
            <w:noProof w:val="0"/>
            <w:webHidden/>
          </w:rPr>
        </w:r>
        <w:r w:rsidR="00737872" w:rsidRPr="00974C7D">
          <w:rPr>
            <w:rFonts w:ascii="Arial" w:eastAsia="Calibri" w:hAnsi="Arial" w:cs="Arial"/>
            <w:noProof w:val="0"/>
            <w:webHidden/>
          </w:rPr>
          <w:fldChar w:fldCharType="separate"/>
        </w:r>
        <w:r w:rsidR="00737872" w:rsidRPr="00C06848">
          <w:rPr>
            <w:rFonts w:ascii="Arial" w:eastAsia="Calibri" w:hAnsi="Arial" w:cs="Arial"/>
            <w:bCs/>
            <w:webHidden/>
          </w:rPr>
          <w:t>11</w:t>
        </w:r>
        <w:r w:rsidR="00737872" w:rsidRPr="00974C7D">
          <w:rPr>
            <w:rFonts w:ascii="Arial" w:eastAsia="Calibri" w:hAnsi="Arial" w:cs="Arial"/>
            <w:noProof w:val="0"/>
            <w:webHidden/>
          </w:rPr>
          <w:fldChar w:fldCharType="end"/>
        </w:r>
      </w:hyperlink>
    </w:p>
    <w:p w14:paraId="745A58FC" w14:textId="77777777" w:rsidR="00737872" w:rsidRPr="00C06848" w:rsidRDefault="002C4E80" w:rsidP="00974C7D">
      <w:pPr>
        <w:tabs>
          <w:tab w:val="right" w:leader="dot" w:pos="9346"/>
        </w:tabs>
        <w:spacing w:before="120" w:after="120" w:line="240" w:lineRule="auto"/>
        <w:jc w:val="both"/>
        <w:rPr>
          <w:rFonts w:ascii="Arial" w:eastAsia="Calibri" w:hAnsi="Arial" w:cs="Arial"/>
          <w:noProof w:val="0"/>
          <w:lang w:eastAsia="bg-BG"/>
        </w:rPr>
      </w:pPr>
      <w:hyperlink w:anchor="_Toc442348060" w:history="1">
        <w:r w:rsidR="00737872" w:rsidRPr="00C06848">
          <w:rPr>
            <w:rFonts w:ascii="Arial" w:eastAsia="Calibri" w:hAnsi="Arial" w:cs="Arial"/>
            <w:noProof w:val="0"/>
            <w:color w:val="000000" w:themeColor="text1"/>
          </w:rPr>
          <w:t>4. Приложения към Условията за изпълнение</w:t>
        </w:r>
        <w:r w:rsidR="00737872" w:rsidRPr="00C06848">
          <w:rPr>
            <w:rFonts w:ascii="Arial" w:eastAsia="Calibri" w:hAnsi="Arial" w:cs="Arial"/>
            <w:noProof w:val="0"/>
            <w:webHidden/>
          </w:rPr>
          <w:tab/>
        </w:r>
        <w:r w:rsidR="00737872" w:rsidRPr="00974C7D">
          <w:rPr>
            <w:rFonts w:ascii="Arial" w:eastAsia="Calibri" w:hAnsi="Arial" w:cs="Arial"/>
            <w:noProof w:val="0"/>
            <w:webHidden/>
          </w:rPr>
          <w:fldChar w:fldCharType="begin"/>
        </w:r>
        <w:r w:rsidR="00737872" w:rsidRPr="00C06848">
          <w:rPr>
            <w:rFonts w:ascii="Arial" w:eastAsia="Calibri" w:hAnsi="Arial" w:cs="Arial"/>
            <w:noProof w:val="0"/>
            <w:webHidden/>
          </w:rPr>
          <w:instrText xml:space="preserve"> PAGEREF _Toc442348060 \h </w:instrText>
        </w:r>
        <w:r w:rsidR="00737872" w:rsidRPr="00974C7D">
          <w:rPr>
            <w:rFonts w:ascii="Arial" w:eastAsia="Calibri" w:hAnsi="Arial" w:cs="Arial"/>
            <w:noProof w:val="0"/>
            <w:webHidden/>
          </w:rPr>
        </w:r>
        <w:r w:rsidR="00737872" w:rsidRPr="00974C7D">
          <w:rPr>
            <w:rFonts w:ascii="Arial" w:eastAsia="Calibri" w:hAnsi="Arial" w:cs="Arial"/>
            <w:noProof w:val="0"/>
            <w:webHidden/>
          </w:rPr>
          <w:fldChar w:fldCharType="separate"/>
        </w:r>
        <w:r w:rsidR="00737872" w:rsidRPr="00C06848">
          <w:rPr>
            <w:rFonts w:ascii="Arial" w:eastAsia="Calibri" w:hAnsi="Arial" w:cs="Arial"/>
            <w:webHidden/>
          </w:rPr>
          <w:t>12</w:t>
        </w:r>
        <w:r w:rsidR="00737872" w:rsidRPr="00974C7D">
          <w:rPr>
            <w:rFonts w:ascii="Arial" w:eastAsia="Calibri" w:hAnsi="Arial" w:cs="Arial"/>
            <w:noProof w:val="0"/>
            <w:webHidden/>
          </w:rPr>
          <w:fldChar w:fldCharType="end"/>
        </w:r>
      </w:hyperlink>
    </w:p>
    <w:p w14:paraId="35CE5044" w14:textId="70DE6FC3" w:rsidR="00737872" w:rsidRPr="00C06848" w:rsidRDefault="00737872" w:rsidP="00974C7D">
      <w:pPr>
        <w:pStyle w:val="TOC2"/>
        <w:spacing w:before="120" w:after="120" w:line="240" w:lineRule="auto"/>
        <w:ind w:left="0"/>
        <w:jc w:val="both"/>
        <w:rPr>
          <w:rFonts w:ascii="Arial" w:hAnsi="Arial" w:cs="Arial"/>
        </w:rPr>
      </w:pPr>
      <w:r w:rsidRPr="00974C7D">
        <w:rPr>
          <w:rFonts w:ascii="Arial" w:hAnsi="Arial" w:cs="Arial"/>
        </w:rPr>
        <w:fldChar w:fldCharType="begin"/>
      </w:r>
      <w:r w:rsidRPr="00C06848">
        <w:rPr>
          <w:rFonts w:ascii="Arial" w:hAnsi="Arial" w:cs="Arial"/>
        </w:rPr>
        <w:instrText xml:space="preserve"> TOC \o "1-3" \h \z \u </w:instrText>
      </w:r>
      <w:r w:rsidRPr="00974C7D">
        <w:rPr>
          <w:rFonts w:ascii="Arial" w:hAnsi="Arial" w:cs="Arial"/>
        </w:rPr>
        <w:fldChar w:fldCharType="end"/>
      </w:r>
    </w:p>
    <w:p w14:paraId="46E9FE98" w14:textId="77777777" w:rsidR="00737872" w:rsidRPr="00737B32" w:rsidRDefault="00737872" w:rsidP="00974C7D">
      <w:pPr>
        <w:spacing w:before="120" w:after="120" w:line="240" w:lineRule="auto"/>
        <w:jc w:val="both"/>
        <w:rPr>
          <w:rFonts w:ascii="Arial" w:hAnsi="Arial" w:cs="Arial"/>
          <w:b/>
          <w:bCs/>
          <w:color w:val="5B9BD5"/>
        </w:rPr>
      </w:pPr>
      <w:r w:rsidRPr="00F5416D">
        <w:rPr>
          <w:rFonts w:ascii="Arial" w:hAnsi="Arial" w:cs="Arial"/>
        </w:rPr>
        <w:br w:type="page"/>
      </w:r>
      <w:r w:rsidRPr="00F5416D">
        <w:rPr>
          <w:rFonts w:ascii="Arial" w:hAnsi="Arial" w:cs="Arial"/>
          <w:b/>
          <w:bCs/>
          <w:color w:val="5B9BD5"/>
        </w:rPr>
        <w:lastRenderedPageBreak/>
        <w:t>1. Техническо изпълнение на проектите</w:t>
      </w:r>
    </w:p>
    <w:p w14:paraId="5C810E31" w14:textId="14CA9E22" w:rsidR="00C06848" w:rsidRPr="00C06848" w:rsidRDefault="00C06848" w:rsidP="00974C7D">
      <w:pPr>
        <w:spacing w:before="120" w:after="120" w:line="240" w:lineRule="auto"/>
        <w:jc w:val="both"/>
        <w:rPr>
          <w:rFonts w:ascii="Arial" w:hAnsi="Arial" w:cs="Arial"/>
          <w:bCs/>
        </w:rPr>
      </w:pPr>
      <w:r w:rsidRPr="00AE7A10">
        <w:rPr>
          <w:rFonts w:ascii="Arial" w:hAnsi="Arial" w:cs="Arial"/>
          <w:bCs/>
        </w:rPr>
        <w:t>При изпълнението на проектното предложение (</w:t>
      </w:r>
      <w:r w:rsidRPr="00B42A43">
        <w:rPr>
          <w:rFonts w:ascii="Arial" w:hAnsi="Arial" w:cs="Arial"/>
          <w:bCs/>
        </w:rPr>
        <w:t>ПП)</w:t>
      </w:r>
      <w:r w:rsidRPr="00C06848">
        <w:rPr>
          <w:rFonts w:ascii="Arial" w:hAnsi="Arial" w:cs="Arial"/>
          <w:bCs/>
        </w:rPr>
        <w:t xml:space="preserve">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5E0A43F8" w14:textId="77777777" w:rsidR="00C06848" w:rsidRPr="00C06848" w:rsidRDefault="00C06848" w:rsidP="00974C7D">
      <w:pPr>
        <w:spacing w:before="120" w:after="120" w:line="240" w:lineRule="auto"/>
        <w:jc w:val="both"/>
        <w:rPr>
          <w:rFonts w:ascii="Arial" w:hAnsi="Arial" w:cs="Arial"/>
          <w:bCs/>
        </w:rPr>
      </w:pPr>
      <w:r w:rsidRPr="00C06848">
        <w:rPr>
          <w:rFonts w:ascii="Arial" w:hAnsi="Arial" w:cs="Arial"/>
          <w:bCs/>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4ADE5696" w14:textId="77777777" w:rsidR="00C06848" w:rsidRPr="00C06848" w:rsidRDefault="00C06848" w:rsidP="00974C7D">
      <w:pPr>
        <w:spacing w:before="120" w:after="120" w:line="240" w:lineRule="auto"/>
        <w:jc w:val="both"/>
        <w:rPr>
          <w:rFonts w:ascii="Arial" w:hAnsi="Arial" w:cs="Arial"/>
          <w:bCs/>
        </w:rPr>
      </w:pPr>
      <w:r w:rsidRPr="00C06848">
        <w:rPr>
          <w:rFonts w:ascii="Arial" w:hAnsi="Arial" w:cs="Arial"/>
          <w:bCs/>
        </w:rPr>
        <w:t>Съгласно чл. 33, параграф 1, букви а), б) и в) на Финансовия регламент:</w:t>
      </w:r>
    </w:p>
    <w:p w14:paraId="4EAC9BFF" w14:textId="77777777" w:rsidR="00C06848" w:rsidRPr="00C06848" w:rsidRDefault="00C06848" w:rsidP="00974C7D">
      <w:pPr>
        <w:spacing w:before="120" w:after="120" w:line="240" w:lineRule="auto"/>
        <w:ind w:firstLine="720"/>
        <w:jc w:val="both"/>
        <w:rPr>
          <w:rFonts w:ascii="Arial" w:hAnsi="Arial" w:cs="Arial"/>
          <w:bCs/>
        </w:rPr>
      </w:pPr>
      <w:r w:rsidRPr="00C06848">
        <w:rPr>
          <w:rFonts w:ascii="Arial" w:hAnsi="Arial" w:cs="Arial"/>
          <w:bCs/>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4EE967DE" w14:textId="77777777" w:rsidR="00C06848" w:rsidRPr="00C06848" w:rsidRDefault="00C06848" w:rsidP="00974C7D">
      <w:pPr>
        <w:spacing w:before="120" w:after="120" w:line="240" w:lineRule="auto"/>
        <w:ind w:firstLine="720"/>
        <w:jc w:val="both"/>
        <w:rPr>
          <w:rFonts w:ascii="Arial" w:hAnsi="Arial" w:cs="Arial"/>
          <w:bCs/>
        </w:rPr>
      </w:pPr>
      <w:r w:rsidRPr="00C06848">
        <w:rPr>
          <w:rFonts w:ascii="Arial" w:hAnsi="Arial" w:cs="Arial"/>
          <w:bCs/>
        </w:rPr>
        <w:t>б) ефикасността се отнася до най-доброто съотношение между използваните ресурси, предприетите дейности и постигането на целите;</w:t>
      </w:r>
    </w:p>
    <w:p w14:paraId="5B1EF0D4" w14:textId="722E21BA" w:rsidR="00214AB7" w:rsidRPr="00C06848" w:rsidRDefault="00C06848" w:rsidP="00E96631">
      <w:pPr>
        <w:spacing w:before="120" w:after="120" w:line="240" w:lineRule="auto"/>
        <w:ind w:firstLine="720"/>
        <w:jc w:val="both"/>
        <w:rPr>
          <w:rFonts w:ascii="Arial" w:hAnsi="Arial" w:cs="Arial"/>
          <w:bCs/>
        </w:rPr>
      </w:pPr>
      <w:r w:rsidRPr="00C06848">
        <w:rPr>
          <w:rFonts w:ascii="Arial" w:hAnsi="Arial" w:cs="Arial"/>
          <w:bCs/>
        </w:rPr>
        <w:t xml:space="preserve">в) </w:t>
      </w:r>
      <w:r w:rsidR="00E96631" w:rsidRPr="00E96631">
        <w:rPr>
          <w:rFonts w:ascii="Arial" w:hAnsi="Arial" w:cs="Arial"/>
          <w:bCs/>
        </w:rPr>
        <w:t>принципа на ефективност е свързан със степента, в която се постигат поставенит</w:t>
      </w:r>
      <w:r w:rsidR="00E96631">
        <w:rPr>
          <w:rFonts w:ascii="Arial" w:hAnsi="Arial" w:cs="Arial"/>
          <w:bCs/>
        </w:rPr>
        <w:t xml:space="preserve">е цели посредством предприетите </w:t>
      </w:r>
      <w:r w:rsidR="00E96631" w:rsidRPr="00E96631">
        <w:rPr>
          <w:rFonts w:ascii="Arial" w:hAnsi="Arial" w:cs="Arial"/>
          <w:bCs/>
        </w:rPr>
        <w:t>дейности.</w:t>
      </w:r>
    </w:p>
    <w:p w14:paraId="19D8E869"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процеса на изпълнение на одобрените проекти бенефициерите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p>
    <w:p w14:paraId="3158B9CB" w14:textId="1E84CB17" w:rsidR="00737872" w:rsidRPr="00F5416D" w:rsidRDefault="00737872" w:rsidP="00974C7D">
      <w:pPr>
        <w:spacing w:before="120" w:after="120" w:line="240" w:lineRule="auto"/>
        <w:jc w:val="both"/>
        <w:rPr>
          <w:rFonts w:ascii="Arial" w:hAnsi="Arial" w:cs="Arial"/>
          <w:bCs/>
        </w:rPr>
      </w:pPr>
      <w:r w:rsidRPr="00C06848">
        <w:rPr>
          <w:rFonts w:ascii="Arial" w:hAnsi="Arial" w:cs="Arial"/>
          <w:sz w:val="24"/>
          <w:szCs w:val="24"/>
          <w:lang w:val="en-US"/>
        </w:rPr>
        <w:drawing>
          <wp:inline distT="0" distB="0" distL="0" distR="0" wp14:anchorId="72D49DF2" wp14:editId="16F05F4D">
            <wp:extent cx="668020" cy="3517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C06848">
        <w:rPr>
          <w:rFonts w:ascii="Arial" w:hAnsi="Arial" w:cs="Arial"/>
          <w:bCs/>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33DC7CAF" w14:textId="77777777" w:rsidR="00737872" w:rsidRPr="00AE7A10" w:rsidRDefault="00737872" w:rsidP="00974C7D">
      <w:pPr>
        <w:spacing w:before="120" w:after="120" w:line="240" w:lineRule="auto"/>
        <w:ind w:firstLine="720"/>
        <w:jc w:val="both"/>
        <w:rPr>
          <w:rFonts w:ascii="Arial" w:hAnsi="Arial" w:cs="Arial"/>
        </w:rPr>
      </w:pPr>
      <w:r w:rsidRPr="00F5416D">
        <w:rPr>
          <w:rFonts w:ascii="Arial" w:hAnsi="Arial" w:cs="Arial"/>
        </w:rPr>
        <w:t>В срок до 20 работни дни о</w:t>
      </w:r>
      <w:r w:rsidRPr="00737B32">
        <w:rPr>
          <w:rFonts w:ascii="Arial" w:hAnsi="Arial" w:cs="Arial"/>
        </w:rPr>
        <w:t>т датата на получаването на документацията по проведения избор, УО на ПМДР извършва последващия контрол за законосъобразност.</w:t>
      </w:r>
    </w:p>
    <w:p w14:paraId="2CA81A8B" w14:textId="5FACA72D" w:rsidR="00737872" w:rsidRPr="00C06848" w:rsidRDefault="00737872" w:rsidP="00974C7D">
      <w:pPr>
        <w:spacing w:before="120" w:after="120" w:line="240" w:lineRule="auto"/>
        <w:jc w:val="both"/>
        <w:rPr>
          <w:rFonts w:ascii="Arial" w:hAnsi="Arial" w:cs="Arial"/>
        </w:rPr>
      </w:pPr>
      <w:r w:rsidRPr="00C06848">
        <w:rPr>
          <w:rFonts w:ascii="Arial" w:hAnsi="Arial" w:cs="Arial"/>
          <w:bCs/>
          <w:lang w:val="en-US"/>
        </w:rPr>
        <w:drawing>
          <wp:inline distT="0" distB="0" distL="0" distR="0" wp14:anchorId="61BC434D" wp14:editId="44A3EC4A">
            <wp:extent cx="668020" cy="3517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C06848">
        <w:rPr>
          <w:rFonts w:ascii="Arial" w:hAnsi="Arial" w:cs="Arial"/>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480F1F96" w14:textId="77777777" w:rsidR="00737872" w:rsidRPr="00F5416D" w:rsidRDefault="00737872" w:rsidP="00974C7D">
      <w:pPr>
        <w:spacing w:before="120" w:after="120" w:line="240" w:lineRule="auto"/>
        <w:jc w:val="both"/>
        <w:rPr>
          <w:rFonts w:ascii="Arial" w:hAnsi="Arial" w:cs="Arial"/>
        </w:rPr>
      </w:pPr>
      <w:r w:rsidRPr="00C06848">
        <w:rPr>
          <w:rFonts w:ascii="Arial" w:hAnsi="Arial" w:cs="Arial"/>
        </w:rPr>
        <w:t>Бенефициерът трябва да представи чрез ИСУН 2020 мотивирано искане до УО на ПМДР за сключване на допълнително споразумение към АДБФП</w:t>
      </w:r>
      <w:r w:rsidRPr="00F5416D">
        <w:rPr>
          <w:rFonts w:ascii="Arial" w:hAnsi="Arial" w:cs="Arial"/>
        </w:rPr>
        <w:t xml:space="preserve"> във връзка с избор на изпълнители.</w:t>
      </w:r>
    </w:p>
    <w:p w14:paraId="32E9CE7C" w14:textId="77777777" w:rsidR="00C06848" w:rsidRDefault="00C06848" w:rsidP="00974C7D">
      <w:pPr>
        <w:spacing w:before="120" w:after="120" w:line="240" w:lineRule="auto"/>
        <w:jc w:val="both"/>
        <w:rPr>
          <w:rFonts w:ascii="Arial" w:hAnsi="Arial" w:cs="Arial"/>
          <w:b/>
          <w:bCs/>
        </w:rPr>
      </w:pPr>
    </w:p>
    <w:p w14:paraId="073B963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
          <w:bCs/>
        </w:rPr>
        <w:t>1.1. Процедури за избор на изпълнител.</w:t>
      </w:r>
    </w:p>
    <w:p w14:paraId="13FE4B7E" w14:textId="77777777" w:rsidR="00737872" w:rsidRPr="00F5416D" w:rsidRDefault="00737872" w:rsidP="00974C7D">
      <w:pPr>
        <w:spacing w:before="120" w:after="120" w:line="240" w:lineRule="auto"/>
        <w:jc w:val="both"/>
        <w:rPr>
          <w:rFonts w:ascii="Arial" w:hAnsi="Arial" w:cs="Arial"/>
          <w:bCs/>
        </w:rPr>
      </w:pPr>
      <w:r w:rsidRPr="00C06848">
        <w:rPr>
          <w:rFonts w:ascii="Arial" w:hAnsi="Arial" w:cs="Arial"/>
          <w:bCs/>
        </w:rPr>
        <w:t>Бенефициер</w:t>
      </w:r>
      <w:r w:rsidRPr="00F5416D">
        <w:rPr>
          <w:rFonts w:ascii="Arial" w:hAnsi="Arial" w:cs="Arial"/>
          <w:bCs/>
        </w:rPr>
        <w:t>ите могат да извършат процедури за избор на изпълнител по следния ред:</w:t>
      </w:r>
    </w:p>
    <w:p w14:paraId="1DA2EB41" w14:textId="77777777" w:rsidR="00737872" w:rsidRPr="00AE7A10" w:rsidRDefault="00737872" w:rsidP="00974C7D">
      <w:pPr>
        <w:spacing w:before="120" w:after="120" w:line="240" w:lineRule="auto"/>
        <w:jc w:val="both"/>
        <w:rPr>
          <w:rFonts w:ascii="Arial" w:hAnsi="Arial" w:cs="Arial"/>
          <w:b/>
          <w:bCs/>
          <w:u w:val="single"/>
        </w:rPr>
      </w:pPr>
      <w:r w:rsidRPr="00737B32">
        <w:rPr>
          <w:rFonts w:ascii="Arial" w:hAnsi="Arial" w:cs="Arial"/>
          <w:b/>
          <w:bCs/>
          <w:u w:val="single"/>
        </w:rPr>
        <w:t>А. Избор на изпълнител по реда на Закона за обществените поръчки:</w:t>
      </w:r>
    </w:p>
    <w:p w14:paraId="0E27E539" w14:textId="77777777" w:rsidR="00737872" w:rsidRPr="00C06848" w:rsidRDefault="00737872" w:rsidP="00974C7D">
      <w:pPr>
        <w:spacing w:before="120" w:after="120" w:line="240" w:lineRule="auto"/>
        <w:jc w:val="both"/>
        <w:rPr>
          <w:rFonts w:ascii="Arial" w:hAnsi="Arial" w:cs="Arial"/>
          <w:b/>
          <w:bCs/>
        </w:rPr>
      </w:pPr>
      <w:r w:rsidRPr="00AE7A10">
        <w:rPr>
          <w:rFonts w:ascii="Arial" w:hAnsi="Arial" w:cs="Arial"/>
          <w:bCs/>
        </w:rPr>
        <w:t xml:space="preserve">Бенефициерите-възложители,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w:t>
      </w:r>
      <w:r w:rsidRPr="00AE7A10">
        <w:rPr>
          <w:rFonts w:ascii="Arial" w:hAnsi="Arial" w:cs="Arial"/>
          <w:bCs/>
        </w:rPr>
        <w:lastRenderedPageBreak/>
        <w:t>на изпълнител/и за разходи допустими</w:t>
      </w:r>
      <w:r w:rsidRPr="00C06848">
        <w:rPr>
          <w:rFonts w:ascii="Arial" w:hAnsi="Arial" w:cs="Arial"/>
          <w:bCs/>
        </w:rPr>
        <w:t xml:space="preserve"> за финансиране, извършени от кандидата преди подаването на формуляра за кандидатстване по програмата, но не по-рано от 01.01.2014 г., съгласно раздел 14 от Условията за кандидатстване.</w:t>
      </w:r>
    </w:p>
    <w:p w14:paraId="2B916F8F" w14:textId="4CA5EF9C" w:rsidR="00737872" w:rsidRPr="00C06848" w:rsidRDefault="00737872" w:rsidP="00974C7D">
      <w:pPr>
        <w:spacing w:before="120" w:after="120" w:line="240" w:lineRule="auto"/>
        <w:jc w:val="both"/>
        <w:rPr>
          <w:rFonts w:ascii="Arial" w:hAnsi="Arial" w:cs="Arial"/>
          <w:b/>
          <w:bCs/>
        </w:rPr>
      </w:pPr>
      <w:r w:rsidRPr="00C06848">
        <w:rPr>
          <w:rFonts w:ascii="Arial" w:hAnsi="Arial" w:cs="Arial"/>
          <w:bCs/>
        </w:rPr>
        <w:t xml:space="preserve">УО </w:t>
      </w:r>
      <w:r w:rsidR="00C06848">
        <w:rPr>
          <w:rFonts w:ascii="Arial" w:hAnsi="Arial" w:cs="Arial"/>
          <w:bCs/>
        </w:rPr>
        <w:t xml:space="preserve">на ПМДР </w:t>
      </w:r>
      <w:r w:rsidRPr="00C06848">
        <w:rPr>
          <w:rFonts w:ascii="Arial" w:hAnsi="Arial" w:cs="Arial"/>
          <w:bCs/>
        </w:rPr>
        <w:t>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05718F1A" w14:textId="77777777" w:rsidR="00737872" w:rsidRPr="00AE7A10" w:rsidRDefault="00737872" w:rsidP="00974C7D">
      <w:pPr>
        <w:spacing w:before="120" w:after="120" w:line="240" w:lineRule="auto"/>
        <w:jc w:val="both"/>
        <w:rPr>
          <w:rFonts w:ascii="Arial" w:hAnsi="Arial" w:cs="Arial"/>
          <w:bCs/>
        </w:rPr>
      </w:pPr>
      <w:r w:rsidRPr="00F5416D">
        <w:rPr>
          <w:rFonts w:ascii="Arial" w:hAnsi="Arial" w:cs="Arial"/>
          <w:bCs/>
        </w:rPr>
        <w:t>За целта, в срок до 5 работни дни от сключване на договор с избрания изпълнител бенефициер</w:t>
      </w:r>
      <w:r w:rsidRPr="00737B32">
        <w:rPr>
          <w:rFonts w:ascii="Arial" w:hAnsi="Arial" w:cs="Arial"/>
          <w:bCs/>
        </w:rPr>
        <w:t>ите са длъжни да уведомят писмено УО на ПМДР за подписания</w:t>
      </w:r>
      <w:r w:rsidRPr="00AE7A10">
        <w:rPr>
          <w:rFonts w:ascii="Arial" w:hAnsi="Arial" w:cs="Arial"/>
          <w:bCs/>
        </w:rPr>
        <w:t xml:space="preserve"> договор, чрез въвеждането му в ИСУН 2020. </w:t>
      </w:r>
    </w:p>
    <w:p w14:paraId="708B9D3A"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Цялата документация, свързана с провеждането на обществената поръчка, следва да бъде представена от бенефициера на УО на ПМДР чрез ИСУН 2020,</w:t>
      </w:r>
      <w:r w:rsidRPr="00C06848">
        <w:rPr>
          <w:rFonts w:ascii="Arial" w:hAnsi="Arial" w:cs="Arial"/>
          <w:b/>
          <w:bCs/>
        </w:rPr>
        <w:t xml:space="preserve"> </w:t>
      </w:r>
      <w:r w:rsidRPr="00C06848">
        <w:rPr>
          <w:rFonts w:ascii="Arial" w:hAnsi="Arial" w:cs="Arial"/>
          <w:bCs/>
        </w:rPr>
        <w:t>като задължително го уведомява за това чрез модул „Комуникация “</w:t>
      </w:r>
    </w:p>
    <w:p w14:paraId="371BB088"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случай на необходимост, УО на ПМДР изисква от бенефициера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3C5031FD" w14:textId="511F10B0" w:rsidR="00737872" w:rsidRPr="00C06848" w:rsidRDefault="007D42E3" w:rsidP="00974C7D">
      <w:pPr>
        <w:spacing w:before="120" w:after="120" w:line="240" w:lineRule="auto"/>
        <w:jc w:val="both"/>
        <w:rPr>
          <w:rFonts w:ascii="Arial" w:hAnsi="Arial" w:cs="Arial"/>
          <w:bCs/>
        </w:rPr>
      </w:pPr>
      <w:r w:rsidRPr="00C06848">
        <w:rPr>
          <w:rFonts w:ascii="Arial" w:hAnsi="Arial" w:cs="Arial"/>
          <w:bCs/>
        </w:rPr>
        <w:t>Когато Б</w:t>
      </w:r>
      <w:r w:rsidR="00737872" w:rsidRPr="00C06848">
        <w:rPr>
          <w:rFonts w:ascii="Arial" w:hAnsi="Arial" w:cs="Arial"/>
          <w:bCs/>
        </w:rPr>
        <w:t>енефициерът не е представил изисканите допълнителни документи/информация и разяснения в посочения по-горе срок, УО на ПМДР ще предостави по</w:t>
      </w:r>
      <w:r w:rsidRPr="00C06848">
        <w:rPr>
          <w:rFonts w:ascii="Arial" w:hAnsi="Arial" w:cs="Arial"/>
          <w:bCs/>
        </w:rPr>
        <w:t>вторна възможност на Б</w:t>
      </w:r>
      <w:r w:rsidR="00737872" w:rsidRPr="00C06848">
        <w:rPr>
          <w:rFonts w:ascii="Arial" w:hAnsi="Arial" w:cs="Arial"/>
          <w:bCs/>
        </w:rPr>
        <w:t>енефициера за предоставяне на същата в срок</w:t>
      </w:r>
      <w:r w:rsidRPr="00C06848">
        <w:rPr>
          <w:rFonts w:ascii="Arial" w:hAnsi="Arial" w:cs="Arial"/>
          <w:bCs/>
        </w:rPr>
        <w:t xml:space="preserve"> от 5 работни дни. В случай че Б</w:t>
      </w:r>
      <w:r w:rsidR="00737872" w:rsidRPr="00C06848">
        <w:rPr>
          <w:rFonts w:ascii="Arial" w:hAnsi="Arial" w:cs="Arial"/>
          <w:bCs/>
        </w:rPr>
        <w:t>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6B9A95EB"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случай на установяване на нередности</w:t>
      </w:r>
      <w:r w:rsidRPr="00C06848">
        <w:rPr>
          <w:rFonts w:ascii="Arial" w:hAnsi="Arial" w:cs="Arial"/>
        </w:rPr>
        <w:t xml:space="preserve"> </w:t>
      </w:r>
      <w:r w:rsidRPr="00C06848">
        <w:rPr>
          <w:rFonts w:ascii="Arial" w:hAnsi="Arial" w:cs="Arial"/>
          <w:bCs/>
        </w:rPr>
        <w:t>по смисъла на чл. 2, т. 36 и 38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в проведената процедура, УО на ПМДР налага финансова корекция по реда на чл.70 и следващите от Закона за управление на средствата от Европейските структурни и инвестиционни фондове (ЗУСЕСИФ).</w:t>
      </w:r>
    </w:p>
    <w:p w14:paraId="24763E80" w14:textId="3B1A3C4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Правата и задълженията</w:t>
      </w:r>
      <w:r w:rsidR="007D42E3" w:rsidRPr="00C06848">
        <w:rPr>
          <w:rFonts w:ascii="Arial" w:hAnsi="Arial" w:cs="Arial"/>
          <w:bCs/>
        </w:rPr>
        <w:t>, които възникват за Б</w:t>
      </w:r>
      <w:r w:rsidRPr="00C06848">
        <w:rPr>
          <w:rFonts w:ascii="Arial" w:hAnsi="Arial" w:cs="Arial"/>
          <w:bCs/>
        </w:rPr>
        <w:t xml:space="preserve">енефициера,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00CC7FEF">
        <w:rPr>
          <w:rFonts w:ascii="Arial" w:hAnsi="Arial" w:cs="Arial"/>
          <w:bCs/>
        </w:rPr>
        <w:t>14</w:t>
      </w:r>
      <w:r w:rsidRPr="00AE7A10">
        <w:rPr>
          <w:rFonts w:ascii="Arial" w:hAnsi="Arial" w:cs="Arial"/>
          <w:bCs/>
        </w:rPr>
        <w:t xml:space="preserve">) и Общите условия към финансираните по процедурата договори за безвъзмездна финансова помощ (Приложение № </w:t>
      </w:r>
      <w:r w:rsidR="00183EAB">
        <w:rPr>
          <w:rFonts w:ascii="Arial" w:hAnsi="Arial" w:cs="Arial"/>
          <w:bCs/>
        </w:rPr>
        <w:t>15</w:t>
      </w:r>
      <w:r w:rsidRPr="00AE7A10">
        <w:rPr>
          <w:rFonts w:ascii="Arial" w:hAnsi="Arial" w:cs="Arial"/>
          <w:bCs/>
        </w:rPr>
        <w:t>).</w:t>
      </w:r>
    </w:p>
    <w:p w14:paraId="67487E27"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631C8D3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
          <w:bCs/>
          <w:u w:val="single"/>
        </w:rPr>
        <w:lastRenderedPageBreak/>
        <w:t>Б. „Процедура за избор с публична покана</w:t>
      </w:r>
      <w:r w:rsidRPr="007B7BB7">
        <w:rPr>
          <w:rFonts w:ascii="Arial" w:hAnsi="Arial" w:cs="Arial"/>
          <w:b/>
          <w:bCs/>
          <w:u w:val="single"/>
        </w:rPr>
        <w:t>“ пo реда на Постановление № 160</w:t>
      </w:r>
      <w:r w:rsidRPr="00C06848">
        <w:rPr>
          <w:rFonts w:ascii="Arial" w:hAnsi="Arial" w:cs="Arial"/>
          <w:bCs/>
        </w:rPr>
        <w:t xml:space="preserve">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(ПМС160/2016 г.).</w:t>
      </w:r>
    </w:p>
    <w:p w14:paraId="596231CC" w14:textId="2010D8EA" w:rsidR="00737872" w:rsidRPr="00C06848" w:rsidRDefault="007D42E3" w:rsidP="00974C7D">
      <w:pPr>
        <w:spacing w:before="120" w:after="120" w:line="240" w:lineRule="auto"/>
        <w:jc w:val="both"/>
        <w:rPr>
          <w:rFonts w:ascii="Arial" w:hAnsi="Arial" w:cs="Arial"/>
          <w:bCs/>
        </w:rPr>
      </w:pPr>
      <w:r w:rsidRPr="00C06848">
        <w:rPr>
          <w:rFonts w:ascii="Arial" w:hAnsi="Arial" w:cs="Arial"/>
          <w:bCs/>
        </w:rPr>
        <w:t>Когато Б</w:t>
      </w:r>
      <w:r w:rsidR="00737872" w:rsidRPr="00C06848">
        <w:rPr>
          <w:rFonts w:ascii="Arial" w:hAnsi="Arial" w:cs="Arial"/>
          <w:bCs/>
        </w:rPr>
        <w:t>енефициерът не е възложител по смисъла на ЗОП, при избор на изпълнител/и същият задължително прилага разпоредбите на Глава четвърта от ЗУСЕСИФ и ПМС № 160/2016 г., както и указанията, заложени в настоящите Условия за изпълнение.</w:t>
      </w:r>
    </w:p>
    <w:p w14:paraId="271D4F81" w14:textId="1F972902" w:rsidR="00737872" w:rsidRPr="00C06848" w:rsidRDefault="00737872" w:rsidP="00974C7D">
      <w:pPr>
        <w:spacing w:before="120" w:after="120" w:line="240" w:lineRule="auto"/>
        <w:jc w:val="both"/>
        <w:rPr>
          <w:rFonts w:ascii="Arial" w:hAnsi="Arial" w:cs="Arial"/>
          <w:bCs/>
        </w:rPr>
      </w:pPr>
      <w:r w:rsidRPr="00C06848">
        <w:rPr>
          <w:rFonts w:ascii="Arial" w:hAnsi="Arial" w:cs="Arial"/>
          <w:b/>
          <w:lang w:val="en-US"/>
        </w:rPr>
        <w:drawing>
          <wp:inline distT="0" distB="0" distL="0" distR="0" wp14:anchorId="0E6EBA84" wp14:editId="17F15002">
            <wp:extent cx="590153" cy="271154"/>
            <wp:effectExtent l="57150" t="0" r="38735" b="1098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9915" cy="271145"/>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При провеждане на процедури за избор на изпълнител , кандидатите следва да прилагат Указание на УО на ПМДР за прилагане на</w:t>
      </w:r>
      <w:r w:rsidRPr="00C06848">
        <w:rPr>
          <w:rFonts w:ascii="Arial" w:hAnsi="Arial" w:cs="Arial"/>
          <w:b/>
          <w:bCs/>
        </w:rPr>
        <w:t xml:space="preserve"> </w:t>
      </w:r>
      <w:r w:rsidRPr="00C06848">
        <w:rPr>
          <w:rFonts w:ascii="Arial" w:hAnsi="Arial" w:cs="Arial"/>
          <w:bCs/>
        </w:rPr>
        <w:t xml:space="preserve">ПМС № 160/2016 г., одобрено с докладна записка с № 93-3936 от 30.07.2020 г. Същото може да бъде намерено на следния интернет адрес: </w:t>
      </w:r>
      <w:hyperlink r:id="rId11" w:history="1">
        <w:r w:rsidRPr="00C06848">
          <w:rPr>
            <w:rFonts w:ascii="Arial" w:hAnsi="Arial" w:cs="Arial"/>
            <w:bCs/>
            <w:i/>
            <w:color w:val="0563C1"/>
            <w:u w:val="single"/>
          </w:rPr>
          <w:t>https://www.eufunds.bg/bg/pmdr/node/5313</w:t>
        </w:r>
      </w:hyperlink>
      <w:r w:rsidRPr="00C06848">
        <w:rPr>
          <w:rFonts w:ascii="Arial" w:hAnsi="Arial" w:cs="Arial"/>
          <w:bCs/>
          <w:i/>
          <w:lang w:val="en-US"/>
        </w:rPr>
        <w:t>.</w:t>
      </w:r>
    </w:p>
    <w:p w14:paraId="2A7FCD06" w14:textId="4A579C3E" w:rsidR="00737872" w:rsidRPr="00F5416D" w:rsidRDefault="00737872" w:rsidP="00974C7D">
      <w:pPr>
        <w:spacing w:before="120" w:after="120" w:line="240" w:lineRule="auto"/>
        <w:jc w:val="both"/>
        <w:rPr>
          <w:rFonts w:ascii="Arial" w:hAnsi="Arial" w:cs="Arial"/>
          <w:bCs/>
        </w:rPr>
      </w:pPr>
      <w:r w:rsidRPr="00C06848">
        <w:rPr>
          <w:rFonts w:ascii="Arial" w:hAnsi="Arial" w:cs="Arial"/>
          <w:bCs/>
        </w:rPr>
        <w:t xml:space="preserve">Съгласно чл. 50, ал. 2 и 3 от ЗУСЕСИФ бенефициерът провежда процедура за избор с публична покана, когато размерът на предоставената безвъзмездна </w:t>
      </w:r>
      <w:r w:rsidRPr="00F5416D">
        <w:rPr>
          <w:rFonts w:ascii="Arial" w:hAnsi="Arial" w:cs="Arial"/>
          <w:bCs/>
        </w:rPr>
        <w:t xml:space="preserve">финансова помощ е по-голям, равен или по-малък от 50 на сто от </w:t>
      </w:r>
      <w:r w:rsidR="00CC7FEF">
        <w:rPr>
          <w:rFonts w:ascii="Arial" w:hAnsi="Arial" w:cs="Arial"/>
          <w:bCs/>
        </w:rPr>
        <w:t>общата сума на одобрения проект</w:t>
      </w:r>
      <w:r w:rsidRPr="00F5416D">
        <w:rPr>
          <w:rFonts w:ascii="Arial" w:hAnsi="Arial" w:cs="Arial"/>
          <w:bCs/>
        </w:rPr>
        <w:t xml:space="preserve"> </w:t>
      </w:r>
      <w:r w:rsidR="00AF0685">
        <w:rPr>
          <w:rFonts w:ascii="Arial" w:hAnsi="Arial" w:cs="Arial"/>
          <w:bCs/>
        </w:rPr>
        <w:t xml:space="preserve">и </w:t>
      </w:r>
      <w:r w:rsidR="009F11B2">
        <w:rPr>
          <w:rFonts w:ascii="Arial" w:hAnsi="Arial" w:cs="Arial"/>
          <w:bCs/>
        </w:rPr>
        <w:t xml:space="preserve">прогнозната </w:t>
      </w:r>
      <w:r w:rsidRPr="00F5416D">
        <w:rPr>
          <w:rFonts w:ascii="Arial" w:hAnsi="Arial" w:cs="Arial"/>
          <w:bCs/>
        </w:rPr>
        <w:t>стойност за:</w:t>
      </w:r>
    </w:p>
    <w:p w14:paraId="03E92BC3" w14:textId="658D0313" w:rsidR="00737872" w:rsidRPr="00F5416D" w:rsidRDefault="00F5416D" w:rsidP="00974C7D">
      <w:pPr>
        <w:spacing w:before="120" w:after="120" w:line="240" w:lineRule="auto"/>
        <w:ind w:firstLine="900"/>
        <w:jc w:val="both"/>
        <w:rPr>
          <w:rFonts w:ascii="Arial" w:hAnsi="Arial" w:cs="Arial"/>
          <w:bCs/>
        </w:rPr>
      </w:pPr>
      <w:r>
        <w:rPr>
          <w:rFonts w:ascii="Arial" w:hAnsi="Arial" w:cs="Arial"/>
          <w:bCs/>
        </w:rPr>
        <w:t xml:space="preserve">- </w:t>
      </w:r>
      <w:r w:rsidR="00737872" w:rsidRPr="00F5416D">
        <w:rPr>
          <w:rFonts w:ascii="Arial" w:hAnsi="Arial" w:cs="Arial"/>
          <w:bCs/>
        </w:rPr>
        <w:t>строителство, в т. ч. съфинанс</w:t>
      </w:r>
      <w:r w:rsidR="002A7660" w:rsidRPr="00F5416D">
        <w:rPr>
          <w:rFonts w:ascii="Arial" w:hAnsi="Arial" w:cs="Arial"/>
          <w:bCs/>
        </w:rPr>
        <w:t>ирането от страна на бенефициер</w:t>
      </w:r>
      <w:r w:rsidR="00737872" w:rsidRPr="00F5416D">
        <w:rPr>
          <w:rFonts w:ascii="Arial" w:hAnsi="Arial" w:cs="Arial"/>
          <w:bCs/>
        </w:rPr>
        <w:t>а, без данък върху добавената стойност, е равна или по-висока от 50 000 лв.;</w:t>
      </w:r>
    </w:p>
    <w:p w14:paraId="23407D62" w14:textId="5A53B761" w:rsidR="00737872" w:rsidRPr="00F5416D" w:rsidRDefault="00F5416D" w:rsidP="00974C7D">
      <w:pPr>
        <w:spacing w:before="120" w:after="120" w:line="240" w:lineRule="auto"/>
        <w:ind w:firstLine="900"/>
        <w:jc w:val="both"/>
        <w:rPr>
          <w:rFonts w:ascii="Arial" w:hAnsi="Arial" w:cs="Arial"/>
          <w:bCs/>
        </w:rPr>
      </w:pPr>
      <w:r>
        <w:rPr>
          <w:rFonts w:ascii="Arial" w:hAnsi="Arial" w:cs="Arial"/>
          <w:bCs/>
        </w:rPr>
        <w:t xml:space="preserve">- </w:t>
      </w:r>
      <w:r w:rsidR="00737872" w:rsidRPr="00F5416D">
        <w:rPr>
          <w:rFonts w:ascii="Arial" w:hAnsi="Arial" w:cs="Arial"/>
          <w:bCs/>
        </w:rPr>
        <w:t>доставки или услуги, в т. ч. съфинанс</w:t>
      </w:r>
      <w:r w:rsidR="002A7660" w:rsidRPr="00F5416D">
        <w:rPr>
          <w:rFonts w:ascii="Arial" w:hAnsi="Arial" w:cs="Arial"/>
          <w:bCs/>
        </w:rPr>
        <w:t>ирането от страна на бенефициер</w:t>
      </w:r>
      <w:r w:rsidR="00737872" w:rsidRPr="00F5416D">
        <w:rPr>
          <w:rFonts w:ascii="Arial" w:hAnsi="Arial" w:cs="Arial"/>
          <w:bCs/>
        </w:rPr>
        <w:t>а, без данък върху добавената стойност, е равна или по-висока от 30 000 лв.</w:t>
      </w:r>
    </w:p>
    <w:p w14:paraId="7C16CC26" w14:textId="349851C5" w:rsidR="00737872" w:rsidRPr="00AE7A10" w:rsidRDefault="00737872" w:rsidP="00974C7D">
      <w:pPr>
        <w:spacing w:before="120" w:after="120" w:line="240" w:lineRule="auto"/>
        <w:jc w:val="both"/>
        <w:rPr>
          <w:rFonts w:ascii="Arial" w:hAnsi="Arial" w:cs="Arial"/>
          <w:bCs/>
        </w:rPr>
      </w:pPr>
      <w:r w:rsidRPr="00F5416D">
        <w:rPr>
          <w:rFonts w:ascii="Arial" w:hAnsi="Arial" w:cs="Arial"/>
          <w:bCs/>
        </w:rPr>
        <w:t>Публичната покана следва да съдържа информацията, посочена в чл. 51 от ЗУСЕСИФ, както и следн</w:t>
      </w:r>
      <w:r w:rsidRPr="00737B32">
        <w:rPr>
          <w:rFonts w:ascii="Arial" w:hAnsi="Arial" w:cs="Arial"/>
          <w:bCs/>
        </w:rPr>
        <w:t>ите изискван</w:t>
      </w:r>
      <w:r w:rsidR="009F11B2">
        <w:rPr>
          <w:rFonts w:ascii="Arial" w:hAnsi="Arial" w:cs="Arial"/>
          <w:bCs/>
        </w:rPr>
        <w:t>ия към кандидатите-</w:t>
      </w:r>
      <w:r w:rsidRPr="00AE7A10">
        <w:rPr>
          <w:rFonts w:ascii="Arial" w:hAnsi="Arial" w:cs="Arial"/>
          <w:bCs/>
        </w:rPr>
        <w:t>изпълнители:</w:t>
      </w:r>
    </w:p>
    <w:p w14:paraId="11A2CCD0" w14:textId="1816EA24"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Кандидатите, за изпълнители на дейностите, посочени в публичната покана, следва да отговарят на следните две кумулативни условия</w:t>
      </w:r>
      <w:r w:rsidR="000448AE">
        <w:rPr>
          <w:rFonts w:ascii="Arial" w:hAnsi="Arial" w:cs="Arial"/>
          <w:bCs/>
        </w:rPr>
        <w:t>:</w:t>
      </w:r>
    </w:p>
    <w:p w14:paraId="2D97F68B" w14:textId="77777777" w:rsidR="00737872" w:rsidRPr="00C06848" w:rsidRDefault="00737872" w:rsidP="00974C7D">
      <w:pPr>
        <w:spacing w:before="120" w:after="120" w:line="240" w:lineRule="auto"/>
        <w:ind w:firstLine="900"/>
        <w:jc w:val="both"/>
        <w:rPr>
          <w:rFonts w:ascii="Arial" w:hAnsi="Arial" w:cs="Arial"/>
          <w:bCs/>
        </w:rPr>
      </w:pPr>
      <w:r w:rsidRPr="00C06848">
        <w:rPr>
          <w:rFonts w:ascii="Arial" w:hAnsi="Arial" w:cs="Arial"/>
          <w:bCs/>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39DA0811" w14:textId="77777777" w:rsidR="00737872" w:rsidRPr="00C06848" w:rsidRDefault="00737872" w:rsidP="00974C7D">
      <w:pPr>
        <w:spacing w:before="120" w:after="120" w:line="240" w:lineRule="auto"/>
        <w:ind w:firstLine="900"/>
        <w:jc w:val="both"/>
        <w:rPr>
          <w:rFonts w:ascii="Arial" w:hAnsi="Arial" w:cs="Arial"/>
          <w:bCs/>
        </w:rPr>
      </w:pPr>
      <w:r w:rsidRPr="00C06848">
        <w:rPr>
          <w:rFonts w:ascii="Arial" w:hAnsi="Arial" w:cs="Arial"/>
          <w:bCs/>
        </w:rPr>
        <w:t>-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7C743848"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Тези изисквания са кумулативни и кандидатите за изпълнители, трябва да отговарят задължително на тях.</w:t>
      </w:r>
    </w:p>
    <w:p w14:paraId="11A026A2" w14:textId="2EA10D61"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w:t>
      </w:r>
      <w:r w:rsidR="009809B4">
        <w:rPr>
          <w:rFonts w:ascii="Arial" w:hAnsi="Arial" w:cs="Arial"/>
          <w:bCs/>
        </w:rPr>
        <w:t>но</w:t>
      </w:r>
      <w:r w:rsidR="009809B4" w:rsidRPr="009809B4">
        <w:rPr>
          <w:rFonts w:ascii="Arial" w:hAnsi="Arial" w:cs="Arial"/>
          <w:bCs/>
        </w:rPr>
        <w:t xml:space="preserve"> не може да бъде по-кратък от </w:t>
      </w:r>
      <w:r w:rsidR="009809B4" w:rsidRPr="009809B4">
        <w:rPr>
          <w:rFonts w:ascii="Arial" w:hAnsi="Arial" w:cs="Arial"/>
          <w:bCs/>
          <w:u w:val="single"/>
        </w:rPr>
        <w:t>21 дни</w:t>
      </w:r>
      <w:r w:rsidR="009809B4" w:rsidRPr="009809B4">
        <w:rPr>
          <w:rFonts w:ascii="Arial" w:hAnsi="Arial" w:cs="Arial"/>
          <w:bCs/>
        </w:rPr>
        <w:t xml:space="preserve"> от публикуването на поканата – за строително-монтажни работи и разходи за закупуване на оборудване по индивидуално технологично/техническо задание. </w:t>
      </w:r>
      <w:r w:rsidR="009809B4" w:rsidRPr="009809B4">
        <w:rPr>
          <w:rFonts w:ascii="Arial" w:hAnsi="Arial" w:cs="Arial"/>
          <w:bCs/>
        </w:rPr>
        <w:lastRenderedPageBreak/>
        <w:t xml:space="preserve">За всички останали разходи за доставки и услуги, крайният срок за подаване на офертите в процедурата не може да бъде по-кратък от </w:t>
      </w:r>
      <w:r w:rsidR="009809B4" w:rsidRPr="009809B4">
        <w:rPr>
          <w:rFonts w:ascii="Arial" w:hAnsi="Arial" w:cs="Arial"/>
          <w:bCs/>
          <w:u w:val="single"/>
        </w:rPr>
        <w:t>7 дни</w:t>
      </w:r>
      <w:r w:rsidR="009809B4" w:rsidRPr="009809B4">
        <w:rPr>
          <w:rFonts w:ascii="Arial" w:hAnsi="Arial" w:cs="Arial"/>
          <w:bCs/>
        </w:rPr>
        <w:t xml:space="preserve"> от публикуването на поканата.</w:t>
      </w:r>
    </w:p>
    <w:p w14:paraId="47F6CDB9" w14:textId="58AEFCA6"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Приложение № </w:t>
      </w:r>
      <w:r w:rsidR="00AE7A10">
        <w:rPr>
          <w:rFonts w:ascii="Arial" w:hAnsi="Arial" w:cs="Arial"/>
          <w:bCs/>
        </w:rPr>
        <w:t>27</w:t>
      </w:r>
      <w:r w:rsidRPr="00AE7A10">
        <w:rPr>
          <w:rFonts w:ascii="Arial" w:hAnsi="Arial" w:cs="Arial"/>
          <w:bCs/>
        </w:rPr>
        <w:t xml:space="preserve"> „Документи за осъществяване на последващ контрол на проведена процедура „Избор с публична покана“.</w:t>
      </w:r>
    </w:p>
    <w:p w14:paraId="623F06E0" w14:textId="2815FCF3" w:rsidR="00737872" w:rsidRPr="00C06848" w:rsidRDefault="00737872" w:rsidP="00974C7D">
      <w:pPr>
        <w:spacing w:before="120" w:after="120" w:line="240" w:lineRule="auto"/>
        <w:jc w:val="both"/>
        <w:rPr>
          <w:rFonts w:ascii="Arial" w:hAnsi="Arial" w:cs="Arial"/>
          <w:bCs/>
          <w:u w:val="single"/>
        </w:rPr>
      </w:pPr>
      <w:r w:rsidRPr="00C06848">
        <w:rPr>
          <w:rFonts w:ascii="Arial" w:hAnsi="Arial" w:cs="Arial"/>
          <w:b/>
          <w:bCs/>
          <w:u w:val="single"/>
        </w:rPr>
        <w:t>В. Избор на изпълнител “чрез представяне на поне две съпоставими</w:t>
      </w:r>
      <w:r w:rsidR="00A466E7">
        <w:rPr>
          <w:rFonts w:ascii="Arial" w:hAnsi="Arial" w:cs="Arial"/>
          <w:b/>
          <w:bCs/>
          <w:u w:val="single"/>
        </w:rPr>
        <w:t>,</w:t>
      </w:r>
      <w:r w:rsidRPr="00C06848">
        <w:rPr>
          <w:rFonts w:ascii="Arial" w:hAnsi="Arial" w:cs="Arial"/>
          <w:b/>
          <w:bCs/>
          <w:u w:val="single"/>
        </w:rPr>
        <w:t xml:space="preserve"> независими</w:t>
      </w:r>
      <w:r w:rsidR="00A466E7" w:rsidRPr="00A466E7">
        <w:rPr>
          <w:rFonts w:ascii="Arial" w:hAnsi="Arial" w:cs="Arial"/>
          <w:u w:val="single"/>
        </w:rPr>
        <w:t xml:space="preserve"> </w:t>
      </w:r>
      <w:r w:rsidR="00A466E7" w:rsidRPr="00A466E7">
        <w:rPr>
          <w:rFonts w:ascii="Arial" w:hAnsi="Arial" w:cs="Arial"/>
          <w:b/>
          <w:bCs/>
          <w:u w:val="single"/>
        </w:rPr>
        <w:t>и конкурентни</w:t>
      </w:r>
      <w:r w:rsidRPr="00C06848">
        <w:rPr>
          <w:rFonts w:ascii="Arial" w:hAnsi="Arial" w:cs="Arial"/>
          <w:b/>
          <w:bCs/>
          <w:u w:val="single"/>
        </w:rPr>
        <w:t xml:space="preserve"> оферти“:</w:t>
      </w:r>
    </w:p>
    <w:p w14:paraId="13DF9364" w14:textId="764EF2EC" w:rsidR="00F5416D" w:rsidRDefault="00C06848" w:rsidP="00974C7D">
      <w:pPr>
        <w:jc w:val="both"/>
        <w:rPr>
          <w:rFonts w:ascii="Arial" w:hAnsi="Arial" w:cs="Arial"/>
          <w:bCs/>
        </w:rPr>
      </w:pPr>
      <w:r w:rsidRPr="00C06848">
        <w:rPr>
          <w:rFonts w:ascii="Arial" w:hAnsi="Arial" w:cs="Arial"/>
          <w:bCs/>
        </w:rPr>
        <w:t xml:space="preserve">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w:t>
      </w:r>
      <w:r w:rsidR="00AE7A10">
        <w:rPr>
          <w:rFonts w:ascii="Arial" w:hAnsi="Arial" w:cs="Arial"/>
          <w:bCs/>
        </w:rPr>
        <w:t>покана в ИСУН 2020“, Бенефициер</w:t>
      </w:r>
      <w:r w:rsidRPr="00C06848">
        <w:rPr>
          <w:rFonts w:ascii="Arial" w:hAnsi="Arial" w:cs="Arial"/>
          <w:bCs/>
        </w:rPr>
        <w:t>ите предоставят минимум две съпоставими, независими и конкурентни оферти, подадени от квалифициран доставчик и публикуват в ИСУН за срок минимум 5 дни покана 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65FB8DA" w14:textId="55D5067C" w:rsidR="00F5416D" w:rsidRDefault="00F5416D" w:rsidP="00974C7D">
      <w:pPr>
        <w:ind w:firstLine="900"/>
        <w:jc w:val="both"/>
        <w:rPr>
          <w:rFonts w:ascii="Arial" w:hAnsi="Arial" w:cs="Arial"/>
          <w:bCs/>
        </w:rPr>
      </w:pPr>
      <w:r>
        <w:rPr>
          <w:rFonts w:ascii="Arial" w:hAnsi="Arial" w:cs="Arial"/>
          <w:bCs/>
        </w:rPr>
        <w:t xml:space="preserve">- </w:t>
      </w:r>
      <w:r w:rsidRPr="00F5416D">
        <w:rPr>
          <w:rFonts w:ascii="Arial" w:hAnsi="Arial" w:cs="Arial"/>
          <w:bCs/>
        </w:rPr>
        <w:t>строителство, в т. ч. съфинансирането от страна на бенефициера, без данък върху добавената стойност, е по-малка от 50 000 лв</w:t>
      </w:r>
    </w:p>
    <w:p w14:paraId="1D2439D9" w14:textId="4AE8DF6C" w:rsidR="00737872" w:rsidRPr="00974C7D" w:rsidRDefault="00F5416D" w:rsidP="00974C7D">
      <w:pPr>
        <w:ind w:firstLine="900"/>
        <w:jc w:val="both"/>
        <w:rPr>
          <w:rFonts w:ascii="Arial" w:hAnsi="Arial" w:cs="Arial"/>
        </w:rPr>
      </w:pPr>
      <w:r w:rsidRPr="00974C7D">
        <w:rPr>
          <w:rFonts w:ascii="Arial" w:hAnsi="Arial" w:cs="Arial"/>
          <w:bCs/>
        </w:rPr>
        <w:t xml:space="preserve">- </w:t>
      </w:r>
      <w:r w:rsidR="00737872" w:rsidRPr="00974C7D">
        <w:rPr>
          <w:rFonts w:ascii="Arial" w:hAnsi="Arial" w:cs="Arial"/>
          <w:bCs/>
        </w:rPr>
        <w:t>доставки и/или услуги, в т.ч. съфинанс</w:t>
      </w:r>
      <w:r w:rsidR="002A7660" w:rsidRPr="00974C7D">
        <w:rPr>
          <w:rFonts w:ascii="Arial" w:hAnsi="Arial" w:cs="Arial"/>
          <w:bCs/>
        </w:rPr>
        <w:t>ирането от страна на бенефициер</w:t>
      </w:r>
      <w:r w:rsidR="00737872" w:rsidRPr="00974C7D">
        <w:rPr>
          <w:rFonts w:ascii="Arial" w:hAnsi="Arial" w:cs="Arial"/>
          <w:bCs/>
        </w:rPr>
        <w:t>а, без данък върху добавената стойност, е по-малка от 30 000 лв.</w:t>
      </w:r>
    </w:p>
    <w:p w14:paraId="11CBEC0A" w14:textId="64129390" w:rsidR="00737872" w:rsidRPr="00F5416D" w:rsidRDefault="00F5416D" w:rsidP="00974C7D">
      <w:pPr>
        <w:spacing w:before="120" w:after="120" w:line="240" w:lineRule="auto"/>
        <w:jc w:val="both"/>
        <w:rPr>
          <w:rFonts w:ascii="Arial" w:hAnsi="Arial" w:cs="Arial"/>
          <w:bCs/>
        </w:rPr>
      </w:pPr>
      <w:r w:rsidRPr="00F5416D">
        <w:rPr>
          <w:rFonts w:ascii="Arial" w:hAnsi="Arial" w:cs="Arial"/>
          <w:bCs/>
        </w:rPr>
        <w:t>В този случай Бенефицие</w:t>
      </w:r>
      <w:r>
        <w:rPr>
          <w:rFonts w:ascii="Arial" w:hAnsi="Arial" w:cs="Arial"/>
          <w:bCs/>
        </w:rPr>
        <w:t>р</w:t>
      </w:r>
      <w:r w:rsidRPr="00974C7D">
        <w:rPr>
          <w:rFonts w:ascii="Arial" w:hAnsi="Arial" w:cs="Arial"/>
          <w:bCs/>
        </w:rPr>
        <w:t>ите определят изпълнител между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w:t>
      </w:r>
      <w:r w:rsidR="00737872" w:rsidRPr="00974C7D">
        <w:rPr>
          <w:rFonts w:ascii="Arial" w:hAnsi="Arial" w:cs="Arial"/>
          <w:bCs/>
        </w:rPr>
        <w:t>.</w:t>
      </w:r>
    </w:p>
    <w:p w14:paraId="572AE392" w14:textId="176645C2" w:rsidR="00737872" w:rsidRPr="00F5416D" w:rsidRDefault="00737872" w:rsidP="00974C7D">
      <w:pPr>
        <w:spacing w:before="120" w:after="120" w:line="240" w:lineRule="auto"/>
        <w:jc w:val="both"/>
        <w:rPr>
          <w:rFonts w:ascii="Arial" w:hAnsi="Arial" w:cs="Arial"/>
          <w:bCs/>
        </w:rPr>
      </w:pPr>
      <w:r w:rsidRPr="00C06848">
        <w:rPr>
          <w:rFonts w:ascii="Arial" w:hAnsi="Arial" w:cs="Arial"/>
          <w:b/>
          <w:lang w:val="en-US"/>
        </w:rPr>
        <w:drawing>
          <wp:inline distT="0" distB="0" distL="0" distR="0" wp14:anchorId="48F60FC0" wp14:editId="5683BFEA">
            <wp:extent cx="584395" cy="271780"/>
            <wp:effectExtent l="57150" t="0" r="44450" b="1092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 xml:space="preserve">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w:t>
      </w:r>
      <w:r w:rsidRPr="00F5416D">
        <w:rPr>
          <w:rFonts w:ascii="Arial" w:hAnsi="Arial" w:cs="Arial"/>
          <w:bCs/>
        </w:rPr>
        <w:t>инение.</w:t>
      </w:r>
    </w:p>
    <w:p w14:paraId="23692AC3" w14:textId="77777777" w:rsidR="00737872" w:rsidRPr="00F5416D" w:rsidRDefault="00737872" w:rsidP="00974C7D">
      <w:pPr>
        <w:spacing w:before="120" w:after="120" w:line="240" w:lineRule="auto"/>
        <w:jc w:val="both"/>
        <w:rPr>
          <w:rFonts w:ascii="Arial" w:hAnsi="Arial" w:cs="Arial"/>
          <w:bCs/>
        </w:rPr>
      </w:pPr>
      <w:r w:rsidRPr="00F5416D">
        <w:rPr>
          <w:rFonts w:ascii="Arial" w:hAnsi="Arial" w:cs="Arial"/>
          <w:bCs/>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149A42B3" w14:textId="77777777" w:rsidR="00737872" w:rsidRPr="00AE7A10" w:rsidRDefault="00737872" w:rsidP="00974C7D">
      <w:pPr>
        <w:spacing w:before="120" w:after="120" w:line="240" w:lineRule="auto"/>
        <w:jc w:val="both"/>
        <w:rPr>
          <w:rFonts w:ascii="Arial" w:hAnsi="Arial" w:cs="Arial"/>
          <w:bCs/>
        </w:rPr>
      </w:pPr>
      <w:r w:rsidRPr="00F5416D">
        <w:rPr>
          <w:rFonts w:ascii="Arial" w:hAnsi="Arial" w:cs="Arial"/>
          <w:bCs/>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w:t>
      </w:r>
      <w:r w:rsidRPr="00737B32">
        <w:rPr>
          <w:rFonts w:ascii="Arial" w:hAnsi="Arial" w:cs="Arial"/>
          <w:bCs/>
        </w:rPr>
        <w:t xml:space="preserve">ане на офертата, подпис и печат/електронен подпис на оферента. Цената трябва да бъде определена в лева или евро с и без ДДС. Оферентите, трябва да са </w:t>
      </w:r>
      <w:r w:rsidRPr="00737B32">
        <w:rPr>
          <w:rFonts w:ascii="Arial" w:hAnsi="Arial" w:cs="Arial"/>
          <w:bCs/>
        </w:rPr>
        <w:lastRenderedPageBreak/>
        <w:t>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7CFD87EB"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Оферентите следва да отговарят на следните две кумулативни условия:</w:t>
      </w:r>
    </w:p>
    <w:p w14:paraId="255439BC" w14:textId="77777777" w:rsidR="00737872" w:rsidRPr="00C06848" w:rsidRDefault="00737872" w:rsidP="00974C7D">
      <w:pPr>
        <w:spacing w:before="120" w:after="120" w:line="240" w:lineRule="auto"/>
        <w:ind w:firstLine="720"/>
        <w:jc w:val="both"/>
        <w:rPr>
          <w:rFonts w:ascii="Arial" w:hAnsi="Arial" w:cs="Arial"/>
          <w:bCs/>
        </w:rPr>
      </w:pPr>
      <w:r w:rsidRPr="00C06848">
        <w:rPr>
          <w:rFonts w:ascii="Arial" w:hAnsi="Arial" w:cs="Arial"/>
          <w:bCs/>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2B37A269" w14:textId="77777777" w:rsidR="00737872" w:rsidRPr="00C06848" w:rsidRDefault="00737872" w:rsidP="00974C7D">
      <w:pPr>
        <w:spacing w:before="120" w:after="120" w:line="240" w:lineRule="auto"/>
        <w:ind w:firstLine="720"/>
        <w:jc w:val="both"/>
        <w:rPr>
          <w:rFonts w:ascii="Arial" w:hAnsi="Arial" w:cs="Arial"/>
          <w:bCs/>
        </w:rPr>
      </w:pPr>
      <w:r w:rsidRPr="00C06848">
        <w:rPr>
          <w:rFonts w:ascii="Arial" w:hAnsi="Arial" w:cs="Arial"/>
          <w:bCs/>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031AD9E0" w14:textId="77777777" w:rsidR="00F5416D" w:rsidRPr="00F5416D" w:rsidRDefault="00F5416D" w:rsidP="00974C7D">
      <w:pPr>
        <w:spacing w:before="120" w:after="120" w:line="240" w:lineRule="auto"/>
        <w:jc w:val="both"/>
        <w:rPr>
          <w:rFonts w:ascii="Arial" w:hAnsi="Arial" w:cs="Arial"/>
          <w:bCs/>
        </w:rPr>
      </w:pPr>
      <w:r w:rsidRPr="00F5416D">
        <w:rPr>
          <w:rFonts w:ascii="Arial" w:hAnsi="Arial" w:cs="Arial"/>
          <w:bCs/>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382516C8" w14:textId="2AF3B4FC" w:rsidR="00F5416D" w:rsidRPr="00F5416D" w:rsidRDefault="00F5416D" w:rsidP="00974C7D">
      <w:pPr>
        <w:spacing w:before="120" w:after="120" w:line="240" w:lineRule="auto"/>
        <w:jc w:val="both"/>
        <w:rPr>
          <w:rFonts w:ascii="Arial" w:hAnsi="Arial" w:cs="Arial"/>
          <w:bCs/>
        </w:rPr>
      </w:pPr>
      <w:r w:rsidRPr="00F5416D">
        <w:rPr>
          <w:rFonts w:ascii="Arial" w:hAnsi="Arial" w:cs="Arial"/>
          <w:bCs/>
        </w:rPr>
        <w:t>В случай</w:t>
      </w:r>
      <w:r>
        <w:rPr>
          <w:rFonts w:ascii="Arial" w:hAnsi="Arial" w:cs="Arial"/>
          <w:bCs/>
        </w:rPr>
        <w:t>,</w:t>
      </w:r>
      <w:r w:rsidRPr="00F5416D">
        <w:rPr>
          <w:rFonts w:ascii="Arial" w:hAnsi="Arial" w:cs="Arial"/>
          <w:bCs/>
        </w:rPr>
        <w:t xml:space="preserve">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316AEC86" w14:textId="00994AF9" w:rsidR="00F5416D" w:rsidRDefault="00F5416D" w:rsidP="00974C7D">
      <w:pPr>
        <w:spacing w:before="120" w:after="120" w:line="240" w:lineRule="auto"/>
        <w:jc w:val="both"/>
        <w:rPr>
          <w:rFonts w:ascii="Arial" w:hAnsi="Arial" w:cs="Arial"/>
          <w:bCs/>
        </w:rPr>
      </w:pPr>
      <w:r w:rsidRPr="00F5416D">
        <w:rPr>
          <w:rFonts w:ascii="Arial" w:hAnsi="Arial" w:cs="Arial"/>
          <w:bCs/>
        </w:rPr>
        <w:t>В случай</w:t>
      </w:r>
      <w:r>
        <w:rPr>
          <w:rFonts w:ascii="Arial" w:hAnsi="Arial" w:cs="Arial"/>
          <w:bCs/>
        </w:rPr>
        <w:t>, че в</w:t>
      </w:r>
      <w:r w:rsidRPr="00F5416D">
        <w:rPr>
          <w:rFonts w:ascii="Arial" w:hAnsi="Arial" w:cs="Arial"/>
          <w:bCs/>
        </w:rPr>
        <w:t>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издадени от оференти отговарящи на 2-те кумулативни условия, Управляващият орган на ПМДР 2014-2020 ще открие процедура по определяне на финансова корекция и няма да одобри БФП за съответния разход.</w:t>
      </w:r>
    </w:p>
    <w:p w14:paraId="1117D270" w14:textId="77777777" w:rsidR="00737872" w:rsidRPr="00F5416D" w:rsidRDefault="00737872" w:rsidP="00974C7D">
      <w:pPr>
        <w:spacing w:before="120" w:after="120" w:line="240" w:lineRule="auto"/>
        <w:jc w:val="both"/>
        <w:rPr>
          <w:rFonts w:ascii="Arial" w:hAnsi="Arial" w:cs="Arial"/>
          <w:bCs/>
        </w:rPr>
      </w:pPr>
      <w:r w:rsidRPr="00F5416D">
        <w:rPr>
          <w:rFonts w:ascii="Arial" w:hAnsi="Arial" w:cs="Arial"/>
          <w:bCs/>
        </w:rPr>
        <w:t>Бенефициерите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59F0D85F" w14:textId="72BCFCCE" w:rsidR="00737872" w:rsidRPr="00F5416D" w:rsidRDefault="00737872" w:rsidP="00974C7D">
      <w:pPr>
        <w:spacing w:before="120" w:after="120" w:line="240" w:lineRule="auto"/>
        <w:jc w:val="both"/>
        <w:rPr>
          <w:rFonts w:ascii="Arial" w:hAnsi="Arial" w:cs="Arial"/>
          <w:bCs/>
        </w:rPr>
      </w:pPr>
      <w:r w:rsidRPr="00737B32">
        <w:rPr>
          <w:rFonts w:ascii="Arial" w:hAnsi="Arial" w:cs="Arial"/>
          <w:bCs/>
        </w:rPr>
        <w:t xml:space="preserve">В срок до 5 работни дни от сключване на договор с </w:t>
      </w:r>
      <w:r w:rsidR="002A7660" w:rsidRPr="00AE7A10">
        <w:rPr>
          <w:rFonts w:ascii="Arial" w:hAnsi="Arial" w:cs="Arial"/>
          <w:bCs/>
        </w:rPr>
        <w:t>избрания изпълнител, бенефициер</w:t>
      </w:r>
      <w:r w:rsidRPr="00AE7A10">
        <w:rPr>
          <w:rFonts w:ascii="Arial" w:hAnsi="Arial" w:cs="Arial"/>
          <w:bCs/>
        </w:rPr>
        <w:t xml:space="preserve">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C06848">
        <w:rPr>
          <w:rFonts w:ascii="Arial" w:hAnsi="Arial" w:cs="Arial"/>
          <w:b/>
          <w:bCs/>
        </w:rPr>
        <w:t>на изпълнител “чрез представяне на поне две съпоставими независими оферти</w:t>
      </w:r>
      <w:r w:rsidR="00F5416D">
        <w:rPr>
          <w:rFonts w:ascii="Arial" w:hAnsi="Arial" w:cs="Arial"/>
          <w:b/>
          <w:bCs/>
        </w:rPr>
        <w:t xml:space="preserve"> и покана в ИСУН 2020</w:t>
      </w:r>
      <w:r w:rsidRPr="00F5416D">
        <w:rPr>
          <w:rFonts w:ascii="Arial" w:hAnsi="Arial" w:cs="Arial"/>
          <w:b/>
          <w:bCs/>
        </w:rPr>
        <w:t>“</w:t>
      </w:r>
      <w:r w:rsidRPr="00F5416D">
        <w:rPr>
          <w:rFonts w:ascii="Arial" w:hAnsi="Arial" w:cs="Arial"/>
        </w:rPr>
        <w:t xml:space="preserve"> </w:t>
      </w:r>
      <w:r w:rsidRPr="00F5416D">
        <w:rPr>
          <w:rFonts w:ascii="Arial" w:hAnsi="Arial" w:cs="Arial"/>
          <w:b/>
          <w:bCs/>
        </w:rPr>
        <w:t>като задължително го уведомява за това чрез модул „Ко</w:t>
      </w:r>
      <w:r w:rsidR="00F5416D">
        <w:rPr>
          <w:rFonts w:ascii="Arial" w:hAnsi="Arial" w:cs="Arial"/>
          <w:b/>
          <w:bCs/>
        </w:rPr>
        <w:t>респонденция</w:t>
      </w:r>
      <w:r w:rsidRPr="00F5416D">
        <w:rPr>
          <w:rFonts w:ascii="Arial" w:hAnsi="Arial" w:cs="Arial"/>
          <w:b/>
          <w:bCs/>
        </w:rPr>
        <w:t xml:space="preserve">“. </w:t>
      </w:r>
      <w:r w:rsidRPr="00F5416D">
        <w:rPr>
          <w:rFonts w:ascii="Arial" w:hAnsi="Arial" w:cs="Arial"/>
          <w:bCs/>
        </w:rPr>
        <w:t xml:space="preserve">В този случай бенефициерът представя на УО на ПМДР, чрез ИСУН 2020, минимум следните документи: </w:t>
      </w:r>
    </w:p>
    <w:p w14:paraId="07A98B82" w14:textId="77777777" w:rsidR="00737872" w:rsidRPr="00F5416D" w:rsidRDefault="00737872" w:rsidP="00974C7D">
      <w:pPr>
        <w:spacing w:before="120" w:after="120" w:line="240" w:lineRule="auto"/>
        <w:ind w:firstLine="900"/>
        <w:jc w:val="both"/>
        <w:rPr>
          <w:rFonts w:ascii="Arial" w:hAnsi="Arial" w:cs="Arial"/>
          <w:bCs/>
        </w:rPr>
      </w:pPr>
      <w:r w:rsidRPr="00F5416D">
        <w:rPr>
          <w:rFonts w:ascii="Arial" w:hAnsi="Arial" w:cs="Arial"/>
          <w:bCs/>
        </w:rPr>
        <w:t>- събраните поне 2 оферти;</w:t>
      </w:r>
    </w:p>
    <w:p w14:paraId="0E59A949" w14:textId="6382492F" w:rsidR="00737872" w:rsidRPr="00F5416D" w:rsidRDefault="00737872" w:rsidP="00974C7D">
      <w:pPr>
        <w:spacing w:before="120" w:after="120" w:line="240" w:lineRule="auto"/>
        <w:ind w:firstLine="900"/>
        <w:jc w:val="both"/>
        <w:rPr>
          <w:rFonts w:ascii="Arial" w:hAnsi="Arial" w:cs="Arial"/>
          <w:bCs/>
        </w:rPr>
      </w:pPr>
      <w:r w:rsidRPr="00F5416D">
        <w:rPr>
          <w:rFonts w:ascii="Arial" w:hAnsi="Arial" w:cs="Arial"/>
          <w:bCs/>
        </w:rPr>
        <w:t>- обосновка в свободен текст за направения избор на база на събраните оферти</w:t>
      </w:r>
      <w:r w:rsidR="00737B32">
        <w:rPr>
          <w:rFonts w:ascii="Arial" w:hAnsi="Arial" w:cs="Arial"/>
          <w:bCs/>
        </w:rPr>
        <w:t xml:space="preserve"> </w:t>
      </w:r>
      <w:r w:rsidR="00737B32" w:rsidRPr="00737B32">
        <w:rPr>
          <w:rFonts w:ascii="Arial" w:hAnsi="Arial" w:cs="Arial"/>
          <w:bCs/>
        </w:rPr>
        <w:t>и постъпилите оферти чрез ИСУН 2020 (в случай, че са постъпили оферти чрез ИСУН 2020)</w:t>
      </w:r>
      <w:r w:rsidRPr="00F5416D">
        <w:rPr>
          <w:rFonts w:ascii="Arial" w:hAnsi="Arial" w:cs="Arial"/>
          <w:bCs/>
        </w:rPr>
        <w:t>;</w:t>
      </w:r>
    </w:p>
    <w:p w14:paraId="20C00BB2" w14:textId="77777777" w:rsidR="00737872" w:rsidRPr="00AE7A10" w:rsidRDefault="00737872" w:rsidP="00974C7D">
      <w:pPr>
        <w:spacing w:before="120" w:after="120" w:line="240" w:lineRule="auto"/>
        <w:ind w:firstLine="900"/>
        <w:jc w:val="both"/>
        <w:rPr>
          <w:rFonts w:ascii="Arial" w:hAnsi="Arial" w:cs="Arial"/>
          <w:bCs/>
        </w:rPr>
      </w:pPr>
      <w:r w:rsidRPr="00737B32">
        <w:rPr>
          <w:rFonts w:ascii="Arial" w:hAnsi="Arial" w:cs="Arial"/>
          <w:bCs/>
        </w:rPr>
        <w:lastRenderedPageBreak/>
        <w:t>- документите доказващи, че оферентът отговаря на кумулативните изисквания, посочени по-горе.;</w:t>
      </w:r>
    </w:p>
    <w:p w14:paraId="028D6BA8" w14:textId="77777777" w:rsidR="00737872" w:rsidRPr="00C06848" w:rsidRDefault="00737872" w:rsidP="00974C7D">
      <w:pPr>
        <w:spacing w:before="120" w:after="120" w:line="240" w:lineRule="auto"/>
        <w:ind w:firstLine="900"/>
        <w:jc w:val="both"/>
        <w:rPr>
          <w:rFonts w:ascii="Arial" w:hAnsi="Arial" w:cs="Arial"/>
          <w:bCs/>
        </w:rPr>
      </w:pPr>
      <w:r w:rsidRPr="00AE7A10">
        <w:rPr>
          <w:rFonts w:ascii="Arial" w:hAnsi="Arial" w:cs="Arial"/>
          <w:bCs/>
        </w:rPr>
        <w:t>- сключен договор, предметът и параметрите на който трябва да съответстват на избраната оферта.</w:t>
      </w:r>
    </w:p>
    <w:p w14:paraId="0667C428"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55DCE7E2"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16B8A029"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43E511FF" w14:textId="0FB5903B" w:rsidR="00737872" w:rsidRPr="00F5416D" w:rsidRDefault="00737872" w:rsidP="00974C7D">
      <w:pPr>
        <w:spacing w:before="120" w:after="120" w:line="240" w:lineRule="auto"/>
        <w:jc w:val="both"/>
        <w:rPr>
          <w:rFonts w:ascii="Arial" w:hAnsi="Arial" w:cs="Arial"/>
          <w:bCs/>
        </w:rPr>
      </w:pPr>
      <w:r w:rsidRPr="00C06848">
        <w:rPr>
          <w:rFonts w:ascii="Arial" w:hAnsi="Arial" w:cs="Arial"/>
          <w:bCs/>
        </w:rPr>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w:t>
      </w:r>
      <w:r w:rsidR="00F5416D">
        <w:rPr>
          <w:rFonts w:ascii="Arial" w:hAnsi="Arial" w:cs="Arial"/>
          <w:bCs/>
        </w:rPr>
        <w:t xml:space="preserve"> </w:t>
      </w:r>
      <w:r w:rsidRPr="00F5416D">
        <w:rPr>
          <w:rFonts w:ascii="Arial" w:hAnsi="Arial" w:cs="Arial"/>
          <w:bCs/>
        </w:rPr>
        <w:t>70 и следващите от ЗУСЕСИФ.</w:t>
      </w:r>
    </w:p>
    <w:p w14:paraId="45F039F4" w14:textId="5FCB3076" w:rsidR="00737872" w:rsidRPr="00C06848" w:rsidRDefault="00737872" w:rsidP="00974C7D">
      <w:pPr>
        <w:spacing w:before="120" w:after="120" w:line="240" w:lineRule="auto"/>
        <w:jc w:val="both"/>
        <w:rPr>
          <w:rFonts w:ascii="Arial" w:hAnsi="Arial" w:cs="Arial"/>
          <w:bCs/>
        </w:rPr>
      </w:pPr>
      <w:r w:rsidRPr="00737B32">
        <w:rPr>
          <w:rFonts w:ascii="Arial" w:hAnsi="Arial" w:cs="Arial"/>
          <w:bCs/>
        </w:rPr>
        <w:t>Правата и задълженията</w:t>
      </w:r>
      <w:r w:rsidRPr="00AE7A10">
        <w:rPr>
          <w:rFonts w:ascii="Arial" w:hAnsi="Arial" w:cs="Arial"/>
          <w:bCs/>
        </w:rPr>
        <w:t>,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w:t>
      </w:r>
      <w:r w:rsidRPr="00C06848">
        <w:rPr>
          <w:rFonts w:ascii="Arial" w:hAnsi="Arial" w:cs="Arial"/>
          <w:bCs/>
        </w:rPr>
        <w:t xml:space="preserve">014-2020 (Приложение № </w:t>
      </w:r>
      <w:r w:rsidR="008A1A07">
        <w:rPr>
          <w:rFonts w:ascii="Arial" w:hAnsi="Arial" w:cs="Arial"/>
          <w:bCs/>
        </w:rPr>
        <w:t>14).</w:t>
      </w:r>
    </w:p>
    <w:p w14:paraId="2BEC2912" w14:textId="3A2B6115"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w:t>
      </w:r>
      <w:r w:rsidR="002A7660" w:rsidRPr="00C06848">
        <w:rPr>
          <w:rFonts w:ascii="Arial" w:hAnsi="Arial" w:cs="Arial"/>
          <w:bCs/>
        </w:rPr>
        <w:t>екта, всеки кандидат/бенефициер</w:t>
      </w:r>
      <w:r w:rsidRPr="00C06848">
        <w:rPr>
          <w:rFonts w:ascii="Arial" w:hAnsi="Arial" w:cs="Arial"/>
          <w:bCs/>
        </w:rPr>
        <w:t xml:space="preserve">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1DF072CE"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2C710574"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06EB0AF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02102E5A" w14:textId="4579B042" w:rsidR="00737872" w:rsidRPr="00F5416D" w:rsidRDefault="00737872" w:rsidP="00974C7D">
      <w:pPr>
        <w:spacing w:before="120" w:after="120" w:line="240" w:lineRule="auto"/>
        <w:jc w:val="both"/>
        <w:rPr>
          <w:rFonts w:ascii="Arial" w:hAnsi="Arial" w:cs="Arial"/>
          <w:bCs/>
        </w:rPr>
      </w:pPr>
      <w:r w:rsidRPr="00C06848">
        <w:rPr>
          <w:rFonts w:ascii="Arial" w:hAnsi="Arial" w:cs="Arial"/>
          <w:bCs/>
          <w:lang w:val="en-US"/>
        </w:rPr>
        <w:lastRenderedPageBreak/>
        <w:drawing>
          <wp:inline distT="0" distB="0" distL="0" distR="0" wp14:anchorId="617C2642" wp14:editId="313B27FC">
            <wp:extent cx="676275" cy="3714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6275" cy="371475"/>
                    </a:xfrm>
                    <a:prstGeom prst="rect">
                      <a:avLst/>
                    </a:prstGeom>
                    <a:noFill/>
                  </pic:spPr>
                </pic:pic>
              </a:graphicData>
            </a:graphic>
          </wp:inline>
        </w:drawing>
      </w:r>
      <w:r w:rsidRPr="00C06848">
        <w:rPr>
          <w:rFonts w:ascii="Arial" w:hAnsi="Arial" w:cs="Arial"/>
          <w:bCs/>
        </w:rPr>
        <w:t>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w:t>
      </w:r>
      <w:r w:rsidRPr="00F5416D">
        <w:rPr>
          <w:rFonts w:ascii="Arial" w:hAnsi="Arial" w:cs="Arial"/>
          <w:bCs/>
        </w:rPr>
        <w:t xml:space="preserve"> ПМС № 160/2016 г., както и указанията, заложени в настоящите Условия за изпълнение.</w:t>
      </w:r>
    </w:p>
    <w:p w14:paraId="41CEE1E6" w14:textId="7F889FA4" w:rsidR="00737872" w:rsidRPr="00C06848" w:rsidRDefault="00737872" w:rsidP="00974C7D">
      <w:pPr>
        <w:spacing w:before="120" w:after="120" w:line="240" w:lineRule="auto"/>
        <w:jc w:val="both"/>
        <w:rPr>
          <w:rFonts w:ascii="Arial" w:hAnsi="Arial" w:cs="Arial"/>
          <w:bCs/>
          <w:i/>
        </w:rPr>
      </w:pPr>
      <w:r w:rsidRPr="00C06848">
        <w:rPr>
          <w:rFonts w:ascii="Arial" w:hAnsi="Arial" w:cs="Arial"/>
          <w:b/>
          <w:bCs/>
          <w:lang w:val="en-US"/>
        </w:rPr>
        <w:drawing>
          <wp:inline distT="0" distB="0" distL="0" distR="0" wp14:anchorId="4C8820DA" wp14:editId="6602411B">
            <wp:extent cx="590153" cy="271154"/>
            <wp:effectExtent l="57150" t="0" r="38735" b="1098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9915" cy="271145"/>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При провеждане на процедури за избор на изпълнител , кандидатите следва да прилагат Указание на УО на ПМДР за прилагане на</w:t>
      </w:r>
      <w:r w:rsidRPr="00C06848">
        <w:rPr>
          <w:rFonts w:ascii="Arial" w:hAnsi="Arial" w:cs="Arial"/>
          <w:b/>
          <w:bCs/>
        </w:rPr>
        <w:t xml:space="preserve"> </w:t>
      </w:r>
      <w:r w:rsidRPr="00C06848">
        <w:rPr>
          <w:rFonts w:ascii="Arial" w:hAnsi="Arial" w:cs="Arial"/>
          <w:bCs/>
        </w:rPr>
        <w:t xml:space="preserve">ПМС № 160/2016 г., одобрено с докладна записка с № 93-3936 от 30.07.2020 г. Същото може да бъде намерено на следния интернет адрес: </w:t>
      </w:r>
      <w:hyperlink r:id="rId13" w:history="1">
        <w:r w:rsidRPr="00C06848">
          <w:rPr>
            <w:rStyle w:val="Hyperlink"/>
            <w:rFonts w:ascii="Arial" w:hAnsi="Arial" w:cs="Arial"/>
            <w:bCs/>
            <w:i/>
          </w:rPr>
          <w:t>https://www.eufunds.bg/bg/pmdr/node/5313</w:t>
        </w:r>
      </w:hyperlink>
      <w:r w:rsidRPr="00C06848">
        <w:rPr>
          <w:rFonts w:ascii="Arial" w:hAnsi="Arial" w:cs="Arial"/>
          <w:bCs/>
          <w:i/>
        </w:rPr>
        <w:t>.</w:t>
      </w:r>
    </w:p>
    <w:p w14:paraId="183E750B" w14:textId="77777777" w:rsidR="00737B32" w:rsidRDefault="00737B32" w:rsidP="00974C7D">
      <w:pPr>
        <w:spacing w:before="120" w:after="120" w:line="240" w:lineRule="auto"/>
        <w:jc w:val="both"/>
        <w:rPr>
          <w:rFonts w:ascii="Arial" w:hAnsi="Arial" w:cs="Arial"/>
          <w:b/>
          <w:bCs/>
        </w:rPr>
      </w:pPr>
    </w:p>
    <w:p w14:paraId="38BD1F08" w14:textId="77777777" w:rsidR="00737872" w:rsidRPr="00737B32" w:rsidRDefault="00737872" w:rsidP="00974C7D">
      <w:pPr>
        <w:spacing w:before="120" w:after="120" w:line="240" w:lineRule="auto"/>
        <w:jc w:val="both"/>
        <w:rPr>
          <w:rFonts w:ascii="Arial" w:hAnsi="Arial" w:cs="Arial"/>
          <w:bCs/>
        </w:rPr>
      </w:pPr>
      <w:r w:rsidRPr="00F5416D">
        <w:rPr>
          <w:rFonts w:ascii="Arial" w:hAnsi="Arial" w:cs="Arial"/>
          <w:b/>
          <w:bCs/>
        </w:rPr>
        <w:t>1.2. Изменения и/или допълнение на административен договор за предоставяне на безвъзмездна финансова помощ</w:t>
      </w:r>
    </w:p>
    <w:p w14:paraId="4A5C44A8" w14:textId="4992E3F8" w:rsidR="00737872" w:rsidRDefault="00737872" w:rsidP="00974C7D">
      <w:pPr>
        <w:spacing w:before="120" w:after="120" w:line="240" w:lineRule="auto"/>
        <w:jc w:val="both"/>
        <w:rPr>
          <w:rFonts w:ascii="Arial" w:hAnsi="Arial" w:cs="Arial"/>
          <w:bCs/>
        </w:rPr>
      </w:pPr>
      <w:r w:rsidRPr="00737B32">
        <w:rPr>
          <w:rFonts w:ascii="Arial" w:hAnsi="Arial" w:cs="Arial"/>
          <w:bCs/>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w:t>
      </w:r>
      <w:r w:rsidRPr="00AE7A10">
        <w:rPr>
          <w:rFonts w:ascii="Arial" w:hAnsi="Arial" w:cs="Arial"/>
          <w:bCs/>
        </w:rPr>
        <w:t>ра, при условията на чл. 39 от ЗУСЕСИФ</w:t>
      </w:r>
      <w:r w:rsidRPr="00974C7D">
        <w:rPr>
          <w:rFonts w:ascii="Arial" w:hAnsi="Arial" w:cs="Arial"/>
        </w:rPr>
        <w:t xml:space="preserve"> </w:t>
      </w:r>
      <w:r w:rsidRPr="00C06848">
        <w:rPr>
          <w:rFonts w:ascii="Arial" w:hAnsi="Arial" w:cs="Arial"/>
          <w:bCs/>
        </w:rPr>
        <w:t xml:space="preserve">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w:t>
      </w:r>
      <w:r w:rsidR="002A7660" w:rsidRPr="00C06848">
        <w:rPr>
          <w:rFonts w:ascii="Arial" w:hAnsi="Arial" w:cs="Arial"/>
          <w:bCs/>
        </w:rPr>
        <w:t>равното третиране на бенефициер</w:t>
      </w:r>
      <w:r w:rsidRPr="00F5416D">
        <w:rPr>
          <w:rFonts w:ascii="Arial" w:hAnsi="Arial" w:cs="Arial"/>
          <w:bCs/>
        </w:rPr>
        <w:t>ите.</w:t>
      </w:r>
    </w:p>
    <w:p w14:paraId="2F1CE470" w14:textId="77777777" w:rsidR="00737B32" w:rsidRPr="00F5416D" w:rsidRDefault="00737B32" w:rsidP="00974C7D">
      <w:pPr>
        <w:spacing w:before="120" w:after="120" w:line="240" w:lineRule="auto"/>
        <w:jc w:val="both"/>
        <w:rPr>
          <w:rFonts w:ascii="Arial" w:hAnsi="Arial" w:cs="Arial"/>
          <w:bCs/>
        </w:rPr>
      </w:pPr>
    </w:p>
    <w:p w14:paraId="50C2B733" w14:textId="77777777" w:rsidR="00737872" w:rsidRPr="00737B32" w:rsidRDefault="00737872" w:rsidP="00974C7D">
      <w:pPr>
        <w:spacing w:before="120" w:after="120" w:line="240" w:lineRule="auto"/>
        <w:jc w:val="both"/>
        <w:rPr>
          <w:rFonts w:ascii="Arial" w:hAnsi="Arial" w:cs="Arial"/>
          <w:bCs/>
        </w:rPr>
      </w:pPr>
      <w:r w:rsidRPr="00737B32">
        <w:rPr>
          <w:rFonts w:ascii="Arial" w:hAnsi="Arial" w:cs="Arial"/>
          <w:b/>
          <w:bCs/>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58FAF505" w14:textId="77777777" w:rsidR="00737872" w:rsidRPr="00C06848" w:rsidRDefault="00737872" w:rsidP="00974C7D">
      <w:pPr>
        <w:spacing w:before="120" w:after="120" w:line="240" w:lineRule="auto"/>
        <w:jc w:val="both"/>
        <w:rPr>
          <w:rFonts w:ascii="Arial" w:hAnsi="Arial" w:cs="Arial"/>
          <w:bCs/>
        </w:rPr>
      </w:pPr>
      <w:r w:rsidRPr="00737B32">
        <w:rPr>
          <w:rFonts w:ascii="Arial" w:hAnsi="Arial" w:cs="Arial"/>
          <w:bCs/>
        </w:rPr>
        <w:t>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w:t>
      </w:r>
      <w:r w:rsidRPr="00AE7A10">
        <w:rPr>
          <w:rFonts w:ascii="Arial" w:hAnsi="Arial" w:cs="Arial"/>
          <w:bCs/>
        </w:rPr>
        <w:t xml:space="preserve">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w:t>
      </w:r>
      <w:r w:rsidRPr="00C06848">
        <w:rPr>
          <w:rFonts w:ascii="Arial" w:hAnsi="Arial" w:cs="Arial"/>
          <w:bCs/>
        </w:rPr>
        <w:t>УО на ПМДР на Междинното звено (МЗ) - Държавен фонд „Земеделие“-Разплащателна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2E96A453"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42AC005" w14:textId="573B53A9" w:rsidR="00737872" w:rsidRPr="00737B32" w:rsidRDefault="00737872" w:rsidP="00974C7D">
      <w:pPr>
        <w:spacing w:before="120" w:after="120" w:line="240" w:lineRule="auto"/>
        <w:jc w:val="both"/>
        <w:rPr>
          <w:rFonts w:ascii="Arial" w:hAnsi="Arial" w:cs="Arial"/>
          <w:bCs/>
        </w:rPr>
      </w:pPr>
      <w:r w:rsidRPr="00C06848">
        <w:rPr>
          <w:rFonts w:ascii="Arial" w:hAnsi="Arial" w:cs="Arial"/>
          <w:bCs/>
        </w:rPr>
        <w:t xml:space="preserve">Управляващият орган на ПМДР извършва </w:t>
      </w:r>
      <w:r w:rsidR="00737B32">
        <w:rPr>
          <w:rFonts w:ascii="Arial" w:hAnsi="Arial" w:cs="Arial"/>
          <w:bCs/>
        </w:rPr>
        <w:t xml:space="preserve">задължителни </w:t>
      </w:r>
      <w:r w:rsidRPr="00737B32">
        <w:rPr>
          <w:rFonts w:ascii="Arial" w:hAnsi="Arial" w:cs="Arial"/>
          <w:bCs/>
        </w:rPr>
        <w:t xml:space="preserve">проверки преди подписване на </w:t>
      </w:r>
      <w:r w:rsidR="00737B32">
        <w:rPr>
          <w:rFonts w:ascii="Arial" w:hAnsi="Arial" w:cs="Arial"/>
          <w:bCs/>
        </w:rPr>
        <w:t>АДПБФП</w:t>
      </w:r>
      <w:r w:rsidRPr="00737B32">
        <w:rPr>
          <w:rFonts w:ascii="Arial" w:hAnsi="Arial" w:cs="Arial"/>
          <w:bCs/>
        </w:rPr>
        <w:t>.</w:t>
      </w:r>
      <w:r w:rsidR="00737B32">
        <w:rPr>
          <w:rFonts w:ascii="Arial" w:hAnsi="Arial" w:cs="Arial"/>
          <w:bCs/>
        </w:rPr>
        <w:t xml:space="preserve"> </w:t>
      </w:r>
      <w:r w:rsidR="00737B32" w:rsidRPr="00737B32">
        <w:rPr>
          <w:rFonts w:ascii="Arial" w:hAnsi="Arial" w:cs="Arial"/>
          <w:bCs/>
        </w:rPr>
        <w:t xml:space="preserve">Управляващият орган на ПМДР </w:t>
      </w:r>
      <w:r w:rsidR="00737B32">
        <w:rPr>
          <w:rFonts w:ascii="Arial" w:hAnsi="Arial" w:cs="Arial"/>
          <w:bCs/>
        </w:rPr>
        <w:t xml:space="preserve">може да </w:t>
      </w:r>
      <w:r w:rsidR="00737B32" w:rsidRPr="00737B32">
        <w:rPr>
          <w:rFonts w:ascii="Arial" w:hAnsi="Arial" w:cs="Arial"/>
          <w:bCs/>
        </w:rPr>
        <w:t>извършва при необходимост междинни проверки на място по вр</w:t>
      </w:r>
      <w:r w:rsidR="00737B32">
        <w:rPr>
          <w:rFonts w:ascii="Arial" w:hAnsi="Arial" w:cs="Arial"/>
          <w:bCs/>
        </w:rPr>
        <w:t>еме на изпълнението на проекта</w:t>
      </w:r>
      <w:r w:rsidR="00737B32" w:rsidRPr="00737B32">
        <w:rPr>
          <w:rFonts w:ascii="Arial" w:hAnsi="Arial" w:cs="Arial"/>
          <w:bCs/>
        </w:rPr>
        <w:t>.</w:t>
      </w:r>
    </w:p>
    <w:p w14:paraId="57155EAD" w14:textId="1A0558BB" w:rsidR="00737872" w:rsidRPr="00737B32" w:rsidRDefault="00737B32" w:rsidP="00974C7D">
      <w:pPr>
        <w:spacing w:before="120" w:after="120" w:line="240" w:lineRule="auto"/>
        <w:jc w:val="both"/>
        <w:rPr>
          <w:rFonts w:ascii="Arial" w:hAnsi="Arial" w:cs="Arial"/>
          <w:bCs/>
        </w:rPr>
      </w:pPr>
      <w:r w:rsidRPr="00737B32">
        <w:rPr>
          <w:rFonts w:ascii="Arial" w:hAnsi="Arial" w:cs="Arial"/>
          <w:bCs/>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и мониторингови проверки на изпълнените проекти на база извадка (проверките са админ</w:t>
      </w:r>
      <w:r>
        <w:rPr>
          <w:rFonts w:ascii="Arial" w:hAnsi="Arial" w:cs="Arial"/>
          <w:bCs/>
        </w:rPr>
        <w:t>истративни и проверки на място)</w:t>
      </w:r>
      <w:r w:rsidR="00737872" w:rsidRPr="00737B32">
        <w:rPr>
          <w:rFonts w:ascii="Arial" w:hAnsi="Arial" w:cs="Arial"/>
          <w:bCs/>
        </w:rPr>
        <w:t>.</w:t>
      </w:r>
    </w:p>
    <w:p w14:paraId="69DDEB09" w14:textId="7AFE09FC" w:rsidR="00737872" w:rsidRPr="00C06848" w:rsidRDefault="00737872" w:rsidP="00974C7D">
      <w:pPr>
        <w:spacing w:before="120" w:after="120" w:line="240" w:lineRule="auto"/>
        <w:jc w:val="both"/>
        <w:rPr>
          <w:rFonts w:ascii="Arial" w:hAnsi="Arial" w:cs="Arial"/>
          <w:bCs/>
        </w:rPr>
      </w:pPr>
      <w:r w:rsidRPr="00737B32">
        <w:rPr>
          <w:rFonts w:ascii="Arial" w:hAnsi="Arial" w:cs="Arial"/>
          <w:bCs/>
        </w:rPr>
        <w:lastRenderedPageBreak/>
        <w:t>При подаване на искане за междинно</w:t>
      </w:r>
      <w:r w:rsidRPr="00AE7A10">
        <w:rPr>
          <w:rFonts w:ascii="Arial" w:hAnsi="Arial" w:cs="Arial"/>
          <w:bCs/>
        </w:rPr>
        <w:t>/окончателн</w:t>
      </w:r>
      <w:r w:rsidR="008A1A07">
        <w:rPr>
          <w:rFonts w:ascii="Arial" w:hAnsi="Arial" w:cs="Arial"/>
          <w:bCs/>
        </w:rPr>
        <w:t>о плащане бенефициерът предостав</w:t>
      </w:r>
      <w:r w:rsidRPr="00AE7A10">
        <w:rPr>
          <w:rFonts w:ascii="Arial" w:hAnsi="Arial" w:cs="Arial"/>
          <w:bCs/>
        </w:rPr>
        <w:t>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w:t>
      </w:r>
      <w:r w:rsidRPr="00C06848">
        <w:rPr>
          <w:rFonts w:ascii="Arial" w:hAnsi="Arial" w:cs="Arial"/>
          <w:bCs/>
        </w:rPr>
        <w:t>вия, разходите за съответните дейности няма да бъдат признати, като ще бъдат прилагани съответни европейски</w:t>
      </w:r>
      <w:r w:rsidR="002A7660" w:rsidRPr="00C06848">
        <w:rPr>
          <w:rFonts w:ascii="Arial" w:hAnsi="Arial" w:cs="Arial"/>
          <w:bCs/>
        </w:rPr>
        <w:t xml:space="preserve"> и национални норми. Бенефициер</w:t>
      </w:r>
      <w:r w:rsidRPr="00C06848">
        <w:rPr>
          <w:rFonts w:ascii="Arial" w:hAnsi="Arial" w:cs="Arial"/>
          <w:bCs/>
        </w:rPr>
        <w:t>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018EB075"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Бенефициерът е задължен да докладва и отчита изпълнението на проекта в съответните отчетни форми и документи чрез ИСУН 2020.</w:t>
      </w:r>
    </w:p>
    <w:p w14:paraId="5A143977" w14:textId="1CE10DE3" w:rsidR="00737872" w:rsidRPr="00AE7A10" w:rsidRDefault="00737872" w:rsidP="00974C7D">
      <w:pPr>
        <w:spacing w:before="120" w:after="120" w:line="240" w:lineRule="auto"/>
        <w:jc w:val="both"/>
        <w:rPr>
          <w:rFonts w:ascii="Arial" w:hAnsi="Arial" w:cs="Arial"/>
          <w:bCs/>
        </w:rPr>
      </w:pPr>
      <w:r w:rsidRPr="00C06848">
        <w:rPr>
          <w:rFonts w:ascii="Arial" w:hAnsi="Arial" w:cs="Arial"/>
          <w:b/>
          <w:lang w:val="en-US"/>
        </w:rPr>
        <w:drawing>
          <wp:inline distT="0" distB="0" distL="0" distR="0" wp14:anchorId="1D612509" wp14:editId="1F86B845">
            <wp:extent cx="584395" cy="271780"/>
            <wp:effectExtent l="57150" t="0" r="44450" b="1092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В случай на неизпълнение на индикаторите за резултати, заложени в проектното предложение, на бенефициер</w:t>
      </w:r>
      <w:r w:rsidRPr="00F5416D">
        <w:rPr>
          <w:rFonts w:ascii="Arial" w:hAnsi="Arial" w:cs="Arial"/>
          <w:bCs/>
        </w:rPr>
        <w:t>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w:t>
      </w:r>
      <w:r w:rsidRPr="00737B32">
        <w:rPr>
          <w:rFonts w:ascii="Arial" w:hAnsi="Arial" w:cs="Arial"/>
          <w:bCs/>
        </w:rPr>
        <w:t xml:space="preserve">та с ПМС № 57 от </w:t>
      </w:r>
      <w:r w:rsidR="00112254">
        <w:rPr>
          <w:rFonts w:ascii="Arial" w:hAnsi="Arial" w:cs="Arial"/>
          <w:bCs/>
        </w:rPr>
        <w:t>28 март 2017г.  (обн., ДВ, бр. 2</w:t>
      </w:r>
      <w:r w:rsidRPr="00737B32">
        <w:rPr>
          <w:rFonts w:ascii="Arial" w:hAnsi="Arial" w:cs="Arial"/>
          <w:bCs/>
        </w:rPr>
        <w:t>7 от 2017 г.).</w:t>
      </w:r>
    </w:p>
    <w:p w14:paraId="54ED7694" w14:textId="77777777" w:rsidR="00737872" w:rsidRPr="00C06848" w:rsidRDefault="00737872" w:rsidP="00974C7D">
      <w:pPr>
        <w:spacing w:before="120" w:after="120" w:line="240" w:lineRule="auto"/>
        <w:jc w:val="both"/>
        <w:rPr>
          <w:rFonts w:ascii="Arial" w:hAnsi="Arial" w:cs="Arial"/>
          <w:bCs/>
        </w:rPr>
      </w:pPr>
    </w:p>
    <w:p w14:paraId="34EAE3BC" w14:textId="77777777" w:rsidR="00737872" w:rsidRPr="00C06848" w:rsidRDefault="00737872" w:rsidP="00974C7D">
      <w:pPr>
        <w:keepNext/>
        <w:keepLines/>
        <w:spacing w:before="120" w:after="120" w:line="240" w:lineRule="auto"/>
        <w:jc w:val="both"/>
        <w:outlineLvl w:val="1"/>
        <w:rPr>
          <w:rFonts w:ascii="Arial" w:hAnsi="Arial" w:cs="Arial"/>
          <w:bCs/>
        </w:rPr>
      </w:pPr>
      <w:r w:rsidRPr="00C06848">
        <w:rPr>
          <w:rFonts w:ascii="Arial" w:hAnsi="Arial" w:cs="Arial"/>
          <w:b/>
          <w:bCs/>
          <w:color w:val="5B9BD5"/>
        </w:rPr>
        <w:t>2. Финансово изпълнение на проектите и плащане.</w:t>
      </w:r>
    </w:p>
    <w:p w14:paraId="322F6037"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5E8AEB4E"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1271FA90"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Максималният размер на безвъзмездната финансова помощ задължително се посочвав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6417BB38" w14:textId="77777777" w:rsidR="000448AE" w:rsidRDefault="00737872" w:rsidP="00974C7D">
      <w:pPr>
        <w:spacing w:before="120" w:after="120" w:line="240" w:lineRule="auto"/>
        <w:jc w:val="both"/>
        <w:rPr>
          <w:rFonts w:ascii="Arial" w:hAnsi="Arial" w:cs="Arial"/>
          <w:bCs/>
        </w:rPr>
      </w:pPr>
      <w:r w:rsidRPr="00C06848">
        <w:rPr>
          <w:rFonts w:ascii="Arial" w:hAnsi="Arial" w:cs="Arial"/>
          <w:bCs/>
        </w:rPr>
        <w:t>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w:t>
      </w:r>
      <w:r w:rsidR="000448AE">
        <w:rPr>
          <w:rFonts w:ascii="Arial" w:hAnsi="Arial" w:cs="Arial"/>
          <w:bCs/>
        </w:rPr>
        <w:t>рено на следния интернет адрес:</w:t>
      </w:r>
    </w:p>
    <w:p w14:paraId="39A61704" w14:textId="7D764FF2" w:rsidR="00737872" w:rsidRPr="00C06848" w:rsidRDefault="002C4E80" w:rsidP="00974C7D">
      <w:pPr>
        <w:spacing w:before="120" w:after="120" w:line="240" w:lineRule="auto"/>
        <w:jc w:val="both"/>
        <w:rPr>
          <w:rFonts w:ascii="Arial" w:hAnsi="Arial" w:cs="Arial"/>
          <w:bCs/>
        </w:rPr>
      </w:pPr>
      <w:hyperlink r:id="rId14" w:history="1">
        <w:r w:rsidR="00737872" w:rsidRPr="00C06848">
          <w:rPr>
            <w:rStyle w:val="Hyperlink"/>
            <w:rFonts w:ascii="Arial" w:hAnsi="Arial" w:cs="Arial"/>
            <w:bCs/>
            <w:i/>
          </w:rPr>
          <w:t>https://www.eufunds.bg/bg/pmdr/node/5279</w:t>
        </w:r>
      </w:hyperlink>
      <w:r w:rsidR="00737872" w:rsidRPr="00C06848">
        <w:rPr>
          <w:rFonts w:ascii="Arial" w:hAnsi="Arial" w:cs="Arial"/>
          <w:bCs/>
        </w:rPr>
        <w:t>.</w:t>
      </w:r>
    </w:p>
    <w:p w14:paraId="33CDD0D7" w14:textId="77777777" w:rsidR="00737872" w:rsidRPr="00737B32" w:rsidRDefault="00737872" w:rsidP="00974C7D">
      <w:pPr>
        <w:spacing w:before="120" w:after="120" w:line="240" w:lineRule="auto"/>
        <w:jc w:val="both"/>
        <w:rPr>
          <w:rFonts w:ascii="Arial" w:hAnsi="Arial" w:cs="Arial"/>
          <w:bCs/>
        </w:rPr>
      </w:pPr>
      <w:r w:rsidRPr="00F5416D">
        <w:rPr>
          <w:rFonts w:ascii="Arial" w:hAnsi="Arial" w:cs="Arial"/>
          <w:bCs/>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9D1A085" w14:textId="2E741C8E" w:rsidR="00737872" w:rsidRPr="00737B32" w:rsidRDefault="00737872" w:rsidP="00974C7D">
      <w:pPr>
        <w:spacing w:before="120" w:after="120" w:line="240" w:lineRule="auto"/>
        <w:jc w:val="both"/>
        <w:rPr>
          <w:rFonts w:ascii="Arial" w:hAnsi="Arial" w:cs="Arial"/>
          <w:bCs/>
        </w:rPr>
      </w:pPr>
      <w:r w:rsidRPr="00C06848">
        <w:rPr>
          <w:rFonts w:ascii="Arial" w:hAnsi="Arial" w:cs="Arial"/>
          <w:b/>
          <w:lang w:val="en-US"/>
        </w:rPr>
        <w:lastRenderedPageBreak/>
        <w:drawing>
          <wp:inline distT="0" distB="0" distL="0" distR="0" wp14:anchorId="32D69BF1" wp14:editId="45C31E84">
            <wp:extent cx="584395" cy="271780"/>
            <wp:effectExtent l="57150" t="0" r="44450" b="1092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 xml:space="preserve">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002A7660" w:rsidRPr="00F5416D">
        <w:rPr>
          <w:rFonts w:ascii="Arial" w:hAnsi="Arial" w:cs="Arial"/>
          <w:bCs/>
        </w:rPr>
        <w:t>на възстановяване от бенефициера</w:t>
      </w:r>
      <w:r w:rsidRPr="00F5416D">
        <w:rPr>
          <w:rFonts w:ascii="Arial" w:hAnsi="Arial" w:cs="Arial"/>
          <w:bCs/>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7A07F50A" w14:textId="77777777" w:rsidR="00737872" w:rsidRPr="00284EE5" w:rsidRDefault="00737872" w:rsidP="00974C7D">
      <w:pPr>
        <w:spacing w:before="120" w:after="120" w:line="240" w:lineRule="auto"/>
        <w:jc w:val="both"/>
        <w:rPr>
          <w:rFonts w:ascii="Arial" w:hAnsi="Arial" w:cs="Arial"/>
          <w:bCs/>
        </w:rPr>
      </w:pPr>
      <w:r w:rsidRPr="00737B32">
        <w:rPr>
          <w:rFonts w:ascii="Arial" w:hAnsi="Arial" w:cs="Arial"/>
          <w:bCs/>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p>
    <w:p w14:paraId="1E508209" w14:textId="77777777" w:rsidR="00737872" w:rsidRPr="00C06848" w:rsidRDefault="00737872" w:rsidP="00974C7D">
      <w:pPr>
        <w:spacing w:before="120" w:after="120" w:line="240" w:lineRule="auto"/>
        <w:jc w:val="both"/>
        <w:rPr>
          <w:rFonts w:ascii="Arial" w:hAnsi="Arial" w:cs="Arial"/>
          <w:bCs/>
        </w:rPr>
      </w:pPr>
      <w:r w:rsidRPr="00AE7A10">
        <w:rPr>
          <w:rFonts w:ascii="Arial" w:hAnsi="Arial" w:cs="Arial"/>
          <w:bCs/>
        </w:rPr>
        <w:t>Исканията за авансово, междинно и окончателно плащане на бенефициера се подават по ред, условия и в срок определени в административния договор и Общите условия към него.</w:t>
      </w:r>
    </w:p>
    <w:p w14:paraId="24A003E6" w14:textId="60527BBC" w:rsidR="00737B32" w:rsidRPr="00737B32" w:rsidRDefault="00737872" w:rsidP="00AE7A10">
      <w:pPr>
        <w:spacing w:before="120" w:after="120" w:line="240" w:lineRule="auto"/>
        <w:jc w:val="both"/>
        <w:rPr>
          <w:rFonts w:ascii="Arial" w:hAnsi="Arial" w:cs="Arial"/>
          <w:bCs/>
        </w:rPr>
      </w:pPr>
      <w:r w:rsidRPr="00C06848">
        <w:rPr>
          <w:rFonts w:ascii="Arial" w:hAnsi="Arial" w:cs="Arial"/>
          <w:sz w:val="24"/>
          <w:szCs w:val="24"/>
          <w:lang w:val="en-US"/>
        </w:rPr>
        <w:drawing>
          <wp:inline distT="0" distB="0" distL="0" distR="0" wp14:anchorId="6E2945F0" wp14:editId="721CDEFA">
            <wp:extent cx="668020" cy="3517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00737B32" w:rsidRPr="00737B32">
        <w:t xml:space="preserve"> </w:t>
      </w:r>
      <w:r w:rsidR="00737B32" w:rsidRPr="00737B32">
        <w:rPr>
          <w:rFonts w:ascii="Arial" w:hAnsi="Arial" w:cs="Arial"/>
          <w:bCs/>
        </w:rPr>
        <w:t>В изпълнение на Решение на Министерски съвет № 592 от 21.08.2018 г. след сключване на договор на сто</w:t>
      </w:r>
      <w:r w:rsidR="00737B32">
        <w:rPr>
          <w:rFonts w:ascii="Arial" w:hAnsi="Arial" w:cs="Arial"/>
          <w:bCs/>
        </w:rPr>
        <w:t>йност, равна или надвишаваща 30</w:t>
      </w:r>
      <w:r w:rsidR="00737B32" w:rsidRPr="00FF2A9A">
        <w:rPr>
          <w:rFonts w:ascii="Arial" w:eastAsia="Calibri" w:hAnsi="Arial" w:cs="Arial"/>
          <w:noProof w:val="0"/>
          <w:lang w:eastAsia="bg-BG"/>
        </w:rPr>
        <w:t> </w:t>
      </w:r>
      <w:r w:rsidR="00737B32" w:rsidRPr="00737B32">
        <w:rPr>
          <w:rFonts w:ascii="Arial" w:hAnsi="Arial" w:cs="Arial"/>
          <w:bCs/>
        </w:rPr>
        <w:t>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w:t>
      </w:r>
      <w:r w:rsidR="00737B32">
        <w:rPr>
          <w:rFonts w:ascii="Arial" w:hAnsi="Arial" w:cs="Arial"/>
          <w:bCs/>
        </w:rPr>
        <w:t xml:space="preserve">О на ПМДР </w:t>
      </w:r>
      <w:r w:rsidR="00737B32" w:rsidRPr="00737B32">
        <w:rPr>
          <w:rFonts w:ascii="Arial" w:hAnsi="Arial" w:cs="Arial"/>
          <w:bCs/>
        </w:rPr>
        <w:t>извършва банков превод на запорираната сума по посочената в разпореждането за изпълнение банков</w:t>
      </w:r>
      <w:r w:rsidR="00AE7A10">
        <w:rPr>
          <w:rFonts w:ascii="Arial" w:hAnsi="Arial" w:cs="Arial"/>
          <w:bCs/>
        </w:rPr>
        <w:t>а сметка и уведомява бенефициер</w:t>
      </w:r>
      <w:r w:rsidR="00737B32" w:rsidRPr="00737B32">
        <w:rPr>
          <w:rFonts w:ascii="Arial" w:hAnsi="Arial" w:cs="Arial"/>
          <w:bCs/>
        </w:rPr>
        <w:t>а за извършения превод в модул „Кореспонденция“ в ИСУН 2020.</w:t>
      </w:r>
    </w:p>
    <w:p w14:paraId="1199616C" w14:textId="056D8CF1" w:rsidR="00737872" w:rsidRPr="00F5416D" w:rsidRDefault="00737B32" w:rsidP="00974C7D">
      <w:pPr>
        <w:spacing w:before="120" w:after="120" w:line="240" w:lineRule="auto"/>
        <w:jc w:val="both"/>
        <w:rPr>
          <w:rFonts w:ascii="Arial" w:hAnsi="Arial" w:cs="Arial"/>
          <w:bCs/>
        </w:rPr>
      </w:pPr>
      <w:r>
        <w:rPr>
          <w:rFonts w:ascii="Arial" w:hAnsi="Arial" w:cs="Arial"/>
          <w:bCs/>
        </w:rPr>
        <w:t>Бенефициер</w:t>
      </w:r>
      <w:r w:rsidRPr="00737B32">
        <w:rPr>
          <w:rFonts w:ascii="Arial" w:hAnsi="Arial" w:cs="Arial"/>
          <w:bCs/>
        </w:rPr>
        <w:t xml:space="preserve">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w:t>
      </w:r>
      <w:r>
        <w:rPr>
          <w:rFonts w:ascii="Arial" w:hAnsi="Arial" w:cs="Arial"/>
          <w:bCs/>
        </w:rPr>
        <w:t>УО</w:t>
      </w:r>
      <w:r w:rsidRPr="00737B32">
        <w:rPr>
          <w:rFonts w:ascii="Arial" w:hAnsi="Arial" w:cs="Arial"/>
          <w:bCs/>
        </w:rPr>
        <w:t xml:space="preserve"> на ПМДР във връзка с финансиране на разходи за данък добавена стойност (ДДС) </w:t>
      </w:r>
      <w:r>
        <w:rPr>
          <w:rFonts w:ascii="Arial" w:hAnsi="Arial" w:cs="Arial"/>
          <w:bCs/>
        </w:rPr>
        <w:t>на бенефициер</w:t>
      </w:r>
      <w:r w:rsidRPr="00737B32">
        <w:rPr>
          <w:rFonts w:ascii="Arial" w:hAnsi="Arial" w:cs="Arial"/>
          <w:bCs/>
        </w:rPr>
        <w:t xml:space="preserve">и по одобрени за подпомагане проекти по ПМДР. Размерът на допустимите разходи за ДДС следва изрично да бъде посочен в Административен договор за </w:t>
      </w:r>
      <w:r>
        <w:rPr>
          <w:rFonts w:ascii="Arial" w:hAnsi="Arial" w:cs="Arial"/>
          <w:bCs/>
        </w:rPr>
        <w:t xml:space="preserve">предоставяне на </w:t>
      </w:r>
      <w:r w:rsidRPr="00737B32">
        <w:rPr>
          <w:rFonts w:ascii="Arial" w:hAnsi="Arial" w:cs="Arial"/>
          <w:bCs/>
        </w:rPr>
        <w:t>безвъзмездна финансова помощ и/или в доп</w:t>
      </w:r>
      <w:r>
        <w:rPr>
          <w:rFonts w:ascii="Arial" w:hAnsi="Arial" w:cs="Arial"/>
          <w:bCs/>
        </w:rPr>
        <w:t>ълнително споразумение към него</w:t>
      </w:r>
      <w:r w:rsidR="00737872" w:rsidRPr="00C06848">
        <w:rPr>
          <w:rFonts w:ascii="Arial" w:hAnsi="Arial" w:cs="Arial"/>
          <w:bCs/>
        </w:rPr>
        <w:t>.</w:t>
      </w:r>
    </w:p>
    <w:p w14:paraId="443B3105" w14:textId="77777777" w:rsidR="00737872" w:rsidRPr="00F5416D" w:rsidRDefault="00737872" w:rsidP="00974C7D">
      <w:pPr>
        <w:spacing w:before="120" w:after="120" w:line="240" w:lineRule="auto"/>
        <w:jc w:val="both"/>
        <w:rPr>
          <w:rFonts w:ascii="Arial" w:hAnsi="Arial" w:cs="Arial"/>
          <w:bCs/>
        </w:rPr>
      </w:pPr>
    </w:p>
    <w:p w14:paraId="2DD45CEB" w14:textId="77777777" w:rsidR="00737872" w:rsidRPr="00284EE5" w:rsidRDefault="00737872" w:rsidP="00974C7D">
      <w:pPr>
        <w:keepNext/>
        <w:keepLines/>
        <w:spacing w:before="120" w:after="120" w:line="240" w:lineRule="auto"/>
        <w:jc w:val="both"/>
        <w:outlineLvl w:val="1"/>
        <w:rPr>
          <w:rFonts w:ascii="Arial" w:hAnsi="Arial" w:cs="Arial"/>
          <w:b/>
          <w:bCs/>
          <w:color w:val="5B9BD5"/>
        </w:rPr>
      </w:pPr>
      <w:r w:rsidRPr="00737B32">
        <w:rPr>
          <w:rFonts w:ascii="Arial" w:hAnsi="Arial" w:cs="Arial"/>
          <w:b/>
          <w:bCs/>
          <w:color w:val="5B9BD5"/>
        </w:rPr>
        <w:t xml:space="preserve">3. </w:t>
      </w:r>
      <w:r w:rsidRPr="00284EE5">
        <w:rPr>
          <w:rFonts w:ascii="Arial" w:hAnsi="Arial" w:cs="Arial"/>
          <w:b/>
          <w:bCs/>
          <w:color w:val="5B9BD5"/>
        </w:rPr>
        <w:t>Мерки за информиране и публичност</w:t>
      </w:r>
    </w:p>
    <w:p w14:paraId="46FD5D84" w14:textId="55C24C81" w:rsidR="00737872" w:rsidRPr="00AE7A10" w:rsidRDefault="002A7660" w:rsidP="00974C7D">
      <w:pPr>
        <w:spacing w:before="120" w:after="120" w:line="240" w:lineRule="auto"/>
        <w:jc w:val="both"/>
        <w:rPr>
          <w:rFonts w:ascii="Arial" w:hAnsi="Arial" w:cs="Arial"/>
          <w:bCs/>
        </w:rPr>
      </w:pPr>
      <w:r w:rsidRPr="00284EE5">
        <w:rPr>
          <w:rFonts w:ascii="Arial" w:hAnsi="Arial" w:cs="Arial"/>
          <w:bCs/>
        </w:rPr>
        <w:t>Всички бенефициер</w:t>
      </w:r>
      <w:r w:rsidR="00737872" w:rsidRPr="00284EE5">
        <w:rPr>
          <w:rFonts w:ascii="Arial" w:hAnsi="Arial" w:cs="Arial"/>
          <w:bCs/>
        </w:rPr>
        <w:t xml:space="preserve">и трябва да прилагат подходящи мерки за публичност и информираност съгласно </w:t>
      </w:r>
      <w:r w:rsidR="00737872" w:rsidRPr="00AE7A10">
        <w:rPr>
          <w:rFonts w:ascii="Arial" w:hAnsi="Arial" w:cs="Arial"/>
          <w:bCs/>
        </w:rPr>
        <w:t>правилата на Приложение XII от Регламент (ЕС) № 1303/2013.</w:t>
      </w:r>
    </w:p>
    <w:p w14:paraId="00F968FF" w14:textId="1FB9D5CB" w:rsidR="00737872" w:rsidRPr="00C06848" w:rsidRDefault="002A7660" w:rsidP="00974C7D">
      <w:pPr>
        <w:spacing w:before="120" w:after="120" w:line="240" w:lineRule="auto"/>
        <w:jc w:val="both"/>
        <w:rPr>
          <w:rFonts w:ascii="Arial" w:hAnsi="Arial" w:cs="Arial"/>
          <w:bCs/>
        </w:rPr>
      </w:pPr>
      <w:r w:rsidRPr="00C06848">
        <w:rPr>
          <w:rFonts w:ascii="Arial" w:hAnsi="Arial" w:cs="Arial"/>
          <w:bCs/>
        </w:rPr>
        <w:t>Бенефициер</w:t>
      </w:r>
      <w:r w:rsidR="00737872" w:rsidRPr="00C06848">
        <w:rPr>
          <w:rFonts w:ascii="Arial" w:hAnsi="Arial" w:cs="Arial"/>
          <w:bCs/>
        </w:rPr>
        <w:t>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w:t>
      </w:r>
      <w:r w:rsidRPr="00C06848">
        <w:rPr>
          <w:rFonts w:ascii="Arial" w:hAnsi="Arial" w:cs="Arial"/>
          <w:bCs/>
        </w:rPr>
        <w:t>лнението на проекта, бенефициер</w:t>
      </w:r>
      <w:r w:rsidR="00737872" w:rsidRPr="00C06848">
        <w:rPr>
          <w:rFonts w:ascii="Arial" w:hAnsi="Arial" w:cs="Arial"/>
          <w:bCs/>
        </w:rPr>
        <w:t>ът е длъжен да оповести, че проектът е получил финансиране от ЕФМДР чрез ПМДР.</w:t>
      </w:r>
    </w:p>
    <w:p w14:paraId="7B3DC285"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По време на изпълнението на даден проект бенефициерът информира обществеността за получената от ЕФМДР подкрепа като:</w:t>
      </w:r>
    </w:p>
    <w:p w14:paraId="0B5C57E4" w14:textId="77777777" w:rsidR="00737872" w:rsidRPr="00C06848" w:rsidRDefault="00737872" w:rsidP="00974C7D">
      <w:pPr>
        <w:spacing w:before="120" w:after="120" w:line="240" w:lineRule="auto"/>
        <w:ind w:firstLine="540"/>
        <w:jc w:val="both"/>
        <w:rPr>
          <w:rFonts w:ascii="Arial" w:hAnsi="Arial" w:cs="Arial"/>
          <w:bCs/>
        </w:rPr>
      </w:pPr>
      <w:r w:rsidRPr="00C06848">
        <w:rPr>
          <w:rFonts w:ascii="Arial" w:hAnsi="Arial" w:cs="Arial"/>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70A4704F" w14:textId="77777777" w:rsidR="00737872" w:rsidRPr="00C06848" w:rsidRDefault="00737872" w:rsidP="00974C7D">
      <w:pPr>
        <w:spacing w:before="120" w:after="120" w:line="240" w:lineRule="auto"/>
        <w:ind w:firstLine="540"/>
        <w:jc w:val="both"/>
        <w:rPr>
          <w:rFonts w:ascii="Arial" w:hAnsi="Arial" w:cs="Arial"/>
          <w:bCs/>
        </w:rPr>
      </w:pPr>
      <w:r w:rsidRPr="00C06848">
        <w:rPr>
          <w:rFonts w:ascii="Arial" w:hAnsi="Arial" w:cs="Arial"/>
          <w:bCs/>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6F75868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Плакатът следва да съдържа следната текстова и визуална информация:</w:t>
      </w:r>
    </w:p>
    <w:p w14:paraId="0AB6BE64"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емблемата на ЕС и упоменаването „Европейски съюз“;</w:t>
      </w:r>
    </w:p>
    <w:p w14:paraId="1FB2B19C"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наименованието на съфинансиращия фонд - Европейски фонд за морско дело и рибарство;</w:t>
      </w:r>
    </w:p>
    <w:p w14:paraId="255478C1"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общото лого за програмен период 2014-2020 г.;</w:t>
      </w:r>
    </w:p>
    <w:p w14:paraId="34A937BD"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наименованието на „Програма за  морско дело и рибарство” 2014-2020;</w:t>
      </w:r>
    </w:p>
    <w:p w14:paraId="5ACC2D44"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наименованието на проекта;</w:t>
      </w:r>
    </w:p>
    <w:p w14:paraId="65F18136"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общата стойност на проекта, както и размера на европейското и националното съфинансиране, представени в български лева;</w:t>
      </w:r>
    </w:p>
    <w:p w14:paraId="7CF6E9F4"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начална и крайна дата на изпълнение на проекта.</w:t>
      </w:r>
    </w:p>
    <w:p w14:paraId="277A20B7"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14:paraId="1345D5B0"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7923862B" w14:textId="2A292D95"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Пълният набор от мерки за информиране и публичност (</w:t>
      </w:r>
      <w:r w:rsidR="002A7660" w:rsidRPr="00C06848">
        <w:rPr>
          <w:rFonts w:ascii="Arial" w:hAnsi="Arial" w:cs="Arial"/>
          <w:bCs/>
        </w:rPr>
        <w:t>визуализация), които бенефициер</w:t>
      </w:r>
      <w:r w:rsidRPr="00C06848">
        <w:rPr>
          <w:rFonts w:ascii="Arial" w:hAnsi="Arial" w:cs="Arial"/>
          <w:bCs/>
        </w:rPr>
        <w:t xml:space="preserve">ите трябва да прилагат при изпълнение на проекти, финансирани от ЕСИФ, се съдържа в </w:t>
      </w:r>
      <w:r w:rsidR="002A7660" w:rsidRPr="00C06848">
        <w:rPr>
          <w:rFonts w:ascii="Arial" w:hAnsi="Arial" w:cs="Arial"/>
          <w:bCs/>
        </w:rPr>
        <w:t>„Единния наръчник на бенефициер</w:t>
      </w:r>
      <w:r w:rsidRPr="00C06848">
        <w:rPr>
          <w:rFonts w:ascii="Arial" w:hAnsi="Arial" w:cs="Arial"/>
          <w:bCs/>
        </w:rPr>
        <w:t>а за прилагане на правилата за информация и комуникация" 2014-2020, който може да бъде</w:t>
      </w:r>
      <w:r w:rsidR="000448AE">
        <w:rPr>
          <w:rFonts w:ascii="Arial" w:hAnsi="Arial" w:cs="Arial"/>
          <w:bCs/>
        </w:rPr>
        <w:t xml:space="preserve"> намерен на интернет страницата: </w:t>
      </w:r>
      <w:hyperlink r:id="rId15" w:history="1">
        <w:r w:rsidRPr="00C06848">
          <w:rPr>
            <w:rStyle w:val="Hyperlink"/>
            <w:rFonts w:ascii="Arial" w:hAnsi="Arial" w:cs="Arial"/>
            <w:bCs/>
            <w:i/>
          </w:rPr>
          <w:t>https://www.eufunds.bg/bg/taxonomy/term/609</w:t>
        </w:r>
      </w:hyperlink>
      <w:r w:rsidRPr="00C06848">
        <w:rPr>
          <w:rFonts w:ascii="Arial" w:hAnsi="Arial" w:cs="Arial"/>
          <w:bCs/>
          <w:u w:val="single"/>
        </w:rPr>
        <w:t>.</w:t>
      </w:r>
    </w:p>
    <w:p w14:paraId="62DF1987" w14:textId="77777777" w:rsidR="00737872" w:rsidRPr="00F5416D" w:rsidRDefault="00737872" w:rsidP="00974C7D">
      <w:pPr>
        <w:spacing w:before="120" w:after="120" w:line="240" w:lineRule="auto"/>
        <w:jc w:val="both"/>
        <w:rPr>
          <w:rFonts w:ascii="Arial" w:hAnsi="Arial" w:cs="Arial"/>
          <w:bCs/>
        </w:rPr>
      </w:pPr>
      <w:r w:rsidRPr="00F5416D">
        <w:rPr>
          <w:rFonts w:ascii="Arial" w:hAnsi="Arial" w:cs="Arial"/>
          <w:bCs/>
        </w:rPr>
        <w:t>На същата страница могат да бъдат намерени и векторните варианти на логото на ПМДР.</w:t>
      </w:r>
    </w:p>
    <w:p w14:paraId="23E33E44" w14:textId="632B30FE" w:rsidR="00737872" w:rsidRPr="00F5416D" w:rsidRDefault="00737872" w:rsidP="00974C7D">
      <w:pPr>
        <w:spacing w:before="120" w:after="120" w:line="240" w:lineRule="auto"/>
        <w:jc w:val="both"/>
        <w:rPr>
          <w:rFonts w:ascii="Arial" w:hAnsi="Arial" w:cs="Arial"/>
          <w:bCs/>
        </w:rPr>
      </w:pPr>
      <w:r w:rsidRPr="00C06848">
        <w:rPr>
          <w:rFonts w:ascii="Arial" w:hAnsi="Arial" w:cs="Arial"/>
          <w:sz w:val="24"/>
          <w:szCs w:val="24"/>
          <w:lang w:val="en-US"/>
        </w:rPr>
        <w:drawing>
          <wp:inline distT="0" distB="0" distL="0" distR="0" wp14:anchorId="406CFCC7" wp14:editId="172AE1F5">
            <wp:extent cx="668020" cy="351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C06848">
        <w:rPr>
          <w:rFonts w:ascii="Arial" w:hAnsi="Arial" w:cs="Arial"/>
          <w:bCs/>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5FD87198" w14:textId="77777777" w:rsidR="00737872" w:rsidRPr="00F5416D" w:rsidRDefault="00737872" w:rsidP="00974C7D">
      <w:pPr>
        <w:spacing w:before="120" w:after="120" w:line="240" w:lineRule="auto"/>
        <w:jc w:val="both"/>
        <w:rPr>
          <w:rFonts w:ascii="Arial" w:hAnsi="Arial" w:cs="Arial"/>
          <w:bCs/>
        </w:rPr>
      </w:pPr>
    </w:p>
    <w:p w14:paraId="0D8ACB95" w14:textId="77777777" w:rsidR="00737872" w:rsidRPr="00284EE5" w:rsidRDefault="00737872" w:rsidP="00974C7D">
      <w:pPr>
        <w:keepNext/>
        <w:keepLines/>
        <w:spacing w:before="120" w:after="120" w:line="240" w:lineRule="auto"/>
        <w:jc w:val="both"/>
        <w:outlineLvl w:val="1"/>
        <w:rPr>
          <w:rFonts w:ascii="Arial" w:hAnsi="Arial" w:cs="Arial"/>
          <w:b/>
          <w:bCs/>
          <w:color w:val="5B9BD5"/>
        </w:rPr>
      </w:pPr>
      <w:bookmarkStart w:id="1" w:name="_Toc442274579"/>
      <w:bookmarkStart w:id="2" w:name="_Toc442348060"/>
      <w:r w:rsidRPr="00737B32">
        <w:rPr>
          <w:rFonts w:ascii="Arial" w:hAnsi="Arial" w:cs="Arial"/>
          <w:b/>
          <w:bCs/>
          <w:color w:val="5B9BD5"/>
        </w:rPr>
        <w:t>4. Приложения към Условията за изпълнение:</w:t>
      </w:r>
      <w:bookmarkEnd w:id="1"/>
      <w:bookmarkEnd w:id="2"/>
    </w:p>
    <w:p w14:paraId="034F4361" w14:textId="4F4DA910" w:rsidR="00AE7A10" w:rsidRDefault="00737872" w:rsidP="00974C7D">
      <w:pPr>
        <w:spacing w:before="120" w:after="120" w:line="240" w:lineRule="auto"/>
        <w:jc w:val="both"/>
        <w:rPr>
          <w:rFonts w:ascii="Arial" w:hAnsi="Arial" w:cs="Arial"/>
        </w:rPr>
      </w:pPr>
      <w:r w:rsidRPr="004919CA">
        <w:rPr>
          <w:rFonts w:ascii="Arial" w:hAnsi="Arial" w:cs="Arial"/>
        </w:rPr>
        <w:t>Приложение №</w:t>
      </w:r>
      <w:r w:rsidR="004919CA">
        <w:rPr>
          <w:rFonts w:ascii="Arial" w:hAnsi="Arial" w:cs="Arial"/>
        </w:rPr>
        <w:t xml:space="preserve"> 14</w:t>
      </w:r>
      <w:r w:rsidRPr="004919CA">
        <w:rPr>
          <w:rFonts w:ascii="Arial" w:hAnsi="Arial" w:cs="Arial"/>
        </w:rPr>
        <w:t xml:space="preserve"> - Aдминистративен договор за </w:t>
      </w:r>
      <w:r w:rsidR="004919CA">
        <w:rPr>
          <w:rFonts w:ascii="Arial" w:hAnsi="Arial" w:cs="Arial"/>
        </w:rPr>
        <w:t xml:space="preserve">предоставяне на </w:t>
      </w:r>
      <w:r w:rsidRPr="004919CA">
        <w:rPr>
          <w:rFonts w:ascii="Arial" w:hAnsi="Arial" w:cs="Arial"/>
        </w:rPr>
        <w:t>безвъзмездна финансова помощ по Програма за морско дело и рибарство 2014</w:t>
      </w:r>
      <w:r w:rsidR="004919CA">
        <w:rPr>
          <w:rFonts w:ascii="Arial" w:hAnsi="Arial" w:cs="Arial"/>
        </w:rPr>
        <w:t>-</w:t>
      </w:r>
      <w:r w:rsidRPr="004919CA">
        <w:rPr>
          <w:rFonts w:ascii="Arial" w:hAnsi="Arial" w:cs="Arial"/>
        </w:rPr>
        <w:t>2020;</w:t>
      </w:r>
    </w:p>
    <w:p w14:paraId="722B4182" w14:textId="77777777" w:rsidR="00AE7A10" w:rsidRDefault="00AE7A10" w:rsidP="00974C7D">
      <w:pPr>
        <w:spacing w:before="120" w:after="120" w:line="240" w:lineRule="auto"/>
        <w:ind w:firstLine="720"/>
        <w:jc w:val="both"/>
        <w:rPr>
          <w:rFonts w:ascii="Arial" w:hAnsi="Arial" w:cs="Arial"/>
          <w:u w:val="single"/>
        </w:rPr>
      </w:pPr>
      <w:r w:rsidRPr="00974C7D">
        <w:rPr>
          <w:rFonts w:ascii="Arial" w:hAnsi="Arial" w:cs="Arial"/>
          <w:u w:val="single"/>
        </w:rPr>
        <w:t>Приложения към АДПБФП:</w:t>
      </w:r>
    </w:p>
    <w:p w14:paraId="4DA593B8" w14:textId="77777777" w:rsidR="00AE7A10" w:rsidRPr="004919CA" w:rsidRDefault="00AE7A10" w:rsidP="00AE7A10">
      <w:pPr>
        <w:spacing w:before="120" w:after="120" w:line="240" w:lineRule="auto"/>
        <w:ind w:left="1080"/>
        <w:jc w:val="both"/>
        <w:rPr>
          <w:rFonts w:ascii="Arial" w:hAnsi="Arial" w:cs="Arial"/>
        </w:rPr>
      </w:pPr>
      <w:r w:rsidRPr="004919CA">
        <w:rPr>
          <w:rFonts w:ascii="Arial" w:hAnsi="Arial" w:cs="Arial"/>
        </w:rPr>
        <w:t>Приложение №</w:t>
      </w:r>
      <w:r>
        <w:rPr>
          <w:rFonts w:ascii="Arial" w:hAnsi="Arial" w:cs="Arial"/>
        </w:rPr>
        <w:t xml:space="preserve"> 2</w:t>
      </w:r>
      <w:r w:rsidRPr="004919CA">
        <w:rPr>
          <w:rFonts w:ascii="Arial" w:hAnsi="Arial" w:cs="Arial"/>
        </w:rPr>
        <w:t xml:space="preserve"> </w:t>
      </w:r>
      <w:r>
        <w:rPr>
          <w:rFonts w:ascii="Arial" w:hAnsi="Arial" w:cs="Arial"/>
        </w:rPr>
        <w:t>-</w:t>
      </w:r>
      <w:r w:rsidRPr="004919CA">
        <w:rPr>
          <w:rFonts w:ascii="Arial" w:hAnsi="Arial" w:cs="Arial"/>
        </w:rPr>
        <w:t xml:space="preserve"> Таблица за одобрени инвестиционни разходи;</w:t>
      </w:r>
    </w:p>
    <w:p w14:paraId="11A8BDF1" w14:textId="77777777" w:rsidR="00AE7A10" w:rsidRPr="004919CA" w:rsidRDefault="00AE7A10">
      <w:pPr>
        <w:spacing w:before="120" w:after="120" w:line="240" w:lineRule="auto"/>
        <w:ind w:left="1080"/>
        <w:jc w:val="both"/>
        <w:rPr>
          <w:rFonts w:ascii="Arial" w:hAnsi="Arial" w:cs="Arial"/>
        </w:rPr>
      </w:pPr>
      <w:r w:rsidRPr="004919CA">
        <w:rPr>
          <w:rFonts w:ascii="Arial" w:hAnsi="Arial" w:cs="Arial"/>
        </w:rPr>
        <w:t>Приложение № 11 Декларация по чл. 25, ал. 2 от Закона за управление на средствата от европейските структурни и инвестиционни фондо</w:t>
      </w:r>
      <w:r>
        <w:rPr>
          <w:rFonts w:ascii="Arial" w:hAnsi="Arial" w:cs="Arial"/>
        </w:rPr>
        <w:t>ве и чл. 7 от ПМС № 162/2016 г.</w:t>
      </w:r>
      <w:r w:rsidRPr="004919CA">
        <w:rPr>
          <w:rFonts w:ascii="Arial" w:hAnsi="Arial" w:cs="Arial"/>
        </w:rPr>
        <w:t>;</w:t>
      </w:r>
    </w:p>
    <w:p w14:paraId="5F7FE954" w14:textId="1D83C9E8" w:rsidR="00737872" w:rsidRPr="004919CA" w:rsidRDefault="00737872" w:rsidP="00974C7D">
      <w:pPr>
        <w:spacing w:before="120" w:after="120" w:line="240" w:lineRule="auto"/>
        <w:ind w:left="1080"/>
        <w:jc w:val="both"/>
        <w:rPr>
          <w:rFonts w:ascii="Arial" w:hAnsi="Arial" w:cs="Arial"/>
        </w:rPr>
      </w:pPr>
      <w:r w:rsidRPr="004919CA">
        <w:rPr>
          <w:rFonts w:ascii="Arial" w:hAnsi="Arial" w:cs="Arial"/>
        </w:rPr>
        <w:t xml:space="preserve">Приложение № </w:t>
      </w:r>
      <w:r w:rsidR="004919CA">
        <w:rPr>
          <w:rFonts w:ascii="Arial" w:hAnsi="Arial" w:cs="Arial"/>
        </w:rPr>
        <w:t>15</w:t>
      </w:r>
      <w:r w:rsidRPr="004919CA">
        <w:rPr>
          <w:rFonts w:ascii="Arial" w:hAnsi="Arial" w:cs="Arial"/>
        </w:rPr>
        <w:t xml:space="preserve"> - Общи условия към финансираните по Програма за морско дело и рибарство</w:t>
      </w:r>
      <w:r w:rsidR="004919CA">
        <w:rPr>
          <w:rFonts w:ascii="Arial" w:hAnsi="Arial" w:cs="Arial"/>
        </w:rPr>
        <w:t xml:space="preserve"> </w:t>
      </w:r>
      <w:r w:rsidRPr="004919CA">
        <w:rPr>
          <w:rFonts w:ascii="Arial" w:hAnsi="Arial" w:cs="Arial"/>
        </w:rPr>
        <w:t>административни договори за предоставяне на безвъзмездна финансова помощ;</w:t>
      </w:r>
    </w:p>
    <w:p w14:paraId="76328676" w14:textId="12DFB412" w:rsidR="004919CA" w:rsidRDefault="004919CA" w:rsidP="00974C7D">
      <w:pPr>
        <w:spacing w:before="120" w:after="120" w:line="240" w:lineRule="auto"/>
        <w:ind w:left="1080"/>
        <w:jc w:val="both"/>
        <w:rPr>
          <w:rFonts w:ascii="Arial" w:hAnsi="Arial" w:cs="Arial"/>
        </w:rPr>
      </w:pPr>
      <w:r w:rsidRPr="004919CA">
        <w:rPr>
          <w:rFonts w:ascii="Arial" w:hAnsi="Arial" w:cs="Arial"/>
        </w:rPr>
        <w:t xml:space="preserve">Приложение № 16 - Пакет декларации към АДПБФП (Декларация липса на нередности, подписана от кандидата към датата на сключване на договора; </w:t>
      </w:r>
      <w:r w:rsidRPr="004919CA">
        <w:rPr>
          <w:rFonts w:ascii="Arial" w:hAnsi="Arial" w:cs="Arial"/>
        </w:rPr>
        <w:lastRenderedPageBreak/>
        <w:t>Декларация за липса на конфликт на интереси, подписана от кандитата към да</w:t>
      </w:r>
      <w:r w:rsidR="000254D8">
        <w:rPr>
          <w:rFonts w:ascii="Arial" w:hAnsi="Arial" w:cs="Arial"/>
        </w:rPr>
        <w:t>тата на сключване на договора</w:t>
      </w:r>
      <w:r w:rsidR="000254D8">
        <w:rPr>
          <w:rFonts w:ascii="Arial" w:hAnsi="Arial" w:cs="Arial"/>
          <w:lang w:val="en-US"/>
        </w:rPr>
        <w:t>;</w:t>
      </w:r>
      <w:r w:rsidRPr="004919CA">
        <w:rPr>
          <w:rFonts w:ascii="Arial" w:hAnsi="Arial" w:cs="Arial"/>
        </w:rPr>
        <w:t xml:space="preserve"> Декларация по чл. 10 от Регламент (ЕС) № 508/2014 на европейския парламент и на съвета от 15 май 2014 година за Европейския фонд за морско дело и рибарство,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бенефициерът се представлява само заедно от няколко физически лица, заявлението се попълва и подписва от всички от тях;</w:t>
      </w:r>
    </w:p>
    <w:p w14:paraId="7CF8CA3F" w14:textId="5CE14017" w:rsidR="004919CA" w:rsidRDefault="004919CA" w:rsidP="00974C7D">
      <w:pPr>
        <w:spacing w:before="120" w:after="120" w:line="240" w:lineRule="auto"/>
        <w:ind w:left="1080"/>
        <w:jc w:val="both"/>
        <w:rPr>
          <w:rFonts w:ascii="Arial" w:hAnsi="Arial" w:cs="Arial"/>
        </w:rPr>
      </w:pPr>
      <w:r w:rsidRPr="004919CA">
        <w:rPr>
          <w:rFonts w:ascii="Arial" w:hAnsi="Arial" w:cs="Arial"/>
        </w:rPr>
        <w:t>Приложение № 17 - Методика за определяне размера на финансовите корекции по проекти, финансирани от ПМДР</w:t>
      </w:r>
      <w:r>
        <w:rPr>
          <w:rFonts w:ascii="Arial" w:hAnsi="Arial" w:cs="Arial"/>
        </w:rPr>
        <w:t>;</w:t>
      </w:r>
    </w:p>
    <w:p w14:paraId="0F7D8197" w14:textId="2838F7FF" w:rsidR="004919CA" w:rsidRDefault="00C42620" w:rsidP="00974C7D">
      <w:pPr>
        <w:spacing w:before="120" w:after="120" w:line="240" w:lineRule="auto"/>
        <w:jc w:val="both"/>
        <w:rPr>
          <w:rFonts w:ascii="Arial" w:hAnsi="Arial" w:cs="Arial"/>
        </w:rPr>
      </w:pPr>
      <w:r>
        <w:rPr>
          <w:rFonts w:ascii="Arial" w:hAnsi="Arial" w:cs="Arial"/>
        </w:rPr>
        <w:t>Приложение № 18 Пакет</w:t>
      </w:r>
      <w:r w:rsidRPr="00C42620">
        <w:rPr>
          <w:rFonts w:ascii="Arial" w:hAnsi="Arial" w:cs="Arial"/>
        </w:rPr>
        <w:t xml:space="preserve"> </w:t>
      </w:r>
      <w:r>
        <w:rPr>
          <w:rFonts w:ascii="Arial" w:hAnsi="Arial" w:cs="Arial"/>
        </w:rPr>
        <w:t>д</w:t>
      </w:r>
      <w:r w:rsidRPr="00C42620">
        <w:rPr>
          <w:rFonts w:ascii="Arial" w:hAnsi="Arial" w:cs="Arial"/>
        </w:rPr>
        <w:t>екларации к</w:t>
      </w:r>
      <w:r>
        <w:rPr>
          <w:rFonts w:ascii="Arial" w:hAnsi="Arial" w:cs="Arial"/>
        </w:rPr>
        <w:t xml:space="preserve">ъм Условията за изпълнение </w:t>
      </w:r>
      <w:r w:rsidRPr="00C42620">
        <w:rPr>
          <w:rFonts w:ascii="Arial" w:hAnsi="Arial" w:cs="Arial"/>
        </w:rPr>
        <w:t>(Декларация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4154DD10" w14:textId="4AD83CB1" w:rsidR="00C42620" w:rsidRDefault="00C42620" w:rsidP="00974C7D">
      <w:pPr>
        <w:spacing w:before="120" w:after="120" w:line="240" w:lineRule="auto"/>
        <w:jc w:val="both"/>
        <w:rPr>
          <w:rFonts w:ascii="Arial" w:hAnsi="Arial" w:cs="Arial"/>
        </w:rPr>
      </w:pPr>
      <w:r>
        <w:rPr>
          <w:rFonts w:ascii="Arial" w:hAnsi="Arial" w:cs="Arial"/>
        </w:rPr>
        <w:t>Приложение № 19 -</w:t>
      </w:r>
      <w:r w:rsidRPr="00C42620">
        <w:rPr>
          <w:rFonts w:ascii="Arial" w:hAnsi="Arial" w:cs="Arial"/>
        </w:rPr>
        <w:t xml:space="preserve"> Декларация за втора употреба;</w:t>
      </w:r>
    </w:p>
    <w:p w14:paraId="4C62E9B4" w14:textId="6EE74320" w:rsidR="00C42620" w:rsidRPr="004919CA" w:rsidRDefault="00C42620" w:rsidP="00974C7D">
      <w:pPr>
        <w:spacing w:before="120" w:after="120" w:line="240" w:lineRule="auto"/>
        <w:jc w:val="both"/>
        <w:rPr>
          <w:rFonts w:ascii="Arial" w:hAnsi="Arial" w:cs="Arial"/>
        </w:rPr>
      </w:pPr>
      <w:r w:rsidRPr="00C42620">
        <w:rPr>
          <w:rFonts w:ascii="Arial" w:hAnsi="Arial" w:cs="Arial"/>
        </w:rPr>
        <w:t>Пр</w:t>
      </w:r>
      <w:r>
        <w:rPr>
          <w:rFonts w:ascii="Arial" w:hAnsi="Arial" w:cs="Arial"/>
        </w:rPr>
        <w:t>иложение № 20</w:t>
      </w:r>
      <w:r w:rsidRPr="00C42620">
        <w:rPr>
          <w:rFonts w:ascii="Arial" w:hAnsi="Arial" w:cs="Arial"/>
        </w:rPr>
        <w:t xml:space="preserve"> </w:t>
      </w:r>
      <w:r>
        <w:rPr>
          <w:rFonts w:ascii="Arial" w:hAnsi="Arial" w:cs="Arial"/>
        </w:rPr>
        <w:t>-</w:t>
      </w:r>
      <w:r w:rsidRPr="00C42620">
        <w:rPr>
          <w:rFonts w:ascii="Arial" w:hAnsi="Arial" w:cs="Arial"/>
        </w:rPr>
        <w:t xml:space="preserve"> Декларация за упражняване правото на данъчен кредит;</w:t>
      </w:r>
    </w:p>
    <w:p w14:paraId="7B84F490" w14:textId="76C4A693" w:rsidR="00737872" w:rsidRPr="00AE7A10" w:rsidRDefault="00737872" w:rsidP="00974C7D">
      <w:pPr>
        <w:spacing w:before="120" w:after="120" w:line="240" w:lineRule="auto"/>
        <w:jc w:val="both"/>
        <w:rPr>
          <w:rFonts w:ascii="Arial" w:hAnsi="Arial" w:cs="Arial"/>
        </w:rPr>
      </w:pPr>
      <w:r w:rsidRPr="00C42620">
        <w:rPr>
          <w:rFonts w:ascii="Arial" w:hAnsi="Arial" w:cs="Arial"/>
        </w:rPr>
        <w:t xml:space="preserve">Приложение № </w:t>
      </w:r>
      <w:r w:rsidR="00C42620">
        <w:rPr>
          <w:rFonts w:ascii="Arial" w:hAnsi="Arial" w:cs="Arial"/>
        </w:rPr>
        <w:t>2</w:t>
      </w:r>
      <w:r w:rsidRPr="00C42620">
        <w:rPr>
          <w:rFonts w:ascii="Arial" w:hAnsi="Arial" w:cs="Arial"/>
        </w:rPr>
        <w:t>1 - Заявление за профил за дост</w:t>
      </w:r>
      <w:r w:rsidR="008B7983" w:rsidRPr="00C42620">
        <w:rPr>
          <w:rFonts w:ascii="Arial" w:hAnsi="Arial" w:cs="Arial"/>
        </w:rPr>
        <w:t>ъп на ръководител на бенефициер</w:t>
      </w:r>
      <w:r w:rsidRPr="00C42620">
        <w:rPr>
          <w:rFonts w:ascii="Arial" w:hAnsi="Arial" w:cs="Arial"/>
        </w:rPr>
        <w:t>а до ИСУН 2020;</w:t>
      </w:r>
    </w:p>
    <w:p w14:paraId="36A73957" w14:textId="7137571A" w:rsidR="00737872" w:rsidRDefault="00737872" w:rsidP="00974C7D">
      <w:pPr>
        <w:spacing w:before="120" w:after="120" w:line="240" w:lineRule="auto"/>
        <w:jc w:val="both"/>
        <w:rPr>
          <w:rFonts w:ascii="Arial" w:hAnsi="Arial" w:cs="Arial"/>
        </w:rPr>
      </w:pPr>
      <w:r w:rsidRPr="00AE7A10">
        <w:rPr>
          <w:rFonts w:ascii="Arial" w:hAnsi="Arial" w:cs="Arial"/>
        </w:rPr>
        <w:t xml:space="preserve">Приложение № </w:t>
      </w:r>
      <w:r w:rsidR="00C42620">
        <w:rPr>
          <w:rFonts w:ascii="Arial" w:hAnsi="Arial" w:cs="Arial"/>
        </w:rPr>
        <w:t>2</w:t>
      </w:r>
      <w:r w:rsidRPr="00C42620">
        <w:rPr>
          <w:rFonts w:ascii="Arial" w:hAnsi="Arial" w:cs="Arial"/>
        </w:rPr>
        <w:t>2 - Заявление за профил за достъ</w:t>
      </w:r>
      <w:r w:rsidR="008B7983" w:rsidRPr="00C42620">
        <w:rPr>
          <w:rFonts w:ascii="Arial" w:hAnsi="Arial" w:cs="Arial"/>
        </w:rPr>
        <w:t>п на упълномощени от бенефициер</w:t>
      </w:r>
      <w:r w:rsidRPr="00C42620">
        <w:rPr>
          <w:rFonts w:ascii="Arial" w:hAnsi="Arial" w:cs="Arial"/>
        </w:rPr>
        <w:t>а лица до ИСУН 2020;</w:t>
      </w:r>
    </w:p>
    <w:p w14:paraId="7E02F57E" w14:textId="41A7A151" w:rsidR="00C42620" w:rsidRDefault="00C42620" w:rsidP="00974C7D">
      <w:pPr>
        <w:spacing w:before="120" w:after="120" w:line="240" w:lineRule="auto"/>
        <w:jc w:val="both"/>
        <w:rPr>
          <w:rFonts w:ascii="Arial" w:hAnsi="Arial" w:cs="Arial"/>
        </w:rPr>
      </w:pPr>
      <w:r>
        <w:rPr>
          <w:rFonts w:ascii="Arial" w:hAnsi="Arial" w:cs="Arial"/>
        </w:rPr>
        <w:t>Приложение № 23 -</w:t>
      </w:r>
      <w:r w:rsidRPr="00C42620">
        <w:rPr>
          <w:rFonts w:ascii="Arial" w:hAnsi="Arial" w:cs="Arial"/>
        </w:rPr>
        <w:t xml:space="preserve"> Образец на банкова гаранция;</w:t>
      </w:r>
    </w:p>
    <w:p w14:paraId="1ED33499" w14:textId="17A25856" w:rsidR="00C42620" w:rsidRPr="0047630A" w:rsidRDefault="00C42620" w:rsidP="00AE7A10">
      <w:pPr>
        <w:spacing w:before="120" w:after="120" w:line="240" w:lineRule="auto"/>
        <w:jc w:val="both"/>
        <w:rPr>
          <w:rFonts w:ascii="Arial" w:hAnsi="Arial" w:cs="Arial"/>
        </w:rPr>
      </w:pPr>
      <w:r w:rsidRPr="0047630A">
        <w:rPr>
          <w:rFonts w:ascii="Arial" w:hAnsi="Arial" w:cs="Arial"/>
        </w:rPr>
        <w:t>Приложение №</w:t>
      </w:r>
      <w:r>
        <w:rPr>
          <w:rFonts w:ascii="Arial" w:hAnsi="Arial" w:cs="Arial"/>
        </w:rPr>
        <w:t xml:space="preserve"> 24</w:t>
      </w:r>
      <w:r w:rsidRPr="0047630A">
        <w:rPr>
          <w:rFonts w:ascii="Arial" w:hAnsi="Arial" w:cs="Arial"/>
        </w:rPr>
        <w:t xml:space="preserve"> </w:t>
      </w:r>
      <w:r>
        <w:rPr>
          <w:rFonts w:ascii="Arial" w:hAnsi="Arial" w:cs="Arial"/>
        </w:rPr>
        <w:t>-</w:t>
      </w:r>
      <w:r w:rsidRPr="0047630A">
        <w:rPr>
          <w:rFonts w:ascii="Arial" w:hAnsi="Arial" w:cs="Arial"/>
        </w:rPr>
        <w:t xml:space="preserve"> </w:t>
      </w:r>
      <w:r>
        <w:rPr>
          <w:rFonts w:ascii="Arial" w:hAnsi="Arial" w:cs="Arial"/>
        </w:rPr>
        <w:t xml:space="preserve">Образец на </w:t>
      </w:r>
      <w:r w:rsidRPr="0047630A">
        <w:rPr>
          <w:rFonts w:ascii="Arial" w:hAnsi="Arial" w:cs="Arial"/>
        </w:rPr>
        <w:t>Запис на заповед</w:t>
      </w:r>
    </w:p>
    <w:p w14:paraId="484F905A" w14:textId="4A238D85" w:rsidR="00737872" w:rsidRPr="00C42620" w:rsidRDefault="00737872" w:rsidP="00AE7A10">
      <w:pPr>
        <w:spacing w:before="120" w:after="120" w:line="240" w:lineRule="auto"/>
        <w:jc w:val="both"/>
        <w:rPr>
          <w:rFonts w:ascii="Arial" w:hAnsi="Arial" w:cs="Arial"/>
        </w:rPr>
      </w:pPr>
      <w:r w:rsidRPr="00C42620">
        <w:rPr>
          <w:rFonts w:ascii="Arial" w:hAnsi="Arial" w:cs="Arial"/>
        </w:rPr>
        <w:t xml:space="preserve">Приложение № </w:t>
      </w:r>
      <w:r w:rsidR="00C42620">
        <w:rPr>
          <w:rFonts w:ascii="Arial" w:hAnsi="Arial" w:cs="Arial"/>
        </w:rPr>
        <w:t>25</w:t>
      </w:r>
      <w:r w:rsidRPr="00C42620">
        <w:rPr>
          <w:rFonts w:ascii="Arial" w:hAnsi="Arial" w:cs="Arial"/>
        </w:rPr>
        <w:t xml:space="preserve"> - Списък с изискуеми документи към Искане за авансово плащане;</w:t>
      </w:r>
    </w:p>
    <w:p w14:paraId="2F61AD0E" w14:textId="50F8FC96" w:rsidR="00737872" w:rsidRPr="00AE7A10" w:rsidRDefault="00737872" w:rsidP="00AE7A10">
      <w:pPr>
        <w:spacing w:before="120" w:after="120" w:line="240" w:lineRule="auto"/>
        <w:jc w:val="both"/>
        <w:rPr>
          <w:rFonts w:ascii="Arial" w:hAnsi="Arial" w:cs="Arial"/>
        </w:rPr>
      </w:pPr>
      <w:r w:rsidRPr="00C42620">
        <w:rPr>
          <w:rFonts w:ascii="Arial" w:hAnsi="Arial" w:cs="Arial"/>
        </w:rPr>
        <w:t xml:space="preserve">Приложение № </w:t>
      </w:r>
      <w:r w:rsidR="00C42620">
        <w:rPr>
          <w:rFonts w:ascii="Arial" w:hAnsi="Arial" w:cs="Arial"/>
        </w:rPr>
        <w:t>26</w:t>
      </w:r>
      <w:r w:rsidRPr="00C42620">
        <w:rPr>
          <w:rFonts w:ascii="Arial" w:hAnsi="Arial" w:cs="Arial"/>
        </w:rPr>
        <w:t xml:space="preserve"> - Списък с изискуеми документи към Искане за междинно/окончателно плащане;</w:t>
      </w:r>
    </w:p>
    <w:p w14:paraId="5138BC30" w14:textId="00DE7956" w:rsidR="00737872" w:rsidRDefault="00737872">
      <w:pPr>
        <w:spacing w:before="120" w:after="120" w:line="240" w:lineRule="auto"/>
        <w:jc w:val="both"/>
        <w:rPr>
          <w:rFonts w:ascii="Arial" w:hAnsi="Arial" w:cs="Arial"/>
        </w:rPr>
      </w:pPr>
      <w:r w:rsidRPr="00AE7A10">
        <w:rPr>
          <w:rFonts w:ascii="Arial" w:hAnsi="Arial" w:cs="Arial"/>
        </w:rPr>
        <w:t xml:space="preserve">Приложение № </w:t>
      </w:r>
      <w:r w:rsidR="00C42620">
        <w:rPr>
          <w:rFonts w:ascii="Arial" w:hAnsi="Arial" w:cs="Arial"/>
        </w:rPr>
        <w:t>27</w:t>
      </w:r>
      <w:r w:rsidRPr="00C42620">
        <w:rPr>
          <w:rFonts w:ascii="Arial" w:hAnsi="Arial" w:cs="Arial"/>
        </w:rPr>
        <w:t xml:space="preserve"> - Документи за осъществяване на последващ контрол </w:t>
      </w:r>
      <w:r w:rsidR="00112254">
        <w:rPr>
          <w:rFonts w:ascii="Arial" w:hAnsi="Arial" w:cs="Arial"/>
        </w:rPr>
        <w:t xml:space="preserve">за законосъобразност </w:t>
      </w:r>
      <w:r w:rsidRPr="00C42620">
        <w:rPr>
          <w:rFonts w:ascii="Arial" w:hAnsi="Arial" w:cs="Arial"/>
        </w:rPr>
        <w:t>на проведена процедура „Избор с публична покана“ по чл. 50, ал. 1 от ЗУСЕСИФ и ПМС № 160/01.07.2016 г.</w:t>
      </w:r>
    </w:p>
    <w:p w14:paraId="13563266" w14:textId="240FBAE2" w:rsidR="00C42620" w:rsidRDefault="00C42620">
      <w:pPr>
        <w:spacing w:before="120" w:after="120" w:line="240" w:lineRule="auto"/>
        <w:jc w:val="both"/>
        <w:rPr>
          <w:rFonts w:ascii="Arial" w:hAnsi="Arial" w:cs="Arial"/>
        </w:rPr>
      </w:pPr>
      <w:r>
        <w:rPr>
          <w:rFonts w:ascii="Arial" w:hAnsi="Arial" w:cs="Arial"/>
        </w:rPr>
        <w:t>Приложение № 28 - Указания за прилагане на ПМС 160/2016 г.;</w:t>
      </w:r>
    </w:p>
    <w:p w14:paraId="73301AD9" w14:textId="11416F24" w:rsidR="00482C33" w:rsidRPr="00AE7A10" w:rsidRDefault="00C42620" w:rsidP="00974C7D">
      <w:pPr>
        <w:spacing w:before="120" w:after="120" w:line="240" w:lineRule="auto"/>
        <w:jc w:val="both"/>
        <w:rPr>
          <w:rFonts w:ascii="Arial" w:hAnsi="Arial" w:cs="Arial"/>
        </w:rPr>
      </w:pPr>
      <w:r>
        <w:rPr>
          <w:rFonts w:ascii="Arial" w:hAnsi="Arial" w:cs="Arial"/>
        </w:rPr>
        <w:t>Приложение № 29 - Указания за регламентиране и отчитане на възнагражденията на екипите за изпълнение на проекти.</w:t>
      </w:r>
    </w:p>
    <w:sectPr w:rsidR="00482C33" w:rsidRPr="00AE7A10" w:rsidSect="007D42E3">
      <w:footerReference w:type="default" r:id="rId16"/>
      <w:headerReference w:type="first" r:id="rId17"/>
      <w:pgSz w:w="12240" w:h="15840"/>
      <w:pgMar w:top="1276" w:right="1183" w:bottom="1135"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0974D" w14:textId="77777777" w:rsidR="002C4E80" w:rsidRDefault="002C4E80" w:rsidP="00BE1440">
      <w:pPr>
        <w:spacing w:after="0" w:line="240" w:lineRule="auto"/>
      </w:pPr>
      <w:r>
        <w:separator/>
      </w:r>
    </w:p>
  </w:endnote>
  <w:endnote w:type="continuationSeparator" w:id="0">
    <w:p w14:paraId="38624809" w14:textId="77777777" w:rsidR="002C4E80" w:rsidRDefault="002C4E80"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1436711266"/>
      <w:docPartObj>
        <w:docPartGallery w:val="Page Numbers (Bottom of Page)"/>
        <w:docPartUnique/>
      </w:docPartObj>
    </w:sdtPr>
    <w:sdtEndPr/>
    <w:sdtContent>
      <w:sdt>
        <w:sdtPr>
          <w:rPr>
            <w:rFonts w:ascii="Arial" w:hAnsi="Arial" w:cs="Arial"/>
            <w:lang w:val="en-US"/>
          </w:rPr>
          <w:id w:val="-238493172"/>
          <w:docPartObj>
            <w:docPartGallery w:val="Page Numbers (Top of Page)"/>
            <w:docPartUnique/>
          </w:docPartObj>
        </w:sdtPr>
        <w:sdtEndPr/>
        <w:sdtContent>
          <w:p w14:paraId="0384A8FF" w14:textId="6849417D"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DA4055">
              <w:rPr>
                <w:rFonts w:ascii="Arial" w:hAnsi="Arial" w:cs="Arial"/>
                <w:bCs/>
                <w:noProof/>
                <w:sz w:val="12"/>
                <w:szCs w:val="12"/>
                <w:lang w:val="en-US"/>
              </w:rPr>
              <w:t>13</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DA4055">
              <w:rPr>
                <w:rFonts w:ascii="Arial" w:hAnsi="Arial" w:cs="Arial"/>
                <w:bCs/>
                <w:noProof/>
                <w:sz w:val="12"/>
                <w:szCs w:val="12"/>
                <w:lang w:val="en-US"/>
              </w:rPr>
              <w:t>13</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FDCA2" w14:textId="77777777" w:rsidR="002C4E80" w:rsidRDefault="002C4E80" w:rsidP="00BE1440">
      <w:pPr>
        <w:spacing w:after="0" w:line="240" w:lineRule="auto"/>
      </w:pPr>
      <w:r>
        <w:separator/>
      </w:r>
    </w:p>
  </w:footnote>
  <w:footnote w:type="continuationSeparator" w:id="0">
    <w:p w14:paraId="2BCCFB7A" w14:textId="77777777" w:rsidR="002C4E80" w:rsidRDefault="002C4E80"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4"/>
      <w:gridCol w:w="3749"/>
      <w:gridCol w:w="2226"/>
    </w:tblGrid>
    <w:tr w:rsidR="006E5E1F" w:rsidRPr="006E5E1F" w14:paraId="223BF492" w14:textId="77777777" w:rsidTr="006E5E1F">
      <w:trPr>
        <w:jc w:val="center"/>
      </w:trPr>
      <w:tc>
        <w:tcPr>
          <w:tcW w:w="2839" w:type="dxa"/>
          <w:hideMark/>
        </w:tcPr>
        <w:p w14:paraId="45867D05" w14:textId="77777777" w:rsidR="006E5E1F" w:rsidRPr="006E5E1F" w:rsidRDefault="006E5E1F" w:rsidP="006E5E1F">
          <w:pPr>
            <w:spacing w:after="0" w:line="240" w:lineRule="auto"/>
            <w:jc w:val="center"/>
            <w:rPr>
              <w:rFonts w:ascii="Calibri" w:eastAsia="Calibri" w:hAnsi="Calibri" w:cs="Times New Roman"/>
            </w:rPr>
          </w:pPr>
          <w:r w:rsidRPr="006E5E1F">
            <w:rPr>
              <w:rFonts w:ascii="Calibri" w:eastAsia="Calibri" w:hAnsi="Calibri" w:cs="Times New Roman"/>
              <w:lang w:val="en-US"/>
            </w:rPr>
            <w:drawing>
              <wp:inline distT="0" distB="0" distL="0" distR="0" wp14:anchorId="71225A3B" wp14:editId="4DEC776E">
                <wp:extent cx="1038225" cy="723900"/>
                <wp:effectExtent l="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723900"/>
                        </a:xfrm>
                        <a:prstGeom prst="rect">
                          <a:avLst/>
                        </a:prstGeom>
                        <a:noFill/>
                        <a:ln>
                          <a:noFill/>
                        </a:ln>
                      </pic:spPr>
                    </pic:pic>
                  </a:graphicData>
                </a:graphic>
              </wp:inline>
            </w:drawing>
          </w:r>
        </w:p>
        <w:p w14:paraId="5376FD69" w14:textId="77777777" w:rsidR="006E5E1F" w:rsidRPr="006E5E1F" w:rsidRDefault="006E5E1F" w:rsidP="006E5E1F">
          <w:pPr>
            <w:spacing w:after="0" w:line="240" w:lineRule="auto"/>
            <w:jc w:val="center"/>
            <w:rPr>
              <w:rFonts w:ascii="Candara" w:eastAsia="Calibri" w:hAnsi="Candara" w:cs="Candara"/>
              <w:b/>
              <w:bCs/>
              <w:kern w:val="24"/>
              <w:sz w:val="16"/>
              <w:szCs w:val="16"/>
              <w:lang w:val="ru-RU"/>
            </w:rPr>
          </w:pPr>
          <w:r w:rsidRPr="006E5E1F">
            <w:rPr>
              <w:rFonts w:ascii="Candara" w:eastAsia="Calibri" w:hAnsi="Candara" w:cs="Candara"/>
              <w:b/>
              <w:bCs/>
              <w:kern w:val="24"/>
              <w:sz w:val="16"/>
              <w:szCs w:val="16"/>
              <w:lang w:val="ru-RU"/>
            </w:rPr>
            <w:t>ЕВРОПЕЙСКИ СЪЮЗ</w:t>
          </w:r>
        </w:p>
        <w:p w14:paraId="16E481C2" w14:textId="77777777" w:rsidR="006E5E1F" w:rsidRPr="006E5E1F" w:rsidRDefault="006E5E1F" w:rsidP="006E5E1F">
          <w:pPr>
            <w:spacing w:after="0" w:line="240" w:lineRule="auto"/>
            <w:jc w:val="center"/>
            <w:rPr>
              <w:rFonts w:ascii="Candara" w:eastAsia="Calibri" w:hAnsi="Candara" w:cs="Candara"/>
              <w:kern w:val="24"/>
              <w:sz w:val="16"/>
              <w:szCs w:val="16"/>
              <w:lang w:val="ru-RU"/>
            </w:rPr>
          </w:pPr>
          <w:r w:rsidRPr="006E5E1F">
            <w:rPr>
              <w:rFonts w:ascii="Candara" w:eastAsia="Calibri" w:hAnsi="Candara" w:cs="Candara"/>
              <w:kern w:val="24"/>
              <w:sz w:val="16"/>
              <w:szCs w:val="16"/>
              <w:lang w:val="ru-RU"/>
            </w:rPr>
            <w:t>ЕВРОПЕЙСКИ ФОНД ЗА</w:t>
          </w:r>
        </w:p>
        <w:p w14:paraId="5752B66F" w14:textId="77777777" w:rsidR="006E5E1F" w:rsidRPr="006E5E1F" w:rsidRDefault="006E5E1F" w:rsidP="006E5E1F">
          <w:pPr>
            <w:spacing w:after="0" w:line="240" w:lineRule="auto"/>
            <w:jc w:val="center"/>
            <w:rPr>
              <w:rFonts w:ascii="Calibri" w:eastAsia="Calibri" w:hAnsi="Calibri" w:cs="Times New Roman"/>
            </w:rPr>
          </w:pPr>
          <w:r w:rsidRPr="006E5E1F">
            <w:rPr>
              <w:rFonts w:ascii="Candara" w:eastAsia="Calibri" w:hAnsi="Candara" w:cs="Candara"/>
              <w:kern w:val="24"/>
              <w:sz w:val="16"/>
              <w:szCs w:val="16"/>
              <w:lang w:val="ru-RU"/>
            </w:rPr>
            <w:t>МОРСКО ДЕЛО И РИБАРСТВО</w:t>
          </w:r>
        </w:p>
      </w:tc>
      <w:tc>
        <w:tcPr>
          <w:tcW w:w="3880" w:type="dxa"/>
          <w:hideMark/>
        </w:tcPr>
        <w:p w14:paraId="1B2D9AB1" w14:textId="77777777" w:rsidR="006E5E1F" w:rsidRPr="006E5E1F" w:rsidRDefault="006E5E1F" w:rsidP="006E5E1F">
          <w:pPr>
            <w:spacing w:after="0" w:line="240" w:lineRule="auto"/>
            <w:jc w:val="center"/>
            <w:rPr>
              <w:rFonts w:ascii="Calibri" w:eastAsia="Calibri" w:hAnsi="Calibri" w:cs="Times New Roman"/>
            </w:rPr>
          </w:pPr>
          <w:r w:rsidRPr="006E5E1F">
            <w:rPr>
              <w:rFonts w:ascii="Calibri" w:eastAsia="Calibri" w:hAnsi="Calibri" w:cs="Times New Roman"/>
              <w:lang w:val="en-US"/>
            </w:rPr>
            <w:drawing>
              <wp:inline distT="0" distB="0" distL="0" distR="0" wp14:anchorId="03AE8351" wp14:editId="58F0716C">
                <wp:extent cx="1562100" cy="847725"/>
                <wp:effectExtent l="0" t="0" r="0" b="9525"/>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847725"/>
                        </a:xfrm>
                        <a:prstGeom prst="rect">
                          <a:avLst/>
                        </a:prstGeom>
                        <a:noFill/>
                        <a:ln>
                          <a:noFill/>
                        </a:ln>
                      </pic:spPr>
                    </pic:pic>
                  </a:graphicData>
                </a:graphic>
              </wp:inline>
            </w:drawing>
          </w:r>
        </w:p>
        <w:p w14:paraId="3F942E06" w14:textId="77777777" w:rsidR="006E5E1F" w:rsidRPr="006E5E1F" w:rsidRDefault="006E5E1F" w:rsidP="006E5E1F">
          <w:pPr>
            <w:spacing w:after="0" w:line="256" w:lineRule="auto"/>
            <w:jc w:val="center"/>
            <w:textAlignment w:val="baseline"/>
            <w:rPr>
              <w:rFonts w:ascii="Calibri" w:eastAsia="Calibri" w:hAnsi="Calibri" w:cs="Calibri"/>
              <w:noProof w:val="0"/>
              <w:sz w:val="16"/>
              <w:szCs w:val="16"/>
            </w:rPr>
          </w:pPr>
          <w:r w:rsidRPr="006E5E1F">
            <w:rPr>
              <w:rFonts w:ascii="Candara" w:eastAsia="Calibri" w:hAnsi="Candara" w:cs="Candara"/>
              <w:noProof w:val="0"/>
              <w:color w:val="000000"/>
              <w:kern w:val="24"/>
              <w:sz w:val="16"/>
              <w:szCs w:val="16"/>
            </w:rPr>
            <w:t>МИНИСТЕРСТВО НА ЗЕМЕДЕЛИЕТО</w:t>
          </w:r>
        </w:p>
        <w:p w14:paraId="32B67F16" w14:textId="77777777" w:rsidR="006E5E1F" w:rsidRPr="006E5E1F" w:rsidRDefault="006E5E1F" w:rsidP="006E5E1F">
          <w:pPr>
            <w:spacing w:after="160" w:line="256" w:lineRule="auto"/>
            <w:jc w:val="center"/>
            <w:rPr>
              <w:rFonts w:ascii="Candara" w:eastAsia="Calibri" w:hAnsi="Candara" w:cs="Calibri"/>
              <w:noProof w:val="0"/>
              <w:sz w:val="18"/>
              <w:szCs w:val="18"/>
            </w:rPr>
          </w:pPr>
          <w:r w:rsidRPr="006E5E1F">
            <w:rPr>
              <w:rFonts w:ascii="Candara" w:eastAsia="Calibri" w:hAnsi="Candara" w:cs="Calibri"/>
              <w:noProof w:val="0"/>
              <w:sz w:val="16"/>
              <w:szCs w:val="16"/>
            </w:rPr>
            <w:t>НА РЕПУБЛИКА БЪЛГАРИЯ</w:t>
          </w:r>
        </w:p>
      </w:tc>
      <w:tc>
        <w:tcPr>
          <w:tcW w:w="1990" w:type="dxa"/>
          <w:hideMark/>
        </w:tcPr>
        <w:p w14:paraId="1E363FD8" w14:textId="77777777" w:rsidR="006E5E1F" w:rsidRPr="006E5E1F" w:rsidRDefault="006E5E1F" w:rsidP="006E5E1F">
          <w:pPr>
            <w:spacing w:after="0" w:line="240" w:lineRule="auto"/>
            <w:jc w:val="center"/>
            <w:rPr>
              <w:rFonts w:ascii="Arial" w:eastAsia="Calibri" w:hAnsi="Arial" w:cs="Arial"/>
            </w:rPr>
          </w:pPr>
          <w:r w:rsidRPr="006E5E1F">
            <w:rPr>
              <w:rFonts w:ascii="Arial" w:eastAsia="Calibri" w:hAnsi="Arial" w:cs="Arial"/>
              <w:lang w:val="en-US"/>
            </w:rPr>
            <w:drawing>
              <wp:inline distT="0" distB="0" distL="0" distR="0" wp14:anchorId="1B3C2284" wp14:editId="6D04D31B">
                <wp:extent cx="1276350" cy="116205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1162050"/>
                        </a:xfrm>
                        <a:prstGeom prst="rect">
                          <a:avLst/>
                        </a:prstGeom>
                        <a:noFill/>
                        <a:ln>
                          <a:noFill/>
                        </a:ln>
                      </pic:spPr>
                    </pic:pic>
                  </a:graphicData>
                </a:graphic>
              </wp:inline>
            </w:drawing>
          </w:r>
        </w:p>
      </w:tc>
    </w:tr>
  </w:tbl>
  <w:p w14:paraId="181FC154" w14:textId="3F7600E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0595A"/>
    <w:multiLevelType w:val="hybridMultilevel"/>
    <w:tmpl w:val="C1B826FA"/>
    <w:lvl w:ilvl="0" w:tplc="65E2244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E0253"/>
    <w:multiLevelType w:val="hybridMultilevel"/>
    <w:tmpl w:val="DFB840EA"/>
    <w:lvl w:ilvl="0" w:tplc="514899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52683756"/>
    <w:multiLevelType w:val="hybridMultilevel"/>
    <w:tmpl w:val="6C520558"/>
    <w:lvl w:ilvl="0" w:tplc="11ECDD54">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6">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8">
    <w:nsid w:val="79A511D6"/>
    <w:multiLevelType w:val="hybridMultilevel"/>
    <w:tmpl w:val="108668EA"/>
    <w:lvl w:ilvl="0" w:tplc="E7F8A04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7"/>
  </w:num>
  <w:num w:numId="8">
    <w:abstractNumId w:val="0"/>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254D8"/>
    <w:rsid w:val="00035081"/>
    <w:rsid w:val="000355CB"/>
    <w:rsid w:val="000448AE"/>
    <w:rsid w:val="000508AF"/>
    <w:rsid w:val="0005199E"/>
    <w:rsid w:val="00054D39"/>
    <w:rsid w:val="00055ACE"/>
    <w:rsid w:val="00081238"/>
    <w:rsid w:val="0008198B"/>
    <w:rsid w:val="00084A4D"/>
    <w:rsid w:val="000B597B"/>
    <w:rsid w:val="000C6D46"/>
    <w:rsid w:val="000E0D7B"/>
    <w:rsid w:val="000E719C"/>
    <w:rsid w:val="00106AA2"/>
    <w:rsid w:val="00112254"/>
    <w:rsid w:val="001124D7"/>
    <w:rsid w:val="001169D6"/>
    <w:rsid w:val="00126D29"/>
    <w:rsid w:val="0013464E"/>
    <w:rsid w:val="001366D8"/>
    <w:rsid w:val="0014282C"/>
    <w:rsid w:val="00150B86"/>
    <w:rsid w:val="00152FCE"/>
    <w:rsid w:val="00157289"/>
    <w:rsid w:val="001669A6"/>
    <w:rsid w:val="00171577"/>
    <w:rsid w:val="0018161B"/>
    <w:rsid w:val="00183EAB"/>
    <w:rsid w:val="001922EC"/>
    <w:rsid w:val="001941F2"/>
    <w:rsid w:val="00195049"/>
    <w:rsid w:val="001C1D9B"/>
    <w:rsid w:val="001C4690"/>
    <w:rsid w:val="001E4E80"/>
    <w:rsid w:val="00207619"/>
    <w:rsid w:val="00213E5F"/>
    <w:rsid w:val="00214AB7"/>
    <w:rsid w:val="00217993"/>
    <w:rsid w:val="00236F07"/>
    <w:rsid w:val="002413EB"/>
    <w:rsid w:val="00251B7A"/>
    <w:rsid w:val="0025284B"/>
    <w:rsid w:val="00265587"/>
    <w:rsid w:val="00284EE5"/>
    <w:rsid w:val="00295FCA"/>
    <w:rsid w:val="002A175F"/>
    <w:rsid w:val="002A35E0"/>
    <w:rsid w:val="002A648C"/>
    <w:rsid w:val="002A7660"/>
    <w:rsid w:val="002B5F72"/>
    <w:rsid w:val="002C4E80"/>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7780F"/>
    <w:rsid w:val="00482C33"/>
    <w:rsid w:val="004872FC"/>
    <w:rsid w:val="004919CA"/>
    <w:rsid w:val="00493522"/>
    <w:rsid w:val="00493C00"/>
    <w:rsid w:val="00494690"/>
    <w:rsid w:val="004B3B8D"/>
    <w:rsid w:val="004C0884"/>
    <w:rsid w:val="004D1773"/>
    <w:rsid w:val="004E0512"/>
    <w:rsid w:val="004F4FB8"/>
    <w:rsid w:val="005158AC"/>
    <w:rsid w:val="00536F07"/>
    <w:rsid w:val="005370FA"/>
    <w:rsid w:val="00540097"/>
    <w:rsid w:val="0054119A"/>
    <w:rsid w:val="005422A6"/>
    <w:rsid w:val="0054361C"/>
    <w:rsid w:val="00544EC2"/>
    <w:rsid w:val="00582F1D"/>
    <w:rsid w:val="00583D2C"/>
    <w:rsid w:val="005B5793"/>
    <w:rsid w:val="005E326A"/>
    <w:rsid w:val="005F16AB"/>
    <w:rsid w:val="00605FC7"/>
    <w:rsid w:val="006121B2"/>
    <w:rsid w:val="006247BE"/>
    <w:rsid w:val="006406EB"/>
    <w:rsid w:val="0065301A"/>
    <w:rsid w:val="0065586C"/>
    <w:rsid w:val="0067406C"/>
    <w:rsid w:val="0067522C"/>
    <w:rsid w:val="006804D7"/>
    <w:rsid w:val="0068418C"/>
    <w:rsid w:val="006A7BDE"/>
    <w:rsid w:val="006A7FA2"/>
    <w:rsid w:val="006E5E1F"/>
    <w:rsid w:val="006F1CD0"/>
    <w:rsid w:val="00716F01"/>
    <w:rsid w:val="00725950"/>
    <w:rsid w:val="00731808"/>
    <w:rsid w:val="00737872"/>
    <w:rsid w:val="00737B32"/>
    <w:rsid w:val="00747BCF"/>
    <w:rsid w:val="00781B16"/>
    <w:rsid w:val="007A06F5"/>
    <w:rsid w:val="007A4097"/>
    <w:rsid w:val="007B7BB7"/>
    <w:rsid w:val="007D42E3"/>
    <w:rsid w:val="007E5400"/>
    <w:rsid w:val="007F03C4"/>
    <w:rsid w:val="00823030"/>
    <w:rsid w:val="00850BA4"/>
    <w:rsid w:val="00851A0D"/>
    <w:rsid w:val="00866B44"/>
    <w:rsid w:val="00866FF3"/>
    <w:rsid w:val="00886C84"/>
    <w:rsid w:val="00895422"/>
    <w:rsid w:val="008A1A07"/>
    <w:rsid w:val="008B175D"/>
    <w:rsid w:val="008B3A0F"/>
    <w:rsid w:val="008B7983"/>
    <w:rsid w:val="008C5380"/>
    <w:rsid w:val="008F36AA"/>
    <w:rsid w:val="008F62E7"/>
    <w:rsid w:val="00920654"/>
    <w:rsid w:val="00921927"/>
    <w:rsid w:val="0094028D"/>
    <w:rsid w:val="009556C3"/>
    <w:rsid w:val="00956394"/>
    <w:rsid w:val="00974C7D"/>
    <w:rsid w:val="009809B4"/>
    <w:rsid w:val="009C6819"/>
    <w:rsid w:val="009D0D08"/>
    <w:rsid w:val="009D57DF"/>
    <w:rsid w:val="009E3C67"/>
    <w:rsid w:val="009E666F"/>
    <w:rsid w:val="009F11B2"/>
    <w:rsid w:val="00A23C55"/>
    <w:rsid w:val="00A33C26"/>
    <w:rsid w:val="00A3480C"/>
    <w:rsid w:val="00A466E7"/>
    <w:rsid w:val="00A523D3"/>
    <w:rsid w:val="00A61410"/>
    <w:rsid w:val="00A75130"/>
    <w:rsid w:val="00A93052"/>
    <w:rsid w:val="00AA22E4"/>
    <w:rsid w:val="00AB0250"/>
    <w:rsid w:val="00AB235D"/>
    <w:rsid w:val="00AB4F8F"/>
    <w:rsid w:val="00AC2460"/>
    <w:rsid w:val="00AD6C09"/>
    <w:rsid w:val="00AE028C"/>
    <w:rsid w:val="00AE7A10"/>
    <w:rsid w:val="00AF0685"/>
    <w:rsid w:val="00B125E2"/>
    <w:rsid w:val="00B2600A"/>
    <w:rsid w:val="00B33385"/>
    <w:rsid w:val="00B42A43"/>
    <w:rsid w:val="00B42F2F"/>
    <w:rsid w:val="00B439BD"/>
    <w:rsid w:val="00B6115D"/>
    <w:rsid w:val="00B83EF6"/>
    <w:rsid w:val="00B85B16"/>
    <w:rsid w:val="00BC1887"/>
    <w:rsid w:val="00BC1DE6"/>
    <w:rsid w:val="00BE1440"/>
    <w:rsid w:val="00BE3174"/>
    <w:rsid w:val="00BF3F1D"/>
    <w:rsid w:val="00C00585"/>
    <w:rsid w:val="00C06848"/>
    <w:rsid w:val="00C2560D"/>
    <w:rsid w:val="00C329DC"/>
    <w:rsid w:val="00C358EA"/>
    <w:rsid w:val="00C42620"/>
    <w:rsid w:val="00C50E2A"/>
    <w:rsid w:val="00C520AE"/>
    <w:rsid w:val="00C626B3"/>
    <w:rsid w:val="00C7211D"/>
    <w:rsid w:val="00C8194A"/>
    <w:rsid w:val="00C83712"/>
    <w:rsid w:val="00C95187"/>
    <w:rsid w:val="00C95C85"/>
    <w:rsid w:val="00CA7CA0"/>
    <w:rsid w:val="00CB0AAD"/>
    <w:rsid w:val="00CB5A2B"/>
    <w:rsid w:val="00CC7FEF"/>
    <w:rsid w:val="00CD3722"/>
    <w:rsid w:val="00CE3E57"/>
    <w:rsid w:val="00D01147"/>
    <w:rsid w:val="00D868C5"/>
    <w:rsid w:val="00DA1EE5"/>
    <w:rsid w:val="00DA405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631"/>
    <w:rsid w:val="00E96916"/>
    <w:rsid w:val="00EA4830"/>
    <w:rsid w:val="00EB1E14"/>
    <w:rsid w:val="00ED764F"/>
    <w:rsid w:val="00EE64DB"/>
    <w:rsid w:val="00F04B88"/>
    <w:rsid w:val="00F36118"/>
    <w:rsid w:val="00F41FFC"/>
    <w:rsid w:val="00F44E5A"/>
    <w:rsid w:val="00F51E67"/>
    <w:rsid w:val="00F5416D"/>
    <w:rsid w:val="00F56CCF"/>
    <w:rsid w:val="00F63EAA"/>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11652">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pmdr/node/531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313" TargetMode="Externa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bg/pmdr/node/527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975A5-4525-4AA3-B542-85A0A674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13</Pages>
  <Words>5205</Words>
  <Characters>29675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43</cp:revision>
  <cp:lastPrinted>2021-01-20T10:25:00Z</cp:lastPrinted>
  <dcterms:created xsi:type="dcterms:W3CDTF">2021-01-22T12:05:00Z</dcterms:created>
  <dcterms:modified xsi:type="dcterms:W3CDTF">2022-05-31T08:36:00Z</dcterms:modified>
</cp:coreProperties>
</file>