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664" w:rsidRPr="00D61664" w:rsidRDefault="00D61664" w:rsidP="00D61664">
      <w:pPr>
        <w:spacing w:after="0" w:line="276" w:lineRule="auto"/>
        <w:rPr>
          <w:rFonts w:ascii="Calibri" w:eastAsia="Calibri" w:hAnsi="Calibri" w:cs="Times New Roman"/>
          <w:lang w:val="bg-BG"/>
        </w:rPr>
      </w:pPr>
      <w:r w:rsidRPr="00D61664">
        <w:rPr>
          <w:rFonts w:ascii="Calibri" w:eastAsia="Calibri" w:hAnsi="Calibri" w:cs="Calibri"/>
          <w:noProof/>
        </w:rPr>
        <w:drawing>
          <wp:anchor distT="0" distB="0" distL="114300" distR="114300" simplePos="0" relativeHeight="251659264" behindDoc="0" locked="0" layoutInCell="1" allowOverlap="1" wp14:anchorId="579A7105" wp14:editId="5AEEBACF">
            <wp:simplePos x="0" y="0"/>
            <wp:positionH relativeFrom="column">
              <wp:posOffset>4156075</wp:posOffset>
            </wp:positionH>
            <wp:positionV relativeFrom="paragraph">
              <wp:posOffset>-193040</wp:posOffset>
            </wp:positionV>
            <wp:extent cx="1678821" cy="989965"/>
            <wp:effectExtent l="0" t="0" r="0" b="635"/>
            <wp:wrapNone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821" cy="9899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D61664">
        <w:rPr>
          <w:rFonts w:ascii="Arial" w:eastAsia="Calibri" w:hAnsi="Arial" w:cs="Arial"/>
          <w:noProof/>
        </w:rPr>
        <w:drawing>
          <wp:inline distT="0" distB="0" distL="0" distR="0" wp14:anchorId="6B94B35E" wp14:editId="42B2036D">
            <wp:extent cx="1143000" cy="781050"/>
            <wp:effectExtent l="0" t="0" r="0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664" w:rsidRPr="00D61664" w:rsidRDefault="00D61664" w:rsidP="00D61664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D61664">
        <w:rPr>
          <w:rFonts w:ascii="Candara" w:eastAsia="Times New Roman" w:hAnsi="Candara" w:cs="Candara"/>
          <w:b/>
          <w:bCs/>
          <w:color w:val="000000"/>
          <w:kern w:val="24"/>
          <w:sz w:val="18"/>
          <w:szCs w:val="18"/>
          <w:lang w:val="bg-BG" w:eastAsia="bg-BG"/>
        </w:rPr>
        <w:t>ЕВРОПЕЙСКИ СЪЮЗ</w:t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 xml:space="preserve"> </w:t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  <w:t>МИНИСТЕРСТВО НА ЗЕМЕДЕЛИЕТО</w:t>
      </w:r>
      <w:r w:rsidRPr="00D61664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 xml:space="preserve"> </w:t>
      </w:r>
    </w:p>
    <w:p w:rsidR="00D61664" w:rsidRPr="00D61664" w:rsidRDefault="00D61664" w:rsidP="00D61664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 xml:space="preserve">ЕВРОПЕЙСКИ ФОНД </w:t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</w:p>
    <w:p w:rsidR="00FD3CA5" w:rsidRDefault="00D61664" w:rsidP="00D61664">
      <w:pPr>
        <w:spacing w:after="0" w:line="276" w:lineRule="auto"/>
        <w:ind w:left="-284" w:firstLine="284"/>
        <w:suppressOverlap/>
        <w:textAlignment w:val="baseline"/>
        <w:rPr>
          <w:rFonts w:ascii="Candara" w:eastAsia="Times New Roman" w:hAnsi="Candara" w:cs="Candara"/>
          <w:color w:val="000000"/>
          <w:kern w:val="24"/>
          <w:sz w:val="18"/>
          <w:szCs w:val="18"/>
          <w:lang w:eastAsia="bg-BG"/>
        </w:rPr>
      </w:pP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>ЗА МОРСКО ДЕЛО, РИБАРСТВО</w:t>
      </w:r>
      <w:r w:rsidR="00FD3CA5">
        <w:rPr>
          <w:rFonts w:ascii="Candara" w:eastAsia="Times New Roman" w:hAnsi="Candara" w:cs="Candara"/>
          <w:color w:val="000000"/>
          <w:kern w:val="24"/>
          <w:sz w:val="18"/>
          <w:szCs w:val="18"/>
          <w:lang w:eastAsia="bg-BG"/>
        </w:rPr>
        <w:t xml:space="preserve"> </w:t>
      </w:r>
    </w:p>
    <w:p w:rsidR="00D61664" w:rsidRPr="00D61664" w:rsidRDefault="00D61664" w:rsidP="00D61664">
      <w:pPr>
        <w:spacing w:after="0" w:line="276" w:lineRule="auto"/>
        <w:ind w:left="-284" w:firstLine="284"/>
        <w:suppressOverlap/>
        <w:textAlignment w:val="baseline"/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</w:pP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>И АКВАКУЛТУРИ</w:t>
      </w:r>
    </w:p>
    <w:p w:rsidR="00D61664" w:rsidRDefault="00D61664" w:rsidP="00D61664">
      <w:pPr>
        <w:spacing w:after="0" w:line="276" w:lineRule="auto"/>
        <w:suppressOverlap/>
        <w:textAlignment w:val="baseline"/>
        <w:rPr>
          <w:rFonts w:ascii="Candara" w:eastAsia="Times New Roman" w:hAnsi="Candara" w:cs="Candara"/>
          <w:b/>
          <w:bCs/>
          <w:color w:val="000000"/>
          <w:kern w:val="24"/>
          <w:sz w:val="18"/>
          <w:szCs w:val="18"/>
          <w:lang w:val="bg-BG" w:eastAsia="bg-BG"/>
        </w:rPr>
      </w:pPr>
    </w:p>
    <w:p w:rsidR="00D7176E" w:rsidRPr="00D61664" w:rsidRDefault="00D7176E" w:rsidP="00D61664">
      <w:pPr>
        <w:spacing w:after="0" w:line="276" w:lineRule="auto"/>
        <w:suppressOverlap/>
        <w:textAlignment w:val="baseline"/>
        <w:rPr>
          <w:rFonts w:ascii="Candara" w:eastAsia="Times New Roman" w:hAnsi="Candara" w:cs="Candara"/>
          <w:b/>
          <w:bCs/>
          <w:color w:val="000000"/>
          <w:kern w:val="24"/>
          <w:sz w:val="18"/>
          <w:szCs w:val="18"/>
          <w:lang w:val="bg-BG" w:eastAsia="bg-BG"/>
        </w:rPr>
      </w:pPr>
    </w:p>
    <w:p w:rsidR="00D61664" w:rsidRPr="00D61664" w:rsidRDefault="00D61664" w:rsidP="00D61664">
      <w:pPr>
        <w:spacing w:after="0" w:line="276" w:lineRule="auto"/>
        <w:rPr>
          <w:rFonts w:ascii="Calibri" w:eastAsia="Calibri" w:hAnsi="Calibri" w:cs="Times New Roman"/>
          <w:lang w:val="bg-BG"/>
        </w:rPr>
      </w:pPr>
    </w:p>
    <w:p w:rsidR="00D61664" w:rsidRDefault="00D61664" w:rsidP="00D616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ДОПЪЛНЯЕМОСТ НА ПРОГРАМАТА ЗА МОРСКО ДЕЛО, РИБАРСТВО И АКВАКУЛТУРИ 2021-2027 Г. (ПМДРА) С ДРУГИ ПРОГРАМИ, ФОНДОВЕ И ИНСТРУМЕНТИ НА ЕВРОПЕЙСКИЯ СЪЮЗ</w:t>
      </w:r>
    </w:p>
    <w:p w:rsidR="00D7176E" w:rsidRPr="00DB7589" w:rsidRDefault="00D7176E" w:rsidP="00D616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61664" w:rsidRPr="00D61664" w:rsidRDefault="00D61664" w:rsidP="00D61664">
      <w:pPr>
        <w:spacing w:after="0" w:line="276" w:lineRule="auto"/>
        <w:rPr>
          <w:rFonts w:ascii="Calibri" w:eastAsia="Calibri" w:hAnsi="Calibri" w:cs="Times New Roman"/>
          <w:lang w:val="bg-BG"/>
        </w:rPr>
      </w:pPr>
    </w:p>
    <w:p w:rsidR="00D94238" w:rsidRPr="00DB7589" w:rsidRDefault="00D9423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Взаимодействието на </w:t>
      </w:r>
      <w:r w:rsidR="000F5001" w:rsidRPr="00DB7589">
        <w:rPr>
          <w:rFonts w:ascii="Times New Roman" w:hAnsi="Times New Roman" w:cs="Times New Roman"/>
          <w:sz w:val="24"/>
          <w:szCs w:val="24"/>
          <w:lang w:val="bg-BG"/>
        </w:rPr>
        <w:t>ПМДР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>А с други програми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>, които ще се изпълняват през програмен период 2021-2027 г.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>е заложено в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Споразумението за партньорство</w:t>
      </w:r>
      <w:r w:rsidR="00862B53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(СП)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>, чрез идентифицирани цели на политиката</w:t>
      </w:r>
      <w:r w:rsidR="00105D4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(ЦП)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ПМДРА </w:t>
      </w:r>
      <w:r w:rsidR="003C6BB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ще изпълнява дейности, свързани с постигане на 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ЦП </w:t>
      </w:r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2 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По-зелена, </w:t>
      </w:r>
      <w:proofErr w:type="spellStart"/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>нисковъглеродна</w:t>
      </w:r>
      <w:proofErr w:type="spellEnd"/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устойчива Европа с икономика в преход към нулеви нетни въглеродни емисии чрез насърчаване на чист и справедлив енергиен преход, зелени и сини инвестиции, кръгова икономика, смекчаване на последиците от изменението на климата и приспособяване към него, превенция и управление на риска и устойчива градска мобилност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>“ (Приоритети 1, 2 и 4) и ЦП 5 „</w:t>
      </w:r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>Европа по-близо до гражданите чрез насърчаване на устойчивото и интегрирано развитие на всички видове територии и местни инициативи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>“ (Приоритет 3)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Програмите, попадащи в 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>посочените цели на политиката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имат 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отношение </w:t>
      </w:r>
      <w:r w:rsidR="00321A2E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изпълнението на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ПМДРА.</w:t>
      </w:r>
    </w:p>
    <w:p w:rsidR="00321A2E" w:rsidRPr="00DB7589" w:rsidRDefault="00321A2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21A2E" w:rsidRDefault="00D7176E" w:rsidP="00D7176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СИНЕРГИЯ И ДОПЪЛНЯЕМОСТ С ДРУГИ ПРОГРАМИ,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ФОНДОВЕ И ИНСТРУМЕНТИ НА ЕС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F5001" w:rsidRDefault="00D94238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„Конкурентоспособност и иновации в предприятията“</w:t>
      </w:r>
      <w:r w:rsidR="008A2A09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5A6BF1" w:rsidRPr="00DB7589">
        <w:rPr>
          <w:rFonts w:ascii="Times New Roman" w:hAnsi="Times New Roman" w:cs="Times New Roman"/>
          <w:b/>
          <w:sz w:val="24"/>
          <w:szCs w:val="24"/>
          <w:lang w:val="bg-BG"/>
        </w:rPr>
        <w:t>(ПКИП)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16DEE" w:rsidRPr="00DB7589" w:rsidRDefault="00C569DF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ПМДРА ще подпомага </w:t>
      </w:r>
      <w:r w:rsidR="00B324E4" w:rsidRPr="00DB7589">
        <w:rPr>
          <w:rFonts w:ascii="Times New Roman" w:hAnsi="Times New Roman" w:cs="Times New Roman"/>
          <w:sz w:val="24"/>
          <w:szCs w:val="24"/>
          <w:lang w:val="bg-BG"/>
        </w:rPr>
        <w:t>дейности по прилагане на мерки за енергийна ефективност, подобряване на ресурсната ефективност в предприятията в областта на производството и управлението на отпадъците, разработване и внедряване на иновативни продукти, процеси и бизнес модели в областта на кръговата икономика</w:t>
      </w:r>
      <w:r w:rsidR="00471CF0" w:rsidRPr="00DB7589">
        <w:rPr>
          <w:rFonts w:ascii="Times New Roman" w:hAnsi="Times New Roman" w:cs="Times New Roman"/>
          <w:sz w:val="24"/>
          <w:szCs w:val="24"/>
          <w:lang w:val="bg-BG"/>
        </w:rPr>
        <w:t>, които са обект на подпомагане и по ПКИП</w:t>
      </w:r>
      <w:r w:rsidR="00B324E4"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569DF" w:rsidRDefault="009C73CF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Основната демаркационна линия между 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ПКИП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и ПМДР</w:t>
      </w:r>
      <w:r w:rsidR="001D00F4"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се основа на база код на икономическа дейност</w:t>
      </w:r>
      <w:r w:rsidR="005C6934" w:rsidRPr="00DB7589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код по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КИД) на предприятията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>. К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ато допустими 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 ПМДРА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E35F37" w:rsidRPr="00DB7589">
        <w:rPr>
          <w:rFonts w:ascii="Times New Roman" w:hAnsi="Times New Roman" w:cs="Times New Roman"/>
          <w:sz w:val="24"/>
          <w:szCs w:val="24"/>
          <w:lang w:val="bg-BG"/>
        </w:rPr>
        <w:t>енефициенти са определени лица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, развиващи дейност в</w:t>
      </w:r>
      <w:r w:rsidR="00E35F3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областта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риб</w:t>
      </w:r>
      <w:r w:rsidR="00E35F37" w:rsidRPr="00DB7589">
        <w:rPr>
          <w:rFonts w:ascii="Times New Roman" w:hAnsi="Times New Roman" w:cs="Times New Roman"/>
          <w:sz w:val="24"/>
          <w:szCs w:val="24"/>
          <w:lang w:val="bg-BG"/>
        </w:rPr>
        <w:t>олова</w:t>
      </w:r>
      <w:r w:rsidR="00D02004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аквакултури</w:t>
      </w:r>
      <w:r w:rsidR="00E35F37" w:rsidRPr="00DB7589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D02004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преработката им,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организации на производители на продуктите на риболова и аквакултурите и други форми на обединения в посочените сектори, които ще бъдат изключени от обхвата на 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>ПКИП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C7113" w:rsidRDefault="00FC7113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„Околна среда“</w:t>
      </w:r>
      <w:r w:rsidR="005A6BF1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(ПОС)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81CC7" w:rsidRPr="00DB7589" w:rsidRDefault="00890DB7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Инвестициите </w:t>
      </w:r>
      <w:r w:rsidR="00514C3E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ПМДР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14C3E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са насочени към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ограничаване на въздействието на риболова върху морската среда и вътрешните водоеми</w:t>
      </w:r>
      <w:r w:rsidR="00B13229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запазване</w:t>
      </w:r>
      <w:r w:rsidR="00B1322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повишаване на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качеството на водата</w:t>
      </w:r>
      <w:r w:rsidR="0060612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при отглеждане на </w:t>
      </w:r>
      <w:r w:rsidR="0060612D" w:rsidRPr="00DB7589">
        <w:rPr>
          <w:rFonts w:ascii="Times New Roman" w:hAnsi="Times New Roman" w:cs="Times New Roman"/>
          <w:sz w:val="24"/>
          <w:szCs w:val="24"/>
          <w:lang w:val="bg-BG"/>
        </w:rPr>
        <w:t>аквакултури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опазване на водните ресурси чрез събиране на отпадъци в морето от рибарите, като отстраняване на изгубени риболовни уреди и морски отпадъци.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C6934" w:rsidRPr="00DB7589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>редвиждат</w:t>
      </w:r>
      <w:r w:rsidR="005C6934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се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мерки за намаляване на замърсяването от кораби и пристанищни съоръжения, събиране на морски отпадъци, модернизация на стопанствата за аквакултури с цел намаляване на замърсяването в резултат от дейността им.</w:t>
      </w:r>
    </w:p>
    <w:p w:rsidR="00795E69" w:rsidRPr="00DB7589" w:rsidRDefault="00F73ED7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Дейностите, 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подпомагани от ПОС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във връзка с управление на отпадъците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>са насоче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към урбанизираните територии и целят да подобрят условията за живот на жителите в тях.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>ПОС подкрепя мерки за подобряване управлението на битовите отпадъци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основно насочени 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към гражд</w:t>
      </w:r>
      <w:r w:rsidR="00F062F6"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ните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5C6934" w:rsidRPr="00DB7589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>одкрепя</w:t>
      </w:r>
      <w:r w:rsidR="005C6934" w:rsidRPr="00DB7589">
        <w:rPr>
          <w:rFonts w:ascii="Times New Roman" w:hAnsi="Times New Roman" w:cs="Times New Roman"/>
          <w:sz w:val="24"/>
          <w:szCs w:val="24"/>
          <w:lang w:val="bg-BG"/>
        </w:rPr>
        <w:t>т се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операции за 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>опазване и възстановяване на видове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местообитания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от мрежата </w:t>
      </w:r>
      <w:r w:rsidR="00EF71F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Натура 2000 и други мерки, съгласно 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>Рамката за приоритетни действия (</w:t>
      </w:r>
      <w:r w:rsidR="00536FC7" w:rsidRPr="00DB7589">
        <w:rPr>
          <w:rFonts w:ascii="Times New Roman" w:hAnsi="Times New Roman" w:cs="Times New Roman"/>
          <w:sz w:val="24"/>
          <w:szCs w:val="24"/>
          <w:lang w:val="bg-BG"/>
        </w:rPr>
        <w:t>РПД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536FC7" w:rsidRPr="00DB7589">
        <w:rPr>
          <w:rFonts w:ascii="Times New Roman" w:hAnsi="Times New Roman" w:cs="Times New Roman"/>
          <w:sz w:val="24"/>
          <w:szCs w:val="24"/>
          <w:lang w:val="bg-BG"/>
        </w:rPr>
        <w:t>НАТУРА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2000 в </w:t>
      </w:r>
      <w:r w:rsidR="00536FC7" w:rsidRPr="00DB7589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>ългария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890DB7" w:rsidRDefault="00890DB7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ПМДРА 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ще допълни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ПОС 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 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>дейности по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внедряване на по-добри и нови риболовни техники и уреди и оборудване с цел намаляване въздействието от риболовните дейности върху околната среда; изпълнение на дейности, които да подпомогнат управлението и опазването на морските защитени зони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придобиване на научни и технически познания за подобряване на селективността на риболовните уреди и техниката на риболов; придобиване на умения и постигане на обществена информираност и 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активност за опазване на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териториите от Натура 2000, 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включително и на териториите, където се прилага подхода ВОМР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. В сектора на аквакултурата ще бъдат подкрепяни инвестиции за намаляване на отрицателното въздействие върху околната среда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; използване на </w:t>
      </w:r>
      <w:proofErr w:type="spellStart"/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>въозобновяема</w:t>
      </w:r>
      <w:proofErr w:type="spellEnd"/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енергия;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въвеждане на методи за производство на аквакултури, съвместими със специфичните нужди на НАТУРА 2000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>, напр. опазване на местообитанията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видовете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птиците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видрите</w:t>
      </w:r>
      <w:r w:rsidR="003A54AA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3A54AA" w:rsidRPr="00DB7589">
        <w:rPr>
          <w:lang w:val="bg-BG"/>
        </w:rPr>
        <w:t xml:space="preserve"> </w:t>
      </w:r>
      <w:r w:rsidR="003A54AA" w:rsidRPr="00DB7589">
        <w:rPr>
          <w:rFonts w:ascii="Times New Roman" w:hAnsi="Times New Roman" w:cs="Times New Roman"/>
          <w:sz w:val="24"/>
          <w:szCs w:val="24"/>
          <w:lang w:val="bg-BG"/>
        </w:rPr>
        <w:t>съгласно Рамката за приоритетни действия (РПД) за НАТУРА 2000 в България за периода 2021-2027, където има разписана</w:t>
      </w:r>
      <w:r w:rsidR="00D7176E">
        <w:rPr>
          <w:rFonts w:ascii="Times New Roman" w:hAnsi="Times New Roman" w:cs="Times New Roman"/>
          <w:sz w:val="24"/>
          <w:szCs w:val="24"/>
          <w:lang w:val="bg-BG"/>
        </w:rPr>
        <w:t xml:space="preserve"> ясна </w:t>
      </w:r>
      <w:proofErr w:type="spellStart"/>
      <w:r w:rsidR="00D7176E">
        <w:rPr>
          <w:rFonts w:ascii="Times New Roman" w:hAnsi="Times New Roman" w:cs="Times New Roman"/>
          <w:sz w:val="24"/>
          <w:szCs w:val="24"/>
          <w:lang w:val="bg-BG"/>
        </w:rPr>
        <w:t>демаркация</w:t>
      </w:r>
      <w:proofErr w:type="spellEnd"/>
      <w:r w:rsidR="00D7176E">
        <w:rPr>
          <w:rFonts w:ascii="Times New Roman" w:hAnsi="Times New Roman" w:cs="Times New Roman"/>
          <w:sz w:val="24"/>
          <w:szCs w:val="24"/>
          <w:lang w:val="bg-BG"/>
        </w:rPr>
        <w:t xml:space="preserve"> по програмите.</w:t>
      </w:r>
    </w:p>
    <w:p w:rsidR="00247F77" w:rsidRDefault="00247F77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Програма за транспортна свързаност</w:t>
      </w:r>
      <w:r w:rsidR="00E01402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(ПТС)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95FAC" w:rsidRPr="00DB7589" w:rsidRDefault="00AD4EDF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ПТС се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подпомага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реконструкция на пристанища с национално значение – изграждане на съоръжения против заливания на терминал Русе-запад, реконструкция на терминал Лом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Варна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, реконструкция на пристанищни съоръжения за баластни операции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</w:t>
      </w:r>
      <w:proofErr w:type="spellStart"/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интермодални</w:t>
      </w:r>
      <w:proofErr w:type="spellEnd"/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терминали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доставка на допълнителни мултифункционални плавателни съдове и съоръжения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за корабоплаване по р. Дунав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доставка на </w:t>
      </w:r>
      <w:proofErr w:type="spellStart"/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многоцелеви</w:t>
      </w:r>
      <w:proofErr w:type="spellEnd"/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аварийно-спасителни и патрулни кораби и специализирано оборудване, чрез които да се осъществяват функциите, свързани с осигуряването на безопасността и сигурността в морските пространства на България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изграждане на инфраструктура за алтернативни горива в пристанищата с национално значение.</w:t>
      </w:r>
    </w:p>
    <w:p w:rsidR="00574079" w:rsidRPr="00DB7589" w:rsidRDefault="0057407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В допълнение към мерките по ПМДРА, реализацията на ПТС ще допринесе за подобряване на морската свързаност и морската и крайбрежна икономика. В </w:t>
      </w:r>
      <w:r w:rsidR="00AD4E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ПТС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се финансират на дейности по отношение на подобряване на свързаността в пристанищата с национално значение, които косвено ще допринесат до изпълнение на целите на ПМДРА по отношение на риболова, достъпът до алтернативни горива. ПМДРА ще постига целите за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нисковъглеродна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Европа чрез инвестиции за сходни дейности в рибарските пристанища и на борда на риболовните кораби. ПМДРА ще финансира надграждането на системата, в която ще се обменят данни от различни източници (CISE), в т.ч. данните от информационните системи за управление на трафика на плавателните съдове.</w:t>
      </w:r>
    </w:p>
    <w:p w:rsidR="00D95FAC" w:rsidRDefault="0057407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Демаркационна линия между ПTС и ПМДРА</w:t>
      </w:r>
      <w:r w:rsidR="00AD4E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- 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нвестициите по ПТС не обхващат рибарски пристанища и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лодкостоянки</w:t>
      </w:r>
      <w:proofErr w:type="spellEnd"/>
      <w:r w:rsidR="00123CF8"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23CF8" w:rsidRPr="00DB7589" w:rsidRDefault="00123CF8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„Развитие на регионите“</w:t>
      </w:r>
      <w:r w:rsidR="005A6BF1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(ПРР)</w:t>
      </w:r>
    </w:p>
    <w:p w:rsidR="005439A8" w:rsidRPr="00DB7589" w:rsidRDefault="005439A8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Pr="00DB7589" w:rsidRDefault="009F7109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ПМДРА фокусира подкрепа за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рехабилитиране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пристанища, кейове, изграждане и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реновация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закрити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лодкостоянки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благоустрояване на прилежащия към тях терен.</w:t>
      </w:r>
    </w:p>
    <w:p w:rsidR="009F7109" w:rsidRPr="00DB7589" w:rsidRDefault="009F7109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Pr="00DB7589" w:rsidRDefault="009F7109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ПРР ще подкрепя дейности за благоустрояване на градската среда. Мерките за енергийна ефективност по ПРР касаят жилищни и административни сгради, а тези по ПМДРА ще се реализират на територията на рибарските пристанища, фермите за производство на аквакултури и преработвателните предприятия, като ще са насочени и към внедряване и използване на ВЕИ за задоволяване на собствените нужди от електроенергия</w:t>
      </w:r>
      <w:r w:rsidR="005439A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при производството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865A8" w:rsidRDefault="005439A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Допирни точки при изпълнението на двете програми се идентифицират и при реализацията на териториалните подходи Водено от общностите местно развитие (ВОМР) и Интегрирани териториални инвестиции (ИТИ), както и в процеса на морското пространствено планиране.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865A8" w:rsidRDefault="001E13CD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</w:t>
      </w:r>
      <w:r w:rsidR="00150A78" w:rsidRPr="00DB7589">
        <w:rPr>
          <w:rFonts w:ascii="Times New Roman" w:hAnsi="Times New Roman" w:cs="Times New Roman"/>
          <w:b/>
          <w:sz w:val="24"/>
          <w:szCs w:val="24"/>
          <w:lang w:val="bg-BG"/>
        </w:rPr>
        <w:t>о</w:t>
      </w: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грама „Образование“</w:t>
      </w:r>
      <w:r w:rsidR="00150A78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(ПО</w:t>
      </w:r>
      <w:r w:rsidR="00150A78" w:rsidRPr="00DB7589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50A78" w:rsidRDefault="00C153D0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153D0">
        <w:rPr>
          <w:rFonts w:ascii="Times New Roman" w:hAnsi="Times New Roman" w:cs="Times New Roman"/>
          <w:sz w:val="24"/>
          <w:szCs w:val="24"/>
          <w:lang w:val="bg-BG"/>
        </w:rPr>
        <w:t>Дейностите</w:t>
      </w:r>
      <w:r w:rsidR="00F6320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C153D0">
        <w:rPr>
          <w:rFonts w:ascii="Times New Roman" w:hAnsi="Times New Roman" w:cs="Times New Roman"/>
          <w:sz w:val="24"/>
          <w:szCs w:val="24"/>
          <w:lang w:val="bg-BG"/>
        </w:rPr>
        <w:t xml:space="preserve"> насочени към зелената и синя икономика в рамките на образователните институции  по ПО ще се допълват от </w:t>
      </w: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C153D0">
        <w:rPr>
          <w:rFonts w:ascii="Times New Roman" w:hAnsi="Times New Roman" w:cs="Times New Roman"/>
          <w:sz w:val="24"/>
          <w:szCs w:val="24"/>
          <w:lang w:val="bg-BG"/>
        </w:rPr>
        <w:t>рограма</w:t>
      </w:r>
      <w:r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C153D0">
        <w:rPr>
          <w:rFonts w:ascii="Times New Roman" w:hAnsi="Times New Roman" w:cs="Times New Roman"/>
          <w:sz w:val="24"/>
          <w:szCs w:val="24"/>
          <w:lang w:val="bg-BG"/>
        </w:rPr>
        <w:t xml:space="preserve"> за морско дело, рибарство и аквакултури чрез </w:t>
      </w:r>
      <w:r w:rsidR="00811404">
        <w:rPr>
          <w:rFonts w:ascii="Times New Roman" w:hAnsi="Times New Roman" w:cs="Times New Roman"/>
          <w:sz w:val="24"/>
          <w:szCs w:val="24"/>
          <w:lang w:val="bg-BG"/>
        </w:rPr>
        <w:t xml:space="preserve">провеждане на </w:t>
      </w:r>
      <w:r w:rsidR="00150A7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специализирани обучения за повишаване на квалификацията на работещите в 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>сектор „Рибарство“ (</w:t>
      </w:r>
      <w:r w:rsidR="0001738E" w:rsidRPr="00DB7589">
        <w:rPr>
          <w:rFonts w:ascii="Times New Roman" w:hAnsi="Times New Roman" w:cs="Times New Roman"/>
          <w:sz w:val="24"/>
          <w:szCs w:val="24"/>
          <w:lang w:val="bg-BG"/>
        </w:rPr>
        <w:t>рибари, производители на аквакултури, заети в предприятия за преработка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), </w:t>
      </w:r>
      <w:r w:rsidR="00556A37">
        <w:rPr>
          <w:rFonts w:ascii="Times New Roman" w:hAnsi="Times New Roman" w:cs="Times New Roman"/>
          <w:sz w:val="24"/>
          <w:szCs w:val="24"/>
          <w:lang w:val="bg-BG"/>
        </w:rPr>
        <w:t xml:space="preserve">информационни 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>дейности за опазване на</w:t>
      </w:r>
      <w:r w:rsidR="00C22986">
        <w:rPr>
          <w:rFonts w:ascii="Times New Roman" w:hAnsi="Times New Roman" w:cs="Times New Roman"/>
          <w:sz w:val="24"/>
          <w:szCs w:val="24"/>
          <w:lang w:val="bg-BG"/>
        </w:rPr>
        <w:t xml:space="preserve"> водната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околна среда</w:t>
      </w:r>
      <w:r w:rsidR="0001738E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за повишаване на капацитета на органите, отговорни за контрола и събирането на данни по програмата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Default="003910A6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„Развитие на човешките ресурси“ 2021 – 2027 г. (ПРЧР)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910A6" w:rsidRDefault="003910A6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За насърчаване на заетостта и подкрепа за мобилността на работната сила се реализира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 ПРЧР, в рамките на която биха могли да се финансират подкрепящи мерки, в т.ч. разходи за субсидирана заетост, свързани със стимулирането на работодатели да наемат хора в предприятия от сектора на рибарството и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аквакултурите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F7AA3" w:rsidRDefault="00CF3C23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„Техническа помощ“ 2021-2027 г. (ПТП)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7489D" w:rsidRPr="00DB7589" w:rsidRDefault="0077489D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Интервенциите в Споразумението за партньорство (СП) са планирани в отговор на предизвикателства, които поставят високи цели и респективно завишени отговорности при изпълнението на европейската </w:t>
      </w:r>
      <w:r w:rsidR="00CF3C23" w:rsidRPr="00DB7589">
        <w:rPr>
          <w:rFonts w:ascii="Times New Roman" w:hAnsi="Times New Roman" w:cs="Times New Roman"/>
          <w:sz w:val="24"/>
          <w:szCs w:val="24"/>
          <w:lang w:val="bg-BG"/>
        </w:rPr>
        <w:t>политика на сближаване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 България. В тази връзка, за постигане  целите  на  СП  е  необходима по-силна  координация,  висок  стандарт  на административен  капацитет,  както  и  качествено  унифицирано  управление  на  европейските </w:t>
      </w:r>
      <w:r w:rsidR="00CF3C23" w:rsidRPr="00DB7589">
        <w:rPr>
          <w:rFonts w:ascii="Times New Roman" w:hAnsi="Times New Roman" w:cs="Times New Roman"/>
          <w:sz w:val="24"/>
          <w:szCs w:val="24"/>
          <w:lang w:val="bg-BG"/>
        </w:rPr>
        <w:t>средства. ПТП</w:t>
      </w:r>
      <w:r w:rsidR="00D80A1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чрез подкрепа на действия за подобрение и развитие, следва да осигури в България среда, която да обезпечи ефективното управление и контрол на средствата от фондовете със споделено управление от Регламента за  общоприложимите  разпоредби. </w:t>
      </w:r>
    </w:p>
    <w:p w:rsidR="001F7AA3" w:rsidRPr="00DB7589" w:rsidRDefault="001F7AA3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Допълнителни механизми за координация и взаимно допълване на програмите се осигуряват от работни групи, експертни мрежи и дискусии, свързани с подготовката и изпълнението на различните програми и операции, базирани на принципа на партньорство и участието на представители на социално-икономическите партньори и заинтересовани страни.</w:t>
      </w:r>
    </w:p>
    <w:p w:rsidR="006D21C7" w:rsidRDefault="006D21C7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Специализираните обучения и дейности по комуникационната стратегия на ПМДРА 2021-2027</w:t>
      </w:r>
      <w:r w:rsidR="00A96333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ще са от бюджета на програмата, а тези които ще са на хоризонтални ниво ще се финансират от бюджета на ПТП.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16324" w:rsidRDefault="001F7AA3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769A3" w:rsidRPr="00DB7589">
        <w:rPr>
          <w:rFonts w:ascii="Times New Roman" w:hAnsi="Times New Roman" w:cs="Times New Roman"/>
          <w:b/>
          <w:sz w:val="24"/>
          <w:szCs w:val="24"/>
          <w:lang w:val="bg-BG"/>
        </w:rPr>
        <w:t>Стратегически план за о</w:t>
      </w:r>
      <w:r w:rsidR="00116324" w:rsidRPr="00DB7589">
        <w:rPr>
          <w:rFonts w:ascii="Times New Roman" w:hAnsi="Times New Roman" w:cs="Times New Roman"/>
          <w:b/>
          <w:sz w:val="24"/>
          <w:szCs w:val="24"/>
          <w:lang w:val="bg-BG"/>
        </w:rPr>
        <w:t>бща селскостопанска политика на ЕС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116324" w:rsidRPr="00DB7589" w:rsidRDefault="0011632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ПМ</w:t>
      </w:r>
      <w:r w:rsidR="00CC18B7" w:rsidRPr="00DB7589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РА има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със Стратегическия план за ОСП споделяйки общи цели:</w:t>
      </w:r>
    </w:p>
    <w:p w:rsidR="00116324" w:rsidRPr="00DB7589" w:rsidRDefault="00116324" w:rsidP="00D61664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справяне с изменението на климата и за устойчиво управление на природните ресурси;</w:t>
      </w:r>
    </w:p>
    <w:p w:rsidR="00116324" w:rsidRPr="00DB7589" w:rsidRDefault="00116324" w:rsidP="00D61664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грижа за състоянието на селските райони и ландшафти в целия ЕС;</w:t>
      </w:r>
    </w:p>
    <w:p w:rsidR="00116324" w:rsidRPr="00DB7589" w:rsidRDefault="00116324" w:rsidP="00D61664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поддържане на жизнеспособността на икономиката в селските райони;</w:t>
      </w:r>
    </w:p>
    <w:p w:rsidR="00116324" w:rsidRPr="00DB7589" w:rsidRDefault="00116324" w:rsidP="00D61664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осигуряване на продоволствена сигурност за населението.</w:t>
      </w:r>
    </w:p>
    <w:p w:rsidR="000A5456" w:rsidRPr="00DB7589" w:rsidRDefault="0011632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Разграничението с ПМДРА е базирано още на секторно равнище, изхождайки от ограничаването на ПМДРА само в рамките на сектор „Рибарство“ в България.</w:t>
      </w:r>
    </w:p>
    <w:p w:rsidR="0045001B" w:rsidRPr="00DB7589" w:rsidRDefault="0045001B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16324" w:rsidRDefault="0011632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За повишаване конкурентоспособността на МСП и на селскостопанския </w:t>
      </w:r>
      <w:r w:rsidR="0045001B" w:rsidRPr="00DB7589">
        <w:rPr>
          <w:rFonts w:ascii="Times New Roman" w:hAnsi="Times New Roman" w:cs="Times New Roman"/>
          <w:sz w:val="24"/>
          <w:szCs w:val="24"/>
          <w:lang w:val="bg-BG"/>
        </w:rPr>
        <w:t>сектор и сектор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5001B" w:rsidRPr="00DB7589">
        <w:rPr>
          <w:rFonts w:ascii="Times New Roman" w:hAnsi="Times New Roman" w:cs="Times New Roman"/>
          <w:sz w:val="24"/>
          <w:szCs w:val="24"/>
          <w:lang w:val="bg-BG"/>
        </w:rPr>
        <w:t>„Рибарство“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се осигурява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CC18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включително когато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проектите, кандидатите и потенциалните МИРГ по ПМДР</w:t>
      </w:r>
      <w:r w:rsidR="0045001B"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попадат в селски райони.</w:t>
      </w:r>
    </w:p>
    <w:p w:rsidR="004917D5" w:rsidRDefault="004917D5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917D5" w:rsidRDefault="004917D5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 изпълнение на подхода ВОМР ще се разграничи финансир</w:t>
      </w:r>
      <w:r w:rsidR="00AE6A5E">
        <w:rPr>
          <w:rFonts w:ascii="Times New Roman" w:hAnsi="Times New Roman" w:cs="Times New Roman"/>
          <w:sz w:val="24"/>
          <w:szCs w:val="24"/>
          <w:lang w:val="bg-BG"/>
        </w:rPr>
        <w:t xml:space="preserve">ането на изпълняваните дейности, </w:t>
      </w:r>
      <w:r>
        <w:rPr>
          <w:rFonts w:ascii="Times New Roman" w:hAnsi="Times New Roman" w:cs="Times New Roman"/>
          <w:sz w:val="24"/>
          <w:szCs w:val="24"/>
          <w:lang w:val="bg-BG"/>
        </w:rPr>
        <w:t>като няма д</w:t>
      </w:r>
      <w:r w:rsidR="00AE6A5E">
        <w:rPr>
          <w:rFonts w:ascii="Times New Roman" w:hAnsi="Times New Roman" w:cs="Times New Roman"/>
          <w:sz w:val="24"/>
          <w:szCs w:val="24"/>
          <w:lang w:val="bg-BG"/>
        </w:rPr>
        <w:t>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подкрепят едни и същи проекти.</w:t>
      </w:r>
      <w:r w:rsidR="00AE6A5E">
        <w:rPr>
          <w:rFonts w:ascii="Times New Roman" w:hAnsi="Times New Roman" w:cs="Times New Roman"/>
          <w:sz w:val="24"/>
          <w:szCs w:val="24"/>
          <w:lang w:val="bg-BG"/>
        </w:rPr>
        <w:t xml:space="preserve"> При оценката на проектните предложения ще се извършва проверка за двойно финансиране на разходите.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Национален план за възстановяване и устойчивост на Република България </w:t>
      </w:r>
      <w:r w:rsidR="000A5456" w:rsidRPr="00DB7589">
        <w:rPr>
          <w:rFonts w:ascii="Times New Roman" w:hAnsi="Times New Roman" w:cs="Times New Roman"/>
          <w:b/>
          <w:sz w:val="24"/>
          <w:szCs w:val="24"/>
          <w:lang w:val="bg-BG"/>
        </w:rPr>
        <w:t>(НПВУРБ)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Основната цел на Плана за възстановяване и устойчивост е да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>подкрепи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икономическото и социално възстановяване от кризата, породена от пандемията от COVID-19. </w:t>
      </w: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Компонентите, които имат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към ПМДРА са:</w:t>
      </w:r>
    </w:p>
    <w:p w:rsidR="009F7109" w:rsidRPr="00DB7589" w:rsidRDefault="009F7109" w:rsidP="00D61664">
      <w:p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•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ab/>
        <w:t>Иновативна България - осигуряване на благоприятна среда за реализиране на нови продукти и процеси и развитие на иновативни предприятия с насочен фокус върху зеления преход и цифровите технологии;</w:t>
      </w:r>
    </w:p>
    <w:p w:rsidR="009F7109" w:rsidRPr="00DB7589" w:rsidRDefault="009F7109" w:rsidP="00D61664">
      <w:p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•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ab/>
        <w:t>Зелена България - намаляването на въглеродния отпечатък и енергийната интензивност на икономиката и спомагането на зеления преход, ефективно управление на Националната екологична мрежа и защита и възстановяване на екосистеми и природни местообитания, мерки за подобряване на икономическата устойчивост на земеделските стопанства в контекста на климатичните промени;</w:t>
      </w:r>
    </w:p>
    <w:p w:rsidR="009F7109" w:rsidRPr="00DB7589" w:rsidRDefault="009F7109" w:rsidP="00D61664">
      <w:p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•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ab/>
        <w:t>Свързана България - повишаването на конкурентоспособността и устойчивото развитие на регионите на страната, както и насърчаването на местното развитие.</w:t>
      </w: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Основната демаркационна линия между Плана за възстановяване и устойчивост и ПМДРА е положена чрез целевите групи, които ще се възползват от помощта.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>Специфичният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характер на ПМДРА ограничава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подкрепата единствено до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операторите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>от сектор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>„Рибарство“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E2B0C" w:rsidRDefault="00BE2B0C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В НПВУРБ няма предвидени проекти свързани с инвестиции към сектор „Рибарство“.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61664">
        <w:rPr>
          <w:rFonts w:ascii="Times New Roman" w:hAnsi="Times New Roman" w:cs="Times New Roman"/>
          <w:b/>
          <w:sz w:val="24"/>
          <w:szCs w:val="24"/>
          <w:lang w:val="bg-BG"/>
        </w:rPr>
        <w:t>Национална приоритетна рамка за действие по Натура 2000 (НПРД) за периода 2014 – 2020 г.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AB1CD8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61664">
        <w:rPr>
          <w:rFonts w:ascii="Times New Roman" w:hAnsi="Times New Roman" w:cs="Times New Roman"/>
          <w:sz w:val="24"/>
          <w:szCs w:val="24"/>
          <w:lang w:val="bg-BG"/>
        </w:rPr>
        <w:t>НПРД е стратегически документ, предвиждащ необходимите финансови ресурси за изпълнение на дейности за подобряване на природозащитното състояние на видовете и природните местообитания по Директивата за местообитанията и Директивата за птиците. Тези финансови ресурси се осигуряват от различни източници: фондове на ЕС, национален бюджет, други донорски програми.</w:t>
      </w:r>
    </w:p>
    <w:p w:rsidR="00AB1CD8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тази връзка са определени мерки по НПРД, които да се финансират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по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П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МДРА. В ПМДРА са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включени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всички конкретни мерки от НПРД, касаещи сектор „Рибарство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“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AB1CD8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целите на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демаркацията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с НПРД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следва да се има предвид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, че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по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П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МДРА се подкрепят дейностите по управление на риболова в защитените зони по Натура 2000, а цялостното управление на защитените зони е в компетенцията на Министерството на околната среда и водите. </w:t>
      </w:r>
    </w:p>
    <w:p w:rsidR="00AB1CD8" w:rsidRPr="00AB1CD8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Рамкова програма на ЕС за научни изследван</w:t>
      </w:r>
      <w:r w:rsidR="00437728" w:rsidRPr="00DB7589">
        <w:rPr>
          <w:rFonts w:ascii="Times New Roman" w:hAnsi="Times New Roman" w:cs="Times New Roman"/>
          <w:b/>
          <w:sz w:val="24"/>
          <w:szCs w:val="24"/>
          <w:lang w:val="bg-BG"/>
        </w:rPr>
        <w:t>ия и иновации „Хоризонт Европа“ 2021 – 2027 г.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Новата рамкова пр</w:t>
      </w:r>
      <w:r w:rsidR="001459BD" w:rsidRPr="00DB7589">
        <w:rPr>
          <w:rFonts w:ascii="Times New Roman" w:hAnsi="Times New Roman" w:cs="Times New Roman"/>
          <w:sz w:val="24"/>
          <w:szCs w:val="24"/>
          <w:lang w:val="bg-BG"/>
        </w:rPr>
        <w:t>ограма на ЕС „Хоризонт Европа“ 2021 – 2027 г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включва компоненти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, които имат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към ПМДРА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459B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попадат в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Стълб II</w:t>
      </w:r>
      <w:r w:rsidR="0018163F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 следните клъстери:</w:t>
      </w:r>
    </w:p>
    <w:p w:rsidR="008557CA" w:rsidRPr="00DB7589" w:rsidRDefault="008557CA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Pr="00DB7589" w:rsidRDefault="001459BD" w:rsidP="00D61664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игитализация, индустрия и космос</w:t>
      </w:r>
      <w:r w:rsidR="0018163F" w:rsidRPr="00DB7589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9F7109" w:rsidRPr="00DB7589" w:rsidRDefault="001459BD" w:rsidP="00D61664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лимат, енергия и мобилност</w:t>
      </w:r>
      <w:r w:rsidR="0018163F" w:rsidRPr="00DB7589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9F7109" w:rsidRDefault="001459BD" w:rsidP="00D61664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х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рана, </w:t>
      </w:r>
      <w:proofErr w:type="spellStart"/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биоикономика</w:t>
      </w:r>
      <w:proofErr w:type="spellEnd"/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, природни ресурси, земеделие и околна среда.</w:t>
      </w:r>
    </w:p>
    <w:p w:rsidR="00D61664" w:rsidRPr="00DB7589" w:rsidRDefault="00D61664" w:rsidP="00D6166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17854" w:rsidRDefault="0018163F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заимодейств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ието с ПМДРА се базира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потребностите в областта на мореплаването и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E065E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нтегрираната 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морска политика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 xml:space="preserve"> (ИМП)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ПМДРА подкрепя разгръщането на нови технологии и иновации, процеси и услуги, по-специално такива, които произтичат от </w:t>
      </w:r>
      <w:r w:rsidR="008557CA" w:rsidRPr="00DB7589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рограмата в областта на мореплаването и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ИМП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събирането, обработването и мониторинга на теренни данни. </w:t>
      </w:r>
      <w:r w:rsidR="008557CA" w:rsidRPr="00DB7589">
        <w:rPr>
          <w:rFonts w:ascii="Times New Roman" w:hAnsi="Times New Roman" w:cs="Times New Roman"/>
          <w:sz w:val="24"/>
          <w:szCs w:val="24"/>
          <w:lang w:val="bg-BG"/>
        </w:rPr>
        <w:t>Разпространението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резултатите от събирането на данни се подкрепя по линия на Програмата „Хоризонт Европа“, което от своя страна допринася за изпълнението на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E065E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бщата 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политика в областта на рибарството,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ИМП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, международното управление на океаните и международни ангажименти.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854" w:rsidRDefault="00A17854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555D57">
        <w:rPr>
          <w:rFonts w:ascii="Times New Roman" w:hAnsi="Times New Roman" w:cs="Times New Roman"/>
          <w:b/>
          <w:sz w:val="24"/>
          <w:szCs w:val="24"/>
          <w:lang w:val="bg-BG"/>
        </w:rPr>
        <w:t>Мисия на ЕС: Възстановяване на океаните и водите</w:t>
      </w:r>
    </w:p>
    <w:p w:rsidR="00D7176E" w:rsidRPr="00D61664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854" w:rsidRDefault="00A1785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55D57">
        <w:rPr>
          <w:rFonts w:ascii="Times New Roman" w:hAnsi="Times New Roman" w:cs="Times New Roman"/>
          <w:sz w:val="24"/>
          <w:szCs w:val="24"/>
          <w:lang w:val="bg-BG"/>
        </w:rPr>
        <w:t>Мисията ще спомогне за постигането на цели на Европейския зелен пакт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E065ED" w:rsidRPr="00555D57">
        <w:rPr>
          <w:rFonts w:ascii="Times New Roman" w:hAnsi="Times New Roman" w:cs="Times New Roman"/>
          <w:sz w:val="24"/>
          <w:szCs w:val="24"/>
          <w:lang w:val="bg-BG"/>
        </w:rPr>
        <w:t>морските и сладководните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 xml:space="preserve"> басейни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 xml:space="preserve">, като например защитата на 30% от морската зона на ЕС и възстановяването на морските екосистеми и 25 000 км свободно течащи реки.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Целите на ПМДРА са в синхрон с поставените цели за биоразнообразието в морските екосистеми, като в същото време възстановяването на 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>свободно течащи реки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ще се изпълнява чрез мерки по </w:t>
      </w:r>
      <w:r w:rsidRPr="00616C03">
        <w:rPr>
          <w:rFonts w:ascii="Times New Roman" w:hAnsi="Times New Roman" w:cs="Times New Roman"/>
          <w:sz w:val="24"/>
          <w:szCs w:val="24"/>
          <w:lang w:val="bg-BG"/>
        </w:rPr>
        <w:t>Национална приоритетна рамка за действие по Натура 2000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 мярка</w:t>
      </w:r>
      <w:r w:rsidRPr="00616C03">
        <w:rPr>
          <w:rFonts w:ascii="Times New Roman" w:hAnsi="Times New Roman" w:cs="Times New Roman"/>
          <w:sz w:val="24"/>
          <w:szCs w:val="24"/>
          <w:lang w:val="bg-BG"/>
        </w:rPr>
        <w:t xml:space="preserve"> „Подобряване на природозащитния статус на видовете чрез възстановяване на надлъжната свързаност на реките“, което включва изграждане и рехабилитация на рибни проходи и премахване или минимизиране на въздейст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вието на съществуващите бариери с финансиране от Европейския фонд </w:t>
      </w:r>
      <w:r w:rsidRPr="00616C03">
        <w:rPr>
          <w:rFonts w:ascii="Times New Roman" w:hAnsi="Times New Roman" w:cs="Times New Roman"/>
          <w:sz w:val="24"/>
          <w:szCs w:val="24"/>
          <w:lang w:val="bg-BG"/>
        </w:rPr>
        <w:t>за регионално развитие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616C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A17854" w:rsidRPr="00D61664" w:rsidRDefault="00A1785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710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за околната среда и действията по климата (LIFE)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Програма LIFE е финансов инструмент на Европейския съюз за опазване на околната среда, природата и климата на територията на ЕС. Елементите на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 ПМДРА се намират и в двете подпрограми, всяка от които обхваща по три приоритетни области:</w:t>
      </w:r>
    </w:p>
    <w:p w:rsidR="009F7109" w:rsidRPr="00DB7589" w:rsidRDefault="009F7109" w:rsidP="00D6166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Подпрограма „Околна среда“: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колна среда и ресурсна ефективност;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рирода и биоразнообразие;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правление и информация, свързани с околната среда.</w:t>
      </w:r>
    </w:p>
    <w:p w:rsidR="007A63CD" w:rsidRPr="00DB7589" w:rsidRDefault="007A63CD" w:rsidP="00D6166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Pr="00DB7589" w:rsidRDefault="009F7109" w:rsidP="00D6166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Подпрограма „Действия по Климата“: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мекчаване на изменението на климата;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даптация към изменението на климата;</w:t>
      </w:r>
    </w:p>
    <w:p w:rsidR="00123CF8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правление и информация, свързани с климата.</w:t>
      </w:r>
    </w:p>
    <w:p w:rsidR="00FF12E8" w:rsidRPr="00D61664" w:rsidRDefault="00DC43F5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Ц</w:t>
      </w:r>
      <w:r w:rsidR="00555D57" w:rsidRPr="00555D57">
        <w:rPr>
          <w:rFonts w:ascii="Times New Roman" w:hAnsi="Times New Roman" w:cs="Times New Roman"/>
          <w:sz w:val="24"/>
          <w:szCs w:val="24"/>
          <w:lang w:val="bg-BG"/>
        </w:rPr>
        <w:t>ели</w:t>
      </w:r>
      <w:r w:rsidR="00616C03">
        <w:rPr>
          <w:rFonts w:ascii="Times New Roman" w:hAnsi="Times New Roman" w:cs="Times New Roman"/>
          <w:sz w:val="24"/>
          <w:szCs w:val="24"/>
          <w:lang w:val="bg-BG"/>
        </w:rPr>
        <w:t>те на мисията да</w:t>
      </w:r>
      <w:r w:rsidR="00555D57" w:rsidRPr="00555D57">
        <w:rPr>
          <w:rFonts w:ascii="Times New Roman" w:hAnsi="Times New Roman" w:cs="Times New Roman"/>
          <w:sz w:val="24"/>
          <w:szCs w:val="24"/>
          <w:lang w:val="bg-BG"/>
        </w:rPr>
        <w:t xml:space="preserve"> предотврати и премахне замърсяването, например чрез намаляване на пластмасовите отпадъци в морето</w:t>
      </w:r>
      <w:r w:rsidR="00616C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>превръщането на синята икономика в неутрална по отношение на климата и кръгова икономика</w:t>
      </w:r>
      <w:r w:rsidR="00C542C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 xml:space="preserve"> с нулеви нетни морски емисии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16C03">
        <w:rPr>
          <w:rFonts w:ascii="Times New Roman" w:hAnsi="Times New Roman" w:cs="Times New Roman"/>
          <w:sz w:val="24"/>
          <w:szCs w:val="24"/>
          <w:lang w:val="bg-BG"/>
        </w:rPr>
        <w:t xml:space="preserve">се допълва чрез дейностите по </w:t>
      </w:r>
      <w:r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616C03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FF12E8" w:rsidRPr="00D61664" w:rsidSect="00D7176E">
      <w:footerReference w:type="default" r:id="rId11"/>
      <w:pgSz w:w="12240" w:h="15840"/>
      <w:pgMar w:top="1417" w:right="1417" w:bottom="162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969" w:rsidRDefault="00C94969" w:rsidP="005C6934">
      <w:pPr>
        <w:spacing w:after="0" w:line="240" w:lineRule="auto"/>
      </w:pPr>
      <w:r>
        <w:separator/>
      </w:r>
    </w:p>
  </w:endnote>
  <w:endnote w:type="continuationSeparator" w:id="0">
    <w:p w:rsidR="00C94969" w:rsidRDefault="00C94969" w:rsidP="005C6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59963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7589" w:rsidRDefault="00DB75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CA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B7589" w:rsidRDefault="00DB7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969" w:rsidRDefault="00C94969" w:rsidP="005C6934">
      <w:pPr>
        <w:spacing w:after="0" w:line="240" w:lineRule="auto"/>
      </w:pPr>
      <w:r>
        <w:separator/>
      </w:r>
    </w:p>
  </w:footnote>
  <w:footnote w:type="continuationSeparator" w:id="0">
    <w:p w:rsidR="00C94969" w:rsidRDefault="00C94969" w:rsidP="005C6934">
      <w:pPr>
        <w:spacing w:after="0" w:line="240" w:lineRule="auto"/>
      </w:pPr>
      <w:r>
        <w:continuationSeparator/>
      </w:r>
    </w:p>
  </w:footnote>
  <w:footnote w:id="1">
    <w:p w:rsidR="005C6934" w:rsidRPr="00DB7589" w:rsidRDefault="005C6934" w:rsidP="005C6934">
      <w:pPr>
        <w:pStyle w:val="FootnoteText"/>
        <w:rPr>
          <w:rFonts w:ascii="Times New Roman" w:hAnsi="Times New Roman" w:cs="Times New Roman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DB7589">
        <w:rPr>
          <w:rFonts w:ascii="Times New Roman" w:hAnsi="Times New Roman" w:cs="Times New Roman"/>
          <w:lang w:val="bg-BG"/>
        </w:rPr>
        <w:t>Основната икономическа дейност на оператора</w:t>
      </w:r>
      <w:r w:rsidRPr="00DB7589">
        <w:rPr>
          <w:rFonts w:ascii="Times New Roman" w:hAnsi="Times New Roman" w:cs="Times New Roman"/>
        </w:rPr>
        <w:t xml:space="preserve"> </w:t>
      </w:r>
      <w:r w:rsidRPr="00DB7589">
        <w:rPr>
          <w:rFonts w:ascii="Times New Roman" w:hAnsi="Times New Roman" w:cs="Times New Roman"/>
          <w:lang w:val="bg-BG"/>
        </w:rPr>
        <w:t>на база на декларираните приходи. Въз основа на</w:t>
      </w:r>
    </w:p>
    <w:p w:rsidR="005C6934" w:rsidRPr="00DB7589" w:rsidRDefault="005C6934" w:rsidP="005C6934">
      <w:pPr>
        <w:pStyle w:val="FootnoteText"/>
        <w:rPr>
          <w:lang w:val="bg-BG"/>
        </w:rPr>
      </w:pPr>
      <w:r w:rsidRPr="00DB7589">
        <w:rPr>
          <w:rFonts w:ascii="Times New Roman" w:hAnsi="Times New Roman" w:cs="Times New Roman"/>
          <w:lang w:val="bg-BG"/>
        </w:rPr>
        <w:t>посочените дейности се изчислява основната дейност на оператора съгласно Класификацията на икономическите дейности (КИД-2008) по методология, хармонизирана с европейските регламенти.</w:t>
      </w:r>
      <w:r>
        <w:rPr>
          <w:rFonts w:ascii="Times New Roman" w:hAnsi="Times New Roman" w:cs="Times New Roman"/>
          <w:lang w:val="bg-BG"/>
        </w:rPr>
        <w:t xml:space="preserve"> Всяка икономическа дейност се изписва с определен код </w:t>
      </w:r>
      <w:r w:rsidRPr="005C6934">
        <w:rPr>
          <w:rFonts w:ascii="Times New Roman" w:hAnsi="Times New Roman" w:cs="Times New Roman"/>
          <w:lang w:val="bg-BG"/>
        </w:rPr>
        <w:t>(код по КИД)</w:t>
      </w:r>
      <w:r>
        <w:rPr>
          <w:rFonts w:ascii="Times New Roman" w:hAnsi="Times New Roman" w:cs="Times New Roman"/>
          <w:lang w:val="bg-BG"/>
        </w:rPr>
        <w:t>.</w:t>
      </w:r>
      <w:r w:rsidRPr="005C6934">
        <w:rPr>
          <w:rFonts w:ascii="Times New Roman" w:hAnsi="Times New Roman" w:cs="Times New Roman"/>
          <w:lang w:val="bg-BG"/>
        </w:rPr>
        <w:t xml:space="preserve"> </w:t>
      </w:r>
      <w:r w:rsidRPr="00DB7589">
        <w:rPr>
          <w:rFonts w:ascii="Times New Roman" w:hAnsi="Times New Roman" w:cs="Times New Roman"/>
          <w:lang w:val="bg-BG"/>
        </w:rPr>
        <w:c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0B6D"/>
    <w:multiLevelType w:val="hybridMultilevel"/>
    <w:tmpl w:val="208047D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C1034"/>
    <w:multiLevelType w:val="hybridMultilevel"/>
    <w:tmpl w:val="60BA3C0C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10C1B00">
      <w:numFmt w:val="bullet"/>
      <w:lvlText w:val="•"/>
      <w:lvlJc w:val="left"/>
      <w:pPr>
        <w:ind w:left="1800" w:hanging="72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E46FB"/>
    <w:multiLevelType w:val="hybridMultilevel"/>
    <w:tmpl w:val="869A4B6A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73F37"/>
    <w:multiLevelType w:val="hybridMultilevel"/>
    <w:tmpl w:val="B75010F4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81BF5"/>
    <w:multiLevelType w:val="hybridMultilevel"/>
    <w:tmpl w:val="7A1E6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305050"/>
    <w:multiLevelType w:val="hybridMultilevel"/>
    <w:tmpl w:val="81783C12"/>
    <w:lvl w:ilvl="0" w:tplc="111E1A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5C0444"/>
    <w:multiLevelType w:val="hybridMultilevel"/>
    <w:tmpl w:val="9B5483BC"/>
    <w:lvl w:ilvl="0" w:tplc="111E1A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ED72D8"/>
    <w:multiLevelType w:val="hybridMultilevel"/>
    <w:tmpl w:val="3F48FACC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496655"/>
    <w:multiLevelType w:val="hybridMultilevel"/>
    <w:tmpl w:val="FF2830BC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E1C26"/>
    <w:multiLevelType w:val="hybridMultilevel"/>
    <w:tmpl w:val="BBD2F108"/>
    <w:lvl w:ilvl="0" w:tplc="454AA858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F40898"/>
    <w:multiLevelType w:val="hybridMultilevel"/>
    <w:tmpl w:val="BE0EA772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82001"/>
    <w:multiLevelType w:val="hybridMultilevel"/>
    <w:tmpl w:val="20A6DEA4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11E1A4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981F6E"/>
    <w:multiLevelType w:val="hybridMultilevel"/>
    <w:tmpl w:val="132E205C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AA46E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13564D"/>
    <w:multiLevelType w:val="hybridMultilevel"/>
    <w:tmpl w:val="400687DA"/>
    <w:lvl w:ilvl="0" w:tplc="2CAE6A4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0B1AB6"/>
    <w:multiLevelType w:val="hybridMultilevel"/>
    <w:tmpl w:val="FA089BFE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C8B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E95D86"/>
    <w:multiLevelType w:val="multilevel"/>
    <w:tmpl w:val="7BE95D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95D87"/>
    <w:multiLevelType w:val="hybridMultilevel"/>
    <w:tmpl w:val="7BE95D87"/>
    <w:lvl w:ilvl="0" w:tplc="27B6FA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444F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3E28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E8AB8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512D0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0120B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CA4EB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C2A11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EDA7A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7E81021E"/>
    <w:multiLevelType w:val="hybridMultilevel"/>
    <w:tmpl w:val="8296218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AB5A2118">
      <w:numFmt w:val="bullet"/>
      <w:lvlText w:val="•"/>
      <w:lvlJc w:val="left"/>
      <w:pPr>
        <w:ind w:left="1800" w:hanging="72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8553BB"/>
    <w:multiLevelType w:val="hybridMultilevel"/>
    <w:tmpl w:val="CA64F998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4"/>
  </w:num>
  <w:num w:numId="4">
    <w:abstractNumId w:val="8"/>
  </w:num>
  <w:num w:numId="5">
    <w:abstractNumId w:val="17"/>
  </w:num>
  <w:num w:numId="6">
    <w:abstractNumId w:val="18"/>
  </w:num>
  <w:num w:numId="7">
    <w:abstractNumId w:val="0"/>
  </w:num>
  <w:num w:numId="8">
    <w:abstractNumId w:val="10"/>
  </w:num>
  <w:num w:numId="9">
    <w:abstractNumId w:val="2"/>
  </w:num>
  <w:num w:numId="10">
    <w:abstractNumId w:val="13"/>
  </w:num>
  <w:num w:numId="11">
    <w:abstractNumId w:val="1"/>
  </w:num>
  <w:num w:numId="12">
    <w:abstractNumId w:val="3"/>
  </w:num>
  <w:num w:numId="13">
    <w:abstractNumId w:val="12"/>
  </w:num>
  <w:num w:numId="14">
    <w:abstractNumId w:val="14"/>
  </w:num>
  <w:num w:numId="15">
    <w:abstractNumId w:val="7"/>
  </w:num>
  <w:num w:numId="16">
    <w:abstractNumId w:val="9"/>
  </w:num>
  <w:num w:numId="17">
    <w:abstractNumId w:val="6"/>
  </w:num>
  <w:num w:numId="18">
    <w:abstractNumId w:val="5"/>
  </w:num>
  <w:num w:numId="1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ya Ninova">
    <w15:presenceInfo w15:providerId="AD" w15:userId="S-1-5-21-3470032345-2211321583-660534131-116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F6E"/>
    <w:rsid w:val="0001738E"/>
    <w:rsid w:val="0003047D"/>
    <w:rsid w:val="000A5456"/>
    <w:rsid w:val="000B5602"/>
    <w:rsid w:val="000B7685"/>
    <w:rsid w:val="000C013A"/>
    <w:rsid w:val="000F5001"/>
    <w:rsid w:val="00105D49"/>
    <w:rsid w:val="00116324"/>
    <w:rsid w:val="00123CF8"/>
    <w:rsid w:val="001459BD"/>
    <w:rsid w:val="00150A78"/>
    <w:rsid w:val="0018163F"/>
    <w:rsid w:val="001D00F4"/>
    <w:rsid w:val="001E13CD"/>
    <w:rsid w:val="001F7AA3"/>
    <w:rsid w:val="00232EB4"/>
    <w:rsid w:val="00240D2A"/>
    <w:rsid w:val="00247F77"/>
    <w:rsid w:val="002D194D"/>
    <w:rsid w:val="00321A2E"/>
    <w:rsid w:val="00370D0B"/>
    <w:rsid w:val="00381CC7"/>
    <w:rsid w:val="003910A6"/>
    <w:rsid w:val="003A54AA"/>
    <w:rsid w:val="003C6BB9"/>
    <w:rsid w:val="003D3ED9"/>
    <w:rsid w:val="00437728"/>
    <w:rsid w:val="0045001B"/>
    <w:rsid w:val="00471CF0"/>
    <w:rsid w:val="004917D5"/>
    <w:rsid w:val="004D7616"/>
    <w:rsid w:val="00514C3E"/>
    <w:rsid w:val="00536FC7"/>
    <w:rsid w:val="005439A8"/>
    <w:rsid w:val="00555D57"/>
    <w:rsid w:val="00556A37"/>
    <w:rsid w:val="00574079"/>
    <w:rsid w:val="005A6BF1"/>
    <w:rsid w:val="005C6934"/>
    <w:rsid w:val="005F0C0D"/>
    <w:rsid w:val="0060612D"/>
    <w:rsid w:val="00616C03"/>
    <w:rsid w:val="00672CF6"/>
    <w:rsid w:val="00694112"/>
    <w:rsid w:val="006D21C7"/>
    <w:rsid w:val="007463A3"/>
    <w:rsid w:val="0077489D"/>
    <w:rsid w:val="007865A8"/>
    <w:rsid w:val="00795E69"/>
    <w:rsid w:val="007A63CD"/>
    <w:rsid w:val="007C6F6E"/>
    <w:rsid w:val="00811404"/>
    <w:rsid w:val="008557CA"/>
    <w:rsid w:val="00862B53"/>
    <w:rsid w:val="008769A3"/>
    <w:rsid w:val="00890DB7"/>
    <w:rsid w:val="008A2A09"/>
    <w:rsid w:val="00916DEE"/>
    <w:rsid w:val="00995D23"/>
    <w:rsid w:val="009C73CF"/>
    <w:rsid w:val="009F7109"/>
    <w:rsid w:val="00A17854"/>
    <w:rsid w:val="00A47B63"/>
    <w:rsid w:val="00A96333"/>
    <w:rsid w:val="00A96DB8"/>
    <w:rsid w:val="00AA7168"/>
    <w:rsid w:val="00AB1CD8"/>
    <w:rsid w:val="00AD4EDF"/>
    <w:rsid w:val="00AE6A5E"/>
    <w:rsid w:val="00B13229"/>
    <w:rsid w:val="00B324E4"/>
    <w:rsid w:val="00B52D5E"/>
    <w:rsid w:val="00BE2B0C"/>
    <w:rsid w:val="00BE4D70"/>
    <w:rsid w:val="00BE6DB3"/>
    <w:rsid w:val="00C153D0"/>
    <w:rsid w:val="00C22986"/>
    <w:rsid w:val="00C542CC"/>
    <w:rsid w:val="00C569DF"/>
    <w:rsid w:val="00C94969"/>
    <w:rsid w:val="00CC18B7"/>
    <w:rsid w:val="00CF3C23"/>
    <w:rsid w:val="00D02004"/>
    <w:rsid w:val="00D21996"/>
    <w:rsid w:val="00D61664"/>
    <w:rsid w:val="00D7176E"/>
    <w:rsid w:val="00D80A1F"/>
    <w:rsid w:val="00D94238"/>
    <w:rsid w:val="00D95FAC"/>
    <w:rsid w:val="00DB7589"/>
    <w:rsid w:val="00DC43F5"/>
    <w:rsid w:val="00DC4B3D"/>
    <w:rsid w:val="00E01402"/>
    <w:rsid w:val="00E065ED"/>
    <w:rsid w:val="00E239DE"/>
    <w:rsid w:val="00E35F37"/>
    <w:rsid w:val="00E676F6"/>
    <w:rsid w:val="00EA7256"/>
    <w:rsid w:val="00EF6974"/>
    <w:rsid w:val="00EF71F7"/>
    <w:rsid w:val="00F062F6"/>
    <w:rsid w:val="00F15D45"/>
    <w:rsid w:val="00F6245E"/>
    <w:rsid w:val="00F6320B"/>
    <w:rsid w:val="00F72446"/>
    <w:rsid w:val="00F73ED7"/>
    <w:rsid w:val="00FC7113"/>
    <w:rsid w:val="00FD3C0E"/>
    <w:rsid w:val="00FD3CA5"/>
    <w:rsid w:val="00FF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4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16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efaultParagraphFont"/>
    <w:rsid w:val="00FF12E8"/>
  </w:style>
  <w:style w:type="paragraph" w:styleId="FootnoteText">
    <w:name w:val="footnote text"/>
    <w:basedOn w:val="Normal"/>
    <w:link w:val="FootnoteTextChar"/>
    <w:uiPriority w:val="99"/>
    <w:semiHidden/>
    <w:unhideWhenUsed/>
    <w:rsid w:val="005C69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9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93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589"/>
  </w:style>
  <w:style w:type="paragraph" w:styleId="Footer">
    <w:name w:val="footer"/>
    <w:basedOn w:val="Normal"/>
    <w:link w:val="FooterChar"/>
    <w:uiPriority w:val="99"/>
    <w:unhideWhenUsed/>
    <w:rsid w:val="00DB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4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16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efaultParagraphFont"/>
    <w:rsid w:val="00FF12E8"/>
  </w:style>
  <w:style w:type="paragraph" w:styleId="FootnoteText">
    <w:name w:val="footnote text"/>
    <w:basedOn w:val="Normal"/>
    <w:link w:val="FootnoteTextChar"/>
    <w:uiPriority w:val="99"/>
    <w:semiHidden/>
    <w:unhideWhenUsed/>
    <w:rsid w:val="005C69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9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93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589"/>
  </w:style>
  <w:style w:type="paragraph" w:styleId="Footer">
    <w:name w:val="footer"/>
    <w:basedOn w:val="Normal"/>
    <w:link w:val="FooterChar"/>
    <w:uiPriority w:val="99"/>
    <w:unhideWhenUsed/>
    <w:rsid w:val="00DB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CFB1-C57C-404A-960C-FE19ABDAD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2198</Words>
  <Characters>12533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Nevena Todorova</cp:lastModifiedBy>
  <cp:revision>7</cp:revision>
  <dcterms:created xsi:type="dcterms:W3CDTF">2022-06-02T13:02:00Z</dcterms:created>
  <dcterms:modified xsi:type="dcterms:W3CDTF">2022-06-08T14:15:00Z</dcterms:modified>
</cp:coreProperties>
</file>