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20" w:type="dxa"/>
        <w:tblInd w:w="-179" w:type="dxa"/>
        <w:tblLayout w:type="fixed"/>
        <w:tblCellMar>
          <w:left w:w="0" w:type="dxa"/>
          <w:right w:w="0" w:type="dxa"/>
        </w:tblCellMar>
        <w:tblLook w:val="0000" w:firstRow="0" w:lastRow="0" w:firstColumn="0" w:lastColumn="0" w:noHBand="0" w:noVBand="0"/>
      </w:tblPr>
      <w:tblGrid>
        <w:gridCol w:w="5116"/>
        <w:gridCol w:w="1217"/>
        <w:gridCol w:w="4337"/>
        <w:gridCol w:w="2650"/>
      </w:tblGrid>
      <w:tr w:rsidR="00025E58" w:rsidRPr="00144A1F" w:rsidTr="007700FA">
        <w:trPr>
          <w:trHeight w:val="1256"/>
          <w:tblHeader/>
        </w:trPr>
        <w:tc>
          <w:tcPr>
            <w:tcW w:w="5116" w:type="dxa"/>
            <w:vMerge w:val="restart"/>
            <w:tcBorders>
              <w:top w:val="single" w:sz="1" w:space="0" w:color="000000"/>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Pr="004322ED">
              <w:rPr>
                <w:rFonts w:eastAsia="HG Mincho Light J"/>
                <w:b/>
                <w:color w:val="000000"/>
                <w:sz w:val="20"/>
                <w:szCs w:val="20"/>
                <w:lang w:val="bg-BG"/>
              </w:rPr>
              <w:t>земеделието</w:t>
            </w:r>
          </w:p>
          <w:p w:rsidR="00025E58" w:rsidRPr="00144A1F" w:rsidRDefault="00025E58"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650"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7700FA">
        <w:trPr>
          <w:trHeight w:val="74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DC2E70">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sidR="00DC2E70">
              <w:rPr>
                <w:rFonts w:eastAsia="HG Mincho Light J"/>
                <w:b/>
                <w:color w:val="000000"/>
                <w:sz w:val="20"/>
                <w:szCs w:val="20"/>
                <w:lang w:val="bg-BG"/>
              </w:rPr>
              <w:t>13</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DC2E70">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w:t>
            </w:r>
            <w:r w:rsidR="00DC2E70">
              <w:rPr>
                <w:b/>
                <w:iCs/>
                <w:sz w:val="20"/>
                <w:szCs w:val="20"/>
                <w:lang w:val="bg-BG"/>
              </w:rPr>
              <w:t xml:space="preserve">Списък на </w:t>
            </w:r>
            <w:r w:rsidR="00DC2E70" w:rsidRPr="00DC2E70">
              <w:rPr>
                <w:b/>
                <w:iCs/>
                <w:sz w:val="20"/>
                <w:szCs w:val="20"/>
                <w:lang w:val="bg-BG"/>
              </w:rPr>
              <w:t>предложените за отхвърляне проектни предложения</w:t>
            </w:r>
          </w:p>
        </w:tc>
        <w:tc>
          <w:tcPr>
            <w:tcW w:w="2650"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sidR="009C4EBC">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sidR="009C4EBC">
              <w:rPr>
                <w:rStyle w:val="PageNumber"/>
                <w:noProof/>
                <w:sz w:val="20"/>
                <w:szCs w:val="20"/>
                <w:lang w:val="bg-BG"/>
              </w:rPr>
              <w:t>82</w:t>
            </w:r>
            <w:r w:rsidRPr="00144A1F">
              <w:rPr>
                <w:rStyle w:val="PageNumber"/>
                <w:sz w:val="20"/>
                <w:szCs w:val="20"/>
                <w:lang w:val="bg-BG"/>
              </w:rPr>
              <w:fldChar w:fldCharType="end"/>
            </w:r>
          </w:p>
        </w:tc>
      </w:tr>
      <w:tr w:rsidR="00025E58" w:rsidRPr="00144A1F" w:rsidTr="007700FA">
        <w:trPr>
          <w:trHeight w:val="697"/>
        </w:trPr>
        <w:tc>
          <w:tcPr>
            <w:tcW w:w="5116"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650"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F97D8C"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7700FA">
        <w:trPr>
          <w:trHeight w:val="697"/>
        </w:trPr>
        <w:tc>
          <w:tcPr>
            <w:tcW w:w="5116"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650"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F97D8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7D64DB" w:rsidRDefault="000C6C91">
      <w:pPr>
        <w:rPr>
          <w:lang w:val="bg-BG"/>
        </w:rPr>
      </w:pPr>
    </w:p>
    <w:p w:rsidR="00025E58" w:rsidRDefault="00025E58">
      <w:pPr>
        <w:rPr>
          <w:lang w:val="bg-BG"/>
        </w:rPr>
      </w:pPr>
    </w:p>
    <w:p w:rsidR="00025E58" w:rsidRDefault="00025E58">
      <w:pPr>
        <w:rPr>
          <w:lang w:val="bg-BG"/>
        </w:rPr>
      </w:pPr>
    </w:p>
    <w:p w:rsidR="009C4EBC" w:rsidRDefault="00DC2E70" w:rsidP="00806732">
      <w:pPr>
        <w:jc w:val="center"/>
        <w:rPr>
          <w:b/>
          <w:lang w:val="bg-BG"/>
        </w:rPr>
      </w:pPr>
      <w:r w:rsidRPr="00DC2E70">
        <w:rPr>
          <w:b/>
          <w:lang w:val="bg-BG"/>
        </w:rPr>
        <w:t xml:space="preserve">Списък на </w:t>
      </w:r>
      <w:r w:rsidR="00E3156B">
        <w:rPr>
          <w:b/>
          <w:lang w:val="bg-BG"/>
        </w:rPr>
        <w:t xml:space="preserve">проектните предложения, </w:t>
      </w:r>
      <w:r w:rsidR="00E3156B" w:rsidRPr="00E3156B">
        <w:rPr>
          <w:b/>
          <w:lang w:val="bg-BG"/>
        </w:rPr>
        <w:t xml:space="preserve">които не се допускат до техническа и финансова оценка </w:t>
      </w:r>
      <w:r w:rsidR="00E3156B">
        <w:rPr>
          <w:b/>
          <w:lang w:val="bg-BG"/>
        </w:rPr>
        <w:t>по процедура</w:t>
      </w:r>
      <w:r w:rsidRPr="00DC2E70">
        <w:rPr>
          <w:b/>
          <w:lang w:val="bg-BG"/>
        </w:rPr>
        <w:t xml:space="preserve"> № </w:t>
      </w:r>
      <w:r w:rsidR="0033082C" w:rsidRPr="0033082C">
        <w:rPr>
          <w:b/>
          <w:lang w:val="bg-BG"/>
        </w:rPr>
        <w:t xml:space="preserve">BG14MFOP001-4.083, Местна инициативна рибарска група (МИРГ)  Поморие – Мярка 2 </w:t>
      </w:r>
      <w:bookmarkStart w:id="0" w:name="_GoBack"/>
      <w:r w:rsidR="0033082C" w:rsidRPr="0033082C">
        <w:rPr>
          <w:b/>
          <w:lang w:val="bg-BG"/>
        </w:rPr>
        <w:t xml:space="preserve">„Диверсификацията в рамките на риболова с търговска цел или извън него на територията на МИРГ „Поморие“ </w:t>
      </w:r>
      <w:bookmarkEnd w:id="0"/>
      <w:r w:rsidR="0033082C" w:rsidRPr="0033082C">
        <w:rPr>
          <w:b/>
          <w:lang w:val="bg-BG"/>
        </w:rPr>
        <w:t>от Стратегията за Водено от общностите местно развитие (ВОМР) на МИРГ Поморие</w:t>
      </w:r>
      <w:r w:rsidR="00E3156B" w:rsidRPr="00E3156B">
        <w:rPr>
          <w:b/>
          <w:lang w:val="bg-BG"/>
        </w:rPr>
        <w:t xml:space="preserve"> по Програмата за морско дело и рибарство 2014-2020 г.</w:t>
      </w:r>
      <w:r w:rsidR="00E3156B">
        <w:rPr>
          <w:b/>
          <w:lang w:val="bg-BG"/>
        </w:rPr>
        <w:t xml:space="preserve"> </w:t>
      </w:r>
    </w:p>
    <w:p w:rsidR="00E3156B" w:rsidRDefault="00E3156B" w:rsidP="00806732">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112"/>
        <w:gridCol w:w="2318"/>
        <w:gridCol w:w="2959"/>
        <w:gridCol w:w="5233"/>
      </w:tblGrid>
      <w:tr w:rsidR="00025E58" w:rsidRPr="00E76FC7" w:rsidTr="00C171C9">
        <w:tc>
          <w:tcPr>
            <w:tcW w:w="600" w:type="dxa"/>
            <w:shd w:val="clear" w:color="auto" w:fill="auto"/>
          </w:tcPr>
          <w:p w:rsidR="00025E58" w:rsidRPr="005C45BA" w:rsidRDefault="00025E58" w:rsidP="00E756A6">
            <w:pPr>
              <w:jc w:val="center"/>
              <w:rPr>
                <w:b/>
                <w:sz w:val="20"/>
                <w:szCs w:val="20"/>
                <w:lang w:val="bg-BG"/>
              </w:rPr>
            </w:pPr>
            <w:r w:rsidRPr="005C45BA">
              <w:rPr>
                <w:b/>
                <w:sz w:val="20"/>
                <w:szCs w:val="20"/>
                <w:lang w:val="bg-BG"/>
              </w:rPr>
              <w:t>№</w:t>
            </w:r>
          </w:p>
        </w:tc>
        <w:tc>
          <w:tcPr>
            <w:tcW w:w="2112" w:type="dxa"/>
            <w:shd w:val="clear" w:color="auto" w:fill="auto"/>
          </w:tcPr>
          <w:p w:rsidR="00025E58" w:rsidRPr="005C45BA" w:rsidRDefault="00025E58" w:rsidP="00E756A6">
            <w:pPr>
              <w:jc w:val="center"/>
              <w:rPr>
                <w:b/>
                <w:sz w:val="20"/>
                <w:szCs w:val="20"/>
                <w:lang w:val="bg-BG"/>
              </w:rPr>
            </w:pPr>
            <w:r w:rsidRPr="005C45BA">
              <w:rPr>
                <w:b/>
                <w:sz w:val="20"/>
                <w:szCs w:val="20"/>
                <w:lang w:val="bg-BG"/>
              </w:rPr>
              <w:t xml:space="preserve">Рег. № на проектното предложение </w:t>
            </w:r>
          </w:p>
        </w:tc>
        <w:tc>
          <w:tcPr>
            <w:tcW w:w="2318"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кандидата</w:t>
            </w:r>
          </w:p>
        </w:tc>
        <w:tc>
          <w:tcPr>
            <w:tcW w:w="2959" w:type="dxa"/>
            <w:shd w:val="clear" w:color="auto" w:fill="auto"/>
          </w:tcPr>
          <w:p w:rsidR="00025E58" w:rsidRPr="005C45BA" w:rsidRDefault="00025E58" w:rsidP="00E756A6">
            <w:pPr>
              <w:jc w:val="center"/>
              <w:rPr>
                <w:b/>
                <w:sz w:val="20"/>
                <w:szCs w:val="20"/>
                <w:lang w:val="bg-BG"/>
              </w:rPr>
            </w:pPr>
            <w:r w:rsidRPr="005C45BA">
              <w:rPr>
                <w:b/>
                <w:sz w:val="20"/>
                <w:szCs w:val="20"/>
                <w:lang w:val="bg-BG"/>
              </w:rPr>
              <w:t>Наименование на проектното предложение</w:t>
            </w:r>
          </w:p>
        </w:tc>
        <w:tc>
          <w:tcPr>
            <w:tcW w:w="5233" w:type="dxa"/>
            <w:shd w:val="clear" w:color="auto" w:fill="auto"/>
          </w:tcPr>
          <w:p w:rsidR="00025E58" w:rsidRPr="005D311A" w:rsidRDefault="00025E58" w:rsidP="00E756A6">
            <w:pPr>
              <w:jc w:val="center"/>
              <w:rPr>
                <w:b/>
                <w:sz w:val="20"/>
                <w:szCs w:val="20"/>
                <w:lang w:val="bg-BG"/>
              </w:rPr>
            </w:pPr>
            <w:r w:rsidRPr="005D311A">
              <w:rPr>
                <w:b/>
                <w:sz w:val="20"/>
                <w:szCs w:val="20"/>
                <w:lang w:val="bg-BG"/>
              </w:rPr>
              <w:t>Основание за отхвърляне</w:t>
            </w:r>
          </w:p>
          <w:p w:rsidR="00025E58" w:rsidRPr="00877A5F" w:rsidRDefault="00025E58" w:rsidP="00E756A6">
            <w:pPr>
              <w:jc w:val="center"/>
              <w:rPr>
                <w:b/>
                <w:i/>
                <w:sz w:val="20"/>
                <w:szCs w:val="20"/>
                <w:lang w:val="bg-BG"/>
              </w:rPr>
            </w:pPr>
            <w:r w:rsidRPr="00877A5F">
              <w:rPr>
                <w:b/>
                <w:i/>
                <w:sz w:val="20"/>
                <w:szCs w:val="20"/>
                <w:lang w:val="bg-BG"/>
              </w:rPr>
              <w:t xml:space="preserve">(посочват се конкретните основания, а не само препратки към документите и условията, които не са изпълнени) </w:t>
            </w:r>
          </w:p>
        </w:tc>
      </w:tr>
      <w:tr w:rsidR="00025E58" w:rsidRPr="00E76FC7" w:rsidTr="00C171C9">
        <w:tc>
          <w:tcPr>
            <w:tcW w:w="600" w:type="dxa"/>
            <w:shd w:val="clear" w:color="auto" w:fill="auto"/>
          </w:tcPr>
          <w:p w:rsidR="00025E58" w:rsidRPr="005C45BA" w:rsidRDefault="00025E58" w:rsidP="00E756A6">
            <w:pPr>
              <w:jc w:val="center"/>
              <w:rPr>
                <w:b/>
                <w:lang w:val="bg-BG"/>
              </w:rPr>
            </w:pPr>
          </w:p>
          <w:p w:rsidR="00025E58" w:rsidRPr="005C45BA" w:rsidRDefault="00025E58" w:rsidP="00E756A6">
            <w:pPr>
              <w:jc w:val="center"/>
              <w:rPr>
                <w:b/>
                <w:lang w:val="bg-BG"/>
              </w:rPr>
            </w:pPr>
            <w:r w:rsidRPr="005C45BA">
              <w:rPr>
                <w:b/>
                <w:lang w:val="bg-BG"/>
              </w:rPr>
              <w:t>1.</w:t>
            </w:r>
          </w:p>
          <w:p w:rsidR="00025E58" w:rsidRPr="005C45BA" w:rsidRDefault="00025E58" w:rsidP="00E756A6">
            <w:pPr>
              <w:jc w:val="center"/>
              <w:rPr>
                <w:b/>
                <w:lang w:val="bg-BG"/>
              </w:rPr>
            </w:pPr>
          </w:p>
        </w:tc>
        <w:tc>
          <w:tcPr>
            <w:tcW w:w="2112" w:type="dxa"/>
            <w:shd w:val="clear" w:color="auto" w:fill="auto"/>
          </w:tcPr>
          <w:p w:rsidR="00025E58" w:rsidRPr="005C45BA" w:rsidRDefault="00025E58" w:rsidP="00E756A6">
            <w:pPr>
              <w:jc w:val="center"/>
              <w:rPr>
                <w:b/>
                <w:lang w:val="bg-BG"/>
              </w:rPr>
            </w:pPr>
          </w:p>
          <w:p w:rsidR="00025E58" w:rsidRPr="005C45BA" w:rsidRDefault="0090769F" w:rsidP="0033082C">
            <w:pPr>
              <w:jc w:val="center"/>
              <w:rPr>
                <w:b/>
                <w:lang w:val="bg-BG"/>
              </w:rPr>
            </w:pPr>
            <w:r w:rsidRPr="0090769F">
              <w:rPr>
                <w:b/>
                <w:lang w:val="bg-BG"/>
              </w:rPr>
              <w:t>BG14MFOP001-</w:t>
            </w:r>
            <w:r w:rsidR="0033082C">
              <w:rPr>
                <w:b/>
                <w:lang w:val="bg-BG"/>
              </w:rPr>
              <w:t>4.083-0001</w:t>
            </w:r>
          </w:p>
        </w:tc>
        <w:tc>
          <w:tcPr>
            <w:tcW w:w="2318" w:type="dxa"/>
            <w:shd w:val="clear" w:color="auto" w:fill="auto"/>
          </w:tcPr>
          <w:p w:rsidR="00025E58" w:rsidRPr="005C45BA" w:rsidRDefault="00025E58" w:rsidP="00E756A6">
            <w:pPr>
              <w:jc w:val="center"/>
              <w:rPr>
                <w:b/>
                <w:lang w:val="bg-BG"/>
              </w:rPr>
            </w:pPr>
          </w:p>
          <w:p w:rsidR="00025E58" w:rsidRPr="00AF27A9" w:rsidRDefault="0085198C" w:rsidP="00AF27A9">
            <w:pPr>
              <w:jc w:val="center"/>
              <w:rPr>
                <w:b/>
                <w:lang w:val="bg-BG"/>
              </w:rPr>
            </w:pPr>
            <w:r w:rsidRPr="00AF27A9">
              <w:rPr>
                <w:b/>
                <w:lang w:val="bg-BG"/>
              </w:rPr>
              <w:t>„</w:t>
            </w:r>
            <w:r w:rsidR="0033082C" w:rsidRPr="0033082C">
              <w:rPr>
                <w:b/>
                <w:lang w:val="bg-BG"/>
              </w:rPr>
              <w:t>НОРДИБГ</w:t>
            </w:r>
            <w:r w:rsidR="00AF27A9" w:rsidRPr="00AF27A9">
              <w:rPr>
                <w:b/>
                <w:lang w:val="bg-BG"/>
              </w:rPr>
              <w:t>“</w:t>
            </w:r>
            <w:r w:rsidRPr="00AF27A9">
              <w:rPr>
                <w:b/>
                <w:lang w:val="bg-BG"/>
              </w:rPr>
              <w:t xml:space="preserve"> </w:t>
            </w:r>
            <w:r w:rsidR="0033082C">
              <w:rPr>
                <w:b/>
                <w:lang w:val="bg-BG"/>
              </w:rPr>
              <w:t>Е</w:t>
            </w:r>
            <w:r w:rsidRPr="00AF27A9">
              <w:rPr>
                <w:b/>
                <w:lang w:val="bg-BG"/>
              </w:rPr>
              <w:t>ООД</w:t>
            </w:r>
          </w:p>
        </w:tc>
        <w:tc>
          <w:tcPr>
            <w:tcW w:w="2959" w:type="dxa"/>
            <w:shd w:val="clear" w:color="auto" w:fill="auto"/>
          </w:tcPr>
          <w:p w:rsidR="00025E58" w:rsidRPr="005C45BA" w:rsidRDefault="0093219F" w:rsidP="000D421C">
            <w:pPr>
              <w:jc w:val="both"/>
              <w:rPr>
                <w:lang w:val="bg-BG"/>
              </w:rPr>
            </w:pPr>
            <w:r w:rsidRPr="0093219F">
              <w:rPr>
                <w:lang w:val="bg-BG"/>
              </w:rPr>
              <w:t>„</w:t>
            </w:r>
            <w:r w:rsidR="0033082C" w:rsidRPr="0033082C">
              <w:rPr>
                <w:lang w:val="bg-BG"/>
              </w:rPr>
              <w:t xml:space="preserve">Диверсификация </w:t>
            </w:r>
            <w:r w:rsidR="0033082C">
              <w:rPr>
                <w:lang w:val="bg-BG"/>
              </w:rPr>
              <w:t xml:space="preserve">на дейността на фирма „НОРДИБГ“ </w:t>
            </w:r>
            <w:r w:rsidR="0033082C" w:rsidRPr="0033082C">
              <w:rPr>
                <w:lang w:val="bg-BG"/>
              </w:rPr>
              <w:t>ЕООД, чрез инвестиции в оборудване</w:t>
            </w:r>
            <w:r w:rsidRPr="0093219F">
              <w:rPr>
                <w:lang w:val="bg-BG"/>
              </w:rPr>
              <w:t>“</w:t>
            </w:r>
          </w:p>
        </w:tc>
        <w:tc>
          <w:tcPr>
            <w:tcW w:w="5233" w:type="dxa"/>
            <w:shd w:val="clear" w:color="auto" w:fill="auto"/>
          </w:tcPr>
          <w:p w:rsidR="00055BA2" w:rsidRPr="00055BA2" w:rsidRDefault="00055BA2" w:rsidP="00055BA2">
            <w:pPr>
              <w:spacing w:after="160" w:line="259" w:lineRule="auto"/>
              <w:ind w:firstLine="720"/>
              <w:jc w:val="both"/>
              <w:rPr>
                <w:lang w:val="bg-BG"/>
              </w:rPr>
            </w:pPr>
            <w:r w:rsidRPr="00055BA2">
              <w:rPr>
                <w:lang w:val="bg-BG"/>
              </w:rPr>
              <w:t xml:space="preserve">След извършване на оценка за административно съответствие и допустимост на проектно предложение №  BG14MFOP001-4.083-0001 съгласно чл. 29, ал. 2, т. 1, б. „а“ от ЗУСЕСИФ, е установено следното: </w:t>
            </w:r>
          </w:p>
          <w:p w:rsidR="00055BA2" w:rsidRPr="00055BA2" w:rsidRDefault="00055BA2" w:rsidP="00055BA2">
            <w:pPr>
              <w:spacing w:after="160" w:line="259" w:lineRule="auto"/>
              <w:ind w:firstLine="720"/>
              <w:jc w:val="both"/>
              <w:rPr>
                <w:lang w:val="bg-BG"/>
              </w:rPr>
            </w:pPr>
            <w:r w:rsidRPr="00055BA2">
              <w:rPr>
                <w:lang w:val="bg-BG"/>
              </w:rPr>
              <w:t xml:space="preserve">Проектното предложение не отговаря на </w:t>
            </w:r>
            <w:r w:rsidRPr="00055BA2">
              <w:rPr>
                <w:lang w:val="bg-BG"/>
              </w:rPr>
              <w:lastRenderedPageBreak/>
              <w:t xml:space="preserve">Критерий № 5 „Кандидатът е допустим съгласно изискванията в т. 11 от Условия за кандидатстване по настоящата процедура.“ от Приложение 4 „Критерии и методология за оценка от Управляващия орган на Програма за морско дело и рибарство (ПМДР) 2014-2020 г. на проектни предложения по Процедура за подбор на проекти – BG14MFOP001-4.083 Диверсификацията в рамките на риболова с търговска цел или извън него на територията на МИРГ „Поморие“ по Стратегията за ВОМР на МИРГ „Поморие“. </w:t>
            </w:r>
          </w:p>
          <w:p w:rsidR="00055BA2" w:rsidRPr="00055BA2" w:rsidRDefault="00055BA2" w:rsidP="00055BA2">
            <w:pPr>
              <w:spacing w:after="160" w:line="259" w:lineRule="auto"/>
              <w:ind w:firstLine="720"/>
              <w:jc w:val="both"/>
              <w:rPr>
                <w:lang w:val="bg-BG"/>
              </w:rPr>
            </w:pPr>
            <w:r w:rsidRPr="00055BA2">
              <w:rPr>
                <w:lang w:val="bg-BG"/>
              </w:rPr>
              <w:t>Съгласно Условия за кандидатстване (УК) с проектни предложения за предоставяне на безвъзмездна финансова помощ по Процедура чрез подбор на проекти BG14MFOP001-4.083 „Диверсификацията в рамките на риболова с търговска цел или извън него на територията на МИРГ „Поморие“ по Стратегията за ВОМР на МИРГ „Поморие“, т. 11 „Допустими кандидати“, подточка 11.1. „Критерии за допустимост на кандидатите“, кандидатите по мярката са допустими „САМО при условие, че развиват своята дейност в обхвата на КИД 03 „Рибно стопанство“, а именно:</w:t>
            </w:r>
          </w:p>
          <w:p w:rsidR="00055BA2" w:rsidRDefault="00055BA2" w:rsidP="00055BA2">
            <w:pPr>
              <w:spacing w:after="160" w:line="259" w:lineRule="auto"/>
              <w:ind w:firstLine="720"/>
              <w:jc w:val="both"/>
              <w:rPr>
                <w:lang w:val="bg-BG"/>
              </w:rPr>
            </w:pPr>
            <w:r w:rsidRPr="00055BA2">
              <w:rPr>
                <w:lang w:val="bg-BG"/>
              </w:rPr>
              <w:t>03.11 „Океански и морски риболов“</w:t>
            </w:r>
          </w:p>
          <w:p w:rsidR="00055BA2" w:rsidRPr="00055BA2" w:rsidRDefault="00055BA2" w:rsidP="00055BA2">
            <w:pPr>
              <w:spacing w:after="160" w:line="259" w:lineRule="auto"/>
              <w:ind w:firstLine="720"/>
              <w:jc w:val="both"/>
              <w:rPr>
                <w:lang w:val="bg-BG"/>
              </w:rPr>
            </w:pPr>
            <w:r w:rsidRPr="00055BA2">
              <w:rPr>
                <w:lang w:val="bg-BG"/>
              </w:rPr>
              <w:t>03.12 „Сладководен риболов“</w:t>
            </w:r>
          </w:p>
          <w:p w:rsidR="00055BA2" w:rsidRPr="00055BA2" w:rsidRDefault="00055BA2" w:rsidP="00055BA2">
            <w:pPr>
              <w:spacing w:after="160" w:line="259" w:lineRule="auto"/>
              <w:ind w:firstLine="720"/>
              <w:jc w:val="both"/>
              <w:rPr>
                <w:lang w:val="bg-BG"/>
              </w:rPr>
            </w:pPr>
            <w:r w:rsidRPr="00055BA2">
              <w:rPr>
                <w:lang w:val="bg-BG"/>
              </w:rPr>
              <w:t xml:space="preserve">03.21 „Развъждане и отглеждане на риба </w:t>
            </w:r>
            <w:r w:rsidRPr="00055BA2">
              <w:rPr>
                <w:lang w:val="bg-BG"/>
              </w:rPr>
              <w:lastRenderedPageBreak/>
              <w:t>и други водни организми в солени басейни“</w:t>
            </w:r>
          </w:p>
          <w:p w:rsidR="00055BA2" w:rsidRPr="00055BA2" w:rsidRDefault="00055BA2" w:rsidP="00055BA2">
            <w:pPr>
              <w:spacing w:after="160" w:line="259" w:lineRule="auto"/>
              <w:ind w:firstLine="720"/>
              <w:jc w:val="both"/>
              <w:rPr>
                <w:lang w:val="bg-BG"/>
              </w:rPr>
            </w:pPr>
            <w:r w:rsidRPr="00055BA2">
              <w:rPr>
                <w:lang w:val="bg-BG"/>
              </w:rPr>
              <w:t>03.22 „Развъждане и отглеждане на риба и други водни организми в сладководни басейни“.</w:t>
            </w:r>
          </w:p>
          <w:p w:rsidR="00055BA2" w:rsidRPr="00055BA2" w:rsidRDefault="00055BA2" w:rsidP="00055BA2">
            <w:pPr>
              <w:spacing w:after="160" w:line="259" w:lineRule="auto"/>
              <w:ind w:firstLine="720"/>
              <w:jc w:val="both"/>
              <w:rPr>
                <w:lang w:val="bg-BG"/>
              </w:rPr>
            </w:pPr>
            <w:r w:rsidRPr="00055BA2">
              <w:rPr>
                <w:lang w:val="bg-BG"/>
              </w:rPr>
              <w:t xml:space="preserve">След извършена служебна проверка на официални данни, предоставени от Информационна система за мониторинг на европейски и национални стратегии и регионална политика (MОНИТОРСТАТ) към Национален статистически институт (НСИ) е установено, че за 2018 г., 2019 г. и 2020 г. „НОРДИБГ“ EООД има подадени декларации за икономическа неактивност и за това определянето на основна и допълнителна икономически дейности по КИД за трите години, предхождащи датата на кандидатстването на дружеството (22.12.2021 г.) не е възможно. </w:t>
            </w:r>
          </w:p>
          <w:p w:rsidR="00055BA2" w:rsidRPr="00055BA2" w:rsidRDefault="00055BA2" w:rsidP="00055BA2">
            <w:pPr>
              <w:spacing w:after="160" w:line="259" w:lineRule="auto"/>
              <w:ind w:firstLine="720"/>
              <w:jc w:val="both"/>
              <w:rPr>
                <w:lang w:val="bg-BG"/>
              </w:rPr>
            </w:pPr>
            <w:r w:rsidRPr="00055BA2">
              <w:rPr>
                <w:lang w:val="bg-BG"/>
              </w:rPr>
              <w:t xml:space="preserve">В допълнение, с кореспонденция чрез ИСУН 2020 с рег. № BG14MFOP001-4.083-0001-M001 от 12.01.2022 г. от кандидата е изискано да представи отчет за приходи и разходи за последната финансова година (2021 г.), съгласно т. 16 от раздел 24 „Списък на документите, които се подават на етап кандидатстване“ от УК. </w:t>
            </w:r>
          </w:p>
          <w:p w:rsidR="00055BA2" w:rsidRPr="00055BA2" w:rsidRDefault="00055BA2" w:rsidP="00055BA2">
            <w:pPr>
              <w:spacing w:after="160" w:line="259" w:lineRule="auto"/>
              <w:ind w:firstLine="720"/>
              <w:jc w:val="both"/>
              <w:rPr>
                <w:lang w:val="bg-BG"/>
              </w:rPr>
            </w:pPr>
            <w:r w:rsidRPr="00055BA2">
              <w:rPr>
                <w:lang w:val="bg-BG"/>
              </w:rPr>
              <w:t xml:space="preserve">В отговор, предоставените от кандидата с писмо за допълнителна информация чрез ИСУН 2020, счетоводни документи представляват </w:t>
            </w:r>
            <w:r w:rsidRPr="00055BA2">
              <w:rPr>
                <w:lang w:val="bg-BG"/>
              </w:rPr>
              <w:lastRenderedPageBreak/>
              <w:t>единствено риболовни дневници за 2021 г., които предоставят информация за извършен риболовен улов в незначително количество, който е предвиден за лична консумация. В тази връзка, е установено, че за годините 2018, 2019, 2020 и 2021 г. дружеството „НОРДИБГ“ ЕООД не e осъществявало дейност по смисъла на Закона за счетоводство, както и не би могло да докаже, че развива своята дейност в обхвата на КИД 03 „Рибно стопанство“.</w:t>
            </w:r>
          </w:p>
          <w:p w:rsidR="00055BA2" w:rsidRPr="00055BA2" w:rsidRDefault="00055BA2" w:rsidP="00055BA2">
            <w:pPr>
              <w:spacing w:after="160" w:line="259" w:lineRule="auto"/>
              <w:ind w:firstLine="720"/>
              <w:jc w:val="both"/>
              <w:rPr>
                <w:lang w:val="bg-BG"/>
              </w:rPr>
            </w:pPr>
            <w:r w:rsidRPr="00055BA2">
              <w:rPr>
                <w:lang w:val="bg-BG"/>
              </w:rPr>
              <w:t xml:space="preserve">Във връзка с установената недопустимост на кандидата съгласно изискванията в т. 11 от Условия за кандидатстване по настоящата процедура, проектното предложение не отговаря и на Критерий № 7 „Разходите за финансиране са допустими съгласно изискванията в т. 14 от Условия за кандидатстване по настоящата процедура. В случай на наличие на недопустими разходи същите са установени и редуцирани“ от Приложение 4, тъй като съгласно т. 7 към подточка 14.1.1. „Допустимите разходи трябва да са в съответствие с правилата и изискванията описани както следва“: „Да са извършени от допустими бенефициенти“. </w:t>
            </w:r>
          </w:p>
          <w:p w:rsidR="00055BA2" w:rsidRPr="00055BA2" w:rsidRDefault="00055BA2" w:rsidP="00055BA2">
            <w:pPr>
              <w:spacing w:after="160" w:line="259" w:lineRule="auto"/>
              <w:ind w:firstLine="720"/>
              <w:jc w:val="both"/>
              <w:rPr>
                <w:lang w:val="bg-BG"/>
              </w:rPr>
            </w:pPr>
            <w:r w:rsidRPr="00055BA2">
              <w:rPr>
                <w:lang w:val="bg-BG"/>
              </w:rPr>
              <w:t xml:space="preserve">В допълнение, проектното предложение не отговаря на Критерий 14 „Представени са доказателства за изискуемия административен, финансов и оперативен капацитет“ от Приложение 4, тъй като според официални </w:t>
            </w:r>
            <w:r w:rsidRPr="00055BA2">
              <w:rPr>
                <w:lang w:val="bg-BG"/>
              </w:rPr>
              <w:lastRenderedPageBreak/>
              <w:t xml:space="preserve">данни, предоставени от MОНИТОРСТАТ, както и от риболовните дневници за 2021 г., предоставени от кандидат, същият не е осъществявал икономическа дейност и не регистрирал приходи от икономически дейности за 2018, 2019, 2020 и 2021 г. В допълнение, чрез кореспонденция с № BG14MFOP001-4.083-0001-M003 от 19.04.2022 г. чрез ИСУН 2020 от кандидата е изискано да представите обяснителна записка и </w:t>
            </w:r>
            <w:proofErr w:type="spellStart"/>
            <w:r w:rsidRPr="00055BA2">
              <w:rPr>
                <w:lang w:val="bg-BG"/>
              </w:rPr>
              <w:t>съотносими</w:t>
            </w:r>
            <w:proofErr w:type="spellEnd"/>
            <w:r w:rsidRPr="00055BA2">
              <w:rPr>
                <w:lang w:val="bg-BG"/>
              </w:rPr>
              <w:t xml:space="preserve"> документи във връзка с декларираните данни в представена „Декларация за наличие на финансов капацитет“, с посочени източници на финансиране „Средства на партньори и собственика“ и „Заемни средства от партньори“. В отговор, кандидатът не предоставя доказателства за съответствието си с изискването на т. 11.1 „Критерии за допустимост на кандидатите“ от УК „Кандидатът трябва да притежава необходимия финансов и технически капацитет за извършване на дейностите“.   </w:t>
            </w:r>
          </w:p>
          <w:p w:rsidR="00055BA2" w:rsidRPr="00055BA2" w:rsidRDefault="00055BA2" w:rsidP="00055BA2">
            <w:pPr>
              <w:spacing w:after="160" w:line="259" w:lineRule="auto"/>
              <w:ind w:firstLine="720"/>
              <w:jc w:val="both"/>
              <w:rPr>
                <w:lang w:val="bg-BG"/>
              </w:rPr>
            </w:pPr>
            <w:r w:rsidRPr="00055BA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rsidR="00055BA2" w:rsidRPr="00055BA2" w:rsidRDefault="00055BA2" w:rsidP="00055BA2">
            <w:pPr>
              <w:spacing w:after="160" w:line="259" w:lineRule="auto"/>
              <w:ind w:firstLine="720"/>
              <w:jc w:val="both"/>
              <w:rPr>
                <w:lang w:val="bg-BG"/>
              </w:rPr>
            </w:pPr>
            <w:r w:rsidRPr="00055BA2">
              <w:rPr>
                <w:lang w:val="bg-BG"/>
              </w:rPr>
              <w:t xml:space="preserve">Съгласно чл. 34, ал. 2 на ЗУСЕСИФ, когато след допълнително изискване по установения ред, на задължително изискуеми по </w:t>
            </w:r>
            <w:r w:rsidRPr="00055BA2">
              <w:rPr>
                <w:lang w:val="bg-BG"/>
              </w:rPr>
              <w:lastRenderedPageBreak/>
              <w:t>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rsidR="00E007E1" w:rsidRPr="00E007E1" w:rsidRDefault="00055BA2" w:rsidP="00055BA2">
            <w:pPr>
              <w:spacing w:after="160" w:line="259" w:lineRule="auto"/>
              <w:ind w:firstLine="720"/>
              <w:jc w:val="both"/>
              <w:rPr>
                <w:highlight w:val="green"/>
                <w:lang w:val="bg-BG"/>
              </w:rPr>
            </w:pPr>
            <w:r w:rsidRPr="00055BA2">
              <w:rPr>
                <w:lang w:val="bg-BG"/>
              </w:rPr>
              <w:t>Поради изложените по-горе аргументи, проектно предложение с рег. № BG14MFOP001-4.083-0001 е включено в Списъка на проектните предложения, които не се допускат до етап Техническа и финансова оценка, по настоящата процедура.</w:t>
            </w:r>
          </w:p>
        </w:tc>
      </w:tr>
    </w:tbl>
    <w:p w:rsidR="00806732" w:rsidRDefault="00806732">
      <w:pPr>
        <w:rPr>
          <w:lang w:val="bg-BG"/>
        </w:rPr>
      </w:pPr>
    </w:p>
    <w:p w:rsidR="00806732" w:rsidRDefault="00806732" w:rsidP="00806732">
      <w:pPr>
        <w:jc w:val="both"/>
        <w:rPr>
          <w:lang w:val="bg-BG"/>
        </w:rPr>
      </w:pPr>
      <w:r w:rsidRPr="00806732">
        <w:rPr>
          <w:lang w:val="bg-BG"/>
        </w:rPr>
        <w:t xml:space="preserve">ЗАБЕЛЕЖКА: </w:t>
      </w:r>
    </w:p>
    <w:p w:rsidR="00806732" w:rsidRPr="00806732" w:rsidRDefault="00806732" w:rsidP="00806732">
      <w:pPr>
        <w:jc w:val="both"/>
        <w:rPr>
          <w:lang w:val="bg-BG"/>
        </w:rPr>
      </w:pPr>
    </w:p>
    <w:p w:rsidR="00806732" w:rsidRPr="00806732" w:rsidRDefault="00806732" w:rsidP="00806732">
      <w:pPr>
        <w:jc w:val="both"/>
        <w:rPr>
          <w:lang w:val="bg-BG"/>
        </w:rPr>
      </w:pPr>
      <w:r w:rsidRPr="00806732">
        <w:rPr>
          <w:lang w:val="bg-BG"/>
        </w:rPr>
        <w:t>Съгласно разпоредбите на чл. 34, ал. 3 от ЗУСЕСИФ,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806732" w:rsidRPr="00025E58" w:rsidRDefault="00806732">
      <w:pPr>
        <w:rPr>
          <w:lang w:val="bg-BG"/>
        </w:rPr>
      </w:pPr>
    </w:p>
    <w:sectPr w:rsidR="00806732"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82E97"/>
    <w:multiLevelType w:val="hybridMultilevel"/>
    <w:tmpl w:val="33F6E3BA"/>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4">
    <w:nsid w:val="62F76D8D"/>
    <w:multiLevelType w:val="hybridMultilevel"/>
    <w:tmpl w:val="2012CCC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EFC7016"/>
    <w:multiLevelType w:val="hybridMultilevel"/>
    <w:tmpl w:val="24CCE766"/>
    <w:lvl w:ilvl="0" w:tplc="880E0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3734"/>
    <w:rsid w:val="00025E58"/>
    <w:rsid w:val="00033F3C"/>
    <w:rsid w:val="00035B11"/>
    <w:rsid w:val="00044CEB"/>
    <w:rsid w:val="00055BA2"/>
    <w:rsid w:val="00091868"/>
    <w:rsid w:val="000B0DD2"/>
    <w:rsid w:val="000B1453"/>
    <w:rsid w:val="000B43D6"/>
    <w:rsid w:val="000C3816"/>
    <w:rsid w:val="000C5B33"/>
    <w:rsid w:val="000C6C91"/>
    <w:rsid w:val="000D421C"/>
    <w:rsid w:val="000E1319"/>
    <w:rsid w:val="000F317D"/>
    <w:rsid w:val="0010481A"/>
    <w:rsid w:val="00111B54"/>
    <w:rsid w:val="001326EF"/>
    <w:rsid w:val="00153BB9"/>
    <w:rsid w:val="001839E1"/>
    <w:rsid w:val="001A2009"/>
    <w:rsid w:val="001B7041"/>
    <w:rsid w:val="001B795A"/>
    <w:rsid w:val="001D3C74"/>
    <w:rsid w:val="001F6238"/>
    <w:rsid w:val="0020220A"/>
    <w:rsid w:val="00241116"/>
    <w:rsid w:val="00284EE9"/>
    <w:rsid w:val="00287E30"/>
    <w:rsid w:val="002A1582"/>
    <w:rsid w:val="002B177F"/>
    <w:rsid w:val="002D7F1C"/>
    <w:rsid w:val="002F7B28"/>
    <w:rsid w:val="00326FF7"/>
    <w:rsid w:val="0033082C"/>
    <w:rsid w:val="00353296"/>
    <w:rsid w:val="00374867"/>
    <w:rsid w:val="003822A4"/>
    <w:rsid w:val="003939A4"/>
    <w:rsid w:val="003A6D06"/>
    <w:rsid w:val="003B29B3"/>
    <w:rsid w:val="003C6F96"/>
    <w:rsid w:val="003D0FCC"/>
    <w:rsid w:val="003D5803"/>
    <w:rsid w:val="003E59DD"/>
    <w:rsid w:val="00412A02"/>
    <w:rsid w:val="00424034"/>
    <w:rsid w:val="004340F4"/>
    <w:rsid w:val="00447CD7"/>
    <w:rsid w:val="004567F4"/>
    <w:rsid w:val="00464859"/>
    <w:rsid w:val="00470746"/>
    <w:rsid w:val="004750CF"/>
    <w:rsid w:val="00487EAD"/>
    <w:rsid w:val="004B7D48"/>
    <w:rsid w:val="004E7379"/>
    <w:rsid w:val="004F12E7"/>
    <w:rsid w:val="00502B44"/>
    <w:rsid w:val="005145E2"/>
    <w:rsid w:val="00591239"/>
    <w:rsid w:val="005B3C73"/>
    <w:rsid w:val="005C73C9"/>
    <w:rsid w:val="005D1F24"/>
    <w:rsid w:val="005D5242"/>
    <w:rsid w:val="005F5B71"/>
    <w:rsid w:val="00616EC9"/>
    <w:rsid w:val="00684CF8"/>
    <w:rsid w:val="006B6CF2"/>
    <w:rsid w:val="006C3B56"/>
    <w:rsid w:val="006D5340"/>
    <w:rsid w:val="00711EAD"/>
    <w:rsid w:val="00714A90"/>
    <w:rsid w:val="0071579F"/>
    <w:rsid w:val="00720E4A"/>
    <w:rsid w:val="007700FA"/>
    <w:rsid w:val="00771F31"/>
    <w:rsid w:val="007862E7"/>
    <w:rsid w:val="00791E7A"/>
    <w:rsid w:val="007B704A"/>
    <w:rsid w:val="007C111B"/>
    <w:rsid w:val="00806732"/>
    <w:rsid w:val="0083365D"/>
    <w:rsid w:val="00847126"/>
    <w:rsid w:val="0085198C"/>
    <w:rsid w:val="00871682"/>
    <w:rsid w:val="00871C2E"/>
    <w:rsid w:val="008C4F5F"/>
    <w:rsid w:val="008F4379"/>
    <w:rsid w:val="0090769F"/>
    <w:rsid w:val="009266D4"/>
    <w:rsid w:val="0093219F"/>
    <w:rsid w:val="009374AD"/>
    <w:rsid w:val="009922EE"/>
    <w:rsid w:val="00996458"/>
    <w:rsid w:val="009C4EBC"/>
    <w:rsid w:val="009E39A8"/>
    <w:rsid w:val="009F10FC"/>
    <w:rsid w:val="00A762F9"/>
    <w:rsid w:val="00A96A31"/>
    <w:rsid w:val="00AB1D94"/>
    <w:rsid w:val="00AC3DF7"/>
    <w:rsid w:val="00AE0230"/>
    <w:rsid w:val="00AE22F6"/>
    <w:rsid w:val="00AF27A9"/>
    <w:rsid w:val="00B34C14"/>
    <w:rsid w:val="00B45446"/>
    <w:rsid w:val="00B64E7B"/>
    <w:rsid w:val="00B65E53"/>
    <w:rsid w:val="00B73907"/>
    <w:rsid w:val="00B77FAB"/>
    <w:rsid w:val="00BB5563"/>
    <w:rsid w:val="00BB578D"/>
    <w:rsid w:val="00BE1906"/>
    <w:rsid w:val="00C171C9"/>
    <w:rsid w:val="00C65B82"/>
    <w:rsid w:val="00C76902"/>
    <w:rsid w:val="00C84BDC"/>
    <w:rsid w:val="00CD49F3"/>
    <w:rsid w:val="00CF44C8"/>
    <w:rsid w:val="00D0110C"/>
    <w:rsid w:val="00D06F9F"/>
    <w:rsid w:val="00D13AC4"/>
    <w:rsid w:val="00D166C0"/>
    <w:rsid w:val="00D9025C"/>
    <w:rsid w:val="00D90331"/>
    <w:rsid w:val="00DB7FE8"/>
    <w:rsid w:val="00DC2275"/>
    <w:rsid w:val="00DC2E70"/>
    <w:rsid w:val="00DC4249"/>
    <w:rsid w:val="00DC44BD"/>
    <w:rsid w:val="00DF0B17"/>
    <w:rsid w:val="00E007E1"/>
    <w:rsid w:val="00E126C1"/>
    <w:rsid w:val="00E171F2"/>
    <w:rsid w:val="00E3156B"/>
    <w:rsid w:val="00E4235B"/>
    <w:rsid w:val="00E445E8"/>
    <w:rsid w:val="00E5245B"/>
    <w:rsid w:val="00E52E87"/>
    <w:rsid w:val="00E76515"/>
    <w:rsid w:val="00E85F57"/>
    <w:rsid w:val="00E94C27"/>
    <w:rsid w:val="00EE51D6"/>
    <w:rsid w:val="00EF38E3"/>
    <w:rsid w:val="00F133AC"/>
    <w:rsid w:val="00F428ED"/>
    <w:rsid w:val="00F5302D"/>
    <w:rsid w:val="00F70F89"/>
    <w:rsid w:val="00F72E7E"/>
    <w:rsid w:val="00F73A86"/>
    <w:rsid w:val="00F77DC1"/>
    <w:rsid w:val="00F97D8C"/>
    <w:rsid w:val="00FA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Revision">
    <w:name w:val="Revision"/>
    <w:hidden/>
    <w:uiPriority w:val="99"/>
    <w:semiHidden/>
    <w:rsid w:val="009922EE"/>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922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E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Atanas Manolov</cp:lastModifiedBy>
  <cp:revision>2</cp:revision>
  <cp:lastPrinted>2022-02-07T12:18:00Z</cp:lastPrinted>
  <dcterms:created xsi:type="dcterms:W3CDTF">2022-06-22T14:16:00Z</dcterms:created>
  <dcterms:modified xsi:type="dcterms:W3CDTF">2022-06-22T14:16:00Z</dcterms:modified>
</cp:coreProperties>
</file>