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222C" w14:textId="1EB781C0" w:rsidR="00311CEB" w:rsidRDefault="00BE6207" w:rsidP="00BE6207">
      <w:pPr>
        <w:spacing w:after="0" w:line="360" w:lineRule="auto"/>
        <w:jc w:val="center"/>
        <w:rPr>
          <w:rFonts w:ascii="Times New Roman" w:hAnsi="Times New Roman" w:cs="Times New Roman"/>
          <w:i/>
          <w:sz w:val="24"/>
          <w:szCs w:val="24"/>
          <w:lang w:val="bg-BG"/>
        </w:rPr>
      </w:pPr>
      <w:r>
        <w:rPr>
          <w:rFonts w:ascii="Times New Roman" w:hAnsi="Times New Roman" w:cs="Times New Roman"/>
          <w:b/>
          <w:bCs/>
          <w:i/>
          <w:sz w:val="24"/>
          <w:szCs w:val="24"/>
          <w:lang w:val="bg-BG"/>
        </w:rPr>
        <w:t xml:space="preserve">Таблица. </w:t>
      </w:r>
      <w:r w:rsidR="00F86066" w:rsidRPr="00BE6207">
        <w:rPr>
          <w:rFonts w:ascii="Times New Roman" w:hAnsi="Times New Roman" w:cs="Times New Roman"/>
          <w:i/>
          <w:sz w:val="24"/>
          <w:szCs w:val="24"/>
          <w:lang w:val="bg-BG"/>
        </w:rPr>
        <w:t xml:space="preserve">Справка за мотиви за приетите и неприетите бележки и препоръки, касаещи Доклада за Екологична оценка </w:t>
      </w:r>
      <w:r>
        <w:rPr>
          <w:rFonts w:ascii="Times New Roman" w:hAnsi="Times New Roman" w:cs="Times New Roman"/>
          <w:i/>
          <w:sz w:val="24"/>
          <w:szCs w:val="24"/>
          <w:lang w:val="bg-BG"/>
        </w:rPr>
        <w:t xml:space="preserve">(ДЕО) </w:t>
      </w:r>
      <w:r w:rsidR="00F86066" w:rsidRPr="00BE6207">
        <w:rPr>
          <w:rFonts w:ascii="Times New Roman" w:hAnsi="Times New Roman" w:cs="Times New Roman"/>
          <w:i/>
          <w:sz w:val="24"/>
          <w:szCs w:val="24"/>
          <w:lang w:val="bg-BG"/>
        </w:rPr>
        <w:t>на Програма за морскодело, рибарство и аквакултури, 2021</w:t>
      </w:r>
      <w:r w:rsidR="00B13076" w:rsidRPr="00BE6207">
        <w:rPr>
          <w:rFonts w:ascii="Times New Roman" w:hAnsi="Times New Roman" w:cs="Times New Roman"/>
          <w:i/>
          <w:sz w:val="24"/>
          <w:szCs w:val="24"/>
          <w:lang w:val="bg-BG"/>
        </w:rPr>
        <w:t xml:space="preserve">-2027 г., постъпили по време на проведеното обществено обсъждане на </w:t>
      </w:r>
      <w:r w:rsidRPr="00BE6207">
        <w:rPr>
          <w:rFonts w:ascii="Times New Roman" w:hAnsi="Times New Roman" w:cs="Times New Roman"/>
          <w:i/>
          <w:sz w:val="24"/>
          <w:szCs w:val="24"/>
          <w:lang w:val="bg-BG"/>
        </w:rPr>
        <w:t>09.03.2022 г.</w:t>
      </w:r>
    </w:p>
    <w:tbl>
      <w:tblPr>
        <w:tblStyle w:val="TableGrid"/>
        <w:tblW w:w="0" w:type="auto"/>
        <w:jc w:val="center"/>
        <w:tblLook w:val="04A0" w:firstRow="1" w:lastRow="0" w:firstColumn="1" w:lastColumn="0" w:noHBand="0" w:noVBand="1"/>
      </w:tblPr>
      <w:tblGrid>
        <w:gridCol w:w="798"/>
        <w:gridCol w:w="2706"/>
        <w:gridCol w:w="7072"/>
        <w:gridCol w:w="3372"/>
      </w:tblGrid>
      <w:tr w:rsidR="0037699F" w14:paraId="6A64DC05" w14:textId="77777777" w:rsidTr="00350B6A">
        <w:trPr>
          <w:tblHeader/>
          <w:jc w:val="center"/>
        </w:trPr>
        <w:tc>
          <w:tcPr>
            <w:tcW w:w="846" w:type="dxa"/>
            <w:shd w:val="clear" w:color="auto" w:fill="E2EFD9" w:themeFill="accent6" w:themeFillTint="33"/>
            <w:vAlign w:val="center"/>
          </w:tcPr>
          <w:p w14:paraId="23C9C51A" w14:textId="42244F6B" w:rsidR="00BE6207" w:rsidRPr="00BE6207" w:rsidRDefault="00BE6207" w:rsidP="00BE6207">
            <w:pPr>
              <w:spacing w:line="256" w:lineRule="auto"/>
              <w:jc w:val="center"/>
              <w:rPr>
                <w:rFonts w:ascii="Times New Roman" w:eastAsia="Calibri" w:hAnsi="Times New Roman" w:cs="Times New Roman"/>
                <w:b/>
                <w:sz w:val="24"/>
                <w:szCs w:val="24"/>
                <w:lang w:val="en-US"/>
              </w:rPr>
            </w:pPr>
            <w:r w:rsidRPr="00BE6207">
              <w:rPr>
                <w:rFonts w:ascii="Times New Roman" w:eastAsia="Calibri" w:hAnsi="Times New Roman" w:cs="Times New Roman"/>
                <w:b/>
                <w:sz w:val="24"/>
                <w:szCs w:val="24"/>
                <w:lang w:val="en-US"/>
              </w:rPr>
              <w:t>№</w:t>
            </w:r>
          </w:p>
        </w:tc>
        <w:tc>
          <w:tcPr>
            <w:tcW w:w="1843" w:type="dxa"/>
            <w:shd w:val="clear" w:color="auto" w:fill="E2EFD9" w:themeFill="accent6" w:themeFillTint="33"/>
            <w:vAlign w:val="center"/>
          </w:tcPr>
          <w:p w14:paraId="0E9B426E" w14:textId="785A7D4B" w:rsidR="00BE6207" w:rsidRPr="00BE6207" w:rsidRDefault="00BE6207" w:rsidP="00BE6207">
            <w:pPr>
              <w:spacing w:line="256" w:lineRule="auto"/>
              <w:jc w:val="center"/>
              <w:rPr>
                <w:rFonts w:ascii="Times New Roman" w:eastAsia="Calibri" w:hAnsi="Times New Roman" w:cs="Times New Roman"/>
                <w:b/>
                <w:sz w:val="24"/>
                <w:szCs w:val="24"/>
                <w:lang w:val="en-US"/>
              </w:rPr>
            </w:pPr>
            <w:r w:rsidRPr="00BE6207">
              <w:rPr>
                <w:rFonts w:ascii="Times New Roman" w:eastAsia="Calibri" w:hAnsi="Times New Roman" w:cs="Times New Roman"/>
                <w:b/>
                <w:sz w:val="24"/>
                <w:szCs w:val="24"/>
                <w:lang w:val="en-US"/>
              </w:rPr>
              <w:t>Заинтересовани страни, изразили коментари/препоръки, касаещи ДЕО</w:t>
            </w:r>
          </w:p>
        </w:tc>
        <w:tc>
          <w:tcPr>
            <w:tcW w:w="7772" w:type="dxa"/>
            <w:shd w:val="clear" w:color="auto" w:fill="E2EFD9" w:themeFill="accent6" w:themeFillTint="33"/>
            <w:vAlign w:val="center"/>
          </w:tcPr>
          <w:p w14:paraId="7550211E" w14:textId="42859A16" w:rsidR="00BE6207" w:rsidRPr="00BE6207" w:rsidRDefault="00BE6207" w:rsidP="00BE6207">
            <w:pPr>
              <w:spacing w:line="256" w:lineRule="auto"/>
              <w:jc w:val="center"/>
              <w:rPr>
                <w:rFonts w:ascii="Times New Roman" w:eastAsia="Calibri" w:hAnsi="Times New Roman" w:cs="Times New Roman"/>
                <w:b/>
                <w:sz w:val="24"/>
                <w:szCs w:val="24"/>
                <w:lang w:val="en-US"/>
              </w:rPr>
            </w:pPr>
            <w:r w:rsidRPr="00BE6207">
              <w:rPr>
                <w:rFonts w:ascii="Times New Roman" w:eastAsia="Calibri" w:hAnsi="Times New Roman" w:cs="Times New Roman"/>
                <w:b/>
                <w:sz w:val="24"/>
                <w:szCs w:val="24"/>
                <w:lang w:val="en-US"/>
              </w:rPr>
              <w:t>Цитати на изразените коментари/ препоръки, касаещи ДЕО</w:t>
            </w:r>
          </w:p>
        </w:tc>
        <w:tc>
          <w:tcPr>
            <w:tcW w:w="3487" w:type="dxa"/>
            <w:shd w:val="clear" w:color="auto" w:fill="E2EFD9" w:themeFill="accent6" w:themeFillTint="33"/>
            <w:vAlign w:val="center"/>
          </w:tcPr>
          <w:p w14:paraId="1E136DB8" w14:textId="07EAF754" w:rsidR="00BE6207" w:rsidRPr="00BE6207" w:rsidRDefault="00BE6207" w:rsidP="00BE6207">
            <w:pPr>
              <w:spacing w:line="256" w:lineRule="auto"/>
              <w:jc w:val="center"/>
              <w:rPr>
                <w:rFonts w:ascii="Times New Roman" w:eastAsia="Calibri" w:hAnsi="Times New Roman" w:cs="Times New Roman"/>
                <w:b/>
                <w:sz w:val="24"/>
                <w:szCs w:val="24"/>
                <w:lang w:val="en-US"/>
              </w:rPr>
            </w:pPr>
            <w:r w:rsidRPr="00BE6207">
              <w:rPr>
                <w:rFonts w:ascii="Times New Roman" w:eastAsia="Calibri" w:hAnsi="Times New Roman" w:cs="Times New Roman"/>
                <w:b/>
                <w:sz w:val="24"/>
                <w:szCs w:val="24"/>
                <w:lang w:val="en-US"/>
              </w:rPr>
              <w:t>Приети/ Неприети и Мотиви</w:t>
            </w:r>
          </w:p>
        </w:tc>
      </w:tr>
      <w:tr w:rsidR="006C5572" w14:paraId="1AE76C0A" w14:textId="77777777" w:rsidTr="00350B6A">
        <w:trPr>
          <w:jc w:val="center"/>
        </w:trPr>
        <w:tc>
          <w:tcPr>
            <w:tcW w:w="846" w:type="dxa"/>
          </w:tcPr>
          <w:p w14:paraId="3A59A427" w14:textId="77777777" w:rsidR="00BE6207" w:rsidRPr="00C02870" w:rsidRDefault="00BE6207" w:rsidP="00C02870">
            <w:pPr>
              <w:pStyle w:val="ListParagraph"/>
              <w:numPr>
                <w:ilvl w:val="0"/>
                <w:numId w:val="2"/>
              </w:numPr>
              <w:spacing w:line="360" w:lineRule="auto"/>
              <w:ind w:left="0" w:firstLine="0"/>
              <w:jc w:val="both"/>
              <w:rPr>
                <w:rFonts w:ascii="Times New Roman" w:hAnsi="Times New Roman" w:cs="Times New Roman"/>
                <w:b/>
                <w:bCs/>
                <w:iCs/>
                <w:sz w:val="24"/>
                <w:szCs w:val="24"/>
                <w:lang w:val="bg-BG"/>
              </w:rPr>
            </w:pPr>
          </w:p>
        </w:tc>
        <w:tc>
          <w:tcPr>
            <w:tcW w:w="1843" w:type="dxa"/>
          </w:tcPr>
          <w:p w14:paraId="1BFB3B12" w14:textId="307B426A" w:rsidR="00BE6207" w:rsidRPr="00350B6A" w:rsidRDefault="00980C6B" w:rsidP="00BE6207">
            <w:pPr>
              <w:spacing w:line="360" w:lineRule="auto"/>
              <w:jc w:val="center"/>
              <w:rPr>
                <w:rFonts w:ascii="Times New Roman" w:hAnsi="Times New Roman" w:cs="Times New Roman"/>
                <w:b/>
                <w:bCs/>
                <w:iCs/>
                <w:sz w:val="24"/>
                <w:szCs w:val="24"/>
                <w:lang w:val="bg-BG"/>
              </w:rPr>
            </w:pPr>
            <w:r w:rsidRPr="00350B6A">
              <w:rPr>
                <w:rFonts w:ascii="Times New Roman" w:hAnsi="Times New Roman" w:cs="Times New Roman"/>
                <w:b/>
                <w:bCs/>
                <w:iCs/>
                <w:sz w:val="24"/>
                <w:szCs w:val="24"/>
                <w:lang w:val="bg-BG"/>
              </w:rPr>
              <w:t>г-н Йордан Господинов</w:t>
            </w:r>
          </w:p>
        </w:tc>
        <w:tc>
          <w:tcPr>
            <w:tcW w:w="7772" w:type="dxa"/>
          </w:tcPr>
          <w:p w14:paraId="1F15B714" w14:textId="77777777" w:rsidR="00411021" w:rsidRPr="00CA1306" w:rsidRDefault="00411021" w:rsidP="00CA1306">
            <w:pPr>
              <w:jc w:val="both"/>
              <w:rPr>
                <w:rFonts w:ascii="Times New Roman" w:hAnsi="Times New Roman"/>
                <w:sz w:val="24"/>
                <w:szCs w:val="24"/>
                <w:lang w:val="bg-BG"/>
              </w:rPr>
            </w:pPr>
            <w:r w:rsidRPr="00CA1306">
              <w:rPr>
                <w:rFonts w:ascii="Times New Roman" w:hAnsi="Times New Roman"/>
                <w:sz w:val="24"/>
                <w:szCs w:val="24"/>
                <w:lang w:val="bg-BG"/>
              </w:rPr>
              <w:t>Много се говори, но никъде не е отразено  влиянието на шума върху морските обитатели и защо се редуцират парите за пристанищата – това е като въпрос, като отделно се акцентира върху добавената стойност за улова и отпадъците.</w:t>
            </w:r>
          </w:p>
          <w:p w14:paraId="380DD8F0" w14:textId="06484369" w:rsidR="003F5C83" w:rsidRPr="00CA1306" w:rsidRDefault="00411021" w:rsidP="00CA1306">
            <w:pPr>
              <w:jc w:val="both"/>
              <w:rPr>
                <w:rFonts w:ascii="Times New Roman" w:hAnsi="Times New Roman"/>
                <w:sz w:val="24"/>
                <w:szCs w:val="24"/>
                <w:lang w:val="bg-BG"/>
              </w:rPr>
            </w:pPr>
            <w:r w:rsidRPr="00CA1306">
              <w:rPr>
                <w:rFonts w:ascii="Times New Roman" w:hAnsi="Times New Roman"/>
                <w:sz w:val="24"/>
                <w:szCs w:val="24"/>
                <w:lang w:val="bg-BG"/>
              </w:rPr>
              <w:t xml:space="preserve">ОК е това, че увеличавате бюджетът за временно преустановяване на риболовната дейност, поради ограничения да кажем сезон на забрания за улов или някои други рестрикции, които ще бъдат наложени да кажем от зоните по „Натура 2000“, макар че там в плановете се твърди, че няма ограничения за риболова, но не малко ограничения искам да акцентирам на това, представляват военните учения, които много малко хора искат да ги споменават или се притесняват от това, но все пак ние като страна членка на Европейския съюз и на НАТО пред нашия бряг се провеждат доста учения и обикновено членовете на нашата асоциация обявяват, че са предупредени да не извършват риболовна дейност в определени дни или в определени територии. Разумно е, да има такива учения и те са на по-високо ниво отколкото риболова представлява за държавата, или за социалния мир, или за продоволствената криза, но какво правим ние когато има едно учение от два, три, пет, десет дни – какво се случва с рибата, която в следствие на взривовете, били те подводни, гърмежи или там каквито и да са други учения не им разбирам от технологията, рибата изчезва. Ние сме правили предупреждения към Министерството на отбраната ученията и </w:t>
            </w:r>
            <w:r w:rsidRPr="00CA1306">
              <w:rPr>
                <w:rFonts w:ascii="Times New Roman" w:hAnsi="Times New Roman"/>
                <w:sz w:val="24"/>
                <w:szCs w:val="24"/>
                <w:lang w:val="bg-BG"/>
              </w:rPr>
              <w:lastRenderedPageBreak/>
              <w:t xml:space="preserve">взривовете да се извършват на изобата, да кажем 200 метра, дълбочина но те обикновено нашите наблюдения са, че се правят много по на плитко, където реално са риболовните полета, което за нас е един вид нужда от компенсация. </w:t>
            </w:r>
          </w:p>
          <w:p w14:paraId="683A9E16" w14:textId="77777777" w:rsidR="00411021" w:rsidRPr="00CA1306" w:rsidRDefault="00411021" w:rsidP="00CA1306">
            <w:pPr>
              <w:pBdr>
                <w:top w:val="single" w:sz="6" w:space="1" w:color="auto"/>
                <w:bottom w:val="single" w:sz="6" w:space="1" w:color="auto"/>
              </w:pBdr>
              <w:jc w:val="both"/>
              <w:rPr>
                <w:rFonts w:ascii="Times New Roman" w:hAnsi="Times New Roman"/>
                <w:sz w:val="24"/>
                <w:szCs w:val="24"/>
                <w:lang w:val="bg-BG"/>
              </w:rPr>
            </w:pPr>
            <w:r w:rsidRPr="00CA1306">
              <w:rPr>
                <w:rFonts w:ascii="Times New Roman" w:hAnsi="Times New Roman"/>
                <w:sz w:val="24"/>
                <w:szCs w:val="24"/>
                <w:lang w:val="bg-BG"/>
              </w:rPr>
              <w:t>Отделно от това е изследванията за газ. Детонациите, с които се извършват изследванията. Също в екологичния доклад не видях някаква такава преценка как влияе това на околната среда на видовете, което не влияе благоприятно.</w:t>
            </w:r>
          </w:p>
          <w:p w14:paraId="73180891" w14:textId="77777777" w:rsidR="003F5C83" w:rsidRDefault="003F5C83" w:rsidP="00CA1306">
            <w:pPr>
              <w:jc w:val="both"/>
              <w:rPr>
                <w:rFonts w:ascii="Times New Roman" w:hAnsi="Times New Roman"/>
                <w:sz w:val="24"/>
                <w:szCs w:val="24"/>
                <w:lang w:val="bg-BG"/>
              </w:rPr>
            </w:pPr>
          </w:p>
          <w:p w14:paraId="31FAA5D0" w14:textId="77777777" w:rsidR="003F5C83" w:rsidRDefault="003F5C83" w:rsidP="00CA1306">
            <w:pPr>
              <w:jc w:val="both"/>
              <w:rPr>
                <w:rFonts w:ascii="Times New Roman" w:hAnsi="Times New Roman"/>
                <w:sz w:val="24"/>
                <w:szCs w:val="24"/>
                <w:lang w:val="bg-BG"/>
              </w:rPr>
            </w:pPr>
          </w:p>
          <w:p w14:paraId="680FD81B" w14:textId="77777777" w:rsidR="003F5C83" w:rsidRDefault="003F5C83" w:rsidP="00CA1306">
            <w:pPr>
              <w:jc w:val="both"/>
              <w:rPr>
                <w:rFonts w:ascii="Times New Roman" w:hAnsi="Times New Roman"/>
                <w:sz w:val="24"/>
                <w:szCs w:val="24"/>
                <w:lang w:val="bg-BG"/>
              </w:rPr>
            </w:pPr>
          </w:p>
          <w:p w14:paraId="02436E91" w14:textId="77777777" w:rsidR="003F5C83" w:rsidRDefault="003F5C83" w:rsidP="00CA1306">
            <w:pPr>
              <w:jc w:val="both"/>
              <w:rPr>
                <w:rFonts w:ascii="Times New Roman" w:hAnsi="Times New Roman"/>
                <w:sz w:val="24"/>
                <w:szCs w:val="24"/>
                <w:lang w:val="bg-BG"/>
              </w:rPr>
            </w:pPr>
          </w:p>
          <w:p w14:paraId="3232D350" w14:textId="77777777" w:rsidR="003F5C83" w:rsidRDefault="003F5C83" w:rsidP="00CA1306">
            <w:pPr>
              <w:jc w:val="both"/>
              <w:rPr>
                <w:rFonts w:ascii="Times New Roman" w:hAnsi="Times New Roman"/>
                <w:sz w:val="24"/>
                <w:szCs w:val="24"/>
                <w:lang w:val="bg-BG"/>
              </w:rPr>
            </w:pPr>
          </w:p>
          <w:p w14:paraId="3B222E5A" w14:textId="19075C5F" w:rsidR="00CA1306" w:rsidRPr="00CA1306" w:rsidRDefault="00CA1306" w:rsidP="00CA1306">
            <w:pPr>
              <w:jc w:val="both"/>
              <w:rPr>
                <w:rFonts w:ascii="Times New Roman" w:hAnsi="Times New Roman"/>
                <w:sz w:val="24"/>
                <w:szCs w:val="24"/>
                <w:lang w:val="bg-BG"/>
              </w:rPr>
            </w:pPr>
            <w:r w:rsidRPr="00CA1306">
              <w:rPr>
                <w:rFonts w:ascii="Times New Roman" w:hAnsi="Times New Roman"/>
                <w:sz w:val="24"/>
                <w:szCs w:val="24"/>
                <w:lang w:val="bg-BG"/>
              </w:rPr>
              <w:t>Също никъде не установихме как ще влияят ветро парковете. Знаете, че се задава енергийна криза, всъщност тя не се задава, тя вече в момента най-вероятно я има, защото ние я усещаме по нуждата от компенсации, било за електроенергия, даже и за газ</w:t>
            </w:r>
            <w:r w:rsidR="0037699F">
              <w:rPr>
                <w:rFonts w:ascii="Times New Roman" w:hAnsi="Times New Roman"/>
                <w:sz w:val="24"/>
                <w:szCs w:val="24"/>
                <w:lang w:val="bg-BG"/>
              </w:rPr>
              <w:t>,</w:t>
            </w:r>
            <w:r w:rsidRPr="00CA1306">
              <w:rPr>
                <w:rFonts w:ascii="Times New Roman" w:hAnsi="Times New Roman"/>
                <w:sz w:val="24"/>
                <w:szCs w:val="24"/>
                <w:lang w:val="bg-BG"/>
              </w:rPr>
              <w:t xml:space="preserve"> ако искате. Предстои, не предстои, а просто е заложено изграждането на ветро паркове в зони, които представляват типични риболовни полета. Сега за България това малко е късен процес, но нашите бизнесмени, които произвеждат електроенергия абсолютно съм убеден, че няма да останат по-назад от останалите европейски страни и искам да знам в този екологичен доклад направена ли е такава оценка и предвидено ли е това нещо, защото проекта на програмата предвижда 2027 година, но до 2029 година да се изпълнява какво ще правим ние, ако част от риболовните полета бъдат заети от ветро паркове?</w:t>
            </w:r>
          </w:p>
          <w:p w14:paraId="29590365" w14:textId="77777777" w:rsidR="00CA1306" w:rsidRPr="00CA1306" w:rsidRDefault="00CA1306" w:rsidP="00CA1306">
            <w:pPr>
              <w:jc w:val="both"/>
              <w:rPr>
                <w:rFonts w:ascii="Times New Roman" w:hAnsi="Times New Roman"/>
                <w:sz w:val="24"/>
                <w:szCs w:val="24"/>
                <w:lang w:val="bg-BG"/>
              </w:rPr>
            </w:pPr>
            <w:r w:rsidRPr="00CA1306">
              <w:rPr>
                <w:rFonts w:ascii="Times New Roman" w:hAnsi="Times New Roman"/>
                <w:sz w:val="24"/>
                <w:szCs w:val="24"/>
                <w:lang w:val="bg-BG"/>
              </w:rPr>
              <w:lastRenderedPageBreak/>
              <w:t>Ще има ли зони за свободно преминаване през тях на риболовните кораби и ще има ли възможност за риболовна дейност и ако няма как ще бъде компенсирано? Това са важните моменти, върху които трябва да се помисли.</w:t>
            </w:r>
          </w:p>
          <w:p w14:paraId="0C8FD812" w14:textId="3C143D14" w:rsidR="0034776B" w:rsidRPr="00CA1306" w:rsidRDefault="00CA1306" w:rsidP="00CA1306">
            <w:pPr>
              <w:jc w:val="both"/>
              <w:rPr>
                <w:rFonts w:ascii="Times New Roman" w:hAnsi="Times New Roman"/>
                <w:sz w:val="24"/>
                <w:szCs w:val="24"/>
                <w:lang w:val="bg-BG"/>
              </w:rPr>
            </w:pPr>
            <w:r w:rsidRPr="00CA1306">
              <w:rPr>
                <w:rFonts w:ascii="Times New Roman" w:hAnsi="Times New Roman"/>
                <w:sz w:val="24"/>
                <w:szCs w:val="24"/>
                <w:lang w:val="bg-BG"/>
              </w:rPr>
              <w:t>--------------------------------------------------------------------------------------</w:t>
            </w:r>
          </w:p>
          <w:p w14:paraId="7BC74283" w14:textId="77777777" w:rsidR="0034776B" w:rsidRDefault="0034776B" w:rsidP="00CA1306">
            <w:pPr>
              <w:jc w:val="both"/>
              <w:rPr>
                <w:rFonts w:ascii="Times New Roman" w:hAnsi="Times New Roman"/>
                <w:sz w:val="24"/>
                <w:szCs w:val="24"/>
                <w:lang w:val="bg-BG"/>
              </w:rPr>
            </w:pPr>
          </w:p>
          <w:p w14:paraId="54EAE595" w14:textId="77777777" w:rsidR="0034776B" w:rsidRDefault="0034776B" w:rsidP="00CA1306">
            <w:pPr>
              <w:jc w:val="both"/>
              <w:rPr>
                <w:rFonts w:ascii="Times New Roman" w:hAnsi="Times New Roman"/>
                <w:sz w:val="24"/>
                <w:szCs w:val="24"/>
                <w:lang w:val="bg-BG"/>
              </w:rPr>
            </w:pPr>
          </w:p>
          <w:p w14:paraId="2234811F" w14:textId="77777777" w:rsidR="0034776B" w:rsidRDefault="0034776B" w:rsidP="00CA1306">
            <w:pPr>
              <w:jc w:val="both"/>
              <w:rPr>
                <w:rFonts w:ascii="Times New Roman" w:hAnsi="Times New Roman"/>
                <w:sz w:val="24"/>
                <w:szCs w:val="24"/>
                <w:lang w:val="bg-BG"/>
              </w:rPr>
            </w:pPr>
          </w:p>
          <w:p w14:paraId="63946775" w14:textId="77777777" w:rsidR="0034776B" w:rsidRDefault="0034776B" w:rsidP="00CA1306">
            <w:pPr>
              <w:jc w:val="both"/>
              <w:rPr>
                <w:rFonts w:ascii="Times New Roman" w:hAnsi="Times New Roman"/>
                <w:sz w:val="24"/>
                <w:szCs w:val="24"/>
                <w:lang w:val="bg-BG"/>
              </w:rPr>
            </w:pPr>
          </w:p>
          <w:p w14:paraId="113F4F22" w14:textId="77777777" w:rsidR="0034776B" w:rsidRDefault="0034776B" w:rsidP="00CA1306">
            <w:pPr>
              <w:jc w:val="both"/>
              <w:rPr>
                <w:rFonts w:ascii="Times New Roman" w:hAnsi="Times New Roman"/>
                <w:sz w:val="24"/>
                <w:szCs w:val="24"/>
                <w:lang w:val="bg-BG"/>
              </w:rPr>
            </w:pPr>
          </w:p>
          <w:p w14:paraId="5042E05D" w14:textId="77777777" w:rsidR="0034776B" w:rsidRDefault="0034776B" w:rsidP="00CA1306">
            <w:pPr>
              <w:jc w:val="both"/>
              <w:rPr>
                <w:rFonts w:ascii="Times New Roman" w:hAnsi="Times New Roman"/>
                <w:sz w:val="24"/>
                <w:szCs w:val="24"/>
                <w:lang w:val="bg-BG"/>
              </w:rPr>
            </w:pPr>
          </w:p>
          <w:p w14:paraId="7440F225" w14:textId="77777777" w:rsidR="0034776B" w:rsidRDefault="0034776B" w:rsidP="00CA1306">
            <w:pPr>
              <w:jc w:val="both"/>
              <w:rPr>
                <w:rFonts w:ascii="Times New Roman" w:hAnsi="Times New Roman"/>
                <w:sz w:val="24"/>
                <w:szCs w:val="24"/>
                <w:lang w:val="bg-BG"/>
              </w:rPr>
            </w:pPr>
          </w:p>
          <w:p w14:paraId="76774BED" w14:textId="77777777" w:rsidR="0034776B" w:rsidRDefault="0034776B" w:rsidP="00CA1306">
            <w:pPr>
              <w:jc w:val="both"/>
              <w:rPr>
                <w:rFonts w:ascii="Times New Roman" w:hAnsi="Times New Roman"/>
                <w:sz w:val="24"/>
                <w:szCs w:val="24"/>
                <w:lang w:val="bg-BG"/>
              </w:rPr>
            </w:pPr>
          </w:p>
          <w:p w14:paraId="3BBDA2AF" w14:textId="77777777" w:rsidR="0034776B" w:rsidRDefault="0034776B" w:rsidP="00CA1306">
            <w:pPr>
              <w:jc w:val="both"/>
              <w:rPr>
                <w:rFonts w:ascii="Times New Roman" w:hAnsi="Times New Roman"/>
                <w:sz w:val="24"/>
                <w:szCs w:val="24"/>
                <w:lang w:val="bg-BG"/>
              </w:rPr>
            </w:pPr>
          </w:p>
          <w:p w14:paraId="0AC17724" w14:textId="77777777" w:rsidR="0034776B" w:rsidRDefault="0034776B" w:rsidP="00CA1306">
            <w:pPr>
              <w:jc w:val="both"/>
              <w:rPr>
                <w:rFonts w:ascii="Times New Roman" w:hAnsi="Times New Roman"/>
                <w:sz w:val="24"/>
                <w:szCs w:val="24"/>
                <w:lang w:val="bg-BG"/>
              </w:rPr>
            </w:pPr>
          </w:p>
          <w:p w14:paraId="31876EEE" w14:textId="77777777" w:rsidR="0034776B" w:rsidRDefault="0034776B" w:rsidP="00CA1306">
            <w:pPr>
              <w:jc w:val="both"/>
              <w:rPr>
                <w:rFonts w:ascii="Times New Roman" w:hAnsi="Times New Roman"/>
                <w:sz w:val="24"/>
                <w:szCs w:val="24"/>
                <w:lang w:val="bg-BG"/>
              </w:rPr>
            </w:pPr>
          </w:p>
          <w:p w14:paraId="1E85C88C" w14:textId="77777777" w:rsidR="0034776B" w:rsidRDefault="0034776B" w:rsidP="00CA1306">
            <w:pPr>
              <w:jc w:val="both"/>
              <w:rPr>
                <w:rFonts w:ascii="Times New Roman" w:hAnsi="Times New Roman"/>
                <w:sz w:val="24"/>
                <w:szCs w:val="24"/>
                <w:lang w:val="bg-BG"/>
              </w:rPr>
            </w:pPr>
          </w:p>
          <w:p w14:paraId="6BC49CED" w14:textId="77777777" w:rsidR="0034776B" w:rsidRDefault="0034776B" w:rsidP="00CA1306">
            <w:pPr>
              <w:jc w:val="both"/>
              <w:rPr>
                <w:rFonts w:ascii="Times New Roman" w:hAnsi="Times New Roman"/>
                <w:sz w:val="24"/>
                <w:szCs w:val="24"/>
                <w:lang w:val="bg-BG"/>
              </w:rPr>
            </w:pPr>
          </w:p>
          <w:p w14:paraId="56485DD3" w14:textId="65AB8C7D" w:rsidR="0034776B" w:rsidRDefault="0034776B" w:rsidP="00CA1306">
            <w:pPr>
              <w:jc w:val="both"/>
              <w:rPr>
                <w:rFonts w:ascii="Times New Roman" w:hAnsi="Times New Roman"/>
                <w:sz w:val="24"/>
                <w:szCs w:val="24"/>
                <w:lang w:val="bg-BG"/>
              </w:rPr>
            </w:pPr>
            <w:r>
              <w:rPr>
                <w:rFonts w:ascii="Times New Roman" w:hAnsi="Times New Roman"/>
                <w:sz w:val="24"/>
                <w:szCs w:val="24"/>
                <w:lang w:val="bg-BG"/>
              </w:rPr>
              <w:t>-------------------------------------------------------------------------------------</w:t>
            </w:r>
          </w:p>
          <w:p w14:paraId="1015DF49" w14:textId="1E15E057" w:rsidR="00411021" w:rsidRPr="0037699F" w:rsidRDefault="00411021" w:rsidP="0037699F">
            <w:pPr>
              <w:jc w:val="both"/>
              <w:rPr>
                <w:rFonts w:ascii="Times New Roman" w:hAnsi="Times New Roman"/>
                <w:sz w:val="24"/>
                <w:szCs w:val="24"/>
                <w:lang w:val="bg-BG"/>
              </w:rPr>
            </w:pPr>
            <w:r w:rsidRPr="0037699F">
              <w:rPr>
                <w:rFonts w:ascii="Times New Roman" w:hAnsi="Times New Roman"/>
                <w:sz w:val="24"/>
                <w:szCs w:val="24"/>
                <w:lang w:val="bg-BG"/>
              </w:rPr>
              <w:t xml:space="preserve">По отношение на екологичния доклад, наистина прескачам съвсем набързо по нещата, не искам да ви натоварвам, защото предполагам, че и колегите ще вземат отношение. Как влияе  наторяването, азотните торове. В този екологичен доклад ние имаме притеснения, има еутрафикация на морето, има сезонни краткосрочни пикове на смъртност на попчета, на дънни обитатели. Отдаваме го на това за липса на кислород на дъното, на еутрафикацията на морето – какво се случва? Влияе ли азотното </w:t>
            </w:r>
            <w:r w:rsidRPr="0037699F">
              <w:rPr>
                <w:rFonts w:ascii="Times New Roman" w:hAnsi="Times New Roman"/>
                <w:sz w:val="24"/>
                <w:szCs w:val="24"/>
                <w:lang w:val="bg-BG"/>
              </w:rPr>
              <w:lastRenderedPageBreak/>
              <w:t xml:space="preserve">наторяване и колко процента е завишено азотното наторяване на житните култури и като се говори в този екологичен доклад как влияе населението, как влияят корабите,  корабоплаването, как влияе селското стопанство, върху водите, защото голяма част от нашите рибарници, сладководни или ферми в морето са от повърхностни води, те не са от изворни води, а всъщност там може би трябва да кажете и промяна. </w:t>
            </w:r>
          </w:p>
        </w:tc>
        <w:tc>
          <w:tcPr>
            <w:tcW w:w="3487" w:type="dxa"/>
          </w:tcPr>
          <w:p w14:paraId="2BAB1EF5" w14:textId="5950ABF6" w:rsidR="001B5B2F" w:rsidRPr="003F5C83" w:rsidRDefault="001B5B2F" w:rsidP="003F5C83">
            <w:pPr>
              <w:jc w:val="both"/>
              <w:rPr>
                <w:rFonts w:ascii="Times New Roman" w:hAnsi="Times New Roman"/>
                <w:sz w:val="24"/>
                <w:szCs w:val="24"/>
                <w:lang w:val="bg-BG"/>
              </w:rPr>
            </w:pPr>
            <w:r w:rsidRPr="003F5C83">
              <w:rPr>
                <w:rFonts w:ascii="Times New Roman" w:hAnsi="Times New Roman"/>
                <w:sz w:val="24"/>
                <w:szCs w:val="24"/>
                <w:lang w:val="bg-BG"/>
              </w:rPr>
              <w:lastRenderedPageBreak/>
              <w:t xml:space="preserve">В ДЕО се поставя акцент на въздействието на дейностите от самата програма върху околната среда, а не на съобразяването на всички други възможни събития, които могат да се случат в страната. </w:t>
            </w:r>
          </w:p>
          <w:p w14:paraId="3EA2810C" w14:textId="1E2DA0D2" w:rsidR="001B5B2F" w:rsidRPr="003F5C83" w:rsidRDefault="003F5C83" w:rsidP="003F5C83">
            <w:pPr>
              <w:jc w:val="both"/>
              <w:rPr>
                <w:rFonts w:ascii="Times New Roman" w:hAnsi="Times New Roman" w:cs="Times New Roman"/>
                <w:iCs/>
                <w:sz w:val="24"/>
                <w:szCs w:val="24"/>
                <w:lang w:val="bg-BG"/>
              </w:rPr>
            </w:pPr>
            <w:r w:rsidRPr="003F5C83">
              <w:rPr>
                <w:rFonts w:ascii="Times New Roman" w:hAnsi="Times New Roman"/>
                <w:sz w:val="24"/>
                <w:szCs w:val="24"/>
                <w:lang w:val="bg-BG"/>
              </w:rPr>
              <w:t>В</w:t>
            </w:r>
            <w:r w:rsidRPr="003F5C83">
              <w:rPr>
                <w:rFonts w:ascii="Times New Roman" w:hAnsi="Times New Roman"/>
                <w:sz w:val="24"/>
                <w:szCs w:val="24"/>
                <w:lang w:val="bg-BG"/>
              </w:rPr>
              <w:t xml:space="preserve"> точка 2 от Доклада за екологична оценка </w:t>
            </w:r>
            <w:r w:rsidRPr="003F5C83">
              <w:rPr>
                <w:rFonts w:ascii="Times New Roman" w:hAnsi="Times New Roman"/>
                <w:sz w:val="24"/>
                <w:szCs w:val="24"/>
                <w:lang w:val="bg-BG"/>
              </w:rPr>
              <w:t>е обърнато внимание</w:t>
            </w:r>
            <w:r w:rsidRPr="003F5C83">
              <w:rPr>
                <w:rFonts w:ascii="Times New Roman" w:hAnsi="Times New Roman"/>
                <w:sz w:val="24"/>
                <w:szCs w:val="24"/>
                <w:lang w:val="bg-BG"/>
              </w:rPr>
              <w:t xml:space="preserve"> на фактор</w:t>
            </w:r>
            <w:r w:rsidRPr="003F5C83">
              <w:rPr>
                <w:rFonts w:ascii="Times New Roman" w:hAnsi="Times New Roman"/>
                <w:sz w:val="24"/>
                <w:szCs w:val="24"/>
                <w:lang w:val="bg-BG"/>
              </w:rPr>
              <w:t xml:space="preserve"> „Морски шум“</w:t>
            </w:r>
            <w:r w:rsidRPr="003F5C83">
              <w:rPr>
                <w:rFonts w:ascii="Times New Roman" w:hAnsi="Times New Roman"/>
                <w:sz w:val="24"/>
                <w:szCs w:val="24"/>
                <w:lang w:val="bg-BG"/>
              </w:rPr>
              <w:t>, конкретно в частта за водите, текущото състояние на водите. При описание на дескрипторите от морската стратегия, дескриптор 11 „Морски шум“</w:t>
            </w:r>
            <w:r w:rsidRPr="003F5C83">
              <w:rPr>
                <w:rFonts w:ascii="Times New Roman" w:hAnsi="Times New Roman"/>
                <w:sz w:val="24"/>
                <w:szCs w:val="24"/>
                <w:lang w:val="bg-BG"/>
              </w:rPr>
              <w:t>. В допълнение</w:t>
            </w:r>
            <w:r w:rsidRPr="003F5C83">
              <w:rPr>
                <w:rFonts w:ascii="Times New Roman" w:hAnsi="Times New Roman"/>
                <w:sz w:val="24"/>
                <w:szCs w:val="24"/>
              </w:rPr>
              <w:t xml:space="preserve">, </w:t>
            </w:r>
            <w:r w:rsidRPr="003F5C83">
              <w:rPr>
                <w:rFonts w:ascii="Times New Roman" w:hAnsi="Times New Roman"/>
                <w:sz w:val="24"/>
                <w:szCs w:val="24"/>
                <w:lang w:val="bg-BG"/>
              </w:rPr>
              <w:t xml:space="preserve">също в т. 2  от ДЕО, стр. 168 е разгледано въздействието върху китоподобните на импулсния и продължителен подводен шум. Цитирано е </w:t>
            </w:r>
            <w:r w:rsidRPr="003F5C83">
              <w:rPr>
                <w:rFonts w:ascii="Times New Roman" w:hAnsi="Times New Roman" w:cs="Times New Roman"/>
                <w:i/>
                <w:iCs/>
                <w:sz w:val="24"/>
                <w:szCs w:val="24"/>
                <w:lang w:val="bg-BG"/>
              </w:rPr>
              <w:t xml:space="preserve">Методологическото </w:t>
            </w:r>
            <w:r w:rsidRPr="003F5C83">
              <w:rPr>
                <w:rFonts w:ascii="Times New Roman" w:hAnsi="Times New Roman" w:cs="Times New Roman"/>
                <w:i/>
                <w:iCs/>
                <w:sz w:val="24"/>
                <w:szCs w:val="24"/>
                <w:lang w:val="bg-BG"/>
              </w:rPr>
              <w:lastRenderedPageBreak/>
              <w:t>ръководство – Насоки за мерки за намаляване на подводния шум</w:t>
            </w:r>
            <w:r w:rsidRPr="003F5C83">
              <w:rPr>
                <w:rFonts w:ascii="Times New Roman" w:hAnsi="Times New Roman" w:cs="Times New Roman"/>
                <w:sz w:val="24"/>
                <w:szCs w:val="24"/>
                <w:lang w:val="bg-BG"/>
              </w:rPr>
              <w:t xml:space="preserve"> </w:t>
            </w:r>
            <w:r w:rsidRPr="003F5C83">
              <w:rPr>
                <w:rFonts w:ascii="Times New Roman" w:hAnsi="Times New Roman" w:cs="Times New Roman"/>
                <w:sz w:val="24"/>
                <w:szCs w:val="24"/>
              </w:rPr>
              <w:t>(METHODOLOGICAL GUIDE - GUIDANCE ON UNDERWATER NOISE MITIGATION MEASURES, ACCOBAMS-MOP7/2019/Doc 31Rev1, 2019)</w:t>
            </w:r>
            <w:r w:rsidRPr="003F5C83">
              <w:rPr>
                <w:rFonts w:ascii="Times New Roman" w:hAnsi="Times New Roman" w:cs="Times New Roman"/>
                <w:sz w:val="24"/>
                <w:szCs w:val="24"/>
                <w:lang w:val="bg-BG"/>
              </w:rPr>
              <w:t>, което предлага мерки и техники за ограничаване на импулсния и продължителния шум</w:t>
            </w:r>
            <w:r w:rsidR="006C5572">
              <w:rPr>
                <w:rFonts w:ascii="Times New Roman" w:hAnsi="Times New Roman" w:cs="Times New Roman"/>
                <w:sz w:val="24"/>
                <w:szCs w:val="24"/>
                <w:lang w:val="bg-BG"/>
              </w:rPr>
              <w:t>.</w:t>
            </w:r>
          </w:p>
          <w:p w14:paraId="0212CAE0" w14:textId="77777777" w:rsidR="001B5B2F" w:rsidRDefault="001B5B2F" w:rsidP="001B5B2F">
            <w:pPr>
              <w:spacing w:line="360" w:lineRule="auto"/>
              <w:jc w:val="both"/>
              <w:rPr>
                <w:rFonts w:ascii="Times New Roman" w:hAnsi="Times New Roman" w:cs="Times New Roman"/>
                <w:iCs/>
                <w:sz w:val="24"/>
                <w:szCs w:val="24"/>
                <w:lang w:val="bg-BG"/>
              </w:rPr>
            </w:pPr>
          </w:p>
          <w:p w14:paraId="16AD2CC9" w14:textId="6F77EC13" w:rsidR="0034776B" w:rsidRPr="0034776B" w:rsidRDefault="0034776B" w:rsidP="0034776B">
            <w:pPr>
              <w:jc w:val="both"/>
              <w:rPr>
                <w:rFonts w:ascii="Times New Roman" w:hAnsi="Times New Roman"/>
                <w:sz w:val="24"/>
                <w:szCs w:val="24"/>
                <w:lang w:val="bg-BG"/>
              </w:rPr>
            </w:pPr>
            <w:r>
              <w:rPr>
                <w:rFonts w:ascii="Times New Roman" w:hAnsi="Times New Roman"/>
                <w:sz w:val="24"/>
                <w:szCs w:val="24"/>
                <w:lang w:val="bg-BG"/>
              </w:rPr>
              <w:t>И</w:t>
            </w:r>
            <w:r w:rsidRPr="0034776B">
              <w:rPr>
                <w:rFonts w:ascii="Times New Roman" w:hAnsi="Times New Roman"/>
                <w:sz w:val="24"/>
                <w:szCs w:val="24"/>
                <w:lang w:val="bg-BG"/>
              </w:rPr>
              <w:t>зследвания</w:t>
            </w:r>
            <w:r>
              <w:rPr>
                <w:rFonts w:ascii="Times New Roman" w:hAnsi="Times New Roman"/>
                <w:sz w:val="24"/>
                <w:szCs w:val="24"/>
                <w:lang w:val="bg-BG"/>
              </w:rPr>
              <w:t>,</w:t>
            </w:r>
            <w:r w:rsidRPr="0034776B">
              <w:rPr>
                <w:rFonts w:ascii="Times New Roman" w:hAnsi="Times New Roman"/>
                <w:sz w:val="24"/>
                <w:szCs w:val="24"/>
                <w:lang w:val="bg-BG"/>
              </w:rPr>
              <w:t xml:space="preserve"> направени на европейско и национално ниво в тази част на Черно море и изключително икономическата зона включително, показват че не е удачно разполагането на ветро енергийни генератори там, тоест няма достатъчен ветрови потенциал. Дори и при други изследвания да има такава идея бъдеща, съответно тя пак като отделен проект ще подлежи на оценка </w:t>
            </w:r>
            <w:r>
              <w:rPr>
                <w:rFonts w:ascii="Times New Roman" w:hAnsi="Times New Roman"/>
                <w:sz w:val="24"/>
                <w:szCs w:val="24"/>
                <w:lang w:val="bg-BG"/>
              </w:rPr>
              <w:t xml:space="preserve">на </w:t>
            </w:r>
            <w:r w:rsidRPr="0034776B">
              <w:rPr>
                <w:rFonts w:ascii="Times New Roman" w:hAnsi="Times New Roman"/>
                <w:sz w:val="24"/>
                <w:szCs w:val="24"/>
                <w:lang w:val="bg-BG"/>
              </w:rPr>
              <w:lastRenderedPageBreak/>
              <w:t>въздействие</w:t>
            </w:r>
            <w:r>
              <w:rPr>
                <w:rFonts w:ascii="Times New Roman" w:hAnsi="Times New Roman"/>
                <w:sz w:val="24"/>
                <w:szCs w:val="24"/>
                <w:lang w:val="bg-BG"/>
              </w:rPr>
              <w:t>то</w:t>
            </w:r>
            <w:r w:rsidRPr="0034776B">
              <w:rPr>
                <w:rFonts w:ascii="Times New Roman" w:hAnsi="Times New Roman"/>
                <w:sz w:val="24"/>
                <w:szCs w:val="24"/>
                <w:lang w:val="bg-BG"/>
              </w:rPr>
              <w:t xml:space="preserve"> върху околната среда. Също така и </w:t>
            </w:r>
            <w:r>
              <w:rPr>
                <w:rFonts w:ascii="Times New Roman" w:hAnsi="Times New Roman"/>
                <w:sz w:val="24"/>
                <w:szCs w:val="24"/>
                <w:lang w:val="bg-BG"/>
              </w:rPr>
              <w:t xml:space="preserve">на </w:t>
            </w:r>
            <w:r w:rsidRPr="0034776B">
              <w:rPr>
                <w:rFonts w:ascii="Times New Roman" w:hAnsi="Times New Roman"/>
                <w:sz w:val="24"/>
                <w:szCs w:val="24"/>
                <w:lang w:val="bg-BG"/>
              </w:rPr>
              <w:t>оценка за съвместимост, тъй като в морската среда има изключително много защитени зони</w:t>
            </w:r>
            <w:r>
              <w:rPr>
                <w:rFonts w:ascii="Times New Roman" w:hAnsi="Times New Roman"/>
                <w:sz w:val="24"/>
                <w:szCs w:val="24"/>
                <w:lang w:val="bg-BG"/>
              </w:rPr>
              <w:t>.</w:t>
            </w:r>
            <w:r w:rsidRPr="0034776B">
              <w:rPr>
                <w:rFonts w:ascii="Times New Roman" w:hAnsi="Times New Roman"/>
                <w:sz w:val="24"/>
                <w:szCs w:val="24"/>
                <w:lang w:val="bg-BG"/>
              </w:rPr>
              <w:t xml:space="preserve"> </w:t>
            </w:r>
            <w:r>
              <w:rPr>
                <w:rFonts w:ascii="Times New Roman" w:hAnsi="Times New Roman"/>
                <w:sz w:val="24"/>
                <w:szCs w:val="24"/>
                <w:lang w:val="bg-BG"/>
              </w:rPr>
              <w:t xml:space="preserve">В </w:t>
            </w:r>
            <w:r w:rsidRPr="0034776B">
              <w:rPr>
                <w:rFonts w:ascii="Times New Roman" w:hAnsi="Times New Roman"/>
                <w:sz w:val="24"/>
                <w:szCs w:val="24"/>
                <w:lang w:val="bg-BG"/>
              </w:rPr>
              <w:t xml:space="preserve">рамките на тези оценки вече ще се </w:t>
            </w:r>
            <w:r>
              <w:rPr>
                <w:rFonts w:ascii="Times New Roman" w:hAnsi="Times New Roman"/>
                <w:sz w:val="24"/>
                <w:szCs w:val="24"/>
                <w:lang w:val="bg-BG"/>
              </w:rPr>
              <w:t xml:space="preserve">оцени </w:t>
            </w:r>
            <w:r w:rsidRPr="0034776B">
              <w:rPr>
                <w:rFonts w:ascii="Times New Roman" w:hAnsi="Times New Roman"/>
                <w:sz w:val="24"/>
                <w:szCs w:val="24"/>
                <w:lang w:val="bg-BG"/>
              </w:rPr>
              <w:t xml:space="preserve"> подробно въздействие</w:t>
            </w:r>
            <w:r>
              <w:rPr>
                <w:rFonts w:ascii="Times New Roman" w:hAnsi="Times New Roman"/>
                <w:sz w:val="24"/>
                <w:szCs w:val="24"/>
                <w:lang w:val="bg-BG"/>
              </w:rPr>
              <w:t>то</w:t>
            </w:r>
            <w:r w:rsidRPr="0034776B">
              <w:rPr>
                <w:rFonts w:ascii="Times New Roman" w:hAnsi="Times New Roman"/>
                <w:sz w:val="24"/>
                <w:szCs w:val="24"/>
                <w:lang w:val="bg-BG"/>
              </w:rPr>
              <w:t>, защото за оценка на едно такова въздействие трябва да има някакви параметри на въздействието, тоест параметри на ветрогенераторите, мощност на съответния парк и колко броя перки и с какъв капацитет и т.н</w:t>
            </w:r>
            <w:r>
              <w:rPr>
                <w:rFonts w:ascii="Times New Roman" w:hAnsi="Times New Roman"/>
                <w:sz w:val="24"/>
                <w:szCs w:val="24"/>
                <w:lang w:val="bg-BG"/>
              </w:rPr>
              <w:t xml:space="preserve">. </w:t>
            </w:r>
          </w:p>
          <w:p w14:paraId="1715BA14" w14:textId="77777777" w:rsidR="001B5B2F" w:rsidRDefault="001B5B2F" w:rsidP="0034776B">
            <w:pPr>
              <w:spacing w:line="360" w:lineRule="auto"/>
              <w:jc w:val="both"/>
              <w:rPr>
                <w:rFonts w:ascii="Times New Roman" w:hAnsi="Times New Roman" w:cs="Times New Roman"/>
                <w:iCs/>
                <w:sz w:val="24"/>
                <w:szCs w:val="24"/>
                <w:lang w:val="bg-BG"/>
              </w:rPr>
            </w:pPr>
          </w:p>
          <w:p w14:paraId="351739C8" w14:textId="77777777" w:rsidR="00F525E9" w:rsidRDefault="00F525E9" w:rsidP="0034776B">
            <w:pPr>
              <w:spacing w:line="360" w:lineRule="auto"/>
              <w:jc w:val="both"/>
              <w:rPr>
                <w:rFonts w:ascii="Times New Roman" w:hAnsi="Times New Roman" w:cs="Times New Roman"/>
                <w:iCs/>
                <w:sz w:val="24"/>
                <w:szCs w:val="24"/>
                <w:lang w:val="bg-BG"/>
              </w:rPr>
            </w:pPr>
          </w:p>
          <w:p w14:paraId="32239A69" w14:textId="1FA14C1B" w:rsidR="00F525E9" w:rsidRPr="001B5B2F" w:rsidRDefault="00F525E9" w:rsidP="00F525E9">
            <w:pPr>
              <w:jc w:val="both"/>
              <w:rPr>
                <w:rFonts w:ascii="Times New Roman" w:hAnsi="Times New Roman" w:cs="Times New Roman"/>
                <w:iCs/>
                <w:sz w:val="24"/>
                <w:szCs w:val="24"/>
                <w:lang w:val="bg-BG"/>
              </w:rPr>
            </w:pPr>
            <w:r w:rsidRPr="00F525E9">
              <w:rPr>
                <w:rFonts w:ascii="Times New Roman" w:hAnsi="Times New Roman"/>
                <w:sz w:val="24"/>
                <w:szCs w:val="24"/>
                <w:lang w:val="bg-BG"/>
              </w:rPr>
              <w:t>В</w:t>
            </w:r>
            <w:r w:rsidRPr="00F525E9">
              <w:rPr>
                <w:rFonts w:ascii="Times New Roman" w:hAnsi="Times New Roman"/>
                <w:sz w:val="24"/>
                <w:szCs w:val="24"/>
                <w:lang w:val="bg-BG"/>
              </w:rPr>
              <w:t xml:space="preserve"> точка 2 на Доклада за екологична оценка подробно е представена информация по „Басейнови дирекции“ относно текущото състояние – къде има замърсявания с нитрати от торене.</w:t>
            </w:r>
          </w:p>
        </w:tc>
      </w:tr>
      <w:tr w:rsidR="006C5572" w14:paraId="39DA6D33" w14:textId="77777777" w:rsidTr="00350B6A">
        <w:trPr>
          <w:jc w:val="center"/>
        </w:trPr>
        <w:tc>
          <w:tcPr>
            <w:tcW w:w="846" w:type="dxa"/>
          </w:tcPr>
          <w:p w14:paraId="3B287075" w14:textId="77777777" w:rsidR="00BE6207" w:rsidRDefault="00BE6207" w:rsidP="00C02870">
            <w:pPr>
              <w:pStyle w:val="ListParagraph"/>
              <w:numPr>
                <w:ilvl w:val="0"/>
                <w:numId w:val="2"/>
              </w:numPr>
              <w:spacing w:line="360" w:lineRule="auto"/>
              <w:ind w:left="0" w:firstLine="0"/>
              <w:jc w:val="both"/>
              <w:rPr>
                <w:rFonts w:ascii="Times New Roman" w:hAnsi="Times New Roman" w:cs="Times New Roman"/>
                <w:i/>
                <w:sz w:val="24"/>
                <w:szCs w:val="24"/>
                <w:lang w:val="bg-BG"/>
              </w:rPr>
            </w:pPr>
          </w:p>
        </w:tc>
        <w:tc>
          <w:tcPr>
            <w:tcW w:w="1843" w:type="dxa"/>
          </w:tcPr>
          <w:p w14:paraId="7C7D08AE" w14:textId="77777777" w:rsidR="00350B6A" w:rsidRDefault="00350B6A" w:rsidP="00BE6207">
            <w:pPr>
              <w:spacing w:line="360" w:lineRule="auto"/>
              <w:jc w:val="center"/>
              <w:rPr>
                <w:rFonts w:ascii="Times New Roman" w:hAnsi="Times New Roman" w:cs="Times New Roman"/>
                <w:b/>
                <w:bCs/>
                <w:iCs/>
                <w:sz w:val="24"/>
                <w:szCs w:val="24"/>
                <w:lang w:val="bg-BG"/>
              </w:rPr>
            </w:pPr>
            <w:r>
              <w:rPr>
                <w:rFonts w:ascii="Times New Roman" w:hAnsi="Times New Roman" w:cs="Times New Roman"/>
                <w:b/>
                <w:bCs/>
                <w:iCs/>
                <w:sz w:val="24"/>
                <w:szCs w:val="24"/>
                <w:lang w:val="bg-BG"/>
              </w:rPr>
              <w:t>г</w:t>
            </w:r>
            <w:r w:rsidR="0037699F" w:rsidRPr="00350B6A">
              <w:rPr>
                <w:rFonts w:ascii="Times New Roman" w:hAnsi="Times New Roman" w:cs="Times New Roman"/>
                <w:b/>
                <w:bCs/>
                <w:iCs/>
                <w:sz w:val="24"/>
                <w:szCs w:val="24"/>
                <w:lang w:val="bg-BG"/>
              </w:rPr>
              <w:t xml:space="preserve">-н Йорданов, </w:t>
            </w:r>
          </w:p>
          <w:p w14:paraId="196F1485" w14:textId="7F7311C1" w:rsidR="00BE6207" w:rsidRPr="00350B6A" w:rsidRDefault="0037699F" w:rsidP="00BE6207">
            <w:pPr>
              <w:spacing w:line="360" w:lineRule="auto"/>
              <w:jc w:val="center"/>
              <w:rPr>
                <w:rFonts w:ascii="Times New Roman" w:hAnsi="Times New Roman" w:cs="Times New Roman"/>
                <w:b/>
                <w:bCs/>
                <w:iCs/>
                <w:sz w:val="24"/>
                <w:szCs w:val="24"/>
                <w:lang w:val="bg-BG"/>
              </w:rPr>
            </w:pPr>
            <w:r w:rsidRPr="00350B6A">
              <w:rPr>
                <w:rFonts w:ascii="Times New Roman" w:hAnsi="Times New Roman" w:cs="Times New Roman"/>
                <w:b/>
                <w:bCs/>
                <w:iCs/>
                <w:sz w:val="24"/>
                <w:szCs w:val="24"/>
                <w:lang w:val="bg-BG"/>
              </w:rPr>
              <w:t>МИРГ-Шабла</w:t>
            </w:r>
          </w:p>
        </w:tc>
        <w:tc>
          <w:tcPr>
            <w:tcW w:w="7772" w:type="dxa"/>
          </w:tcPr>
          <w:p w14:paraId="5572E7E4" w14:textId="58056278" w:rsidR="00BE6207" w:rsidRPr="006C5572" w:rsidRDefault="0037699F" w:rsidP="0037699F">
            <w:pPr>
              <w:jc w:val="both"/>
              <w:rPr>
                <w:rFonts w:ascii="Times New Roman" w:hAnsi="Times New Roman"/>
                <w:lang w:val="bg-BG"/>
              </w:rPr>
            </w:pPr>
            <w:r w:rsidRPr="006C5572">
              <w:rPr>
                <w:rFonts w:ascii="Times New Roman" w:hAnsi="Times New Roman"/>
                <w:lang w:val="bg-BG"/>
              </w:rPr>
              <w:t>Подкрепям, доктор Господинов относно влиянието на подпочвените води и натрупването на нитратни съединения, защото наши изследвания показват, че имаме завишаване в пет пъти нормите на подпочвените води в региона, което е свързано най-вероятно и с използването, не най-вероятно, а с използването на торове от земеделците. От тази гледна точка искрено се надявам колегите от МОСВ при вече разработени планове за управление особено на зоните по „Натура“ и в акваторията да имат предвид тези обстоятелства и да бъде изострено вниманието в тази посока, защото всичко това нещо влияейки на водата, влияе и на организмите, които се развиват. Излишно е да коментираме изчезването или намаляването на определени популации на видове, което се дължи точно на това.</w:t>
            </w:r>
          </w:p>
        </w:tc>
        <w:tc>
          <w:tcPr>
            <w:tcW w:w="3487" w:type="dxa"/>
          </w:tcPr>
          <w:p w14:paraId="3436EACC" w14:textId="4E12987D" w:rsidR="00BE6207" w:rsidRPr="006C5572" w:rsidRDefault="0037699F" w:rsidP="0037699F">
            <w:pPr>
              <w:jc w:val="both"/>
              <w:rPr>
                <w:rFonts w:ascii="Times New Roman" w:hAnsi="Times New Roman" w:cs="Times New Roman"/>
                <w:i/>
                <w:lang w:val="bg-BG"/>
              </w:rPr>
            </w:pPr>
            <w:r w:rsidRPr="006C5572">
              <w:rPr>
                <w:rFonts w:ascii="Times New Roman" w:hAnsi="Times New Roman"/>
                <w:lang w:val="bg-BG"/>
              </w:rPr>
              <w:t>В точка 2 на Доклада за екологична оценка подробно е представена информация по „Басейнови дирекции“ относно текущото състояние – къде има замърсявания с нитрати от торене.</w:t>
            </w:r>
          </w:p>
        </w:tc>
      </w:tr>
      <w:tr w:rsidR="00F24D5C" w14:paraId="796DFFC7" w14:textId="77777777" w:rsidTr="00350B6A">
        <w:trPr>
          <w:jc w:val="center"/>
        </w:trPr>
        <w:tc>
          <w:tcPr>
            <w:tcW w:w="846" w:type="dxa"/>
          </w:tcPr>
          <w:p w14:paraId="48F2BC5B" w14:textId="77777777" w:rsidR="00F24D5C" w:rsidRDefault="00F24D5C" w:rsidP="00C02870">
            <w:pPr>
              <w:pStyle w:val="ListParagraph"/>
              <w:numPr>
                <w:ilvl w:val="0"/>
                <w:numId w:val="2"/>
              </w:numPr>
              <w:spacing w:line="360" w:lineRule="auto"/>
              <w:ind w:left="0" w:firstLine="0"/>
              <w:jc w:val="both"/>
              <w:rPr>
                <w:rFonts w:ascii="Times New Roman" w:hAnsi="Times New Roman" w:cs="Times New Roman"/>
                <w:i/>
                <w:sz w:val="24"/>
                <w:szCs w:val="24"/>
                <w:lang w:val="bg-BG"/>
              </w:rPr>
            </w:pPr>
          </w:p>
        </w:tc>
        <w:tc>
          <w:tcPr>
            <w:tcW w:w="1843" w:type="dxa"/>
          </w:tcPr>
          <w:p w14:paraId="2D240C3B" w14:textId="77777777" w:rsidR="00F24D5C" w:rsidRDefault="00AA023B" w:rsidP="00BE6207">
            <w:pPr>
              <w:spacing w:line="360" w:lineRule="auto"/>
              <w:jc w:val="center"/>
              <w:rPr>
                <w:rFonts w:ascii="Times New Roman" w:hAnsi="Times New Roman" w:cs="Times New Roman"/>
                <w:b/>
                <w:bCs/>
                <w:iCs/>
                <w:sz w:val="24"/>
                <w:szCs w:val="24"/>
                <w:lang w:val="bg-BG"/>
              </w:rPr>
            </w:pPr>
            <w:r>
              <w:rPr>
                <w:rFonts w:ascii="Times New Roman" w:hAnsi="Times New Roman" w:cs="Times New Roman"/>
                <w:b/>
                <w:bCs/>
                <w:iCs/>
                <w:sz w:val="24"/>
                <w:szCs w:val="24"/>
                <w:lang w:val="bg-BG"/>
              </w:rPr>
              <w:t>Г-жа Яна Велева,</w:t>
            </w:r>
          </w:p>
          <w:p w14:paraId="2330C5D4" w14:textId="1C708E68" w:rsidR="00AA023B" w:rsidRDefault="00AA023B" w:rsidP="00BE6207">
            <w:pPr>
              <w:spacing w:line="360" w:lineRule="auto"/>
              <w:jc w:val="center"/>
              <w:rPr>
                <w:rFonts w:ascii="Times New Roman" w:hAnsi="Times New Roman" w:cs="Times New Roman"/>
                <w:b/>
                <w:bCs/>
                <w:iCs/>
                <w:sz w:val="24"/>
                <w:szCs w:val="24"/>
                <w:lang w:val="bg-BG"/>
              </w:rPr>
            </w:pPr>
            <w:r>
              <w:rPr>
                <w:rFonts w:ascii="Times New Roman" w:hAnsi="Times New Roman" w:cs="Times New Roman"/>
                <w:b/>
                <w:bCs/>
                <w:iCs/>
                <w:sz w:val="24"/>
                <w:szCs w:val="24"/>
                <w:lang w:val="bg-BG"/>
              </w:rPr>
              <w:t>Министерство на околната среда и водите</w:t>
            </w:r>
          </w:p>
        </w:tc>
        <w:tc>
          <w:tcPr>
            <w:tcW w:w="7772" w:type="dxa"/>
          </w:tcPr>
          <w:p w14:paraId="5EECFA2E" w14:textId="77777777" w:rsidR="00F24D5C" w:rsidRPr="006C5572" w:rsidRDefault="00AA023B" w:rsidP="006C5572">
            <w:pPr>
              <w:jc w:val="both"/>
              <w:rPr>
                <w:rFonts w:ascii="Times New Roman" w:hAnsi="Times New Roman"/>
                <w:lang w:val="bg-BG"/>
              </w:rPr>
            </w:pPr>
            <w:r w:rsidRPr="006C5572">
              <w:rPr>
                <w:rFonts w:ascii="Times New Roman" w:hAnsi="Times New Roman"/>
                <w:lang w:val="bg-BG"/>
              </w:rPr>
              <w:t>П</w:t>
            </w:r>
            <w:r w:rsidRPr="006C5572">
              <w:rPr>
                <w:rFonts w:ascii="Times New Roman" w:hAnsi="Times New Roman"/>
                <w:lang w:val="bg-BG"/>
              </w:rPr>
              <w:t xml:space="preserve">онеже се коментираше за подводното замърсяване и излъчването на подводен шум и ефекта върху морски бозайници </w:t>
            </w:r>
            <w:r w:rsidRPr="006C5572">
              <w:rPr>
                <w:rFonts w:ascii="Times New Roman" w:hAnsi="Times New Roman"/>
                <w:lang w:val="bg-BG"/>
              </w:rPr>
              <w:t xml:space="preserve">- </w:t>
            </w:r>
            <w:r w:rsidRPr="006C5572">
              <w:rPr>
                <w:rFonts w:ascii="Times New Roman" w:hAnsi="Times New Roman"/>
                <w:lang w:val="bg-BG"/>
              </w:rPr>
              <w:t xml:space="preserve">съществуват такива прагови стойности, които са приети към Аквапау, съществуват стратегически документи, които определят степента на въздействие от различен тип шум, стойност и начин на излъчване. </w:t>
            </w:r>
          </w:p>
          <w:p w14:paraId="62E4DA3A" w14:textId="77777777" w:rsidR="006C5572" w:rsidRPr="006C5572" w:rsidRDefault="006C5572" w:rsidP="006C5572">
            <w:pPr>
              <w:jc w:val="both"/>
              <w:rPr>
                <w:rFonts w:ascii="Times New Roman" w:hAnsi="Times New Roman"/>
                <w:lang w:val="bg-BG"/>
              </w:rPr>
            </w:pPr>
          </w:p>
          <w:p w14:paraId="69AC33F0" w14:textId="77777777" w:rsidR="006C5572" w:rsidRPr="006C5572" w:rsidRDefault="006C5572" w:rsidP="006C5572">
            <w:pPr>
              <w:jc w:val="both"/>
              <w:rPr>
                <w:rFonts w:ascii="Times New Roman" w:hAnsi="Times New Roman"/>
                <w:lang w:val="bg-BG"/>
              </w:rPr>
            </w:pPr>
          </w:p>
          <w:p w14:paraId="6470E1BC" w14:textId="77777777" w:rsidR="006C5572" w:rsidRPr="006C5572" w:rsidRDefault="006C5572" w:rsidP="006C5572">
            <w:pPr>
              <w:jc w:val="both"/>
              <w:rPr>
                <w:rFonts w:ascii="Times New Roman" w:hAnsi="Times New Roman"/>
                <w:lang w:val="bg-BG"/>
              </w:rPr>
            </w:pPr>
          </w:p>
          <w:p w14:paraId="23051718" w14:textId="77777777" w:rsidR="006C5572" w:rsidRPr="006C5572" w:rsidRDefault="006C5572" w:rsidP="006C5572">
            <w:pPr>
              <w:jc w:val="both"/>
              <w:rPr>
                <w:rFonts w:ascii="Times New Roman" w:hAnsi="Times New Roman"/>
                <w:lang w:val="bg-BG"/>
              </w:rPr>
            </w:pPr>
          </w:p>
          <w:p w14:paraId="47DCDCD5" w14:textId="77777777" w:rsidR="006C5572" w:rsidRPr="006C5572" w:rsidRDefault="006C5572" w:rsidP="006C5572">
            <w:pPr>
              <w:jc w:val="both"/>
              <w:rPr>
                <w:rFonts w:ascii="Times New Roman" w:hAnsi="Times New Roman"/>
                <w:lang w:val="bg-BG"/>
              </w:rPr>
            </w:pPr>
          </w:p>
          <w:p w14:paraId="3ECD3E9E" w14:textId="77777777" w:rsidR="006C5572" w:rsidRPr="006C5572" w:rsidRDefault="006C5572" w:rsidP="006C5572">
            <w:pPr>
              <w:jc w:val="both"/>
              <w:rPr>
                <w:rFonts w:ascii="Times New Roman" w:hAnsi="Times New Roman"/>
                <w:lang w:val="bg-BG"/>
              </w:rPr>
            </w:pPr>
          </w:p>
          <w:p w14:paraId="7D3F1896" w14:textId="77777777" w:rsidR="006C5572" w:rsidRPr="006C5572" w:rsidRDefault="006C5572" w:rsidP="006C5572">
            <w:pPr>
              <w:jc w:val="both"/>
              <w:rPr>
                <w:rFonts w:ascii="Times New Roman" w:hAnsi="Times New Roman"/>
                <w:lang w:val="bg-BG"/>
              </w:rPr>
            </w:pPr>
          </w:p>
          <w:p w14:paraId="0B9A08BF" w14:textId="77777777" w:rsidR="006C5572" w:rsidRPr="006C5572" w:rsidRDefault="006C5572" w:rsidP="006C5572">
            <w:pPr>
              <w:jc w:val="both"/>
              <w:rPr>
                <w:rFonts w:ascii="Times New Roman" w:hAnsi="Times New Roman"/>
                <w:lang w:val="bg-BG"/>
              </w:rPr>
            </w:pPr>
          </w:p>
          <w:p w14:paraId="675D4025" w14:textId="77777777" w:rsidR="006C5572" w:rsidRPr="006C5572" w:rsidRDefault="006C5572" w:rsidP="006C5572">
            <w:pPr>
              <w:jc w:val="both"/>
              <w:rPr>
                <w:rFonts w:ascii="Times New Roman" w:hAnsi="Times New Roman"/>
                <w:lang w:val="bg-BG"/>
              </w:rPr>
            </w:pPr>
          </w:p>
          <w:p w14:paraId="6F046CC1" w14:textId="77777777" w:rsidR="006C5572" w:rsidRPr="006C5572" w:rsidRDefault="006C5572" w:rsidP="006C5572">
            <w:pPr>
              <w:jc w:val="both"/>
              <w:rPr>
                <w:rFonts w:ascii="Times New Roman" w:hAnsi="Times New Roman"/>
                <w:lang w:val="bg-BG"/>
              </w:rPr>
            </w:pPr>
          </w:p>
          <w:p w14:paraId="30D6281C" w14:textId="77777777" w:rsidR="006C5572" w:rsidRPr="006C5572" w:rsidRDefault="006C5572" w:rsidP="006C5572">
            <w:pPr>
              <w:jc w:val="both"/>
              <w:rPr>
                <w:rFonts w:ascii="Times New Roman" w:hAnsi="Times New Roman"/>
                <w:lang w:val="bg-BG"/>
              </w:rPr>
            </w:pPr>
          </w:p>
          <w:p w14:paraId="42BFB3C1" w14:textId="77777777" w:rsidR="006C5572" w:rsidRPr="006C5572" w:rsidRDefault="006C5572" w:rsidP="006C5572">
            <w:pPr>
              <w:jc w:val="both"/>
              <w:rPr>
                <w:rFonts w:ascii="Times New Roman" w:hAnsi="Times New Roman"/>
                <w:lang w:val="bg-BG"/>
              </w:rPr>
            </w:pPr>
          </w:p>
          <w:p w14:paraId="29F5D66D" w14:textId="24DE40AE" w:rsidR="006C5572" w:rsidRDefault="006C5572" w:rsidP="006C5572">
            <w:pPr>
              <w:jc w:val="both"/>
              <w:rPr>
                <w:rFonts w:ascii="Times New Roman" w:hAnsi="Times New Roman"/>
                <w:lang w:val="bg-BG"/>
              </w:rPr>
            </w:pPr>
          </w:p>
          <w:p w14:paraId="7D640F00" w14:textId="02A07142" w:rsidR="006C5572" w:rsidRDefault="006C5572" w:rsidP="006C5572">
            <w:pPr>
              <w:jc w:val="both"/>
              <w:rPr>
                <w:rFonts w:ascii="Times New Roman" w:hAnsi="Times New Roman"/>
                <w:lang w:val="bg-BG"/>
              </w:rPr>
            </w:pPr>
          </w:p>
          <w:p w14:paraId="6025A700" w14:textId="1F84836C" w:rsidR="006C5572" w:rsidRDefault="006C5572" w:rsidP="006C5572">
            <w:pPr>
              <w:jc w:val="both"/>
              <w:rPr>
                <w:rFonts w:ascii="Times New Roman" w:hAnsi="Times New Roman"/>
                <w:lang w:val="bg-BG"/>
              </w:rPr>
            </w:pPr>
          </w:p>
          <w:p w14:paraId="39B2773D" w14:textId="77777777" w:rsidR="006C5572" w:rsidRPr="006C5572" w:rsidRDefault="006C5572" w:rsidP="006C5572">
            <w:pPr>
              <w:jc w:val="both"/>
              <w:rPr>
                <w:rFonts w:ascii="Times New Roman" w:hAnsi="Times New Roman"/>
                <w:lang w:val="bg-BG"/>
              </w:rPr>
            </w:pPr>
          </w:p>
          <w:p w14:paraId="21221688" w14:textId="368736C7" w:rsidR="006C5572" w:rsidRPr="006C5572" w:rsidRDefault="006C5572" w:rsidP="006C5572">
            <w:pPr>
              <w:jc w:val="both"/>
              <w:rPr>
                <w:rFonts w:ascii="Times New Roman" w:hAnsi="Times New Roman"/>
                <w:lang w:val="bg-BG"/>
              </w:rPr>
            </w:pPr>
            <w:r w:rsidRPr="006C5572">
              <w:rPr>
                <w:rFonts w:ascii="Times New Roman" w:hAnsi="Times New Roman"/>
                <w:lang w:val="bg-BG"/>
              </w:rPr>
              <w:t>В момента специално за военните учения в екологичното законодателство няма изискване към тях. В момента такова е законодателството в страната, тоест те когато правят военни учения могат на доброволен принцип да прилагат по-добри практики, които са смекчаващи, могат да информират регионални инспекции, но в момента нямат законови изисквания, просто такова е законодателството само за военни учения.</w:t>
            </w:r>
          </w:p>
        </w:tc>
        <w:tc>
          <w:tcPr>
            <w:tcW w:w="3487" w:type="dxa"/>
          </w:tcPr>
          <w:p w14:paraId="33C721F2" w14:textId="04474090" w:rsidR="00F24D5C" w:rsidRPr="006C5572" w:rsidRDefault="006C5572" w:rsidP="0037699F">
            <w:pPr>
              <w:jc w:val="both"/>
              <w:rPr>
                <w:rFonts w:ascii="Times New Roman" w:hAnsi="Times New Roman" w:cs="Times New Roman"/>
                <w:iCs/>
                <w:sz w:val="24"/>
                <w:szCs w:val="24"/>
                <w:lang w:val="bg-BG"/>
              </w:rPr>
            </w:pPr>
            <w:r>
              <w:rPr>
                <w:rFonts w:ascii="Times New Roman" w:hAnsi="Times New Roman"/>
                <w:sz w:val="24"/>
                <w:szCs w:val="24"/>
                <w:lang w:val="bg-BG"/>
              </w:rPr>
              <w:lastRenderedPageBreak/>
              <w:t>В</w:t>
            </w:r>
            <w:r w:rsidRPr="003F5C83">
              <w:rPr>
                <w:rFonts w:ascii="Times New Roman" w:hAnsi="Times New Roman"/>
                <w:sz w:val="24"/>
                <w:szCs w:val="24"/>
                <w:lang w:val="bg-BG"/>
              </w:rPr>
              <w:t xml:space="preserve"> т. 2 от ДЕО, стр. 168</w:t>
            </w:r>
            <w:r>
              <w:rPr>
                <w:rFonts w:ascii="Times New Roman" w:hAnsi="Times New Roman"/>
                <w:sz w:val="24"/>
                <w:szCs w:val="24"/>
                <w:lang w:val="bg-BG"/>
              </w:rPr>
              <w:t>,</w:t>
            </w:r>
            <w:r w:rsidRPr="003F5C83">
              <w:rPr>
                <w:rFonts w:ascii="Times New Roman" w:hAnsi="Times New Roman"/>
                <w:sz w:val="24"/>
                <w:szCs w:val="24"/>
                <w:lang w:val="bg-BG"/>
              </w:rPr>
              <w:t xml:space="preserve"> е разгледано въздействието върху китоподобните на импулсния и продължителен подводен шум. Цитирано е </w:t>
            </w:r>
            <w:r w:rsidRPr="003F5C83">
              <w:rPr>
                <w:rFonts w:ascii="Times New Roman" w:hAnsi="Times New Roman" w:cs="Times New Roman"/>
                <w:i/>
                <w:iCs/>
                <w:sz w:val="24"/>
                <w:szCs w:val="24"/>
                <w:lang w:val="bg-BG"/>
              </w:rPr>
              <w:t>Методологическото ръководство – Насоки за мерки за намаляване на подводния шум</w:t>
            </w:r>
            <w:r w:rsidRPr="003F5C83">
              <w:rPr>
                <w:rFonts w:ascii="Times New Roman" w:hAnsi="Times New Roman" w:cs="Times New Roman"/>
                <w:sz w:val="24"/>
                <w:szCs w:val="24"/>
                <w:lang w:val="bg-BG"/>
              </w:rPr>
              <w:t xml:space="preserve"> </w:t>
            </w:r>
            <w:r w:rsidRPr="003F5C83">
              <w:rPr>
                <w:rFonts w:ascii="Times New Roman" w:hAnsi="Times New Roman" w:cs="Times New Roman"/>
                <w:sz w:val="24"/>
                <w:szCs w:val="24"/>
              </w:rPr>
              <w:t xml:space="preserve">(METHODOLOGICAL GUIDE </w:t>
            </w:r>
            <w:r w:rsidRPr="003F5C83">
              <w:rPr>
                <w:rFonts w:ascii="Times New Roman" w:hAnsi="Times New Roman" w:cs="Times New Roman"/>
                <w:sz w:val="24"/>
                <w:szCs w:val="24"/>
              </w:rPr>
              <w:lastRenderedPageBreak/>
              <w:t>- GUIDANCE ON UNDERWATER NOISE MITIGATION MEASURES, ACCOBAMS-MOP7/2019/Doc 31Rev1, 2019)</w:t>
            </w:r>
            <w:r w:rsidRPr="003F5C83">
              <w:rPr>
                <w:rFonts w:ascii="Times New Roman" w:hAnsi="Times New Roman" w:cs="Times New Roman"/>
                <w:sz w:val="24"/>
                <w:szCs w:val="24"/>
                <w:lang w:val="bg-BG"/>
              </w:rPr>
              <w:t>, което предлага мерки и техники за ограничаване на импулсния и продължителния шум</w:t>
            </w:r>
            <w:r>
              <w:rPr>
                <w:rFonts w:ascii="Times New Roman" w:hAnsi="Times New Roman" w:cs="Times New Roman"/>
                <w:sz w:val="24"/>
                <w:szCs w:val="24"/>
                <w:lang w:val="bg-BG"/>
              </w:rPr>
              <w:t>.</w:t>
            </w:r>
          </w:p>
        </w:tc>
      </w:tr>
    </w:tbl>
    <w:p w14:paraId="4B7B66B2" w14:textId="77777777" w:rsidR="00BE6207" w:rsidRPr="00BE6207" w:rsidRDefault="00BE6207" w:rsidP="00BE6207">
      <w:pPr>
        <w:spacing w:after="0" w:line="360" w:lineRule="auto"/>
        <w:jc w:val="center"/>
        <w:rPr>
          <w:rFonts w:ascii="Times New Roman" w:hAnsi="Times New Roman" w:cs="Times New Roman"/>
          <w:i/>
          <w:sz w:val="24"/>
          <w:szCs w:val="24"/>
          <w:lang w:val="bg-BG"/>
        </w:rPr>
      </w:pPr>
    </w:p>
    <w:p w14:paraId="15F73B42" w14:textId="77777777" w:rsidR="00BE6207" w:rsidRPr="00F86066" w:rsidRDefault="00BE6207">
      <w:pPr>
        <w:rPr>
          <w:lang w:val="bg-BG"/>
        </w:rPr>
      </w:pPr>
    </w:p>
    <w:sectPr w:rsidR="00BE6207" w:rsidRPr="00F86066" w:rsidSect="00F86066">
      <w:foot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DC830" w14:textId="77777777" w:rsidR="00EA2095" w:rsidRDefault="00EA2095" w:rsidP="00CA1306">
      <w:pPr>
        <w:spacing w:after="0" w:line="240" w:lineRule="auto"/>
      </w:pPr>
      <w:r>
        <w:separator/>
      </w:r>
    </w:p>
  </w:endnote>
  <w:endnote w:type="continuationSeparator" w:id="0">
    <w:p w14:paraId="5535931D" w14:textId="77777777" w:rsidR="00EA2095" w:rsidRDefault="00EA2095" w:rsidP="00CA1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bar">
    <w:altName w:val="Arial Narro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838363"/>
      <w:docPartObj>
        <w:docPartGallery w:val="Page Numbers (Bottom of Page)"/>
        <w:docPartUnique/>
      </w:docPartObj>
    </w:sdtPr>
    <w:sdtEndPr>
      <w:rPr>
        <w:noProof/>
      </w:rPr>
    </w:sdtEndPr>
    <w:sdtContent>
      <w:p w14:paraId="3680EC2A" w14:textId="549F5D46" w:rsidR="00CA1306" w:rsidRDefault="00CA13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2E904C" w14:textId="77777777" w:rsidR="00CA1306" w:rsidRDefault="00CA13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2984" w14:textId="77777777" w:rsidR="00EA2095" w:rsidRDefault="00EA2095" w:rsidP="00CA1306">
      <w:pPr>
        <w:spacing w:after="0" w:line="240" w:lineRule="auto"/>
      </w:pPr>
      <w:r>
        <w:separator/>
      </w:r>
    </w:p>
  </w:footnote>
  <w:footnote w:type="continuationSeparator" w:id="0">
    <w:p w14:paraId="0BD533F5" w14:textId="77777777" w:rsidR="00EA2095" w:rsidRDefault="00EA2095" w:rsidP="00CA13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462C8F"/>
    <w:multiLevelType w:val="hybridMultilevel"/>
    <w:tmpl w:val="42225E74"/>
    <w:lvl w:ilvl="0" w:tplc="1CA092D4">
      <w:start w:val="1"/>
      <w:numFmt w:val="decimal"/>
      <w:lvlText w:val="%1."/>
      <w:lvlJc w:val="left"/>
      <w:pPr>
        <w:ind w:left="720" w:hanging="360"/>
      </w:pPr>
      <w:rPr>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DF01E2"/>
    <w:multiLevelType w:val="hybridMultilevel"/>
    <w:tmpl w:val="AF6670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4058675">
    <w:abstractNumId w:val="1"/>
  </w:num>
  <w:num w:numId="2" w16cid:durableId="1542283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3A4"/>
    <w:rsid w:val="001B5B2F"/>
    <w:rsid w:val="00311CEB"/>
    <w:rsid w:val="0034776B"/>
    <w:rsid w:val="00350B6A"/>
    <w:rsid w:val="0037699F"/>
    <w:rsid w:val="003F5C83"/>
    <w:rsid w:val="00411021"/>
    <w:rsid w:val="005333A4"/>
    <w:rsid w:val="006C5572"/>
    <w:rsid w:val="00980C6B"/>
    <w:rsid w:val="00AA023B"/>
    <w:rsid w:val="00B13076"/>
    <w:rsid w:val="00BE6207"/>
    <w:rsid w:val="00C02870"/>
    <w:rsid w:val="00CA1306"/>
    <w:rsid w:val="00EA2095"/>
    <w:rsid w:val="00F24D5C"/>
    <w:rsid w:val="00F525E9"/>
    <w:rsid w:val="00F860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00B22"/>
  <w15:chartTrackingRefBased/>
  <w15:docId w15:val="{CC48BD86-72B1-4B31-9130-3C6C02384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6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11021"/>
    <w:rPr>
      <w:sz w:val="16"/>
      <w:szCs w:val="16"/>
    </w:rPr>
  </w:style>
  <w:style w:type="paragraph" w:styleId="CommentText">
    <w:name w:val="annotation text"/>
    <w:basedOn w:val="Normal"/>
    <w:link w:val="CommentTextChar"/>
    <w:rsid w:val="00411021"/>
    <w:pPr>
      <w:spacing w:after="0" w:line="240" w:lineRule="auto"/>
    </w:pPr>
    <w:rPr>
      <w:rFonts w:ascii="Hebar" w:eastAsia="Times New Roman" w:hAnsi="Hebar" w:cs="Times New Roman"/>
      <w:sz w:val="20"/>
      <w:szCs w:val="20"/>
      <w:lang w:val="en-US"/>
    </w:rPr>
  </w:style>
  <w:style w:type="character" w:customStyle="1" w:styleId="CommentTextChar">
    <w:name w:val="Comment Text Char"/>
    <w:basedOn w:val="DefaultParagraphFont"/>
    <w:link w:val="CommentText"/>
    <w:rsid w:val="00411021"/>
    <w:rPr>
      <w:rFonts w:ascii="Hebar" w:eastAsia="Times New Roman" w:hAnsi="Hebar" w:cs="Times New Roman"/>
      <w:sz w:val="20"/>
      <w:szCs w:val="20"/>
      <w:lang w:val="en-US"/>
    </w:rPr>
  </w:style>
  <w:style w:type="paragraph" w:styleId="Header">
    <w:name w:val="header"/>
    <w:basedOn w:val="Normal"/>
    <w:link w:val="HeaderChar"/>
    <w:uiPriority w:val="99"/>
    <w:unhideWhenUsed/>
    <w:rsid w:val="00CA13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306"/>
  </w:style>
  <w:style w:type="paragraph" w:styleId="Footer">
    <w:name w:val="footer"/>
    <w:basedOn w:val="Normal"/>
    <w:link w:val="FooterChar"/>
    <w:uiPriority w:val="99"/>
    <w:unhideWhenUsed/>
    <w:rsid w:val="00CA13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306"/>
  </w:style>
  <w:style w:type="paragraph" w:styleId="ListParagraph">
    <w:name w:val="List Paragraph"/>
    <w:basedOn w:val="Normal"/>
    <w:uiPriority w:val="34"/>
    <w:qFormat/>
    <w:rsid w:val="00C028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5</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2022-04-18T09:18:00Z</dcterms:created>
  <dcterms:modified xsi:type="dcterms:W3CDTF">2022-04-18T12:48:00Z</dcterms:modified>
</cp:coreProperties>
</file>