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0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1217"/>
        <w:gridCol w:w="4337"/>
        <w:gridCol w:w="2650"/>
      </w:tblGrid>
      <w:tr w:rsidR="00025E58" w:rsidRPr="00144A1F" w14:paraId="790F8381" w14:textId="77777777" w:rsidTr="007700FA">
        <w:trPr>
          <w:trHeight w:val="1256"/>
          <w:tblHeader/>
        </w:trPr>
        <w:tc>
          <w:tcPr>
            <w:tcW w:w="511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767C5FFB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Pr="004322ED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</w:t>
            </w:r>
          </w:p>
          <w:p w14:paraId="1C7B263C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14:paraId="3B767DA0" w14:textId="77777777" w:rsidR="00025E58" w:rsidRPr="00877A5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ирекция “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” – Управляващ орган на 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BE34F2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” 2014 -2020 (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020F3D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lang w:val="bg-BG"/>
              </w:rPr>
              <w:t xml:space="preserve">Вариант </w:t>
            </w: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2</w:t>
            </w:r>
          </w:p>
        </w:tc>
      </w:tr>
      <w:tr w:rsidR="00025E58" w:rsidRPr="00144A1F" w14:paraId="6328E1EA" w14:textId="77777777" w:rsidTr="007700FA">
        <w:trPr>
          <w:trHeight w:val="747"/>
        </w:trPr>
        <w:tc>
          <w:tcPr>
            <w:tcW w:w="5116" w:type="dxa"/>
            <w:vMerge/>
            <w:tcBorders>
              <w:left w:val="single" w:sz="1" w:space="0" w:color="000000"/>
            </w:tcBorders>
            <w:vAlign w:val="center"/>
          </w:tcPr>
          <w:p w14:paraId="6334DEBA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5170F0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Приложение </w:t>
            </w:r>
          </w:p>
          <w:p w14:paraId="1566B28F" w14:textId="77777777" w:rsidR="00025E58" w:rsidRPr="00144A1F" w:rsidRDefault="00025E58" w:rsidP="00DC2E70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</w:t>
            </w:r>
            <w:r w:rsidR="00DC2E70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13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DCC5BC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14:paraId="739A7018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14:paraId="06CB4EC5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14:paraId="40998D65" w14:textId="77777777" w:rsidR="00025E58" w:rsidRPr="00F609C8" w:rsidRDefault="00025E58" w:rsidP="00DC2E70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iCs/>
                <w:sz w:val="20"/>
                <w:szCs w:val="20"/>
                <w:lang w:val="bg-BG"/>
              </w:rPr>
              <w:t xml:space="preserve">Образец на </w:t>
            </w:r>
            <w:r w:rsidR="00DC2E70">
              <w:rPr>
                <w:b/>
                <w:iCs/>
                <w:sz w:val="20"/>
                <w:szCs w:val="20"/>
                <w:lang w:val="bg-BG"/>
              </w:rPr>
              <w:t xml:space="preserve">Списък на </w:t>
            </w:r>
            <w:r w:rsidR="00DC2E70" w:rsidRPr="00DC2E70">
              <w:rPr>
                <w:b/>
                <w:iCs/>
                <w:sz w:val="20"/>
                <w:szCs w:val="20"/>
                <w:lang w:val="bg-BG"/>
              </w:rPr>
              <w:t>предложените за отхвърляне проектни предложения</w:t>
            </w:r>
          </w:p>
        </w:tc>
        <w:tc>
          <w:tcPr>
            <w:tcW w:w="2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D22D83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="009C4EBC"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="009C4EBC">
              <w:rPr>
                <w:rStyle w:val="PageNumber"/>
                <w:noProof/>
                <w:sz w:val="20"/>
                <w:szCs w:val="20"/>
                <w:lang w:val="bg-BG"/>
              </w:rPr>
              <w:t>82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025E58" w:rsidRPr="00144A1F" w14:paraId="5ED48900" w14:textId="77777777" w:rsidTr="007700FA">
        <w:trPr>
          <w:trHeight w:val="697"/>
        </w:trPr>
        <w:tc>
          <w:tcPr>
            <w:tcW w:w="5116" w:type="dxa"/>
            <w:vMerge/>
            <w:tcBorders>
              <w:left w:val="single" w:sz="1" w:space="0" w:color="000000"/>
            </w:tcBorders>
            <w:vAlign w:val="center"/>
          </w:tcPr>
          <w:p w14:paraId="326FBA5B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14:paraId="034D0190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26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C41B63F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14:paraId="3FF96CED" w14:textId="77777777" w:rsidR="00025E58" w:rsidRPr="00F97D8C" w:rsidRDefault="00F97D8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  <w:tr w:rsidR="00025E58" w:rsidRPr="00144A1F" w14:paraId="70196714" w14:textId="77777777" w:rsidTr="007700FA">
        <w:trPr>
          <w:trHeight w:val="697"/>
        </w:trPr>
        <w:tc>
          <w:tcPr>
            <w:tcW w:w="51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98BB17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04E1F05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EF77" w14:textId="77777777" w:rsidR="00025E58" w:rsidRPr="00D4220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D4220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14:paraId="71D76A64" w14:textId="77777777" w:rsidR="00025E58" w:rsidRPr="00144A1F" w:rsidRDefault="00F97D8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14:paraId="19944F59" w14:textId="77777777" w:rsidR="007D64DB" w:rsidRDefault="00BC53ED">
      <w:pPr>
        <w:rPr>
          <w:lang w:val="bg-BG"/>
        </w:rPr>
      </w:pPr>
    </w:p>
    <w:p w14:paraId="69B4BE27" w14:textId="77777777" w:rsidR="00025E58" w:rsidRDefault="00025E58">
      <w:pPr>
        <w:rPr>
          <w:lang w:val="bg-BG"/>
        </w:rPr>
      </w:pPr>
    </w:p>
    <w:p w14:paraId="55EFE08B" w14:textId="77777777" w:rsidR="00025E58" w:rsidRDefault="00025E58">
      <w:pPr>
        <w:rPr>
          <w:lang w:val="bg-BG"/>
        </w:rPr>
      </w:pPr>
    </w:p>
    <w:p w14:paraId="6E86106E" w14:textId="77777777" w:rsidR="009C4EBC" w:rsidRDefault="00DC2E70" w:rsidP="00806732">
      <w:pPr>
        <w:jc w:val="center"/>
        <w:rPr>
          <w:b/>
          <w:lang w:val="bg-BG"/>
        </w:rPr>
      </w:pPr>
      <w:r w:rsidRPr="00DC2E70">
        <w:rPr>
          <w:b/>
          <w:lang w:val="bg-BG"/>
        </w:rPr>
        <w:t xml:space="preserve">Списък на </w:t>
      </w:r>
      <w:r w:rsidR="00E3156B">
        <w:rPr>
          <w:b/>
          <w:lang w:val="bg-BG"/>
        </w:rPr>
        <w:t xml:space="preserve">проектните предложения, </w:t>
      </w:r>
      <w:r w:rsidR="00E3156B" w:rsidRPr="00E3156B">
        <w:rPr>
          <w:b/>
          <w:lang w:val="bg-BG"/>
        </w:rPr>
        <w:t xml:space="preserve">които не се допускат до техническа и финансова оценка </w:t>
      </w:r>
      <w:r w:rsidR="00E3156B">
        <w:rPr>
          <w:b/>
          <w:lang w:val="bg-BG"/>
        </w:rPr>
        <w:t>по процедура</w:t>
      </w:r>
      <w:r w:rsidRPr="00DC2E70">
        <w:rPr>
          <w:b/>
          <w:lang w:val="bg-BG"/>
        </w:rPr>
        <w:t xml:space="preserve"> № </w:t>
      </w:r>
      <w:r w:rsidR="004A5A43" w:rsidRPr="004A5A43">
        <w:rPr>
          <w:b/>
          <w:lang w:val="bg-BG"/>
        </w:rPr>
        <w:t>BG14MFOP001-4.097, Местна инициативна рибарска група (МИРГ) „НЕСЕБЪР-МЕСЕМВРИЯ“- Мярка 2.2 „Подкрепа за създаване на нови услуги за населението в рибарската територия“ от Стратегията за Водено от общностите местно развитие (ВОМР) на МИРГ „НЕСЕБЪР-МЕСЕМВРИЯ“</w:t>
      </w:r>
      <w:r w:rsidR="00E3156B" w:rsidRPr="00E3156B">
        <w:rPr>
          <w:b/>
          <w:lang w:val="bg-BG"/>
        </w:rPr>
        <w:t xml:space="preserve"> по Програмата за морско дело и рибарство 2014-2020 г.</w:t>
      </w:r>
      <w:r w:rsidR="00E3156B">
        <w:rPr>
          <w:b/>
          <w:lang w:val="bg-BG"/>
        </w:rPr>
        <w:t xml:space="preserve"> </w:t>
      </w:r>
    </w:p>
    <w:p w14:paraId="2831474B" w14:textId="77777777" w:rsidR="000051DF" w:rsidRDefault="000051DF" w:rsidP="00806732">
      <w:pPr>
        <w:jc w:val="center"/>
        <w:rPr>
          <w:b/>
          <w:lang w:val="bg-BG"/>
        </w:rPr>
      </w:pPr>
    </w:p>
    <w:p w14:paraId="0588E17D" w14:textId="77777777" w:rsidR="00E3156B" w:rsidRDefault="00E3156B" w:rsidP="00806732">
      <w:pPr>
        <w:jc w:val="center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99"/>
        <w:gridCol w:w="2277"/>
        <w:gridCol w:w="2855"/>
        <w:gridCol w:w="5180"/>
      </w:tblGrid>
      <w:tr w:rsidR="00025E58" w:rsidRPr="00E76FC7" w14:paraId="4B12F358" w14:textId="77777777" w:rsidTr="00703A1F">
        <w:tc>
          <w:tcPr>
            <w:tcW w:w="585" w:type="dxa"/>
            <w:shd w:val="clear" w:color="auto" w:fill="auto"/>
          </w:tcPr>
          <w:p w14:paraId="6F3F38B2" w14:textId="77777777"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099" w:type="dxa"/>
            <w:shd w:val="clear" w:color="auto" w:fill="auto"/>
          </w:tcPr>
          <w:p w14:paraId="676EFF05" w14:textId="77777777"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2277" w:type="dxa"/>
            <w:shd w:val="clear" w:color="auto" w:fill="auto"/>
          </w:tcPr>
          <w:p w14:paraId="283A547C" w14:textId="77777777"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2855" w:type="dxa"/>
            <w:shd w:val="clear" w:color="auto" w:fill="auto"/>
          </w:tcPr>
          <w:p w14:paraId="60C7E193" w14:textId="77777777"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5180" w:type="dxa"/>
            <w:shd w:val="clear" w:color="auto" w:fill="auto"/>
          </w:tcPr>
          <w:p w14:paraId="6F25BE02" w14:textId="77777777" w:rsidR="00025E58" w:rsidRPr="005D311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отхвърляне</w:t>
            </w:r>
          </w:p>
          <w:p w14:paraId="15F74B5D" w14:textId="77777777" w:rsidR="00025E58" w:rsidRPr="00877A5F" w:rsidRDefault="00025E58" w:rsidP="00E756A6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051DF" w:rsidRPr="00E76FC7" w14:paraId="4DC9B43D" w14:textId="77777777" w:rsidTr="00703A1F">
        <w:tc>
          <w:tcPr>
            <w:tcW w:w="585" w:type="dxa"/>
            <w:shd w:val="clear" w:color="auto" w:fill="auto"/>
          </w:tcPr>
          <w:p w14:paraId="4F2AC1D9" w14:textId="77777777" w:rsidR="000051DF" w:rsidRDefault="000051DF" w:rsidP="00E756A6">
            <w:pPr>
              <w:jc w:val="center"/>
              <w:rPr>
                <w:b/>
                <w:lang w:val="bg-BG"/>
              </w:rPr>
            </w:pPr>
          </w:p>
          <w:p w14:paraId="365B6EC9" w14:textId="77777777" w:rsidR="000051DF" w:rsidRDefault="000051DF" w:rsidP="00E756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2.</w:t>
            </w:r>
          </w:p>
          <w:p w14:paraId="6CB5DD66" w14:textId="77777777" w:rsidR="000051DF" w:rsidRDefault="000051DF" w:rsidP="00E756A6">
            <w:pPr>
              <w:jc w:val="center"/>
              <w:rPr>
                <w:b/>
                <w:lang w:val="bg-BG"/>
              </w:rPr>
            </w:pPr>
          </w:p>
          <w:p w14:paraId="17FB7DBB" w14:textId="77777777" w:rsidR="000051DF" w:rsidRDefault="000051DF" w:rsidP="00E756A6">
            <w:pPr>
              <w:jc w:val="center"/>
              <w:rPr>
                <w:b/>
                <w:lang w:val="bg-BG"/>
              </w:rPr>
            </w:pPr>
          </w:p>
          <w:p w14:paraId="26132329" w14:textId="77777777" w:rsidR="000051DF" w:rsidRDefault="000051DF" w:rsidP="00E756A6">
            <w:pPr>
              <w:jc w:val="center"/>
              <w:rPr>
                <w:b/>
                <w:lang w:val="bg-BG"/>
              </w:rPr>
            </w:pPr>
          </w:p>
          <w:p w14:paraId="4738A686" w14:textId="77777777" w:rsidR="000051DF" w:rsidRPr="005C45BA" w:rsidRDefault="000051DF" w:rsidP="00E756A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099" w:type="dxa"/>
            <w:shd w:val="clear" w:color="auto" w:fill="auto"/>
          </w:tcPr>
          <w:p w14:paraId="63593938" w14:textId="77777777" w:rsidR="000051DF" w:rsidRDefault="000051DF" w:rsidP="00E756A6">
            <w:pPr>
              <w:jc w:val="center"/>
              <w:rPr>
                <w:b/>
                <w:lang w:val="bg-BG"/>
              </w:rPr>
            </w:pPr>
          </w:p>
          <w:p w14:paraId="70F511AD" w14:textId="77777777" w:rsidR="000051DF" w:rsidRPr="005C45BA" w:rsidRDefault="000051DF" w:rsidP="00E756A6">
            <w:pPr>
              <w:jc w:val="center"/>
              <w:rPr>
                <w:b/>
                <w:lang w:val="bg-BG"/>
              </w:rPr>
            </w:pPr>
            <w:r w:rsidRPr="000051DF">
              <w:rPr>
                <w:b/>
                <w:lang w:val="bg-BG"/>
              </w:rPr>
              <w:t>BG14MFOP001-4.097-0006</w:t>
            </w:r>
          </w:p>
        </w:tc>
        <w:tc>
          <w:tcPr>
            <w:tcW w:w="2277" w:type="dxa"/>
            <w:shd w:val="clear" w:color="auto" w:fill="auto"/>
          </w:tcPr>
          <w:p w14:paraId="04B40F1D" w14:textId="77777777" w:rsidR="000051DF" w:rsidRDefault="000051DF" w:rsidP="00E756A6">
            <w:pPr>
              <w:jc w:val="center"/>
              <w:rPr>
                <w:b/>
                <w:lang w:val="bg-BG"/>
              </w:rPr>
            </w:pPr>
          </w:p>
          <w:p w14:paraId="0AB4895B" w14:textId="77777777" w:rsidR="000051DF" w:rsidRPr="005C45BA" w:rsidRDefault="000051DF" w:rsidP="000051D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СДРУЖЕНИЕ ”КВС СОЛЕНА ВОДА“</w:t>
            </w:r>
          </w:p>
        </w:tc>
        <w:tc>
          <w:tcPr>
            <w:tcW w:w="2855" w:type="dxa"/>
            <w:shd w:val="clear" w:color="auto" w:fill="auto"/>
          </w:tcPr>
          <w:p w14:paraId="4B0615EA" w14:textId="77777777" w:rsidR="000051DF" w:rsidRDefault="000051DF" w:rsidP="000D421C">
            <w:pPr>
              <w:jc w:val="both"/>
              <w:rPr>
                <w:lang w:val="bg-BG"/>
              </w:rPr>
            </w:pPr>
          </w:p>
          <w:p w14:paraId="43839224" w14:textId="77777777" w:rsidR="000051DF" w:rsidRPr="0093219F" w:rsidRDefault="000051DF" w:rsidP="000D42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„</w:t>
            </w:r>
            <w:r w:rsidRPr="000051DF">
              <w:rPr>
                <w:lang w:val="bg-BG"/>
              </w:rPr>
              <w:t>Кайтсърфинг край Несебър 2022</w:t>
            </w:r>
            <w:r>
              <w:rPr>
                <w:lang w:val="bg-BG"/>
              </w:rPr>
              <w:t>“</w:t>
            </w:r>
          </w:p>
        </w:tc>
        <w:tc>
          <w:tcPr>
            <w:tcW w:w="5180" w:type="dxa"/>
            <w:shd w:val="clear" w:color="auto" w:fill="auto"/>
          </w:tcPr>
          <w:p w14:paraId="298A4AA4" w14:textId="17D8A3D0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BG14MFOP001-4.097-0006 съгласно чл. 29, ал. 2, т. 1, б. „а“ от Закона за управление на средствата от Европейските фондове </w:t>
            </w:r>
            <w:r w:rsidR="00703A1F">
              <w:rPr>
                <w:lang w:val="bg-BG"/>
              </w:rPr>
              <w:t xml:space="preserve">при споделено управление </w:t>
            </w:r>
            <w:r w:rsidRPr="00F501A0">
              <w:rPr>
                <w:lang w:val="bg-BG"/>
              </w:rPr>
              <w:t>(ЗУСЕ</w:t>
            </w:r>
            <w:r w:rsidR="00703A1F">
              <w:rPr>
                <w:lang w:val="bg-BG"/>
              </w:rPr>
              <w:t>ФСУ</w:t>
            </w:r>
            <w:r w:rsidRPr="00F501A0">
              <w:rPr>
                <w:lang w:val="bg-BG"/>
              </w:rPr>
              <w:t xml:space="preserve">), е установено следното: </w:t>
            </w:r>
          </w:p>
          <w:p w14:paraId="395E4E12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Проектното предложение не отговаря на Критерий № 3 „Налице са всички изискуеми документи и са попълнени съгласно изискванията, посочени в Условията за кандидатстване по настоящата процедура“, Критерий № 5 „Включените в проекта дейности са допустими за финансиране съгласно изискванията на Условия за кандидатстване по настоящата процедура“ и Критерий № 12 „Предвидените разходи в проектното предложение са допустими съгласно Условията за кандидатстване по настоящата процедура“ от Приложение № 4 „Критерии и методология за оценка на проектните предложения по Процедура за подбор на проекти по Мярка 2.2 Подкрепа за създаване на нови услуги за населението в рибарската територия“ към Условията за кандидатстване по Процедура за подбор на проекти № BG14MFOP001-4.097 МИРГ „НЕСЕБЪР-МЕСЕМВРИЯ“, мярка 2.2 „Подкрепа за създаване на нови услуги за населението в рибарската територия“. </w:t>
            </w:r>
          </w:p>
          <w:p w14:paraId="71E5CFDE" w14:textId="226B0C32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Съгласно чл. 34, ал. 2 от ЗУСЕ</w:t>
            </w:r>
            <w:r w:rsidR="00703A1F">
              <w:rPr>
                <w:lang w:val="bg-BG"/>
              </w:rPr>
              <w:t>ФСУ</w:t>
            </w:r>
            <w:r w:rsidRPr="00F501A0">
              <w:rPr>
                <w:lang w:val="bg-BG"/>
              </w:rPr>
              <w:t>: 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проектното предложение.</w:t>
            </w:r>
          </w:p>
          <w:p w14:paraId="186474DB" w14:textId="5D15E04C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Проектно предложение № BG14MFOP001-4.097-0006 с наименование „Кайтсърфинг край Несебър 2022“ предвижда „Разходи за закупуване на кайтсърф оборудване“. Във връзка с точка 24. „Списък на документите, които се подават на етап кандидатстване“ от Условия за кандидатстване</w:t>
            </w:r>
            <w:r w:rsidR="00C83B12">
              <w:rPr>
                <w:lang w:val="bg-BG"/>
              </w:rPr>
              <w:t>,</w:t>
            </w:r>
            <w:r w:rsidRPr="00F501A0">
              <w:rPr>
                <w:lang w:val="bg-BG"/>
              </w:rPr>
              <w:t xml:space="preserve"> на 23.05.2022 г. е изпратено уведомление, с което е поискана допълнителна информация от кандидата чрез Модул „Комуникация“ в ИСУН 2020. Указан е срок до 02.06.2022 г., в който да бъдат предоставени липсващите документи. Отговор от кандидата е получен на 23.05.2022 г. С писмото за допълнителна информация до кандидата, оценителната комисия е изискала предоставянето на „Детайлна, конкретна и подробна разбивка, както и технически характеристики на активите предвидени за закупуване по бюджетен ред „Разходи за закупуване на машини, съоръжения и оборудване, включително и компютърен софтуер и специализирана техника (до пазарната им стойност) и въвеждането им в експлоатация“, а именно закупуването на кайтсърф оборудване, тъй като съгласно подточка 14.1. „Допустими разходи“ на т. 26 от Условията за кандидатстване по настоящата процедура задължително условие е „Офертите трябва да са независими, съпоставими и конкурентни, да са предоставени от квалифицирани доставчици и следва да съдържат минимум името на оферента, ЕИК/БУЛСТАТ, кратко описание на предложението/характеристика/ функционалност, предложена цена, срок на валидност на офертата, датата на издаване на офертата, подпис и печат/електронен подпис на оферента. Цената трябва да бъде определена в лева или евро с и без ДДС. Оферентите, трябва да са вписани в Търговския регистър и регистъра на юридическите лица с нестопанска цел към Агенцията по вписванията или в Регистър БУЛСТАТ, в случаите, в които е приложимо, а оферентите - чуждестранни лица, трябва да представят документ за регистрация съгласно националното си законодателство. са задължително изискуеми документи.“</w:t>
            </w:r>
          </w:p>
          <w:p w14:paraId="60E3BD1D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Изисканите допълнителни документи към вече представени оферти от „ПМ СПОРТ“ ЕООД и „ВЕДИАН“ ЕООД не са представени, а отново е приложена същата оферта от „ВЕДИАН“ ЕООД, която съдържа единствено абревиатури на отделните позиции, без да става ясно какъв е вида и характеристиките на оферираните артикули. В допълнение, представената оферта е подписана от лицето Светлозар Грудов, в качеството му на управител. След извършена административна проверка е установено, че на 14.09.2017 г. Светлозар Грудов е прехвърлил всичките си дружествени дялове на друго лице и към датата на издаване на офертата с изх. № 01/31.01.2022 г. от „ВЕДИАН“ ЕООД същият не притежава собственост в капитала на дружеството, както и не е налице правно основание да го представлява. </w:t>
            </w:r>
          </w:p>
          <w:p w14:paraId="1BDAED49" w14:textId="141F3B44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Със същото писмо от 23.05.2022 г. на кандидата е изискана подробна разбивка по активи, съответстваща на изискванията, посочени в </w:t>
            </w:r>
            <w:r w:rsidRPr="00BC53ED">
              <w:rPr>
                <w:lang w:val="bg-BG"/>
              </w:rPr>
              <w:t xml:space="preserve">т. 12 от </w:t>
            </w:r>
            <w:r w:rsidR="00BC53ED">
              <w:rPr>
                <w:lang w:val="bg-BG"/>
              </w:rPr>
              <w:t xml:space="preserve">раздел </w:t>
            </w:r>
            <w:bookmarkStart w:id="0" w:name="_GoBack"/>
            <w:bookmarkEnd w:id="0"/>
            <w:r w:rsidRPr="00BC53ED">
              <w:rPr>
                <w:lang w:val="bg-BG"/>
              </w:rPr>
              <w:t>24 от УК</w:t>
            </w:r>
            <w:r w:rsidRPr="00F501A0">
              <w:rPr>
                <w:lang w:val="bg-BG"/>
              </w:rPr>
              <w:t>, от която да е видно, какво се включва в ред „Обзавеждане“ на обща стойност 49 359,28 лв. от представената справка за ДМА.“. Изисканият документ също не е представен.</w:t>
            </w:r>
          </w:p>
          <w:p w14:paraId="38CDC4A4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В допълнение, за заявен разход „Подготовка и изпълнение на проекта, и управление на проект до 5 на сто общите допустими разходи по проекта“ не е представен документ съгласно на т. 24. „Списък на документите, които се подават на етап кандидатстване“, т. 21. „Подписан договор с избрания изпълнител с разбивка на разходите по дейности и платежни документи към него за извършени разходи преди подаване на ФК- прикачен в ИСУН 2020“.</w:t>
            </w:r>
          </w:p>
          <w:p w14:paraId="48FD871E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Във връзка с гореизложеното, проектното предложение не отговаря на  Критерий № 3 „Налице са всички изискуеми документи и са попълнени съгласно изискванията, посочени в Условията за кандидатстване по настоящата процедура“ от Приложение № 4 „Критерии и методология за оценка на проектните предложения по Процедура за подбор на проекти по Мярка 2.2 Подкрепа за създаване на нови услуги за населението в рибарската територия“.</w:t>
            </w:r>
          </w:p>
          <w:p w14:paraId="413564F0" w14:textId="77777777" w:rsid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След извършване на административна проверка е установено, че СДРУЖЕНИЕ КВС „СОЛЕНА ВОДА“ е подало и проектно предложение с № BG14MFOP001-4.096-0004 по Процедура за подбор на проекти  № BG14MFOP001-4.096 МИРГ „НЕСЕБЪР-МЕСЕМВРИЯ“, Мярка 3.1 “Развитие на нови туристически продукти и атракции”, с наименование  „Популяризиране на Кайтсърфинг дестинация Несебър - Месембрия 2023“, като описаните по-долу разходи и дейности се дублират в двете проектни предложения 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1"/>
              <w:gridCol w:w="2140"/>
              <w:gridCol w:w="2273"/>
            </w:tblGrid>
            <w:tr w:rsidR="00F501A0" w:rsidRPr="00AA153B" w14:paraId="01937DAF" w14:textId="77777777" w:rsidTr="00C62D4D">
              <w:trPr>
                <w:jc w:val="center"/>
              </w:trPr>
              <w:tc>
                <w:tcPr>
                  <w:tcW w:w="1089" w:type="dxa"/>
                </w:tcPr>
                <w:p w14:paraId="386E1943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b/>
                      <w:snapToGrid w:val="0"/>
                    </w:rPr>
                  </w:pPr>
                </w:p>
                <w:p w14:paraId="72CC0384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b/>
                      <w:snapToGrid w:val="0"/>
                    </w:rPr>
                  </w:pPr>
                  <w:r w:rsidRPr="00AA153B">
                    <w:rPr>
                      <w:b/>
                      <w:snapToGrid w:val="0"/>
                    </w:rPr>
                    <w:t>№</w:t>
                  </w:r>
                </w:p>
              </w:tc>
              <w:tc>
                <w:tcPr>
                  <w:tcW w:w="3402" w:type="dxa"/>
                </w:tcPr>
                <w:p w14:paraId="17AFD98A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b/>
                      <w:snapToGrid w:val="0"/>
                    </w:rPr>
                  </w:pPr>
                </w:p>
                <w:p w14:paraId="50393CE7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b/>
                      <w:snapToGrid w:val="0"/>
                    </w:rPr>
                  </w:pPr>
                  <w:r w:rsidRPr="00AA153B">
                    <w:rPr>
                      <w:b/>
                      <w:snapToGrid w:val="0"/>
                    </w:rPr>
                    <w:t>Проектно предложение № BG14MFOP001-4.096-S2-0002</w:t>
                  </w:r>
                </w:p>
              </w:tc>
              <w:tc>
                <w:tcPr>
                  <w:tcW w:w="4411" w:type="dxa"/>
                </w:tcPr>
                <w:p w14:paraId="3EE2457B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b/>
                      <w:snapToGrid w:val="0"/>
                    </w:rPr>
                  </w:pPr>
                </w:p>
                <w:p w14:paraId="0990582D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b/>
                      <w:snapToGrid w:val="0"/>
                    </w:rPr>
                  </w:pPr>
                  <w:r w:rsidRPr="00AA153B">
                    <w:rPr>
                      <w:b/>
                      <w:snapToGrid w:val="0"/>
                    </w:rPr>
                    <w:t>Проектно предложение № BG14MFOP001-4.097-0006</w:t>
                  </w:r>
                </w:p>
              </w:tc>
            </w:tr>
            <w:tr w:rsidR="00F501A0" w:rsidRPr="00AA153B" w14:paraId="59DB1C7A" w14:textId="77777777" w:rsidTr="00C62D4D">
              <w:trPr>
                <w:jc w:val="center"/>
              </w:trPr>
              <w:tc>
                <w:tcPr>
                  <w:tcW w:w="1089" w:type="dxa"/>
                </w:tcPr>
                <w:p w14:paraId="1249530E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22040792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14:paraId="0FA335F6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0359C5E5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Дейност: Организиране на 1 събитие 2023 с международен гост Кайтсърфинг на стойност 34 668.00, посочена в Раздел 5, Бюджет, бюджетен ред 5.7.</w:t>
                  </w:r>
                </w:p>
              </w:tc>
              <w:tc>
                <w:tcPr>
                  <w:tcW w:w="4411" w:type="dxa"/>
                </w:tcPr>
                <w:p w14:paraId="2609A1C5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5A8FCDE8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 xml:space="preserve">Дейност: Организиране на събитие Кайтборд с международно участие на стойност 34 668.00 лв, посочена в Раздел 5, Бюджет, </w:t>
                  </w:r>
                  <w:r w:rsidRPr="00AA153B">
                    <w:t xml:space="preserve"> </w:t>
                  </w:r>
                  <w:r w:rsidRPr="00AA153B">
                    <w:rPr>
                      <w:snapToGrid w:val="0"/>
                    </w:rPr>
                    <w:t>бюджетен ред 7.3.</w:t>
                  </w:r>
                </w:p>
              </w:tc>
            </w:tr>
            <w:tr w:rsidR="00F501A0" w:rsidRPr="00AA153B" w14:paraId="4FF6D007" w14:textId="77777777" w:rsidTr="00C62D4D">
              <w:trPr>
                <w:jc w:val="center"/>
              </w:trPr>
              <w:tc>
                <w:tcPr>
                  <w:tcW w:w="1089" w:type="dxa"/>
                </w:tcPr>
                <w:p w14:paraId="45E058B9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4AB89A55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2.</w:t>
                  </w:r>
                </w:p>
              </w:tc>
              <w:tc>
                <w:tcPr>
                  <w:tcW w:w="3402" w:type="dxa"/>
                </w:tcPr>
                <w:p w14:paraId="270582A7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1971F6FE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Дейност: Изработване на стратегия на туристическия продукт кайтсърф край Несебър на стойност 29 900 лв, посочена в Раздел 5, бюджетен ред 5.2. (с оглед на факта, че изготвянето на този документ е за развитие на туристически продукт и включва в себе си основно маркетингови цели и задачи).</w:t>
                  </w:r>
                </w:p>
              </w:tc>
              <w:tc>
                <w:tcPr>
                  <w:tcW w:w="4411" w:type="dxa"/>
                </w:tcPr>
                <w:p w14:paraId="441D3C33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309B46C5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Дейност: Изработване на маркетинг план на нов туристическия продукт кайтсърф край Несебър в книжен и дигитален формат на бг на стойност 13 836.00 лв, посочена в Раздел 5, Бюджет, бюджетен ред 7.4.</w:t>
                  </w:r>
                </w:p>
              </w:tc>
            </w:tr>
            <w:tr w:rsidR="00F501A0" w:rsidRPr="00AA153B" w14:paraId="31B6C33F" w14:textId="77777777" w:rsidTr="00C62D4D">
              <w:trPr>
                <w:jc w:val="center"/>
              </w:trPr>
              <w:tc>
                <w:tcPr>
                  <w:tcW w:w="1089" w:type="dxa"/>
                </w:tcPr>
                <w:p w14:paraId="4A977BED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307A15B4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3.</w:t>
                  </w:r>
                </w:p>
              </w:tc>
              <w:tc>
                <w:tcPr>
                  <w:tcW w:w="3402" w:type="dxa"/>
                </w:tcPr>
                <w:p w14:paraId="569F75BA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3E744A85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Дейност: </w:t>
                  </w:r>
                  <w:r w:rsidRPr="00AA153B">
                    <w:rPr>
                      <w:snapToGrid w:val="0"/>
                    </w:rPr>
                    <w:t xml:space="preserve">Изработване на </w:t>
                  </w:r>
                  <w:r>
                    <w:rPr>
                      <w:snapToGrid w:val="0"/>
                    </w:rPr>
                    <w:t xml:space="preserve">кайтсръфинг </w:t>
                  </w:r>
                  <w:r w:rsidRPr="00AA153B">
                    <w:rPr>
                      <w:snapToGrid w:val="0"/>
                    </w:rPr>
                    <w:t>упътващо ръководство на бг и английски на стойност 17 555.00 лв, посочена в Раздел 5, Бюджет, бюджетен ред 5.4.</w:t>
                  </w:r>
                </w:p>
              </w:tc>
              <w:tc>
                <w:tcPr>
                  <w:tcW w:w="4411" w:type="dxa"/>
                </w:tcPr>
                <w:p w14:paraId="0E5BA404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6CAFDCCE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Дейност: Изработване на „Ръководство за начинаещи по кайтсърфинг - дестинация Несебър-Месембрия 2022 на стойност 21 924.00 лв, посочена в Раздел 5, Бюджет, бюджетен ред 7.5.</w:t>
                  </w:r>
                </w:p>
              </w:tc>
            </w:tr>
            <w:tr w:rsidR="00F501A0" w:rsidRPr="00AA153B" w14:paraId="724D6B60" w14:textId="77777777" w:rsidTr="00C62D4D">
              <w:trPr>
                <w:jc w:val="center"/>
              </w:trPr>
              <w:tc>
                <w:tcPr>
                  <w:tcW w:w="1089" w:type="dxa"/>
                </w:tcPr>
                <w:p w14:paraId="4B6D1DD4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341E34F8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4.</w:t>
                  </w:r>
                </w:p>
              </w:tc>
              <w:tc>
                <w:tcPr>
                  <w:tcW w:w="3402" w:type="dxa"/>
                </w:tcPr>
                <w:p w14:paraId="05E2D79A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6A75E9B0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Дейност: организиране на обучение по кайтсърфинг</w:t>
                  </w:r>
                  <w:r>
                    <w:rPr>
                      <w:snapToGrid w:val="0"/>
                    </w:rPr>
                    <w:t xml:space="preserve"> на стойност 22 100.00 </w:t>
                  </w:r>
                  <w:r w:rsidRPr="00AA153B">
                    <w:rPr>
                      <w:snapToGrid w:val="0"/>
                    </w:rPr>
                    <w:t>лв, посочена в Раздел 5, Бюджет, бюджетен ред 5.5.</w:t>
                  </w:r>
                </w:p>
              </w:tc>
              <w:tc>
                <w:tcPr>
                  <w:tcW w:w="4411" w:type="dxa"/>
                </w:tcPr>
                <w:p w14:paraId="4892EE5D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</w:p>
                <w:p w14:paraId="47CF2F11" w14:textId="77777777" w:rsidR="00F501A0" w:rsidRPr="00AA153B" w:rsidRDefault="00F501A0" w:rsidP="00F501A0">
                  <w:pPr>
                    <w:pStyle w:val="ListParagraph"/>
                    <w:tabs>
                      <w:tab w:val="left" w:pos="90"/>
                      <w:tab w:val="left" w:pos="720"/>
                    </w:tabs>
                    <w:ind w:left="0"/>
                    <w:jc w:val="both"/>
                    <w:rPr>
                      <w:snapToGrid w:val="0"/>
                    </w:rPr>
                  </w:pPr>
                  <w:r w:rsidRPr="00AA153B">
                    <w:rPr>
                      <w:snapToGrid w:val="0"/>
                    </w:rPr>
                    <w:t>Дейност: Провеждане на обучение -</w:t>
                  </w:r>
                  <w:r>
                    <w:rPr>
                      <w:snapToGrid w:val="0"/>
                    </w:rPr>
                    <w:t xml:space="preserve"> 260 часа на стойност 22 100.00 </w:t>
                  </w:r>
                  <w:r w:rsidRPr="00AA153B">
                    <w:rPr>
                      <w:snapToGrid w:val="0"/>
                    </w:rPr>
                    <w:t>лв, посочена в Раздел 5, Бюджет, бюджетен ред 7.6.</w:t>
                  </w:r>
                </w:p>
              </w:tc>
            </w:tr>
          </w:tbl>
          <w:p w14:paraId="1F1D37AA" w14:textId="77777777" w:rsid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</w:p>
          <w:p w14:paraId="3EED3CEA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С писмо за допълнителна информация от 23.05.2022 г. на кандидата е изискано обяснение във връзка с установените дублирани разходи.  От представен отговор на писмо от 23.05.2022 г., става ясно, че кандидатът предвижда изпълнението на дейностите по единият проект през 2022 г, а другият през 2023 г. </w:t>
            </w:r>
          </w:p>
          <w:p w14:paraId="2E46B3C7" w14:textId="2B4AA3E5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Съгласно разписаните текстове в т. 1.5 към подточка 11.1 Критерии за допустимост на кандидатите от УК  „Във връзка с разпоредбите на чл. 4, т. 3 от Регламент (ЕО, Евратом) № 2988/95 на Съвета от 18 декември 1995 година относно защитата на финансовите интереси на Европейските общности не се дава предимство, а даденото предимство се отнема, когато бъде установено, че кандидат за подпомагане или негови членове са създали изкуствено условията, както и т. 1.6. необходими за получаване на това предимство, в противоречие с целите на европейското право и българското законодателство в областта на рибарството.“. </w:t>
            </w:r>
          </w:p>
          <w:p w14:paraId="696B99CE" w14:textId="697E4B53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На основание гореизложеното и с цел недопускане на заобикаляне на праговете съгласно т. 9 от УК „Максималният размер на допустимата безвъзмездна финансова помощ за един проект е 200 000 лева.“, както и избягване на двойно финансиране на един и същ разход по двете проектни предложения, разходите за дейност „Организиране на събитие Кайтборд с международно участие“  на стойност 34 668.00 лв, посочена в Раздел 5, Бюджет,  бюджетен ред 7.3. на проектно предложение № BG14MFOP001-4.097-0006, следва да се редуц</w:t>
            </w:r>
            <w:r w:rsidR="007907B5">
              <w:rPr>
                <w:lang w:val="bg-BG"/>
              </w:rPr>
              <w:t>и</w:t>
            </w:r>
            <w:r w:rsidRPr="00F501A0">
              <w:rPr>
                <w:lang w:val="bg-BG"/>
              </w:rPr>
              <w:t>рат, като недопустими и не отговарят на Критерий № 5 „Включените в проекта дейности са допустими за финансиране съгласно изискванията на Условия за кандидатстване по настоящата процедура“ и Критерий № 12 „Предвидените разходи в проектното предложение са допустими съгласно Условията за кандидатстване по настоящата процедура“.</w:t>
            </w:r>
          </w:p>
          <w:p w14:paraId="5FF85CBC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В допълнение, след извършена административна проверка за представени оферти от дружествата „СМАРТВЮ” ЕООД  и „НЮ ДЕВЕЛОПМЕНТ СТАЙЛ“ ЕООД е установено неспазване на разписаните правила в т. 14. Категории разходи, допустими за финансиране, подточка 14.1. Допустими разходи „Между кандидата или член на неговия управителен или контролен орган, не трябва да е налице свързаност по смисъла на § 1, т. 13 и т. 14 от допълнителните разпоредби на Закона за публичното предлагане на ценни книжа  (ЗППЦК), с оферентите, чиито оферти са приложени към Формуляра за кандидатстване с цел определяне основателността на предложените разходи, с изпълнителите, с които има сключени договори преди подаване на Формуляра за кандидатстване по процедурата, както и с избраните изпълнителите, с които са сключени договори след проведени процедури за избор на изпълнител след сключване на административния договор с Управляващия орган. За целта кандидатът попълва и представя с Формуляра за кандидатстване, при подписване на административен договор за предоставяне на безвъзмездна финансова помощ, при подаване на документи за осъществяване на последващ контрол и при подаване на искане за плащане,  Декларация за свързаност по образец (Декларация 10).</w:t>
            </w:r>
          </w:p>
          <w:p w14:paraId="560A7D86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Установената свързаност по смисъла на § 1, т. 13 и т. 14 от допълнителните разпоредби на Закона за публичното предлагане на ценни книжа  (ЗППЦК) е както следва: </w:t>
            </w:r>
          </w:p>
          <w:p w14:paraId="6B7E66BA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- „СМАРТВЮ” ЕООД – оферент за заявени разходи „Изработване на маркетинг план на нов туристическия продукт кайтсърф край Несебър в книжен и дигитален формат на БГ“ и „Изработване на „Ръководство за начинаещи по кайтсърфинг - дестинация Несебър-Месембрия 2022 / Beginner's guide for kitesurfing -destination Nessebar-Messembria 2022“. Управител и собственик на дружеството  „СМАРТВЮ” ЕООД - Бургас е Анатоли Светлозаров Грудов, във втора степен родство по съребрена линия с Димитър Светлозаров Грудов, член на управителния съвет на СДРУЖЕНИЕ  КВС „СОЛЕНА ВОДА“, като Анатоли Светлозаров Грудов също е член на сдружението. </w:t>
            </w:r>
          </w:p>
          <w:p w14:paraId="6B37E0BC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Освен това, за същия разход кан</w:t>
            </w:r>
            <w:r w:rsidR="00601704">
              <w:rPr>
                <w:lang w:val="bg-BG"/>
              </w:rPr>
              <w:t>д</w:t>
            </w:r>
            <w:r w:rsidRPr="00F501A0">
              <w:rPr>
                <w:lang w:val="bg-BG"/>
              </w:rPr>
              <w:t xml:space="preserve">идатът е предоставил още една оферта от самоосигуряващо се лице Людмила Панайотова, като офертата не отговаря на УК, тъй като не съдържа изискуеми реквизити - ЕИК/БУЛСТАТ на оферента. В допълнение, след поискана допълнителна информация от кандидата чрез Модул „Комуникация“ в ИСУН 2020 за доказване на изискването за специфичен оборот на оферента, същият не предоставя справка-декларация от Людмила Панайотова. </w:t>
            </w:r>
          </w:p>
          <w:p w14:paraId="59B56D2E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- „НЮ ДЕВЕЛОПМЕНТ СТАЙЛ“ ЕООД – оферент за „Организиране на събитие Кайтборд с международно участие“. Управител и собственик на дружеството  „НЮ ДЕВЕЛОПМЕНТ СТАЙЛ“ ЕООД е Веселина Димитрова Грудова, в първа степен родство по съребрена линия с Димитър Светлозаров Грудов, член на управителния съвет на СДРУЖЕНИЕ  КВС „СОЛЕНА ВОДА“.</w:t>
            </w:r>
          </w:p>
          <w:p w14:paraId="202A524F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В резултат на гореизложеното, за  разходи „Изработване на маркетинг план на нов туристическия продукт кайтсърф край Несебър в книжен и дигитален формат на БГ“ и „Изработване на „Ръководство за начинаещи по кайтсърфинг - дестинация Несебър-Месембрия 2022 / Beginner's guide for kitesurfing -destination Nessebar-Messembria 2022“ не е изпълнено условието на т.3 от т.24 от УК, а именно „С оглед определяне на произхода на цените на предвидените разходи за закупуване на активи, кандидатът следва да приложи към Формуляра за кандидатстване:</w:t>
            </w:r>
          </w:p>
          <w:p w14:paraId="12A456F3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А/ Официален каталог на производител или оторизиран представител или</w:t>
            </w:r>
          </w:p>
          <w:p w14:paraId="45A86F3C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Б/ Независима оферта.“</w:t>
            </w:r>
          </w:p>
          <w:p w14:paraId="69C02B28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В резултат на гореизложеното разходи за „Изработване на маркетинг план на нов туристическия продукт кайтсърф край Несебър в книжен и дигитален формат на БГ“ и „Изработване на „Ръководство за начинаещи по кайтсърфинг - дестинация Несебър-Месембрия 2022 / Beginner's guide for kitesurfing -destination Nessebar-Messembria 2022“ са недопустими за подпомагане и се редуцират. </w:t>
            </w:r>
          </w:p>
          <w:p w14:paraId="0C449FFC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С редукцията на основите разходи, заложените цели и индикатори в проектното предложение не могат да бъдат изпълнени, с което останалите заложени съпътстващи разходи и дейностите по проекта се явяват нецелесъобразни, а именно:</w:t>
            </w:r>
          </w:p>
          <w:p w14:paraId="3FBA4317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-</w:t>
            </w:r>
            <w:r w:rsidRPr="00F501A0">
              <w:rPr>
                <w:lang w:val="bg-BG"/>
              </w:rPr>
              <w:tab/>
              <w:t xml:space="preserve"> „Разходи за публичност и визуализация“;</w:t>
            </w:r>
          </w:p>
          <w:p w14:paraId="67AC9A33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-</w:t>
            </w:r>
            <w:r w:rsidRPr="00F501A0">
              <w:rPr>
                <w:lang w:val="bg-BG"/>
              </w:rPr>
              <w:tab/>
              <w:t>„Провеждане на обучение - 260 часа“;</w:t>
            </w:r>
          </w:p>
          <w:p w14:paraId="63A4965A" w14:textId="77777777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>В заключение, проектното предложение не отговаря на Критерий № 5 „Включените в проекта дейности са допустими за финансиране съгласно изискванията на Условия за кандидатстване по настоящата процедура.“ .</w:t>
            </w:r>
          </w:p>
          <w:p w14:paraId="3C28F641" w14:textId="114D9DC2" w:rsidR="00F501A0" w:rsidRPr="00F501A0" w:rsidRDefault="00F501A0" w:rsidP="00F501A0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F501A0">
              <w:rPr>
                <w:lang w:val="bg-BG"/>
              </w:rPr>
              <w:t xml:space="preserve">Съгласно цитираната по-горе разпоредба на </w:t>
            </w:r>
            <w:r w:rsidR="00703A1F" w:rsidRPr="00703A1F">
              <w:rPr>
                <w:lang w:val="bg-BG"/>
              </w:rPr>
              <w:t>ЗУСЕФСУ</w:t>
            </w:r>
            <w:r w:rsidRPr="00F501A0">
              <w:rPr>
                <w:lang w:val="bg-BG"/>
              </w:rPr>
              <w:t>, когато след допълнително изискване по установения ред,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което производството по него се прекратява.</w:t>
            </w:r>
          </w:p>
          <w:p w14:paraId="0A7BE340" w14:textId="77777777" w:rsidR="000051DF" w:rsidRPr="00E007E1" w:rsidRDefault="00F501A0" w:rsidP="00F501A0">
            <w:pPr>
              <w:spacing w:after="160" w:line="259" w:lineRule="auto"/>
              <w:ind w:firstLine="720"/>
              <w:jc w:val="both"/>
              <w:rPr>
                <w:highlight w:val="green"/>
                <w:lang w:val="bg-BG"/>
              </w:rPr>
            </w:pPr>
            <w:r w:rsidRPr="00F501A0">
              <w:rPr>
                <w:lang w:val="bg-BG"/>
              </w:rPr>
              <w:t>Поради изложените по-горе аргументи, проектно предложение с рег. № BG14MFOP001-4.097-0006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</w:tbl>
    <w:p w14:paraId="4E146585" w14:textId="77777777" w:rsidR="00806732" w:rsidRDefault="00806732">
      <w:pPr>
        <w:rPr>
          <w:lang w:val="bg-BG"/>
        </w:rPr>
      </w:pPr>
    </w:p>
    <w:p w14:paraId="7F878597" w14:textId="77777777" w:rsidR="00806732" w:rsidRDefault="00806732" w:rsidP="00806732">
      <w:pPr>
        <w:jc w:val="both"/>
        <w:rPr>
          <w:lang w:val="bg-BG"/>
        </w:rPr>
      </w:pPr>
      <w:r w:rsidRPr="00806732">
        <w:rPr>
          <w:lang w:val="bg-BG"/>
        </w:rPr>
        <w:t xml:space="preserve">ЗАБЕЛЕЖКА: </w:t>
      </w:r>
    </w:p>
    <w:p w14:paraId="0D1CEFBD" w14:textId="77777777" w:rsidR="00806732" w:rsidRPr="00806732" w:rsidRDefault="00806732" w:rsidP="00806732">
      <w:pPr>
        <w:jc w:val="both"/>
        <w:rPr>
          <w:lang w:val="bg-BG"/>
        </w:rPr>
      </w:pPr>
    </w:p>
    <w:p w14:paraId="2A25DF22" w14:textId="4E04A875" w:rsidR="00806732" w:rsidRPr="00806732" w:rsidRDefault="00806732" w:rsidP="00806732">
      <w:pPr>
        <w:jc w:val="both"/>
        <w:rPr>
          <w:lang w:val="bg-BG"/>
        </w:rPr>
      </w:pPr>
      <w:r w:rsidRPr="00806732">
        <w:rPr>
          <w:lang w:val="bg-BG"/>
        </w:rPr>
        <w:t xml:space="preserve">Съгласно разпоредбите на чл. 34, ал. 3 от </w:t>
      </w:r>
      <w:r w:rsidR="00703A1F" w:rsidRPr="00703A1F">
        <w:rPr>
          <w:lang w:val="bg-BG"/>
        </w:rPr>
        <w:t>ЗУСЕФСУ</w:t>
      </w:r>
      <w:r w:rsidRPr="00806732">
        <w:rPr>
          <w:lang w:val="bg-BG"/>
        </w:rPr>
        <w:t>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14:paraId="09EDDB0B" w14:textId="77777777" w:rsidR="00806732" w:rsidRPr="00025E58" w:rsidRDefault="00806732">
      <w:pPr>
        <w:rPr>
          <w:lang w:val="bg-BG"/>
        </w:rPr>
      </w:pPr>
    </w:p>
    <w:sectPr w:rsidR="00806732" w:rsidRPr="00025E58" w:rsidSect="00025E5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CB1"/>
    <w:multiLevelType w:val="hybridMultilevel"/>
    <w:tmpl w:val="37D40732"/>
    <w:lvl w:ilvl="0" w:tplc="63B23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2E97"/>
    <w:multiLevelType w:val="hybridMultilevel"/>
    <w:tmpl w:val="33F6E3BA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355B2DCF"/>
    <w:multiLevelType w:val="hybridMultilevel"/>
    <w:tmpl w:val="78D04B20"/>
    <w:lvl w:ilvl="0" w:tplc="6446316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2B60EDE"/>
    <w:multiLevelType w:val="hybridMultilevel"/>
    <w:tmpl w:val="F866EC3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62F76D8D"/>
    <w:multiLevelType w:val="hybridMultilevel"/>
    <w:tmpl w:val="2012CCC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C7016"/>
    <w:multiLevelType w:val="hybridMultilevel"/>
    <w:tmpl w:val="24CCE766"/>
    <w:lvl w:ilvl="0" w:tplc="880E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58"/>
    <w:rsid w:val="000051DF"/>
    <w:rsid w:val="00013734"/>
    <w:rsid w:val="00025E58"/>
    <w:rsid w:val="00033F3C"/>
    <w:rsid w:val="0003458A"/>
    <w:rsid w:val="00035B11"/>
    <w:rsid w:val="00044CEB"/>
    <w:rsid w:val="00055BA2"/>
    <w:rsid w:val="00091868"/>
    <w:rsid w:val="000B0DD2"/>
    <w:rsid w:val="000B1453"/>
    <w:rsid w:val="000B43D6"/>
    <w:rsid w:val="000C3816"/>
    <w:rsid w:val="000C5B33"/>
    <w:rsid w:val="000D421C"/>
    <w:rsid w:val="000E1319"/>
    <w:rsid w:val="000F317D"/>
    <w:rsid w:val="0010481A"/>
    <w:rsid w:val="00111B54"/>
    <w:rsid w:val="001326EF"/>
    <w:rsid w:val="00153BB9"/>
    <w:rsid w:val="001839E1"/>
    <w:rsid w:val="001A2009"/>
    <w:rsid w:val="001B7041"/>
    <w:rsid w:val="001B795A"/>
    <w:rsid w:val="001D3C74"/>
    <w:rsid w:val="001F6238"/>
    <w:rsid w:val="0020220A"/>
    <w:rsid w:val="00241116"/>
    <w:rsid w:val="00284EE9"/>
    <w:rsid w:val="00287E30"/>
    <w:rsid w:val="002A1582"/>
    <w:rsid w:val="002B177F"/>
    <w:rsid w:val="002D7F1C"/>
    <w:rsid w:val="002F7B28"/>
    <w:rsid w:val="00326FF7"/>
    <w:rsid w:val="0033082C"/>
    <w:rsid w:val="00353296"/>
    <w:rsid w:val="00374867"/>
    <w:rsid w:val="003822A4"/>
    <w:rsid w:val="003939A4"/>
    <w:rsid w:val="003A6D06"/>
    <w:rsid w:val="003B29B3"/>
    <w:rsid w:val="003C6F96"/>
    <w:rsid w:val="003D0FCC"/>
    <w:rsid w:val="003D5803"/>
    <w:rsid w:val="003E59DD"/>
    <w:rsid w:val="00412A02"/>
    <w:rsid w:val="00424034"/>
    <w:rsid w:val="004340F4"/>
    <w:rsid w:val="00447CD7"/>
    <w:rsid w:val="004567F4"/>
    <w:rsid w:val="00464859"/>
    <w:rsid w:val="00470746"/>
    <w:rsid w:val="004750CF"/>
    <w:rsid w:val="00487EAD"/>
    <w:rsid w:val="004A5A43"/>
    <w:rsid w:val="004B7D48"/>
    <w:rsid w:val="004E7379"/>
    <w:rsid w:val="004F12E7"/>
    <w:rsid w:val="00502B44"/>
    <w:rsid w:val="005145E2"/>
    <w:rsid w:val="00591239"/>
    <w:rsid w:val="005B3C73"/>
    <w:rsid w:val="005C73C9"/>
    <w:rsid w:val="005D1F24"/>
    <w:rsid w:val="005D5242"/>
    <w:rsid w:val="005F5B71"/>
    <w:rsid w:val="00601704"/>
    <w:rsid w:val="00616EC9"/>
    <w:rsid w:val="00684CF8"/>
    <w:rsid w:val="006B6CF2"/>
    <w:rsid w:val="006C3B56"/>
    <w:rsid w:val="006D2F85"/>
    <w:rsid w:val="006D5340"/>
    <w:rsid w:val="00703A1F"/>
    <w:rsid w:val="00711EAD"/>
    <w:rsid w:val="00714A90"/>
    <w:rsid w:val="0071579F"/>
    <w:rsid w:val="00720E4A"/>
    <w:rsid w:val="007700FA"/>
    <w:rsid w:val="00771F31"/>
    <w:rsid w:val="007862E7"/>
    <w:rsid w:val="007907B5"/>
    <w:rsid w:val="00791E7A"/>
    <w:rsid w:val="007B704A"/>
    <w:rsid w:val="007C111B"/>
    <w:rsid w:val="00806732"/>
    <w:rsid w:val="0083365D"/>
    <w:rsid w:val="00847126"/>
    <w:rsid w:val="0085198C"/>
    <w:rsid w:val="00871682"/>
    <w:rsid w:val="00871C2E"/>
    <w:rsid w:val="008A520C"/>
    <w:rsid w:val="008C4F5F"/>
    <w:rsid w:val="008F4379"/>
    <w:rsid w:val="0090769F"/>
    <w:rsid w:val="009266D4"/>
    <w:rsid w:val="0093219F"/>
    <w:rsid w:val="009374AD"/>
    <w:rsid w:val="009922EE"/>
    <w:rsid w:val="00996458"/>
    <w:rsid w:val="009C4EBC"/>
    <w:rsid w:val="009E39A8"/>
    <w:rsid w:val="009F10FC"/>
    <w:rsid w:val="00A762F9"/>
    <w:rsid w:val="00A96A31"/>
    <w:rsid w:val="00AB1D94"/>
    <w:rsid w:val="00AC3DF7"/>
    <w:rsid w:val="00AE0230"/>
    <w:rsid w:val="00AE22F6"/>
    <w:rsid w:val="00AF27A9"/>
    <w:rsid w:val="00B34C14"/>
    <w:rsid w:val="00B45446"/>
    <w:rsid w:val="00B64E7B"/>
    <w:rsid w:val="00B65E53"/>
    <w:rsid w:val="00B73907"/>
    <w:rsid w:val="00B77FAB"/>
    <w:rsid w:val="00BB5563"/>
    <w:rsid w:val="00BB578D"/>
    <w:rsid w:val="00BC53ED"/>
    <w:rsid w:val="00BE1906"/>
    <w:rsid w:val="00C171C9"/>
    <w:rsid w:val="00C65B82"/>
    <w:rsid w:val="00C76902"/>
    <w:rsid w:val="00C83B12"/>
    <w:rsid w:val="00C84BDC"/>
    <w:rsid w:val="00C96087"/>
    <w:rsid w:val="00CD49F3"/>
    <w:rsid w:val="00CF44C8"/>
    <w:rsid w:val="00D0110C"/>
    <w:rsid w:val="00D06F9F"/>
    <w:rsid w:val="00D13AC4"/>
    <w:rsid w:val="00D166C0"/>
    <w:rsid w:val="00D9025C"/>
    <w:rsid w:val="00D90331"/>
    <w:rsid w:val="00DB3B63"/>
    <w:rsid w:val="00DB7FE8"/>
    <w:rsid w:val="00DC2275"/>
    <w:rsid w:val="00DC2E70"/>
    <w:rsid w:val="00DC4249"/>
    <w:rsid w:val="00DC44BD"/>
    <w:rsid w:val="00DF0B17"/>
    <w:rsid w:val="00E007E1"/>
    <w:rsid w:val="00E126C1"/>
    <w:rsid w:val="00E171F2"/>
    <w:rsid w:val="00E3156B"/>
    <w:rsid w:val="00E4235B"/>
    <w:rsid w:val="00E445E8"/>
    <w:rsid w:val="00E5245B"/>
    <w:rsid w:val="00E52E87"/>
    <w:rsid w:val="00E76515"/>
    <w:rsid w:val="00E85F57"/>
    <w:rsid w:val="00E94C27"/>
    <w:rsid w:val="00EE51D6"/>
    <w:rsid w:val="00EF38E3"/>
    <w:rsid w:val="00F133AC"/>
    <w:rsid w:val="00F428ED"/>
    <w:rsid w:val="00F501A0"/>
    <w:rsid w:val="00F5302D"/>
    <w:rsid w:val="00F70F89"/>
    <w:rsid w:val="00F72E7E"/>
    <w:rsid w:val="00F73A86"/>
    <w:rsid w:val="00F77DC1"/>
    <w:rsid w:val="00F97D8C"/>
    <w:rsid w:val="00F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07CA"/>
  <w15:docId w15:val="{C997349C-D02C-431A-B676-FE37E112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paragraph" w:styleId="Revision">
    <w:name w:val="Revision"/>
    <w:hidden/>
    <w:uiPriority w:val="99"/>
    <w:semiHidden/>
    <w:rsid w:val="0099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EE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F501A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2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0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8E35-422D-4C6B-8D85-CACEB116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Boyanova</dc:creator>
  <cp:lastModifiedBy>Magdalena Boyanova</cp:lastModifiedBy>
  <cp:revision>4</cp:revision>
  <cp:lastPrinted>2022-02-07T12:18:00Z</cp:lastPrinted>
  <dcterms:created xsi:type="dcterms:W3CDTF">2022-07-06T07:38:00Z</dcterms:created>
  <dcterms:modified xsi:type="dcterms:W3CDTF">2022-07-11T08:58:00Z</dcterms:modified>
</cp:coreProperties>
</file>