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C1" w:rsidRPr="00DC7E04" w:rsidRDefault="007346C1" w:rsidP="00234519">
      <w:pPr>
        <w:snapToGrid w:val="0"/>
        <w:spacing w:before="120" w:after="120" w:line="240" w:lineRule="auto"/>
        <w:ind w:left="5760"/>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Приложение № 3</w:t>
      </w:r>
    </w:p>
    <w:p w:rsidR="007346C1" w:rsidRPr="00DC7E04" w:rsidRDefault="007346C1" w:rsidP="00234519">
      <w:pPr>
        <w:snapToGrid w:val="0"/>
        <w:spacing w:before="120" w:after="120" w:line="240" w:lineRule="auto"/>
        <w:ind w:left="5760"/>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към Заповед №</w:t>
      </w:r>
      <w:r w:rsidR="000156EB" w:rsidRPr="00DC7E04">
        <w:rPr>
          <w:rFonts w:ascii="Times New Roman" w:eastAsia="Times New Roman" w:hAnsi="Times New Roman" w:cs="Times New Roman"/>
          <w:b/>
          <w:noProof w:val="0"/>
          <w:sz w:val="24"/>
          <w:szCs w:val="24"/>
        </w:rPr>
        <w:t xml:space="preserve"> </w:t>
      </w:r>
      <w:r w:rsidR="00234519">
        <w:rPr>
          <w:rFonts w:ascii="Times New Roman" w:eastAsia="Times New Roman" w:hAnsi="Times New Roman" w:cs="Times New Roman"/>
          <w:b/>
          <w:noProof w:val="0"/>
          <w:sz w:val="24"/>
          <w:szCs w:val="24"/>
        </w:rPr>
        <w:t>МДР-ПП-09-100/05.07.2022 г.</w:t>
      </w:r>
      <w:bookmarkStart w:id="0" w:name="_GoBack"/>
      <w:bookmarkEnd w:id="0"/>
    </w:p>
    <w:p w:rsidR="007346C1" w:rsidRPr="00DC7E04" w:rsidRDefault="007346C1" w:rsidP="008070FB">
      <w:pPr>
        <w:snapToGrid w:val="0"/>
        <w:spacing w:before="120" w:after="120" w:line="240" w:lineRule="auto"/>
        <w:jc w:val="both"/>
        <w:rPr>
          <w:rFonts w:ascii="Times New Roman" w:eastAsia="Times New Roman" w:hAnsi="Times New Roman" w:cs="Times New Roman"/>
          <w:b/>
          <w:noProof w:val="0"/>
          <w:sz w:val="24"/>
          <w:szCs w:val="24"/>
        </w:rPr>
      </w:pP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МИНИСТЕРСТВО НА ЗЕМЕДЕЛИЕТО</w:t>
      </w: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О Б Я В А</w:t>
      </w:r>
    </w:p>
    <w:p w:rsidR="007346C1" w:rsidRPr="00DC7E04" w:rsidRDefault="007346C1" w:rsidP="008070FB">
      <w:pPr>
        <w:snapToGrid w:val="0"/>
        <w:spacing w:before="120" w:after="120" w:line="240" w:lineRule="auto"/>
        <w:jc w:val="center"/>
        <w:rPr>
          <w:rFonts w:ascii="Times New Roman" w:eastAsia="Times New Roman" w:hAnsi="Times New Roman" w:cs="Times New Roman"/>
          <w:b/>
          <w:i/>
          <w:noProof w:val="0"/>
          <w:sz w:val="24"/>
          <w:szCs w:val="24"/>
        </w:rPr>
      </w:pPr>
      <w:r w:rsidRPr="00DC7E04">
        <w:rPr>
          <w:rFonts w:ascii="Times New Roman" w:eastAsia="Times New Roman" w:hAnsi="Times New Roman" w:cs="Times New Roman"/>
          <w:b/>
          <w:i/>
          <w:noProof w:val="0"/>
          <w:sz w:val="24"/>
          <w:szCs w:val="24"/>
        </w:rPr>
        <w:t>за открита процедура чрез подбор на проекти</w:t>
      </w:r>
    </w:p>
    <w:p w:rsidR="007346C1" w:rsidRPr="00DC7E04" w:rsidRDefault="007346C1" w:rsidP="008070FB">
      <w:pPr>
        <w:snapToGrid w:val="0"/>
        <w:spacing w:before="120" w:after="120" w:line="240" w:lineRule="auto"/>
        <w:jc w:val="both"/>
        <w:rPr>
          <w:rFonts w:ascii="Times New Roman" w:eastAsia="Times New Roman" w:hAnsi="Times New Roman" w:cs="Times New Roman"/>
          <w:b/>
          <w:noProof w:val="0"/>
          <w:sz w:val="24"/>
          <w:szCs w:val="24"/>
          <w:highlight w:val="yellow"/>
        </w:rPr>
      </w:pP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Дирекция „Морско дело и рибарство“ – Управляващ орган на Програмата за морско дело и рибарство 2014-2020 (ПМДР) кани желаещите да представят проектни предложения по приоритет на Съюза 6 „Насърчаване на изпълнението на интегр</w:t>
      </w:r>
      <w:r w:rsidR="00D05BDB" w:rsidRPr="00DC7E04">
        <w:rPr>
          <w:rFonts w:ascii="Times New Roman" w:eastAsia="Times New Roman" w:hAnsi="Times New Roman" w:cs="Times New Roman"/>
          <w:noProof w:val="0"/>
          <w:sz w:val="24"/>
          <w:szCs w:val="24"/>
        </w:rPr>
        <w:t>ираната морска политика”</w:t>
      </w:r>
      <w:r w:rsidRPr="00DC7E04">
        <w:rPr>
          <w:rFonts w:ascii="Times New Roman" w:eastAsia="Times New Roman" w:hAnsi="Times New Roman" w:cs="Times New Roman"/>
          <w:noProof w:val="0"/>
          <w:sz w:val="24"/>
          <w:szCs w:val="24"/>
        </w:rPr>
        <w:t xml:space="preserve">, като </w:t>
      </w:r>
    </w:p>
    <w:p w:rsidR="008070FB" w:rsidRPr="00DC7E04" w:rsidRDefault="00D05BDB" w:rsidP="008070FB">
      <w:pPr>
        <w:snapToGrid w:val="0"/>
        <w:spacing w:before="120" w:after="120" w:line="240" w:lineRule="auto"/>
        <w:ind w:firstLine="720"/>
        <w:jc w:val="both"/>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ОТКРИВА</w:t>
      </w:r>
      <w:r w:rsidR="008070FB" w:rsidRPr="00DC7E04">
        <w:rPr>
          <w:rFonts w:ascii="Times New Roman" w:eastAsia="Times New Roman" w:hAnsi="Times New Roman" w:cs="Times New Roman"/>
          <w:b/>
          <w:noProof w:val="0"/>
          <w:sz w:val="24"/>
          <w:szCs w:val="24"/>
        </w:rPr>
        <w:t xml:space="preserve"> процедура BG14MFOP001-6.005 „Повишаване на знанията за състоянието на морската среда“.</w:t>
      </w: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С процедура за подбор на проекти BG14MFOP001-6.005 „Повишаване на знанията за състоянието на морската среда“ се цели чрез изпълнението на дейности, свързани с увеличаване на знанията за състоянието на морската среда в съответствие с Морската стратегия на Република България, включително и мерките за постигане или поддържане на нейното добро екологично състояние, да се гарантира запазването на биоразнообразието в морската среда, като изпълнението на същите ще допринесат за постигане на целите на „синия растеж“.</w:t>
      </w: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Прилагането на мярка 6.3 „Повишаване на знанията за състоянието на морската среда“ ще бъде създадена добра база от научни знания за ефективно управление на антропогенните дейности и работа за постигане на добро състояние на морската среда и ще бъде даден принос за подобряване състоянието на морската околна среда и увеличаване на приноса за реализиране на целите на „синия растеж“.</w:t>
      </w:r>
    </w:p>
    <w:p w:rsidR="00A069D8" w:rsidRDefault="00A069D8" w:rsidP="00A069D8">
      <w:pPr>
        <w:snapToGrid w:val="0"/>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Приложимият режим на държавна помощ е разписан в т. 16 на Условията за кандидатстване по настоящата процедура.</w:t>
      </w:r>
    </w:p>
    <w:p w:rsidR="00242B1A"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Проектите </w:t>
      </w:r>
      <w:r w:rsidR="008C7373" w:rsidRPr="00DC7E04">
        <w:rPr>
          <w:rFonts w:ascii="Times New Roman" w:eastAsia="Times New Roman" w:hAnsi="Times New Roman" w:cs="Times New Roman"/>
          <w:noProof w:val="0"/>
          <w:sz w:val="24"/>
          <w:szCs w:val="24"/>
        </w:rPr>
        <w:t xml:space="preserve">по процедура BG14MFOP001-6.005 „Повишаване на знанията за състоянието на морската среда“ </w:t>
      </w:r>
      <w:r w:rsidRPr="00DC7E04">
        <w:rPr>
          <w:rFonts w:ascii="Times New Roman" w:eastAsia="Times New Roman" w:hAnsi="Times New Roman" w:cs="Times New Roman"/>
          <w:noProof w:val="0"/>
          <w:sz w:val="24"/>
          <w:szCs w:val="24"/>
        </w:rPr>
        <w:t xml:space="preserve">следва да се изпълняват </w:t>
      </w:r>
      <w:r w:rsidR="00242B1A" w:rsidRPr="00242B1A">
        <w:rPr>
          <w:rFonts w:ascii="Times New Roman" w:eastAsia="Times New Roman" w:hAnsi="Times New Roman" w:cs="Times New Roman"/>
          <w:noProof w:val="0"/>
          <w:sz w:val="24"/>
          <w:szCs w:val="24"/>
        </w:rPr>
        <w:t>на територията на Република България по крайбрежието и акваторията на Черно море.</w:t>
      </w:r>
    </w:p>
    <w:p w:rsidR="008C7373"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Общият размер на безвъзмездна финансова помощ (БФП) по процедурата е </w:t>
      </w:r>
      <w:r w:rsidR="00103218" w:rsidRPr="00103218">
        <w:rPr>
          <w:rFonts w:ascii="Times New Roman" w:eastAsia="Times New Roman" w:hAnsi="Times New Roman" w:cs="Times New Roman"/>
          <w:noProof w:val="0"/>
          <w:sz w:val="24"/>
          <w:szCs w:val="24"/>
        </w:rPr>
        <w:t>557 814,08 лв.</w:t>
      </w:r>
      <w:r w:rsidRPr="00DC7E04">
        <w:rPr>
          <w:rFonts w:ascii="Times New Roman" w:eastAsia="Times New Roman" w:hAnsi="Times New Roman" w:cs="Times New Roman"/>
          <w:noProof w:val="0"/>
          <w:sz w:val="24"/>
          <w:szCs w:val="24"/>
        </w:rPr>
        <w:t xml:space="preserve">, от които </w:t>
      </w:r>
      <w:r w:rsidR="00103218" w:rsidRPr="00103218">
        <w:rPr>
          <w:rFonts w:ascii="Times New Roman" w:eastAsia="Times New Roman" w:hAnsi="Times New Roman" w:cs="Times New Roman"/>
          <w:noProof w:val="0"/>
          <w:sz w:val="24"/>
          <w:szCs w:val="24"/>
        </w:rPr>
        <w:t>418 360,56 лв.</w:t>
      </w:r>
      <w:r w:rsidRPr="00DC7E04">
        <w:rPr>
          <w:rFonts w:ascii="Times New Roman" w:eastAsia="Times New Roman" w:hAnsi="Times New Roman" w:cs="Times New Roman"/>
          <w:noProof w:val="0"/>
          <w:sz w:val="24"/>
          <w:szCs w:val="24"/>
        </w:rPr>
        <w:t xml:space="preserve">са от ЕФМДР и </w:t>
      </w:r>
      <w:r w:rsidR="00103218" w:rsidRPr="00103218">
        <w:rPr>
          <w:rFonts w:ascii="Times New Roman" w:eastAsia="Times New Roman" w:hAnsi="Times New Roman" w:cs="Times New Roman"/>
          <w:noProof w:val="0"/>
          <w:sz w:val="24"/>
          <w:szCs w:val="24"/>
        </w:rPr>
        <w:t>139 453,52 лв.</w:t>
      </w:r>
      <w:r w:rsidR="00103218">
        <w:rPr>
          <w:rFonts w:ascii="Times New Roman" w:eastAsia="Times New Roman" w:hAnsi="Times New Roman" w:cs="Times New Roman"/>
          <w:noProof w:val="0"/>
          <w:sz w:val="24"/>
          <w:szCs w:val="24"/>
        </w:rPr>
        <w:t xml:space="preserve"> </w:t>
      </w:r>
      <w:r w:rsidR="008C7373" w:rsidRPr="00DC7E04">
        <w:rPr>
          <w:rFonts w:ascii="Times New Roman" w:eastAsia="Times New Roman" w:hAnsi="Times New Roman" w:cs="Times New Roman"/>
          <w:noProof w:val="0"/>
          <w:sz w:val="24"/>
          <w:szCs w:val="24"/>
        </w:rPr>
        <w:t>национално съфинансиране.</w:t>
      </w:r>
    </w:p>
    <w:p w:rsidR="007B71D0" w:rsidRDefault="007B71D0" w:rsidP="008C7373">
      <w:pPr>
        <w:snapToGrid w:val="0"/>
        <w:spacing w:before="120" w:after="120" w:line="240" w:lineRule="auto"/>
        <w:ind w:firstLine="720"/>
        <w:jc w:val="both"/>
        <w:rPr>
          <w:rFonts w:ascii="Times New Roman" w:eastAsia="Times New Roman" w:hAnsi="Times New Roman" w:cs="Times New Roman"/>
          <w:noProof w:val="0"/>
          <w:sz w:val="24"/>
          <w:szCs w:val="24"/>
        </w:rPr>
      </w:pPr>
    </w:p>
    <w:p w:rsidR="007B7832" w:rsidRPr="007B7832" w:rsidRDefault="007B71D0" w:rsidP="007B7832">
      <w:pPr>
        <w:snapToGrid w:val="0"/>
        <w:spacing w:before="120" w:line="240" w:lineRule="auto"/>
        <w:ind w:firstLine="720"/>
        <w:jc w:val="both"/>
        <w:rPr>
          <w:rFonts w:ascii="Times New Roman" w:eastAsia="Times New Roman" w:hAnsi="Times New Roman" w:cs="Times New Roman"/>
          <w:bCs/>
          <w:noProof w:val="0"/>
          <w:sz w:val="24"/>
          <w:szCs w:val="24"/>
        </w:rPr>
      </w:pPr>
      <w:r w:rsidRPr="007B71D0">
        <w:rPr>
          <w:rFonts w:ascii="Times New Roman" w:eastAsia="Times New Roman" w:hAnsi="Times New Roman" w:cs="Times New Roman"/>
          <w:b/>
          <w:noProof w:val="0"/>
          <w:sz w:val="24"/>
          <w:szCs w:val="24"/>
        </w:rPr>
        <w:t>ВАЖНО:</w:t>
      </w:r>
      <w:r w:rsidRPr="007B71D0">
        <w:rPr>
          <w:rFonts w:ascii="Times New Roman" w:eastAsia="Times New Roman" w:hAnsi="Times New Roman" w:cs="Times New Roman"/>
          <w:noProof w:val="0"/>
          <w:sz w:val="24"/>
          <w:szCs w:val="24"/>
        </w:rPr>
        <w:t xml:space="preserve"> </w:t>
      </w:r>
      <w:r w:rsidR="007B7832" w:rsidRPr="007B7832">
        <w:rPr>
          <w:rFonts w:ascii="Times New Roman" w:eastAsia="Times New Roman" w:hAnsi="Times New Roman" w:cs="Times New Roman"/>
          <w:bCs/>
          <w:noProof w:val="0"/>
          <w:sz w:val="24"/>
          <w:szCs w:val="24"/>
        </w:rPr>
        <w:t>УО си запазва правото да увеличи бюджета по процедурата след приключване на оценката на проектите по предходен прием, прекратени проекти и др., както и във връзка с чл. 26, ал. 7 от ЗУСЕСИФ.</w:t>
      </w: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Минималният размер на безвъзмездната финансова помощ за един проект не трябва да бъде по-малък от 50</w:t>
      </w:r>
      <w:r w:rsidR="008C7373" w:rsidRPr="00DC7E04">
        <w:rPr>
          <w:rFonts w:ascii="Times New Roman" w:hAnsi="Times New Roman" w:cs="Times New Roman"/>
          <w:sz w:val="24"/>
          <w:szCs w:val="24"/>
        </w:rPr>
        <w:t> </w:t>
      </w:r>
      <w:r w:rsidR="008C7373" w:rsidRPr="00DC7E04">
        <w:rPr>
          <w:rFonts w:ascii="Times New Roman" w:eastAsia="Times New Roman" w:hAnsi="Times New Roman" w:cs="Times New Roman"/>
          <w:noProof w:val="0"/>
          <w:sz w:val="24"/>
          <w:szCs w:val="24"/>
        </w:rPr>
        <w:t>000 лв.</w:t>
      </w: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Максималният размер на </w:t>
      </w:r>
      <w:r w:rsidR="008C7373" w:rsidRPr="00DC7E04">
        <w:rPr>
          <w:rFonts w:ascii="Times New Roman" w:eastAsia="Times New Roman" w:hAnsi="Times New Roman" w:cs="Times New Roman"/>
          <w:noProof w:val="0"/>
          <w:sz w:val="24"/>
          <w:szCs w:val="24"/>
        </w:rPr>
        <w:t xml:space="preserve">допустимата </w:t>
      </w:r>
      <w:r w:rsidRPr="00DC7E04">
        <w:rPr>
          <w:rFonts w:ascii="Times New Roman" w:eastAsia="Times New Roman" w:hAnsi="Times New Roman" w:cs="Times New Roman"/>
          <w:noProof w:val="0"/>
          <w:sz w:val="24"/>
          <w:szCs w:val="24"/>
        </w:rPr>
        <w:t>безвъзмездната финансова пом</w:t>
      </w:r>
      <w:r w:rsidR="008C7373" w:rsidRPr="00DC7E04">
        <w:rPr>
          <w:rFonts w:ascii="Times New Roman" w:eastAsia="Times New Roman" w:hAnsi="Times New Roman" w:cs="Times New Roman"/>
          <w:noProof w:val="0"/>
          <w:sz w:val="24"/>
          <w:szCs w:val="24"/>
        </w:rPr>
        <w:t xml:space="preserve">ощ за един проект не трябва да </w:t>
      </w:r>
      <w:r w:rsidRPr="00DC7E04">
        <w:rPr>
          <w:rFonts w:ascii="Times New Roman" w:eastAsia="Times New Roman" w:hAnsi="Times New Roman" w:cs="Times New Roman"/>
          <w:noProof w:val="0"/>
          <w:sz w:val="24"/>
          <w:szCs w:val="24"/>
        </w:rPr>
        <w:t xml:space="preserve">надвишава </w:t>
      </w:r>
      <w:r w:rsidR="008C7373" w:rsidRPr="00DC7E04">
        <w:rPr>
          <w:rFonts w:ascii="Times New Roman" w:eastAsia="Times New Roman" w:hAnsi="Times New Roman" w:cs="Times New Roman"/>
          <w:noProof w:val="0"/>
          <w:sz w:val="24"/>
          <w:szCs w:val="24"/>
        </w:rPr>
        <w:t>600</w:t>
      </w:r>
      <w:r w:rsidR="008C7373" w:rsidRPr="00DC7E04">
        <w:rPr>
          <w:rFonts w:ascii="Times New Roman" w:hAnsi="Times New Roman" w:cs="Times New Roman"/>
          <w:sz w:val="24"/>
          <w:szCs w:val="24"/>
        </w:rPr>
        <w:t> </w:t>
      </w:r>
      <w:r w:rsidR="008C7373" w:rsidRPr="00DC7E04">
        <w:rPr>
          <w:rFonts w:ascii="Times New Roman" w:eastAsia="Times New Roman" w:hAnsi="Times New Roman" w:cs="Times New Roman"/>
          <w:noProof w:val="0"/>
          <w:sz w:val="24"/>
          <w:szCs w:val="24"/>
        </w:rPr>
        <w:t>000 лв.</w:t>
      </w: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Безвъзмездната финансова помощ по процедурата е в разм</w:t>
      </w:r>
      <w:r w:rsidR="008C7373" w:rsidRPr="00DC7E04">
        <w:rPr>
          <w:rFonts w:ascii="Times New Roman" w:eastAsia="Times New Roman" w:hAnsi="Times New Roman" w:cs="Times New Roman"/>
          <w:noProof w:val="0"/>
          <w:sz w:val="24"/>
          <w:szCs w:val="24"/>
        </w:rPr>
        <w:t xml:space="preserve">ер до 100%от </w:t>
      </w:r>
      <w:r w:rsidRPr="00DC7E04">
        <w:rPr>
          <w:rFonts w:ascii="Times New Roman" w:eastAsia="Times New Roman" w:hAnsi="Times New Roman" w:cs="Times New Roman"/>
          <w:noProof w:val="0"/>
          <w:sz w:val="24"/>
          <w:szCs w:val="24"/>
        </w:rPr>
        <w:t>общите допустими</w:t>
      </w:r>
      <w:r w:rsidR="008C7373" w:rsidRPr="00DC7E04">
        <w:rPr>
          <w:rFonts w:ascii="Times New Roman" w:eastAsia="Times New Roman" w:hAnsi="Times New Roman" w:cs="Times New Roman"/>
          <w:noProof w:val="0"/>
          <w:sz w:val="24"/>
          <w:szCs w:val="24"/>
        </w:rPr>
        <w:t xml:space="preserve"> разходи за дейности, от които </w:t>
      </w:r>
      <w:r w:rsidRPr="00DC7E04">
        <w:rPr>
          <w:rFonts w:ascii="Times New Roman" w:eastAsia="Times New Roman" w:hAnsi="Times New Roman" w:cs="Times New Roman"/>
          <w:noProof w:val="0"/>
          <w:sz w:val="24"/>
          <w:szCs w:val="24"/>
        </w:rPr>
        <w:t>75</w:t>
      </w:r>
      <w:r w:rsidR="008C7373" w:rsidRPr="00DC7E04">
        <w:rPr>
          <w:rFonts w:ascii="Times New Roman" w:eastAsia="Times New Roman" w:hAnsi="Times New Roman" w:cs="Times New Roman"/>
          <w:noProof w:val="0"/>
          <w:sz w:val="24"/>
          <w:szCs w:val="24"/>
        </w:rPr>
        <w:t xml:space="preserve">% са осигурени от </w:t>
      </w:r>
      <w:r w:rsidRPr="00DC7E04">
        <w:rPr>
          <w:rFonts w:ascii="Times New Roman" w:eastAsia="Times New Roman" w:hAnsi="Times New Roman" w:cs="Times New Roman"/>
          <w:noProof w:val="0"/>
          <w:sz w:val="24"/>
          <w:szCs w:val="24"/>
        </w:rPr>
        <w:t>ЕФМДР и 25</w:t>
      </w:r>
      <w:r w:rsidR="008C7373" w:rsidRPr="00DC7E04">
        <w:rPr>
          <w:rFonts w:ascii="Times New Roman" w:eastAsia="Times New Roman" w:hAnsi="Times New Roman" w:cs="Times New Roman"/>
          <w:noProof w:val="0"/>
          <w:sz w:val="24"/>
          <w:szCs w:val="24"/>
        </w:rPr>
        <w:t>% от държавния бюджет на Република България.</w:t>
      </w:r>
    </w:p>
    <w:p w:rsidR="008070FB"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Допустими кандидати по настоящата процедура чрез подбор на проекти са: </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w:t>
      </w:r>
      <w:r w:rsidR="00420CB1" w:rsidRPr="00DC7E04">
        <w:rPr>
          <w:rFonts w:ascii="Times New Roman" w:eastAsia="Times New Roman" w:hAnsi="Times New Roman" w:cs="Times New Roman"/>
          <w:noProof w:val="0"/>
          <w:sz w:val="24"/>
          <w:szCs w:val="24"/>
        </w:rPr>
        <w:t xml:space="preserve"> н</w:t>
      </w:r>
      <w:r w:rsidR="008C7373" w:rsidRPr="00DC7E04">
        <w:rPr>
          <w:rFonts w:ascii="Times New Roman" w:eastAsia="Times New Roman" w:hAnsi="Times New Roman" w:cs="Times New Roman"/>
          <w:noProof w:val="0"/>
          <w:sz w:val="24"/>
          <w:szCs w:val="24"/>
        </w:rPr>
        <w:t>аучни организации, признати в Р</w:t>
      </w:r>
      <w:r w:rsidR="00420CB1" w:rsidRPr="00DC7E04">
        <w:rPr>
          <w:rFonts w:ascii="Times New Roman" w:eastAsia="Times New Roman" w:hAnsi="Times New Roman" w:cs="Times New Roman"/>
          <w:noProof w:val="0"/>
          <w:sz w:val="24"/>
          <w:szCs w:val="24"/>
        </w:rPr>
        <w:t xml:space="preserve">. </w:t>
      </w:r>
      <w:r w:rsidR="008C7373" w:rsidRPr="00DC7E04">
        <w:rPr>
          <w:rFonts w:ascii="Times New Roman" w:eastAsia="Times New Roman" w:hAnsi="Times New Roman" w:cs="Times New Roman"/>
          <w:noProof w:val="0"/>
          <w:sz w:val="24"/>
          <w:szCs w:val="24"/>
        </w:rPr>
        <w:t>България.</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w:t>
      </w:r>
      <w:r w:rsidR="00420CB1" w:rsidRPr="00DC7E04">
        <w:rPr>
          <w:rFonts w:ascii="Times New Roman" w:eastAsia="Times New Roman" w:hAnsi="Times New Roman" w:cs="Times New Roman"/>
          <w:noProof w:val="0"/>
          <w:sz w:val="24"/>
          <w:szCs w:val="24"/>
        </w:rPr>
        <w:t xml:space="preserve"> п</w:t>
      </w:r>
      <w:r w:rsidR="008C7373" w:rsidRPr="00DC7E04">
        <w:rPr>
          <w:rFonts w:ascii="Times New Roman" w:eastAsia="Times New Roman" w:hAnsi="Times New Roman" w:cs="Times New Roman"/>
          <w:noProof w:val="0"/>
          <w:sz w:val="24"/>
          <w:szCs w:val="24"/>
        </w:rPr>
        <w:t>ублични организации в сферата на оценка на риска по хранителната верига в земеделието.</w:t>
      </w:r>
    </w:p>
    <w:p w:rsidR="008070FB" w:rsidRPr="00DC7E04" w:rsidRDefault="00253394"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Допустимите дейности са предствени</w:t>
      </w:r>
      <w:r w:rsidR="008070FB" w:rsidRPr="00DC7E04">
        <w:rPr>
          <w:rFonts w:ascii="Times New Roman" w:eastAsia="Times New Roman" w:hAnsi="Times New Roman" w:cs="Times New Roman"/>
          <w:noProof w:val="0"/>
          <w:sz w:val="24"/>
          <w:szCs w:val="24"/>
        </w:rPr>
        <w:t xml:space="preserve"> в т.13.1 от Условията за кандидатстване и включват:</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изследване на морското дъно;</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изследване на морската среда;</w:t>
      </w:r>
    </w:p>
    <w:p w:rsidR="00217DCF"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н</w:t>
      </w:r>
      <w:r w:rsidR="008C7373" w:rsidRPr="00DC7E04">
        <w:rPr>
          <w:rFonts w:ascii="Times New Roman" w:eastAsia="Times New Roman" w:hAnsi="Times New Roman" w:cs="Times New Roman"/>
          <w:noProof w:val="0"/>
          <w:sz w:val="24"/>
          <w:szCs w:val="24"/>
        </w:rPr>
        <w:t>аучни дейности, водещи до повишаване на знанията за морската среда и водещи до постигане на целите на „синия растеж“.</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Условията за кандидатстване, Условията за изпълнение и </w:t>
      </w:r>
      <w:r w:rsidR="00217DCF" w:rsidRPr="00DC7E04">
        <w:rPr>
          <w:rFonts w:ascii="Times New Roman" w:eastAsia="Times New Roman" w:hAnsi="Times New Roman" w:cs="Times New Roman"/>
          <w:noProof w:val="0"/>
          <w:sz w:val="24"/>
          <w:szCs w:val="24"/>
        </w:rPr>
        <w:t>приложенията към тях</w:t>
      </w:r>
      <w:r w:rsidRPr="00DC7E04">
        <w:rPr>
          <w:rFonts w:ascii="Times New Roman" w:eastAsia="Times New Roman" w:hAnsi="Times New Roman" w:cs="Times New Roman"/>
          <w:noProof w:val="0"/>
          <w:sz w:val="24"/>
          <w:szCs w:val="24"/>
        </w:rPr>
        <w:t xml:space="preserve"> по процедурата са публикувани на Единния инфо</w:t>
      </w:r>
      <w:r w:rsidR="00217DCF" w:rsidRPr="00DC7E04">
        <w:rPr>
          <w:rFonts w:ascii="Times New Roman" w:eastAsia="Times New Roman" w:hAnsi="Times New Roman" w:cs="Times New Roman"/>
          <w:noProof w:val="0"/>
          <w:sz w:val="24"/>
          <w:szCs w:val="24"/>
        </w:rPr>
        <w:t>рмационен портал за управление</w:t>
      </w:r>
      <w:r w:rsidRPr="00DC7E04">
        <w:rPr>
          <w:rFonts w:ascii="Times New Roman" w:eastAsia="Times New Roman" w:hAnsi="Times New Roman" w:cs="Times New Roman"/>
          <w:noProof w:val="0"/>
          <w:sz w:val="24"/>
          <w:szCs w:val="24"/>
        </w:rPr>
        <w:t xml:space="preserve"> на Европейските структурни и инвестиционни фондове:</w:t>
      </w:r>
      <w:r w:rsidRPr="00DC7E04">
        <w:rPr>
          <w:rFonts w:ascii="Times New Roman" w:eastAsia="Times New Roman" w:hAnsi="Times New Roman" w:cs="Times New Roman"/>
          <w:i/>
          <w:noProof w:val="0"/>
          <w:sz w:val="24"/>
          <w:szCs w:val="24"/>
        </w:rPr>
        <w:t xml:space="preserve"> </w:t>
      </w:r>
      <w:hyperlink r:id="rId7" w:history="1">
        <w:r w:rsidR="00217DCF" w:rsidRPr="00DC7E04">
          <w:rPr>
            <w:rStyle w:val="Hyperlink"/>
            <w:rFonts w:ascii="Times New Roman" w:eastAsia="Times New Roman" w:hAnsi="Times New Roman" w:cs="Times New Roman"/>
            <w:i/>
            <w:noProof w:val="0"/>
            <w:sz w:val="24"/>
            <w:szCs w:val="24"/>
          </w:rPr>
          <w:t>https://www.eufunds.bg</w:t>
        </w:r>
      </w:hyperlink>
      <w:r w:rsidR="00217DCF" w:rsidRPr="00DC7E04">
        <w:rPr>
          <w:rFonts w:ascii="Times New Roman" w:eastAsia="Times New Roman" w:hAnsi="Times New Roman" w:cs="Times New Roman"/>
          <w:i/>
          <w:noProof w:val="0"/>
          <w:sz w:val="24"/>
          <w:szCs w:val="24"/>
        </w:rPr>
        <w:t>.</w:t>
      </w:r>
    </w:p>
    <w:p w:rsidR="00217DCF" w:rsidRPr="00DC7E04" w:rsidRDefault="00217DCF" w:rsidP="00217DCF">
      <w:pPr>
        <w:snapToGrid w:val="0"/>
        <w:spacing w:before="120" w:after="120" w:line="240" w:lineRule="auto"/>
        <w:ind w:firstLine="720"/>
        <w:jc w:val="both"/>
        <w:rPr>
          <w:rFonts w:ascii="Times New Roman" w:eastAsia="Times New Roman" w:hAnsi="Times New Roman" w:cs="Times New Roman"/>
          <w:i/>
          <w:noProof w:val="0"/>
          <w:sz w:val="24"/>
          <w:szCs w:val="24"/>
        </w:rPr>
      </w:pPr>
      <w:r w:rsidRPr="00DC7E04">
        <w:rPr>
          <w:rFonts w:ascii="Times New Roman" w:eastAsia="Times New Roman" w:hAnsi="Times New Roman" w:cs="Times New Roman"/>
          <w:noProof w:val="0"/>
          <w:sz w:val="24"/>
          <w:szCs w:val="24"/>
        </w:rPr>
        <w:t>Подаване на проектни предложения</w:t>
      </w:r>
      <w:r w:rsidR="008070FB" w:rsidRPr="00DC7E04">
        <w:rPr>
          <w:rFonts w:ascii="Times New Roman" w:eastAsia="Times New Roman" w:hAnsi="Times New Roman" w:cs="Times New Roman"/>
          <w:noProof w:val="0"/>
          <w:sz w:val="24"/>
          <w:szCs w:val="24"/>
        </w:rPr>
        <w:t xml:space="preserve"> по настоящата процедура се извършва изцяло по електронен път чрез </w:t>
      </w:r>
      <w:r w:rsidRPr="00DC7E04">
        <w:rPr>
          <w:rFonts w:ascii="Times New Roman" w:eastAsia="Times New Roman" w:hAnsi="Times New Roman" w:cs="Times New Roman"/>
          <w:noProof w:val="0"/>
          <w:sz w:val="24"/>
          <w:szCs w:val="24"/>
        </w:rPr>
        <w:t>Информационната система за управление и наблюдение на средствата от ЕС в България 2020 (ИСУН 2020) единствено с използването на к</w:t>
      </w:r>
      <w:r w:rsidR="008070FB" w:rsidRPr="00DC7E04">
        <w:rPr>
          <w:rFonts w:ascii="Times New Roman" w:eastAsia="Times New Roman" w:hAnsi="Times New Roman" w:cs="Times New Roman"/>
          <w:noProof w:val="0"/>
          <w:sz w:val="24"/>
          <w:szCs w:val="24"/>
        </w:rPr>
        <w:t xml:space="preserve">валифициран електронен подпис (КЕП), чрез модула „Е-кандидатстване“ на следния интернет адрес: </w:t>
      </w:r>
      <w:hyperlink r:id="rId8" w:history="1">
        <w:r w:rsidRPr="00DC7E04">
          <w:rPr>
            <w:rStyle w:val="Hyperlink"/>
            <w:rFonts w:ascii="Times New Roman" w:eastAsia="Times New Roman" w:hAnsi="Times New Roman" w:cs="Times New Roman"/>
            <w:i/>
            <w:noProof w:val="0"/>
            <w:sz w:val="24"/>
            <w:szCs w:val="24"/>
          </w:rPr>
          <w:t>https://eumis2020.government.bg</w:t>
        </w:r>
      </w:hyperlink>
      <w:r w:rsidRPr="00DC7E04">
        <w:rPr>
          <w:rFonts w:ascii="Times New Roman" w:eastAsia="Times New Roman" w:hAnsi="Times New Roman" w:cs="Times New Roman"/>
          <w:i/>
          <w:noProof w:val="0"/>
          <w:sz w:val="24"/>
          <w:szCs w:val="24"/>
        </w:rPr>
        <w:t>.</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w:t>
      </w:r>
      <w:r w:rsidR="00217DCF" w:rsidRPr="00DC7E04">
        <w:rPr>
          <w:rFonts w:ascii="Times New Roman" w:eastAsia="Times New Roman" w:hAnsi="Times New Roman" w:cs="Times New Roman"/>
          <w:noProof w:val="0"/>
          <w:sz w:val="24"/>
          <w:szCs w:val="24"/>
        </w:rPr>
        <w:t>одаване на проектни предложения</w:t>
      </w:r>
      <w:r w:rsidRPr="00DC7E04">
        <w:rPr>
          <w:rFonts w:ascii="Times New Roman" w:eastAsia="Times New Roman" w:hAnsi="Times New Roman" w:cs="Times New Roman"/>
          <w:noProof w:val="0"/>
          <w:sz w:val="24"/>
          <w:szCs w:val="24"/>
        </w:rPr>
        <w:t xml:space="preserve">. Допълнителни въпроси могат да се задават само по електронна поща: </w:t>
      </w:r>
      <w:hyperlink r:id="rId9" w:history="1">
        <w:r w:rsidR="00217DCF" w:rsidRPr="00DC7E04">
          <w:rPr>
            <w:rStyle w:val="Hyperlink"/>
            <w:rFonts w:ascii="Times New Roman" w:eastAsia="Times New Roman" w:hAnsi="Times New Roman" w:cs="Times New Roman"/>
            <w:i/>
            <w:noProof w:val="0"/>
            <w:sz w:val="24"/>
            <w:szCs w:val="24"/>
          </w:rPr>
          <w:t>pmdr@mzh.government.bg</w:t>
        </w:r>
      </w:hyperlink>
      <w:r w:rsidRPr="00DC7E04">
        <w:rPr>
          <w:rFonts w:ascii="Times New Roman" w:eastAsia="Times New Roman" w:hAnsi="Times New Roman" w:cs="Times New Roman"/>
          <w:noProof w:val="0"/>
          <w:sz w:val="24"/>
          <w:szCs w:val="24"/>
        </w:rPr>
        <w:t>.</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Няма да се дават разяснения, които съдържат становище относно качеството на конкретно проектно предложение. Няма да се предоставят отговори на въпроси, задавани по телефона. Няма да бъдат изпращани индивидуални отговори на зададени от кандидатите по процедурата въпроси.</w:t>
      </w:r>
    </w:p>
    <w:p w:rsidR="00E92704" w:rsidRPr="00DC7E04" w:rsidRDefault="008070FB" w:rsidP="00217DCF">
      <w:pPr>
        <w:snapToGrid w:val="0"/>
        <w:spacing w:before="120" w:after="120" w:line="240" w:lineRule="auto"/>
        <w:ind w:firstLine="720"/>
        <w:jc w:val="both"/>
        <w:rPr>
          <w:rFonts w:ascii="Times New Roman" w:hAnsi="Times New Roman" w:cs="Times New Roman"/>
          <w:b/>
          <w:sz w:val="24"/>
          <w:szCs w:val="24"/>
        </w:rPr>
      </w:pPr>
      <w:r w:rsidRPr="00DC7E04">
        <w:rPr>
          <w:rFonts w:ascii="Times New Roman" w:eastAsia="Times New Roman" w:hAnsi="Times New Roman" w:cs="Times New Roman"/>
          <w:b/>
          <w:noProof w:val="0"/>
          <w:sz w:val="24"/>
          <w:szCs w:val="24"/>
        </w:rPr>
        <w:t>Крайният срок</w:t>
      </w:r>
      <w:r w:rsidRPr="00DC7E04">
        <w:rPr>
          <w:rFonts w:ascii="Times New Roman" w:eastAsia="Times New Roman" w:hAnsi="Times New Roman" w:cs="Times New Roman"/>
          <w:noProof w:val="0"/>
          <w:sz w:val="24"/>
          <w:szCs w:val="24"/>
        </w:rPr>
        <w:t xml:space="preserve"> за подаване на проектни предложения е </w:t>
      </w:r>
      <w:r w:rsidR="009624A1">
        <w:rPr>
          <w:rFonts w:ascii="Times New Roman" w:eastAsia="Times New Roman" w:hAnsi="Times New Roman" w:cs="Times New Roman"/>
          <w:b/>
          <w:noProof w:val="0"/>
          <w:sz w:val="24"/>
          <w:szCs w:val="24"/>
        </w:rPr>
        <w:t>17:00 часа на 0</w:t>
      </w:r>
      <w:r w:rsidR="009624A1">
        <w:rPr>
          <w:rFonts w:ascii="Times New Roman" w:eastAsia="Times New Roman" w:hAnsi="Times New Roman" w:cs="Times New Roman"/>
          <w:b/>
          <w:noProof w:val="0"/>
          <w:sz w:val="24"/>
          <w:szCs w:val="24"/>
          <w:lang w:val="en-US"/>
        </w:rPr>
        <w:t>8</w:t>
      </w:r>
      <w:r w:rsidR="009624A1">
        <w:rPr>
          <w:rFonts w:ascii="Times New Roman" w:eastAsia="Times New Roman" w:hAnsi="Times New Roman" w:cs="Times New Roman"/>
          <w:b/>
          <w:noProof w:val="0"/>
          <w:sz w:val="24"/>
          <w:szCs w:val="24"/>
        </w:rPr>
        <w:t>.</w:t>
      </w:r>
      <w:r w:rsidR="009624A1">
        <w:rPr>
          <w:rFonts w:ascii="Times New Roman" w:eastAsia="Times New Roman" w:hAnsi="Times New Roman" w:cs="Times New Roman"/>
          <w:b/>
          <w:noProof w:val="0"/>
          <w:sz w:val="24"/>
          <w:szCs w:val="24"/>
          <w:lang w:val="en-US"/>
        </w:rPr>
        <w:t>10</w:t>
      </w:r>
      <w:r w:rsidR="00217DCF" w:rsidRPr="00DC7E04">
        <w:rPr>
          <w:rFonts w:ascii="Times New Roman" w:eastAsia="Times New Roman" w:hAnsi="Times New Roman" w:cs="Times New Roman"/>
          <w:b/>
          <w:noProof w:val="0"/>
          <w:sz w:val="24"/>
          <w:szCs w:val="24"/>
        </w:rPr>
        <w:t>.2022</w:t>
      </w:r>
      <w:r w:rsidRPr="00DC7E04">
        <w:rPr>
          <w:rFonts w:ascii="Times New Roman" w:eastAsia="Times New Roman" w:hAnsi="Times New Roman" w:cs="Times New Roman"/>
          <w:b/>
          <w:noProof w:val="0"/>
          <w:sz w:val="24"/>
          <w:szCs w:val="24"/>
        </w:rPr>
        <w:t xml:space="preserve"> г.</w:t>
      </w:r>
    </w:p>
    <w:sectPr w:rsidR="00E92704" w:rsidRPr="00DC7E04" w:rsidSect="008070FB">
      <w:headerReference w:type="first" r:id="rId10"/>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EB" w:rsidRDefault="00962CEB" w:rsidP="007346C1">
      <w:pPr>
        <w:spacing w:after="0" w:line="240" w:lineRule="auto"/>
      </w:pPr>
      <w:r>
        <w:separator/>
      </w:r>
    </w:p>
  </w:endnote>
  <w:endnote w:type="continuationSeparator" w:id="0">
    <w:p w:rsidR="00962CEB" w:rsidRDefault="00962CEB" w:rsidP="0073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EB" w:rsidRDefault="00962CEB" w:rsidP="007346C1">
      <w:pPr>
        <w:spacing w:after="0" w:line="240" w:lineRule="auto"/>
      </w:pPr>
      <w:r>
        <w:separator/>
      </w:r>
    </w:p>
  </w:footnote>
  <w:footnote w:type="continuationSeparator" w:id="0">
    <w:p w:rsidR="00962CEB" w:rsidRDefault="00962CEB" w:rsidP="00734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9" w:type="dxa"/>
      <w:jc w:val="center"/>
      <w:tblInd w:w="1022" w:type="dxa"/>
      <w:tblLook w:val="04A0" w:firstRow="1" w:lastRow="0" w:firstColumn="1" w:lastColumn="0" w:noHBand="0" w:noVBand="1"/>
    </w:tblPr>
    <w:tblGrid>
      <w:gridCol w:w="2730"/>
      <w:gridCol w:w="3747"/>
      <w:gridCol w:w="2232"/>
    </w:tblGrid>
    <w:tr w:rsidR="007346C1" w:rsidRPr="007346C1" w:rsidTr="00832948">
      <w:trPr>
        <w:jc w:val="center"/>
      </w:trPr>
      <w:tc>
        <w:tcPr>
          <w:tcW w:w="2839" w:type="dxa"/>
          <w:shd w:val="clear" w:color="auto" w:fill="auto"/>
        </w:tcPr>
        <w:p w:rsidR="007346C1" w:rsidRPr="007346C1" w:rsidRDefault="007346C1" w:rsidP="007346C1">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14:anchorId="269EDDEE" wp14:editId="37B4BB2B">
                <wp:extent cx="1041400" cy="723265"/>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23265"/>
                        </a:xfrm>
                        <a:prstGeom prst="rect">
                          <a:avLst/>
                        </a:prstGeom>
                        <a:noFill/>
                        <a:ln>
                          <a:noFill/>
                        </a:ln>
                      </pic:spPr>
                    </pic:pic>
                  </a:graphicData>
                </a:graphic>
              </wp:inline>
            </w:drawing>
          </w:r>
        </w:p>
        <w:p w:rsidR="007346C1" w:rsidRPr="007346C1" w:rsidRDefault="007346C1" w:rsidP="007346C1">
          <w:pPr>
            <w:spacing w:after="0" w:line="240" w:lineRule="auto"/>
            <w:jc w:val="center"/>
            <w:rPr>
              <w:rFonts w:ascii="Candara" w:eastAsia="Calibri" w:hAnsi="Candara" w:cs="Candara"/>
              <w:b/>
              <w:bCs/>
              <w:kern w:val="24"/>
              <w:sz w:val="16"/>
              <w:szCs w:val="16"/>
              <w:lang w:val="ru-RU"/>
            </w:rPr>
          </w:pPr>
          <w:r w:rsidRPr="007346C1">
            <w:rPr>
              <w:rFonts w:ascii="Candara" w:eastAsia="Calibri" w:hAnsi="Candara" w:cs="Candara"/>
              <w:b/>
              <w:bCs/>
              <w:kern w:val="24"/>
              <w:sz w:val="16"/>
              <w:szCs w:val="16"/>
              <w:lang w:val="ru-RU"/>
            </w:rPr>
            <w:t>ЕВРОПЕЙСКИ СЪЮЗ</w:t>
          </w:r>
        </w:p>
        <w:p w:rsidR="007346C1" w:rsidRPr="007346C1" w:rsidRDefault="007346C1" w:rsidP="007346C1">
          <w:pPr>
            <w:spacing w:after="0" w:line="240" w:lineRule="auto"/>
            <w:jc w:val="center"/>
            <w:rPr>
              <w:rFonts w:ascii="Candara" w:eastAsia="Calibri" w:hAnsi="Candara" w:cs="Candara"/>
              <w:kern w:val="24"/>
              <w:sz w:val="16"/>
              <w:szCs w:val="16"/>
              <w:lang w:val="ru-RU"/>
            </w:rPr>
          </w:pPr>
          <w:r w:rsidRPr="007346C1">
            <w:rPr>
              <w:rFonts w:ascii="Candara" w:eastAsia="Calibri" w:hAnsi="Candara" w:cs="Candara"/>
              <w:kern w:val="24"/>
              <w:sz w:val="16"/>
              <w:szCs w:val="16"/>
              <w:lang w:val="ru-RU"/>
            </w:rPr>
            <w:t>ЕВРОПЕЙСКИ ФОНД ЗА</w:t>
          </w:r>
        </w:p>
        <w:p w:rsidR="007346C1" w:rsidRPr="007346C1" w:rsidRDefault="007346C1" w:rsidP="007346C1">
          <w:pPr>
            <w:spacing w:after="0" w:line="240" w:lineRule="auto"/>
            <w:jc w:val="center"/>
            <w:rPr>
              <w:rFonts w:ascii="Calibri" w:eastAsia="Calibri" w:hAnsi="Calibri" w:cs="Times New Roman"/>
            </w:rPr>
          </w:pPr>
          <w:r w:rsidRPr="007346C1">
            <w:rPr>
              <w:rFonts w:ascii="Candara" w:eastAsia="Calibri" w:hAnsi="Candara" w:cs="Candara"/>
              <w:kern w:val="24"/>
              <w:sz w:val="16"/>
              <w:szCs w:val="16"/>
              <w:lang w:val="ru-RU"/>
            </w:rPr>
            <w:t>МОРСКО ДЕЛО И РИБАРСТВО</w:t>
          </w:r>
        </w:p>
      </w:tc>
      <w:tc>
        <w:tcPr>
          <w:tcW w:w="3880" w:type="dxa"/>
          <w:shd w:val="clear" w:color="auto" w:fill="auto"/>
        </w:tcPr>
        <w:p w:rsidR="007346C1" w:rsidRPr="007346C1" w:rsidRDefault="007346C1" w:rsidP="007346C1">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14:anchorId="2B7D33F1" wp14:editId="7D3E7DC9">
                <wp:extent cx="1566545" cy="8509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850900"/>
                        </a:xfrm>
                        <a:prstGeom prst="rect">
                          <a:avLst/>
                        </a:prstGeom>
                        <a:noFill/>
                        <a:ln>
                          <a:noFill/>
                        </a:ln>
                      </pic:spPr>
                    </pic:pic>
                  </a:graphicData>
                </a:graphic>
              </wp:inline>
            </w:drawing>
          </w:r>
        </w:p>
        <w:p w:rsidR="007346C1" w:rsidRPr="007346C1" w:rsidRDefault="007346C1" w:rsidP="007346C1">
          <w:pPr>
            <w:spacing w:after="0" w:line="259" w:lineRule="auto"/>
            <w:jc w:val="center"/>
            <w:textAlignment w:val="baseline"/>
            <w:rPr>
              <w:rFonts w:ascii="Calibri" w:eastAsia="Calibri" w:hAnsi="Calibri" w:cs="Calibri"/>
              <w:noProof w:val="0"/>
              <w:sz w:val="16"/>
              <w:szCs w:val="16"/>
            </w:rPr>
          </w:pPr>
          <w:r w:rsidRPr="007346C1">
            <w:rPr>
              <w:rFonts w:ascii="Candara" w:eastAsia="Calibri" w:hAnsi="Candara" w:cs="Candara"/>
              <w:noProof w:val="0"/>
              <w:color w:val="000000"/>
              <w:kern w:val="24"/>
              <w:sz w:val="16"/>
              <w:szCs w:val="16"/>
            </w:rPr>
            <w:t>МИНИСТЕРСТВО НА ЗЕМЕДЕЛИЕТО</w:t>
          </w:r>
        </w:p>
        <w:p w:rsidR="007346C1" w:rsidRPr="007346C1" w:rsidRDefault="007346C1" w:rsidP="007346C1">
          <w:pPr>
            <w:spacing w:after="160" w:line="259" w:lineRule="auto"/>
            <w:jc w:val="center"/>
            <w:rPr>
              <w:rFonts w:ascii="Candara" w:eastAsia="Calibri" w:hAnsi="Candara" w:cs="Calibri"/>
              <w:noProof w:val="0"/>
              <w:sz w:val="18"/>
              <w:szCs w:val="18"/>
            </w:rPr>
          </w:pPr>
          <w:r w:rsidRPr="007346C1">
            <w:rPr>
              <w:rFonts w:ascii="Candara" w:eastAsia="Calibri" w:hAnsi="Candara" w:cs="Calibri"/>
              <w:noProof w:val="0"/>
              <w:sz w:val="16"/>
              <w:szCs w:val="16"/>
            </w:rPr>
            <w:t>НА РЕПУБЛИКА БЪЛГАРИЯ</w:t>
          </w:r>
        </w:p>
      </w:tc>
      <w:tc>
        <w:tcPr>
          <w:tcW w:w="1990" w:type="dxa"/>
          <w:shd w:val="clear" w:color="auto" w:fill="auto"/>
        </w:tcPr>
        <w:p w:rsidR="007346C1" w:rsidRPr="007346C1" w:rsidRDefault="007346C1" w:rsidP="007346C1">
          <w:pPr>
            <w:spacing w:after="0" w:line="240" w:lineRule="auto"/>
            <w:jc w:val="center"/>
            <w:rPr>
              <w:rFonts w:ascii="Arial" w:eastAsia="Calibri" w:hAnsi="Arial" w:cs="Arial"/>
            </w:rPr>
          </w:pPr>
          <w:r>
            <w:rPr>
              <w:rFonts w:ascii="Arial" w:eastAsia="Calibri" w:hAnsi="Arial" w:cs="Arial"/>
              <w:lang w:val="en-US"/>
            </w:rPr>
            <w:drawing>
              <wp:inline distT="0" distB="0" distL="0" distR="0" wp14:anchorId="616C9508" wp14:editId="1D9E4E6B">
                <wp:extent cx="1280160" cy="11607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1160780"/>
                        </a:xfrm>
                        <a:prstGeom prst="rect">
                          <a:avLst/>
                        </a:prstGeom>
                        <a:noFill/>
                        <a:ln>
                          <a:noFill/>
                        </a:ln>
                      </pic:spPr>
                    </pic:pic>
                  </a:graphicData>
                </a:graphic>
              </wp:inline>
            </w:drawing>
          </w:r>
        </w:p>
      </w:tc>
    </w:tr>
  </w:tbl>
  <w:p w:rsidR="007346C1" w:rsidRPr="007346C1" w:rsidRDefault="007346C1" w:rsidP="007346C1">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2B"/>
    <w:rsid w:val="000156EB"/>
    <w:rsid w:val="000E0E66"/>
    <w:rsid w:val="00103218"/>
    <w:rsid w:val="001340AA"/>
    <w:rsid w:val="00195049"/>
    <w:rsid w:val="00217DCF"/>
    <w:rsid w:val="00234519"/>
    <w:rsid w:val="00242B1A"/>
    <w:rsid w:val="00253394"/>
    <w:rsid w:val="00260273"/>
    <w:rsid w:val="003D113F"/>
    <w:rsid w:val="00420CB1"/>
    <w:rsid w:val="004F3347"/>
    <w:rsid w:val="005209DF"/>
    <w:rsid w:val="00610870"/>
    <w:rsid w:val="00631183"/>
    <w:rsid w:val="00733831"/>
    <w:rsid w:val="007346C1"/>
    <w:rsid w:val="0075345F"/>
    <w:rsid w:val="007B71D0"/>
    <w:rsid w:val="007B7832"/>
    <w:rsid w:val="008070FB"/>
    <w:rsid w:val="008C7373"/>
    <w:rsid w:val="009624A1"/>
    <w:rsid w:val="00962CEB"/>
    <w:rsid w:val="009D447D"/>
    <w:rsid w:val="00A069D8"/>
    <w:rsid w:val="00AE02A5"/>
    <w:rsid w:val="00B33385"/>
    <w:rsid w:val="00B66D2B"/>
    <w:rsid w:val="00BC5380"/>
    <w:rsid w:val="00C42FFD"/>
    <w:rsid w:val="00D05BDB"/>
    <w:rsid w:val="00D40B6C"/>
    <w:rsid w:val="00DC7E04"/>
    <w:rsid w:val="00E66855"/>
    <w:rsid w:val="00E92704"/>
    <w:rsid w:val="00F34F3E"/>
    <w:rsid w:val="00FB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bg-BG"/>
    </w:rPr>
  </w:style>
  <w:style w:type="paragraph" w:styleId="Heading2">
    <w:name w:val="heading 2"/>
    <w:basedOn w:val="Normal"/>
    <w:next w:val="Normal"/>
    <w:link w:val="Heading2Char"/>
    <w:uiPriority w:val="9"/>
    <w:semiHidden/>
    <w:unhideWhenUsed/>
    <w:qFormat/>
    <w:rsid w:val="007B7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46C1"/>
    <w:rPr>
      <w:noProof/>
      <w:lang w:val="bg-BG"/>
    </w:rPr>
  </w:style>
  <w:style w:type="paragraph" w:styleId="Footer">
    <w:name w:val="footer"/>
    <w:basedOn w:val="Normal"/>
    <w:link w:val="FooterChar"/>
    <w:uiPriority w:val="99"/>
    <w:unhideWhenUsed/>
    <w:rsid w:val="007346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46C1"/>
    <w:rPr>
      <w:noProof/>
      <w:lang w:val="bg-BG"/>
    </w:rPr>
  </w:style>
  <w:style w:type="paragraph" w:styleId="BalloonText">
    <w:name w:val="Balloon Text"/>
    <w:basedOn w:val="Normal"/>
    <w:link w:val="BalloonTextChar"/>
    <w:uiPriority w:val="99"/>
    <w:semiHidden/>
    <w:unhideWhenUsed/>
    <w:rsid w:val="0073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C1"/>
    <w:rPr>
      <w:rFonts w:ascii="Tahoma" w:hAnsi="Tahoma" w:cs="Tahoma"/>
      <w:noProof/>
      <w:sz w:val="16"/>
      <w:szCs w:val="16"/>
      <w:lang w:val="bg-BG"/>
    </w:rPr>
  </w:style>
  <w:style w:type="character" w:styleId="Hyperlink">
    <w:name w:val="Hyperlink"/>
    <w:basedOn w:val="DefaultParagraphFont"/>
    <w:uiPriority w:val="99"/>
    <w:unhideWhenUsed/>
    <w:rsid w:val="00217DCF"/>
    <w:rPr>
      <w:color w:val="0000FF" w:themeColor="hyperlink"/>
      <w:u w:val="single"/>
    </w:rPr>
  </w:style>
  <w:style w:type="character" w:customStyle="1" w:styleId="Heading2Char">
    <w:name w:val="Heading 2 Char"/>
    <w:basedOn w:val="DefaultParagraphFont"/>
    <w:link w:val="Heading2"/>
    <w:uiPriority w:val="9"/>
    <w:semiHidden/>
    <w:rsid w:val="007B7832"/>
    <w:rPr>
      <w:rFonts w:asciiTheme="majorHAnsi" w:eastAsiaTheme="majorEastAsia" w:hAnsiTheme="majorHAnsi" w:cstheme="majorBidi"/>
      <w:b/>
      <w:bCs/>
      <w:noProof/>
      <w:color w:val="4F81BD" w:themeColor="accent1"/>
      <w:sz w:val="26"/>
      <w:szCs w:val="2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bg-BG"/>
    </w:rPr>
  </w:style>
  <w:style w:type="paragraph" w:styleId="Heading2">
    <w:name w:val="heading 2"/>
    <w:basedOn w:val="Normal"/>
    <w:next w:val="Normal"/>
    <w:link w:val="Heading2Char"/>
    <w:uiPriority w:val="9"/>
    <w:semiHidden/>
    <w:unhideWhenUsed/>
    <w:qFormat/>
    <w:rsid w:val="007B7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46C1"/>
    <w:rPr>
      <w:noProof/>
      <w:lang w:val="bg-BG"/>
    </w:rPr>
  </w:style>
  <w:style w:type="paragraph" w:styleId="Footer">
    <w:name w:val="footer"/>
    <w:basedOn w:val="Normal"/>
    <w:link w:val="FooterChar"/>
    <w:uiPriority w:val="99"/>
    <w:unhideWhenUsed/>
    <w:rsid w:val="007346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46C1"/>
    <w:rPr>
      <w:noProof/>
      <w:lang w:val="bg-BG"/>
    </w:rPr>
  </w:style>
  <w:style w:type="paragraph" w:styleId="BalloonText">
    <w:name w:val="Balloon Text"/>
    <w:basedOn w:val="Normal"/>
    <w:link w:val="BalloonTextChar"/>
    <w:uiPriority w:val="99"/>
    <w:semiHidden/>
    <w:unhideWhenUsed/>
    <w:rsid w:val="0073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C1"/>
    <w:rPr>
      <w:rFonts w:ascii="Tahoma" w:hAnsi="Tahoma" w:cs="Tahoma"/>
      <w:noProof/>
      <w:sz w:val="16"/>
      <w:szCs w:val="16"/>
      <w:lang w:val="bg-BG"/>
    </w:rPr>
  </w:style>
  <w:style w:type="character" w:styleId="Hyperlink">
    <w:name w:val="Hyperlink"/>
    <w:basedOn w:val="DefaultParagraphFont"/>
    <w:uiPriority w:val="99"/>
    <w:unhideWhenUsed/>
    <w:rsid w:val="00217DCF"/>
    <w:rPr>
      <w:color w:val="0000FF" w:themeColor="hyperlink"/>
      <w:u w:val="single"/>
    </w:rPr>
  </w:style>
  <w:style w:type="character" w:customStyle="1" w:styleId="Heading2Char">
    <w:name w:val="Heading 2 Char"/>
    <w:basedOn w:val="DefaultParagraphFont"/>
    <w:link w:val="Heading2"/>
    <w:uiPriority w:val="9"/>
    <w:semiHidden/>
    <w:rsid w:val="007B7832"/>
    <w:rPr>
      <w:rFonts w:asciiTheme="majorHAnsi" w:eastAsiaTheme="majorEastAsia" w:hAnsiTheme="majorHAnsi" w:cstheme="majorBidi"/>
      <w:b/>
      <w:bCs/>
      <w:noProof/>
      <w:color w:val="4F81BD" w:themeColor="accent1"/>
      <w:sz w:val="26"/>
      <w:szCs w:val="2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4636">
      <w:bodyDiv w:val="1"/>
      <w:marLeft w:val="0"/>
      <w:marRight w:val="0"/>
      <w:marTop w:val="0"/>
      <w:marBottom w:val="0"/>
      <w:divBdr>
        <w:top w:val="none" w:sz="0" w:space="0" w:color="auto"/>
        <w:left w:val="none" w:sz="0" w:space="0" w:color="auto"/>
        <w:bottom w:val="none" w:sz="0" w:space="0" w:color="auto"/>
        <w:right w:val="none" w:sz="0" w:space="0" w:color="auto"/>
      </w:divBdr>
    </w:div>
    <w:div w:id="18449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3" Type="http://schemas.openxmlformats.org/officeDocument/2006/relationships/settings" Target="settings.xml"/><Relationship Id="rId7" Type="http://schemas.openxmlformats.org/officeDocument/2006/relationships/hyperlink" Target="https://www.eufunds.b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mdr@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Zahari Tabakov</cp:lastModifiedBy>
  <cp:revision>3</cp:revision>
  <dcterms:created xsi:type="dcterms:W3CDTF">2022-07-06T06:40:00Z</dcterms:created>
  <dcterms:modified xsi:type="dcterms:W3CDTF">2022-07-06T06:43:00Z</dcterms:modified>
</cp:coreProperties>
</file>