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410" w:type="dxa"/>
        <w:tblInd w:w="1" w:type="dxa"/>
        <w:tblLayout w:type="fixed"/>
        <w:tblCellMar>
          <w:left w:w="0" w:type="dxa"/>
          <w:right w:w="0" w:type="dxa"/>
        </w:tblCellMar>
        <w:tblLook w:val="0000" w:firstRow="0" w:lastRow="0" w:firstColumn="0" w:lastColumn="0" w:noHBand="0" w:noVBand="0"/>
      </w:tblPr>
      <w:tblGrid>
        <w:gridCol w:w="3445"/>
        <w:gridCol w:w="1217"/>
        <w:gridCol w:w="4337"/>
        <w:gridCol w:w="4411"/>
      </w:tblGrid>
      <w:tr w:rsidR="00025E58" w:rsidRPr="00144A1F" w:rsidTr="0093084A">
        <w:trPr>
          <w:trHeight w:val="1256"/>
          <w:tblHeader/>
        </w:trPr>
        <w:tc>
          <w:tcPr>
            <w:tcW w:w="3445" w:type="dxa"/>
            <w:vMerge w:val="restart"/>
            <w:tcBorders>
              <w:top w:val="single" w:sz="1" w:space="0" w:color="000000"/>
              <w:left w:val="single" w:sz="1" w:space="0" w:color="000000"/>
            </w:tcBorders>
            <w:vAlign w:val="center"/>
          </w:tcPr>
          <w:p w:rsidR="00025E58"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 xml:space="preserve">Министерство на </w:t>
            </w:r>
            <w:r w:rsidR="00971D91">
              <w:rPr>
                <w:rFonts w:eastAsia="HG Mincho Light J"/>
                <w:b/>
                <w:color w:val="000000"/>
                <w:sz w:val="20"/>
                <w:szCs w:val="20"/>
                <w:lang w:val="bg-BG"/>
              </w:rPr>
              <w:t>земеделието</w:t>
            </w:r>
          </w:p>
          <w:p w:rsidR="00971D91" w:rsidRPr="00144A1F" w:rsidRDefault="00971D91" w:rsidP="00E756A6">
            <w:pPr>
              <w:widowControl w:val="0"/>
              <w:suppressLineNumbers/>
              <w:suppressAutoHyphens/>
              <w:jc w:val="center"/>
              <w:rPr>
                <w:rFonts w:eastAsia="HG Mincho Light J"/>
                <w:b/>
                <w:color w:val="000000"/>
                <w:sz w:val="20"/>
                <w:szCs w:val="20"/>
                <w:lang w:val="bg-BG"/>
              </w:rPr>
            </w:pPr>
          </w:p>
          <w:p w:rsidR="00025E58" w:rsidRPr="00877A5F" w:rsidRDefault="00025E58" w:rsidP="00E756A6">
            <w:pPr>
              <w:widowControl w:val="0"/>
              <w:suppressLineNumbers/>
              <w:suppressAutoHyphens/>
              <w:jc w:val="center"/>
              <w:rPr>
                <w:rFonts w:eastAsia="HG Mincho Light J"/>
                <w:b/>
                <w:color w:val="000000"/>
                <w:sz w:val="20"/>
                <w:szCs w:val="20"/>
                <w:lang w:val="en-US"/>
              </w:rPr>
            </w:pPr>
            <w:r>
              <w:rPr>
                <w:rFonts w:eastAsia="HG Mincho Light J"/>
                <w:b/>
                <w:color w:val="000000"/>
                <w:sz w:val="20"/>
                <w:szCs w:val="20"/>
                <w:lang w:val="bg-BG"/>
              </w:rPr>
              <w:t>Д</w:t>
            </w:r>
            <w:r w:rsidRPr="00144A1F">
              <w:rPr>
                <w:rFonts w:eastAsia="HG Mincho Light J"/>
                <w:b/>
                <w:color w:val="000000"/>
                <w:sz w:val="20"/>
                <w:szCs w:val="20"/>
                <w:lang w:val="bg-BG"/>
              </w:rPr>
              <w:t>ирекция “</w:t>
            </w:r>
            <w:r>
              <w:rPr>
                <w:rFonts w:eastAsia="HG Mincho Light J"/>
                <w:b/>
                <w:color w:val="000000"/>
                <w:sz w:val="20"/>
                <w:szCs w:val="20"/>
                <w:lang w:val="bg-BG"/>
              </w:rPr>
              <w:t>Морско дело и рибарство</w:t>
            </w:r>
            <w:r w:rsidRPr="00144A1F">
              <w:rPr>
                <w:rFonts w:eastAsia="HG Mincho Light J"/>
                <w:b/>
                <w:color w:val="000000"/>
                <w:sz w:val="20"/>
                <w:szCs w:val="20"/>
                <w:lang w:val="bg-BG"/>
              </w:rPr>
              <w:t xml:space="preserve">” – Управляващ орган на </w:t>
            </w:r>
            <w:r>
              <w:rPr>
                <w:rFonts w:eastAsia="HG Mincho Light J"/>
                <w:b/>
                <w:color w:val="000000"/>
                <w:sz w:val="20"/>
                <w:szCs w:val="20"/>
                <w:lang w:val="bg-BG"/>
              </w:rPr>
              <w:t>ПМДР</w:t>
            </w:r>
            <w:r>
              <w:rPr>
                <w:rFonts w:eastAsia="HG Mincho Light J"/>
                <w:b/>
                <w:color w:val="000000"/>
                <w:sz w:val="20"/>
                <w:szCs w:val="20"/>
                <w:lang w:val="en-US"/>
              </w:rPr>
              <w:t xml:space="preserve"> 2014 - 2020</w:t>
            </w:r>
          </w:p>
        </w:tc>
        <w:tc>
          <w:tcPr>
            <w:tcW w:w="5554" w:type="dxa"/>
            <w:gridSpan w:val="2"/>
            <w:tcBorders>
              <w:top w:val="single" w:sz="1" w:space="0" w:color="000000"/>
              <w:left w:val="single" w:sz="1" w:space="0" w:color="000000"/>
              <w:bottom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НАРЪЧНИК ПО ПРОГРАМА ЗА МОРСКО ДЕЛО И РИБАРСТВО</w:t>
            </w:r>
            <w:r w:rsidRPr="00144A1F">
              <w:rPr>
                <w:rFonts w:eastAsia="HG Mincho Light J"/>
                <w:b/>
                <w:color w:val="000000"/>
                <w:sz w:val="20"/>
                <w:szCs w:val="20"/>
                <w:lang w:val="bg-BG"/>
              </w:rPr>
              <w:t>” 2014 -2020 (</w:t>
            </w:r>
            <w:r>
              <w:rPr>
                <w:rFonts w:eastAsia="HG Mincho Light J"/>
                <w:b/>
                <w:color w:val="000000"/>
                <w:sz w:val="20"/>
                <w:szCs w:val="20"/>
                <w:lang w:val="bg-BG"/>
              </w:rPr>
              <w:t>ПМДР</w:t>
            </w:r>
            <w:r w:rsidRPr="00144A1F">
              <w:rPr>
                <w:rFonts w:eastAsia="HG Mincho Light J"/>
                <w:b/>
                <w:color w:val="000000"/>
                <w:sz w:val="20"/>
                <w:szCs w:val="20"/>
                <w:lang w:val="bg-BG"/>
              </w:rPr>
              <w:t>)</w:t>
            </w:r>
          </w:p>
        </w:tc>
        <w:tc>
          <w:tcPr>
            <w:tcW w:w="4411" w:type="dxa"/>
            <w:tcBorders>
              <w:top w:val="single" w:sz="1" w:space="0" w:color="000000"/>
              <w:left w:val="single" w:sz="1" w:space="0" w:color="000000"/>
              <w:bottom w:val="single" w:sz="1" w:space="0" w:color="000000"/>
              <w:righ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lang w:val="bg-BG"/>
              </w:rPr>
              <w:t xml:space="preserve">Вариант </w:t>
            </w:r>
            <w:r>
              <w:rPr>
                <w:rFonts w:eastAsia="HG Mincho Light J"/>
                <w:b/>
                <w:color w:val="000000"/>
                <w:sz w:val="20"/>
                <w:lang w:val="bg-BG"/>
              </w:rPr>
              <w:t>2</w:t>
            </w:r>
          </w:p>
        </w:tc>
      </w:tr>
      <w:tr w:rsidR="00025E58" w:rsidRPr="00144A1F" w:rsidTr="0093084A">
        <w:trPr>
          <w:trHeight w:val="747"/>
        </w:trPr>
        <w:tc>
          <w:tcPr>
            <w:tcW w:w="3445" w:type="dxa"/>
            <w:vMerge/>
            <w:tcBorders>
              <w:lef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1217" w:type="dxa"/>
            <w:tcBorders>
              <w:left w:val="single" w:sz="1" w:space="0" w:color="000000"/>
              <w:bottom w:val="single" w:sz="1" w:space="0" w:color="000000"/>
              <w:righ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Глава 4, раздел 2, </w:t>
            </w:r>
            <w:r w:rsidRPr="00144A1F">
              <w:rPr>
                <w:rFonts w:eastAsia="HG Mincho Light J"/>
                <w:b/>
                <w:color w:val="000000"/>
                <w:sz w:val="20"/>
                <w:szCs w:val="20"/>
                <w:lang w:val="bg-BG"/>
              </w:rPr>
              <w:t xml:space="preserve">Приложение </w:t>
            </w:r>
          </w:p>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4.II.1.</w:t>
            </w:r>
            <w:r>
              <w:rPr>
                <w:rFonts w:eastAsia="HG Mincho Light J"/>
                <w:b/>
                <w:color w:val="000000"/>
                <w:sz w:val="20"/>
                <w:szCs w:val="20"/>
                <w:lang w:val="bg-BG"/>
              </w:rPr>
              <w:t>7</w:t>
            </w:r>
            <w:r w:rsidRPr="00144A1F">
              <w:rPr>
                <w:rFonts w:eastAsia="HG Mincho Light J"/>
                <w:b/>
                <w:color w:val="000000"/>
                <w:sz w:val="20"/>
                <w:szCs w:val="20"/>
                <w:lang w:val="bg-BG"/>
              </w:rPr>
              <w:t>.</w:t>
            </w:r>
          </w:p>
        </w:tc>
        <w:tc>
          <w:tcPr>
            <w:tcW w:w="4337" w:type="dxa"/>
            <w:tcBorders>
              <w:left w:val="single" w:sz="1" w:space="0" w:color="000000"/>
              <w:bottom w:val="single" w:sz="1" w:space="0" w:color="000000"/>
              <w:right w:val="single" w:sz="1" w:space="0" w:color="000000"/>
            </w:tcBorders>
            <w:vAlign w:val="center"/>
          </w:tcPr>
          <w:p w:rsidR="00025E58" w:rsidRPr="00144A1F" w:rsidRDefault="00025E58" w:rsidP="00E756A6">
            <w:pPr>
              <w:widowControl w:val="0"/>
              <w:suppressLineNumbers/>
              <w:suppressAutoHyphens/>
              <w:jc w:val="center"/>
              <w:rPr>
                <w:b/>
                <w:sz w:val="20"/>
                <w:szCs w:val="20"/>
                <w:lang w:val="bg-BG"/>
              </w:rPr>
            </w:pPr>
            <w:r w:rsidRPr="00144A1F">
              <w:rPr>
                <w:b/>
                <w:sz w:val="20"/>
                <w:szCs w:val="20"/>
                <w:lang w:val="bg-BG"/>
              </w:rPr>
              <w:t>ПРОЦЕДУРИ ЗА ПРЕДОСТАВЯНЕ НА БЕЗВЪЗМЕЗДНА ФИНАНСОВА ПОМОЩ</w:t>
            </w:r>
          </w:p>
          <w:p w:rsidR="00025E58" w:rsidRPr="00144A1F" w:rsidRDefault="00025E58" w:rsidP="00E756A6">
            <w:pPr>
              <w:widowControl w:val="0"/>
              <w:suppressLineNumbers/>
              <w:suppressAutoHyphens/>
              <w:jc w:val="center"/>
              <w:rPr>
                <w:b/>
                <w:iCs/>
                <w:sz w:val="20"/>
                <w:szCs w:val="20"/>
                <w:lang w:val="bg-BG"/>
              </w:rPr>
            </w:pPr>
          </w:p>
          <w:p w:rsidR="00025E58" w:rsidRPr="00144A1F" w:rsidRDefault="00025E58" w:rsidP="00E756A6">
            <w:pPr>
              <w:widowControl w:val="0"/>
              <w:suppressLineNumbers/>
              <w:suppressAutoHyphens/>
              <w:jc w:val="center"/>
              <w:rPr>
                <w:b/>
                <w:iCs/>
                <w:sz w:val="20"/>
                <w:szCs w:val="20"/>
                <w:lang w:val="bg-BG"/>
              </w:rPr>
            </w:pPr>
          </w:p>
          <w:p w:rsidR="00025E58" w:rsidRPr="00F609C8" w:rsidRDefault="00025E58" w:rsidP="00E756A6">
            <w:pPr>
              <w:widowControl w:val="0"/>
              <w:suppressLineNumbers/>
              <w:suppressAutoHyphens/>
              <w:jc w:val="center"/>
              <w:rPr>
                <w:rFonts w:eastAsia="HG Mincho Light J"/>
                <w:b/>
                <w:color w:val="000000"/>
                <w:sz w:val="20"/>
                <w:szCs w:val="20"/>
                <w:lang w:val="bg-BG"/>
              </w:rPr>
            </w:pPr>
            <w:r w:rsidRPr="00144A1F">
              <w:rPr>
                <w:b/>
                <w:iCs/>
                <w:sz w:val="20"/>
                <w:szCs w:val="20"/>
                <w:lang w:val="bg-BG"/>
              </w:rPr>
              <w:t xml:space="preserve">Образец на Списък на проектните предложения, </w:t>
            </w:r>
            <w:r>
              <w:rPr>
                <w:b/>
                <w:iCs/>
                <w:sz w:val="20"/>
                <w:szCs w:val="20"/>
                <w:lang w:val="bg-BG"/>
              </w:rPr>
              <w:t xml:space="preserve"> които не се допускат до техническа и финансова оценка</w:t>
            </w:r>
          </w:p>
        </w:tc>
        <w:tc>
          <w:tcPr>
            <w:tcW w:w="4411" w:type="dxa"/>
            <w:tcBorders>
              <w:left w:val="single" w:sz="1" w:space="0" w:color="000000"/>
              <w:bottom w:val="single" w:sz="1" w:space="0" w:color="000000"/>
              <w:righ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b/>
                <w:sz w:val="20"/>
                <w:szCs w:val="20"/>
                <w:lang w:val="bg-BG"/>
              </w:rPr>
              <w:t xml:space="preserve">страница: </w:t>
            </w:r>
            <w:r w:rsidRPr="00144A1F">
              <w:rPr>
                <w:rStyle w:val="PageNumber"/>
                <w:sz w:val="20"/>
                <w:szCs w:val="20"/>
                <w:lang w:val="bg-BG"/>
              </w:rPr>
              <w:fldChar w:fldCharType="begin"/>
            </w:r>
            <w:r w:rsidRPr="00144A1F">
              <w:rPr>
                <w:rStyle w:val="PageNumber"/>
                <w:sz w:val="20"/>
                <w:szCs w:val="20"/>
                <w:lang w:val="bg-BG"/>
              </w:rPr>
              <w:instrText xml:space="preserve"> PAGE </w:instrText>
            </w:r>
            <w:r w:rsidRPr="00144A1F">
              <w:rPr>
                <w:rStyle w:val="PageNumber"/>
                <w:sz w:val="20"/>
                <w:szCs w:val="20"/>
                <w:lang w:val="bg-BG"/>
              </w:rPr>
              <w:fldChar w:fldCharType="separate"/>
            </w:r>
            <w:r>
              <w:rPr>
                <w:rStyle w:val="PageNumber"/>
                <w:noProof/>
                <w:sz w:val="20"/>
                <w:szCs w:val="20"/>
                <w:lang w:val="bg-BG"/>
              </w:rPr>
              <w:t>1</w:t>
            </w:r>
            <w:r w:rsidRPr="00144A1F">
              <w:rPr>
                <w:rStyle w:val="PageNumber"/>
                <w:sz w:val="20"/>
                <w:szCs w:val="20"/>
                <w:lang w:val="bg-BG"/>
              </w:rPr>
              <w:fldChar w:fldCharType="end"/>
            </w:r>
            <w:r w:rsidRPr="00144A1F">
              <w:rPr>
                <w:rStyle w:val="PageNumber"/>
                <w:sz w:val="20"/>
                <w:szCs w:val="20"/>
                <w:lang w:val="bg-BG"/>
              </w:rPr>
              <w:t>/</w:t>
            </w:r>
            <w:r w:rsidRPr="00144A1F">
              <w:rPr>
                <w:rStyle w:val="PageNumber"/>
                <w:sz w:val="20"/>
                <w:szCs w:val="20"/>
                <w:lang w:val="bg-BG"/>
              </w:rPr>
              <w:fldChar w:fldCharType="begin"/>
            </w:r>
            <w:r w:rsidRPr="00144A1F">
              <w:rPr>
                <w:rStyle w:val="PageNumber"/>
                <w:sz w:val="20"/>
                <w:szCs w:val="20"/>
                <w:lang w:val="bg-BG"/>
              </w:rPr>
              <w:instrText xml:space="preserve"> NUMPAGES </w:instrText>
            </w:r>
            <w:r w:rsidRPr="00144A1F">
              <w:rPr>
                <w:rStyle w:val="PageNumber"/>
                <w:sz w:val="20"/>
                <w:szCs w:val="20"/>
                <w:lang w:val="bg-BG"/>
              </w:rPr>
              <w:fldChar w:fldCharType="separate"/>
            </w:r>
            <w:r>
              <w:rPr>
                <w:rStyle w:val="PageNumber"/>
                <w:noProof/>
                <w:sz w:val="20"/>
                <w:szCs w:val="20"/>
                <w:lang w:val="bg-BG"/>
              </w:rPr>
              <w:t>2</w:t>
            </w:r>
            <w:r w:rsidRPr="00144A1F">
              <w:rPr>
                <w:rStyle w:val="PageNumber"/>
                <w:sz w:val="20"/>
                <w:szCs w:val="20"/>
                <w:lang w:val="bg-BG"/>
              </w:rPr>
              <w:fldChar w:fldCharType="end"/>
            </w:r>
          </w:p>
        </w:tc>
      </w:tr>
      <w:tr w:rsidR="00025E58" w:rsidRPr="00144A1F" w:rsidTr="0093084A">
        <w:trPr>
          <w:trHeight w:val="697"/>
        </w:trPr>
        <w:tc>
          <w:tcPr>
            <w:tcW w:w="3445" w:type="dxa"/>
            <w:vMerge/>
            <w:tcBorders>
              <w:lef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Одобрен от: Ръководител на Управляващия орган</w:t>
            </w:r>
          </w:p>
        </w:tc>
        <w:tc>
          <w:tcPr>
            <w:tcW w:w="4411" w:type="dxa"/>
            <w:tcBorders>
              <w:left w:val="single" w:sz="1" w:space="0" w:color="000000"/>
              <w:bottom w:val="single" w:sz="4" w:space="0" w:color="auto"/>
              <w:right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Дата:</w:t>
            </w:r>
          </w:p>
          <w:p w:rsidR="00025E58" w:rsidRPr="00D81A6C" w:rsidRDefault="00D81A6C"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Януари 2022</w:t>
            </w:r>
          </w:p>
        </w:tc>
      </w:tr>
      <w:tr w:rsidR="00025E58" w:rsidRPr="00144A1F" w:rsidTr="0093084A">
        <w:trPr>
          <w:trHeight w:val="697"/>
        </w:trPr>
        <w:tc>
          <w:tcPr>
            <w:tcW w:w="3445" w:type="dxa"/>
            <w:tcBorders>
              <w:left w:val="single" w:sz="1" w:space="0" w:color="000000"/>
              <w:bottom w:val="single" w:sz="1" w:space="0" w:color="000000"/>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bottom w:val="single" w:sz="1" w:space="0" w:color="000000"/>
              <w:right w:val="single" w:sz="4" w:space="0" w:color="auto"/>
            </w:tcBorders>
            <w:vAlign w:val="center"/>
          </w:tcPr>
          <w:p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4411" w:type="dxa"/>
            <w:tcBorders>
              <w:top w:val="single" w:sz="4" w:space="0" w:color="auto"/>
              <w:left w:val="single" w:sz="4" w:space="0" w:color="auto"/>
              <w:bottom w:val="single" w:sz="4" w:space="0" w:color="auto"/>
              <w:right w:val="single" w:sz="4" w:space="0" w:color="auto"/>
            </w:tcBorders>
            <w:vAlign w:val="center"/>
          </w:tcPr>
          <w:p w:rsidR="00025E58" w:rsidRPr="00D4220F" w:rsidRDefault="00025E58" w:rsidP="00E756A6">
            <w:pPr>
              <w:widowControl w:val="0"/>
              <w:suppressLineNumbers/>
              <w:suppressAutoHyphens/>
              <w:jc w:val="center"/>
              <w:rPr>
                <w:rFonts w:eastAsia="HG Mincho Light J"/>
                <w:b/>
                <w:color w:val="000000"/>
                <w:sz w:val="20"/>
                <w:szCs w:val="20"/>
                <w:lang w:val="bg-BG"/>
              </w:rPr>
            </w:pPr>
            <w:r w:rsidRPr="00D4220F">
              <w:rPr>
                <w:rFonts w:eastAsia="HG Mincho Light J"/>
                <w:b/>
                <w:color w:val="000000"/>
                <w:sz w:val="20"/>
                <w:szCs w:val="20"/>
                <w:lang w:val="bg-BG"/>
              </w:rPr>
              <w:t>Версия:</w:t>
            </w:r>
          </w:p>
          <w:p w:rsidR="00025E58" w:rsidRPr="00144A1F" w:rsidRDefault="00D81A6C"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Януари 2022</w:t>
            </w:r>
          </w:p>
        </w:tc>
      </w:tr>
    </w:tbl>
    <w:p w:rsidR="00025E58" w:rsidRDefault="00025E58">
      <w:pPr>
        <w:rPr>
          <w:lang w:val="bg-BG"/>
        </w:rPr>
      </w:pPr>
    </w:p>
    <w:p w:rsidR="00025E58" w:rsidRDefault="00D166C0" w:rsidP="00D166C0">
      <w:pPr>
        <w:jc w:val="center"/>
        <w:rPr>
          <w:lang w:val="bg-BG"/>
        </w:rPr>
      </w:pPr>
      <w:r>
        <w:rPr>
          <w:b/>
          <w:lang w:val="bg-BG"/>
        </w:rPr>
        <w:t>Списък на проектните предложения</w:t>
      </w:r>
      <w:r w:rsidR="00025E58" w:rsidRPr="005F44E0">
        <w:rPr>
          <w:b/>
          <w:lang w:val="bg-BG"/>
        </w:rPr>
        <w:t xml:space="preserve">, </w:t>
      </w:r>
      <w:r>
        <w:rPr>
          <w:b/>
          <w:lang w:val="bg-BG"/>
        </w:rPr>
        <w:t>които не се допускат до те</w:t>
      </w:r>
      <w:r w:rsidR="0093219F">
        <w:rPr>
          <w:b/>
          <w:lang w:val="bg-BG"/>
        </w:rPr>
        <w:t>хническа и финансова оценка по П</w:t>
      </w:r>
      <w:r>
        <w:rPr>
          <w:b/>
          <w:lang w:val="bg-BG"/>
        </w:rPr>
        <w:t>роцедура</w:t>
      </w:r>
      <w:r w:rsidR="00183F60">
        <w:rPr>
          <w:b/>
          <w:lang w:val="bg-BG"/>
        </w:rPr>
        <w:t xml:space="preserve"> за подбор </w:t>
      </w:r>
      <w:r w:rsidR="00183F60" w:rsidRPr="0093084A">
        <w:rPr>
          <w:b/>
          <w:lang w:val="bg-BG"/>
        </w:rPr>
        <w:t>на проекти</w:t>
      </w:r>
      <w:r w:rsidR="00025E58" w:rsidRPr="0093084A">
        <w:rPr>
          <w:b/>
          <w:lang w:val="bg-BG"/>
        </w:rPr>
        <w:t xml:space="preserve"> </w:t>
      </w:r>
      <w:r w:rsidRPr="0093084A">
        <w:rPr>
          <w:b/>
          <w:lang w:val="bg-BG"/>
        </w:rPr>
        <w:t xml:space="preserve">№ </w:t>
      </w:r>
      <w:r w:rsidR="00183F60" w:rsidRPr="000104BA">
        <w:rPr>
          <w:b/>
          <w:lang w:val="bg-BG"/>
        </w:rPr>
        <w:t>BG14MFOP001-4.093</w:t>
      </w:r>
      <w:r w:rsidR="002703C2" w:rsidRPr="000104BA">
        <w:rPr>
          <w:b/>
          <w:lang w:val="bg-BG"/>
        </w:rPr>
        <w:t xml:space="preserve">, </w:t>
      </w:r>
      <w:r w:rsidR="000475CA" w:rsidRPr="000104BA">
        <w:rPr>
          <w:b/>
          <w:lang w:val="bg-BG"/>
        </w:rPr>
        <w:t>МИРГ</w:t>
      </w:r>
      <w:r w:rsidR="000475CA" w:rsidRPr="0093084A">
        <w:rPr>
          <w:b/>
          <w:lang w:val="bg-BG"/>
        </w:rPr>
        <w:t xml:space="preserve"> БЧС Бяла-Долни чифлик-Аврен</w:t>
      </w:r>
      <w:r w:rsidR="00183F60" w:rsidRPr="0093084A">
        <w:rPr>
          <w:b/>
          <w:lang w:val="bg-BG"/>
        </w:rPr>
        <w:t>,</w:t>
      </w:r>
      <w:r w:rsidR="000475CA" w:rsidRPr="00DC0198">
        <w:rPr>
          <w:b/>
          <w:lang w:val="bg-BG"/>
        </w:rPr>
        <w:t xml:space="preserve"> </w:t>
      </w:r>
      <w:r w:rsidR="00183F60" w:rsidRPr="00DC0198">
        <w:rPr>
          <w:b/>
          <w:lang w:val="bg-BG"/>
        </w:rPr>
        <w:t>м</w:t>
      </w:r>
      <w:r w:rsidR="000475CA" w:rsidRPr="00DC0198">
        <w:rPr>
          <w:b/>
          <w:lang w:val="bg-BG"/>
        </w:rPr>
        <w:t xml:space="preserve">ярка 2 </w:t>
      </w:r>
      <w:r w:rsidR="00183F60" w:rsidRPr="00DC0198">
        <w:rPr>
          <w:b/>
          <w:lang w:val="bg-BG"/>
        </w:rPr>
        <w:t>„</w:t>
      </w:r>
      <w:r w:rsidR="000475CA" w:rsidRPr="00DC0198">
        <w:rPr>
          <w:b/>
          <w:lang w:val="bg-BG"/>
        </w:rPr>
        <w:t>Подкрепа за инвестиции в</w:t>
      </w:r>
      <w:r w:rsidR="000475CA" w:rsidRPr="000475CA">
        <w:rPr>
          <w:b/>
          <w:lang w:val="bg-BG"/>
        </w:rPr>
        <w:t xml:space="preserve"> дейности алтернативни на рибарството и </w:t>
      </w:r>
      <w:proofErr w:type="spellStart"/>
      <w:r w:rsidR="000475CA" w:rsidRPr="000475CA">
        <w:rPr>
          <w:b/>
          <w:lang w:val="bg-BG"/>
        </w:rPr>
        <w:t>аквакултурите</w:t>
      </w:r>
      <w:proofErr w:type="spellEnd"/>
      <w:r w:rsidR="000475CA" w:rsidRPr="000475CA">
        <w:rPr>
          <w:b/>
          <w:lang w:val="bg-BG"/>
        </w:rPr>
        <w:t xml:space="preserve"> в други сектори на морската икономика, предимно в туризъм и развитие на туристически атракции с цел създаване на работни места</w:t>
      </w:r>
      <w:r w:rsidR="00183F60">
        <w:rPr>
          <w:b/>
          <w:lang w:val="bg-BG"/>
        </w:rPr>
        <w:t>“</w:t>
      </w:r>
      <w:r w:rsidR="000475CA" w:rsidRPr="00D166C0">
        <w:rPr>
          <w:b/>
          <w:lang w:val="bg-BG"/>
        </w:rPr>
        <w:t xml:space="preserve"> </w:t>
      </w:r>
      <w:r w:rsidRPr="00D166C0">
        <w:rPr>
          <w:b/>
          <w:lang w:val="bg-BG"/>
        </w:rPr>
        <w:t>по Програмата за морско дело и рибарство 2014-2020 г.</w:t>
      </w:r>
    </w:p>
    <w:p w:rsidR="00025E58" w:rsidRDefault="00025E58">
      <w:pPr>
        <w:rPr>
          <w:lang w:val="bg-BG"/>
        </w:rPr>
      </w:pPr>
    </w:p>
    <w:tbl>
      <w:tblPr>
        <w:tblW w:w="13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565"/>
        <w:gridCol w:w="2034"/>
        <w:gridCol w:w="1801"/>
        <w:gridCol w:w="7645"/>
      </w:tblGrid>
      <w:tr w:rsidR="00025E58" w:rsidRPr="00723FE7" w:rsidTr="00B72251">
        <w:trPr>
          <w:trHeight w:val="990"/>
        </w:trPr>
        <w:tc>
          <w:tcPr>
            <w:tcW w:w="468" w:type="dxa"/>
            <w:shd w:val="clear" w:color="auto" w:fill="auto"/>
          </w:tcPr>
          <w:p w:rsidR="00025E58" w:rsidRPr="00723FE7" w:rsidRDefault="00025E58" w:rsidP="00E756A6">
            <w:pPr>
              <w:jc w:val="center"/>
              <w:rPr>
                <w:b/>
                <w:sz w:val="22"/>
                <w:szCs w:val="22"/>
                <w:lang w:val="bg-BG"/>
              </w:rPr>
            </w:pPr>
            <w:r w:rsidRPr="00723FE7">
              <w:rPr>
                <w:b/>
                <w:sz w:val="22"/>
                <w:szCs w:val="22"/>
                <w:lang w:val="bg-BG"/>
              </w:rPr>
              <w:t>№</w:t>
            </w:r>
          </w:p>
        </w:tc>
        <w:tc>
          <w:tcPr>
            <w:tcW w:w="1565" w:type="dxa"/>
            <w:shd w:val="clear" w:color="auto" w:fill="auto"/>
          </w:tcPr>
          <w:p w:rsidR="00025E58" w:rsidRPr="00723FE7" w:rsidRDefault="00025E58" w:rsidP="00E756A6">
            <w:pPr>
              <w:jc w:val="center"/>
              <w:rPr>
                <w:b/>
                <w:sz w:val="22"/>
                <w:szCs w:val="22"/>
                <w:lang w:val="bg-BG"/>
              </w:rPr>
            </w:pPr>
            <w:r w:rsidRPr="00723FE7">
              <w:rPr>
                <w:b/>
                <w:sz w:val="22"/>
                <w:szCs w:val="22"/>
                <w:lang w:val="bg-BG"/>
              </w:rPr>
              <w:t xml:space="preserve">Рег. № на проектното предложение </w:t>
            </w:r>
          </w:p>
        </w:tc>
        <w:tc>
          <w:tcPr>
            <w:tcW w:w="2034" w:type="dxa"/>
            <w:shd w:val="clear" w:color="auto" w:fill="auto"/>
          </w:tcPr>
          <w:p w:rsidR="00025E58" w:rsidRPr="00723FE7" w:rsidRDefault="00025E58" w:rsidP="00E756A6">
            <w:pPr>
              <w:jc w:val="center"/>
              <w:rPr>
                <w:b/>
                <w:sz w:val="22"/>
                <w:szCs w:val="22"/>
                <w:lang w:val="bg-BG"/>
              </w:rPr>
            </w:pPr>
            <w:r w:rsidRPr="00723FE7">
              <w:rPr>
                <w:b/>
                <w:sz w:val="22"/>
                <w:szCs w:val="22"/>
                <w:lang w:val="bg-BG"/>
              </w:rPr>
              <w:t>Наименование на кандидата</w:t>
            </w:r>
          </w:p>
        </w:tc>
        <w:tc>
          <w:tcPr>
            <w:tcW w:w="1801" w:type="dxa"/>
            <w:shd w:val="clear" w:color="auto" w:fill="auto"/>
          </w:tcPr>
          <w:p w:rsidR="00025E58" w:rsidRPr="00723FE7" w:rsidRDefault="00025E58" w:rsidP="00E756A6">
            <w:pPr>
              <w:jc w:val="center"/>
              <w:rPr>
                <w:b/>
                <w:sz w:val="22"/>
                <w:szCs w:val="22"/>
                <w:lang w:val="bg-BG"/>
              </w:rPr>
            </w:pPr>
            <w:r w:rsidRPr="00723FE7">
              <w:rPr>
                <w:b/>
                <w:sz w:val="22"/>
                <w:szCs w:val="22"/>
                <w:lang w:val="bg-BG"/>
              </w:rPr>
              <w:t>Наименование на проектното предложение</w:t>
            </w:r>
          </w:p>
        </w:tc>
        <w:tc>
          <w:tcPr>
            <w:tcW w:w="7645" w:type="dxa"/>
            <w:shd w:val="clear" w:color="auto" w:fill="auto"/>
          </w:tcPr>
          <w:p w:rsidR="00025E58" w:rsidRPr="00723FE7" w:rsidRDefault="00025E58" w:rsidP="00E756A6">
            <w:pPr>
              <w:jc w:val="center"/>
              <w:rPr>
                <w:b/>
                <w:sz w:val="22"/>
                <w:szCs w:val="22"/>
                <w:lang w:val="bg-BG"/>
              </w:rPr>
            </w:pPr>
            <w:r w:rsidRPr="00723FE7">
              <w:rPr>
                <w:b/>
                <w:sz w:val="22"/>
                <w:szCs w:val="22"/>
                <w:lang w:val="bg-BG"/>
              </w:rPr>
              <w:t>Основание за отхвърляне</w:t>
            </w:r>
          </w:p>
          <w:p w:rsidR="00025E58" w:rsidRPr="00723FE7" w:rsidRDefault="00025E58" w:rsidP="00E756A6">
            <w:pPr>
              <w:jc w:val="center"/>
              <w:rPr>
                <w:b/>
                <w:i/>
                <w:sz w:val="22"/>
                <w:szCs w:val="22"/>
                <w:lang w:val="bg-BG"/>
              </w:rPr>
            </w:pPr>
            <w:r w:rsidRPr="00723FE7">
              <w:rPr>
                <w:b/>
                <w:i/>
                <w:sz w:val="22"/>
                <w:szCs w:val="22"/>
                <w:lang w:val="bg-BG"/>
              </w:rPr>
              <w:t xml:space="preserve">(посочват се конкретните основания, а не само препратки към документите и условията, които не са изпълнени) </w:t>
            </w:r>
          </w:p>
        </w:tc>
      </w:tr>
      <w:tr w:rsidR="006748B6" w:rsidRPr="00723FE7" w:rsidTr="00B72251">
        <w:trPr>
          <w:trHeight w:val="990"/>
        </w:trPr>
        <w:tc>
          <w:tcPr>
            <w:tcW w:w="468" w:type="dxa"/>
            <w:shd w:val="clear" w:color="auto" w:fill="auto"/>
          </w:tcPr>
          <w:p w:rsidR="006748B6" w:rsidRPr="003D4F06" w:rsidRDefault="006748B6" w:rsidP="00E756A6">
            <w:pPr>
              <w:jc w:val="center"/>
              <w:rPr>
                <w:b/>
                <w:lang w:val="bg-BG"/>
              </w:rPr>
            </w:pPr>
            <w:r w:rsidRPr="003D4F06">
              <w:rPr>
                <w:b/>
                <w:lang w:val="bg-BG"/>
              </w:rPr>
              <w:t>1.</w:t>
            </w:r>
          </w:p>
        </w:tc>
        <w:tc>
          <w:tcPr>
            <w:tcW w:w="1565" w:type="dxa"/>
            <w:shd w:val="clear" w:color="auto" w:fill="auto"/>
          </w:tcPr>
          <w:p w:rsidR="006748B6" w:rsidRPr="00270654" w:rsidRDefault="006748B6" w:rsidP="00E756A6">
            <w:pPr>
              <w:jc w:val="center"/>
              <w:rPr>
                <w:b/>
                <w:lang w:val="bg-BG"/>
              </w:rPr>
            </w:pPr>
            <w:r w:rsidRPr="00270654">
              <w:rPr>
                <w:b/>
                <w:lang w:val="bg-BG"/>
              </w:rPr>
              <w:t>BG14MFOP001-4.093-0003</w:t>
            </w:r>
          </w:p>
        </w:tc>
        <w:tc>
          <w:tcPr>
            <w:tcW w:w="2034" w:type="dxa"/>
            <w:shd w:val="clear" w:color="auto" w:fill="auto"/>
          </w:tcPr>
          <w:p w:rsidR="006748B6" w:rsidRPr="00270654" w:rsidRDefault="003A7AD2" w:rsidP="00E756A6">
            <w:pPr>
              <w:jc w:val="center"/>
              <w:rPr>
                <w:b/>
                <w:lang w:val="bg-BG"/>
              </w:rPr>
            </w:pPr>
            <w:proofErr w:type="spellStart"/>
            <w:r w:rsidRPr="00270654">
              <w:rPr>
                <w:b/>
                <w:color w:val="333333"/>
                <w:shd w:val="clear" w:color="auto" w:fill="FFFFFF"/>
              </w:rPr>
              <w:t>Фондация</w:t>
            </w:r>
            <w:proofErr w:type="spellEnd"/>
            <w:r w:rsidR="00183F60">
              <w:rPr>
                <w:b/>
                <w:color w:val="333333"/>
                <w:shd w:val="clear" w:color="auto" w:fill="FFFFFF"/>
                <w:lang w:val="bg-BG"/>
              </w:rPr>
              <w:t xml:space="preserve"> </w:t>
            </w:r>
            <w:r w:rsidRPr="00270654">
              <w:rPr>
                <w:b/>
                <w:color w:val="333333"/>
                <w:shd w:val="clear" w:color="auto" w:fill="FFFFFF"/>
              </w:rPr>
              <w:t>"</w:t>
            </w:r>
            <w:proofErr w:type="spellStart"/>
            <w:r w:rsidRPr="00270654">
              <w:rPr>
                <w:b/>
                <w:color w:val="333333"/>
                <w:shd w:val="clear" w:color="auto" w:fill="FFFFFF"/>
              </w:rPr>
              <w:t>Академия</w:t>
            </w:r>
            <w:proofErr w:type="spellEnd"/>
            <w:r w:rsidRPr="00270654">
              <w:rPr>
                <w:b/>
                <w:color w:val="333333"/>
                <w:shd w:val="clear" w:color="auto" w:fill="FFFFFF"/>
              </w:rPr>
              <w:t xml:space="preserve"> </w:t>
            </w:r>
            <w:proofErr w:type="spellStart"/>
            <w:r w:rsidRPr="00270654">
              <w:rPr>
                <w:b/>
                <w:color w:val="333333"/>
                <w:shd w:val="clear" w:color="auto" w:fill="FFFFFF"/>
              </w:rPr>
              <w:t>за</w:t>
            </w:r>
            <w:proofErr w:type="spellEnd"/>
            <w:r w:rsidRPr="00270654">
              <w:rPr>
                <w:b/>
                <w:color w:val="333333"/>
                <w:shd w:val="clear" w:color="auto" w:fill="FFFFFF"/>
              </w:rPr>
              <w:t xml:space="preserve"> </w:t>
            </w:r>
            <w:proofErr w:type="spellStart"/>
            <w:r w:rsidRPr="00270654">
              <w:rPr>
                <w:b/>
                <w:color w:val="333333"/>
                <w:shd w:val="clear" w:color="auto" w:fill="FFFFFF"/>
              </w:rPr>
              <w:t>рециклиращо</w:t>
            </w:r>
            <w:proofErr w:type="spellEnd"/>
            <w:r w:rsidRPr="00270654">
              <w:rPr>
                <w:b/>
                <w:color w:val="333333"/>
                <w:shd w:val="clear" w:color="auto" w:fill="FFFFFF"/>
              </w:rPr>
              <w:t xml:space="preserve"> </w:t>
            </w:r>
            <w:proofErr w:type="spellStart"/>
            <w:r w:rsidRPr="00270654">
              <w:rPr>
                <w:b/>
                <w:color w:val="333333"/>
                <w:shd w:val="clear" w:color="auto" w:fill="FFFFFF"/>
              </w:rPr>
              <w:t>изкуство</w:t>
            </w:r>
            <w:proofErr w:type="spellEnd"/>
            <w:r w:rsidRPr="00270654">
              <w:rPr>
                <w:b/>
                <w:color w:val="333333"/>
                <w:shd w:val="clear" w:color="auto" w:fill="FFFFFF"/>
              </w:rPr>
              <w:t>"</w:t>
            </w:r>
            <w:r w:rsidR="00906609">
              <w:rPr>
                <w:b/>
                <w:color w:val="333333"/>
                <w:shd w:val="clear" w:color="auto" w:fill="FFFFFF"/>
                <w:lang w:val="bg-BG"/>
              </w:rPr>
              <w:t xml:space="preserve">, </w:t>
            </w:r>
            <w:r w:rsidR="00906609">
              <w:rPr>
                <w:b/>
                <w:color w:val="333333"/>
                <w:shd w:val="clear" w:color="auto" w:fill="FFFFFF"/>
                <w:lang w:val="en-US"/>
              </w:rPr>
              <w:t>(</w:t>
            </w:r>
            <w:proofErr w:type="spellStart"/>
            <w:r w:rsidR="00906609" w:rsidRPr="0093084A">
              <w:rPr>
                <w:rFonts w:hint="eastAsia"/>
                <w:b/>
                <w:color w:val="333333"/>
                <w:shd w:val="clear" w:color="auto" w:fill="FFFFFF"/>
              </w:rPr>
              <w:t>Булстат</w:t>
            </w:r>
            <w:proofErr w:type="spellEnd"/>
            <w:r w:rsidR="00906609" w:rsidRPr="0093084A">
              <w:rPr>
                <w:b/>
                <w:color w:val="333333"/>
                <w:shd w:val="clear" w:color="auto" w:fill="FFFFFF"/>
              </w:rPr>
              <w:t>: 206052251)</w:t>
            </w:r>
          </w:p>
        </w:tc>
        <w:tc>
          <w:tcPr>
            <w:tcW w:w="1801" w:type="dxa"/>
            <w:shd w:val="clear" w:color="auto" w:fill="auto"/>
          </w:tcPr>
          <w:p w:rsidR="006748B6" w:rsidRPr="00270654" w:rsidRDefault="006748B6" w:rsidP="00E756A6">
            <w:pPr>
              <w:jc w:val="center"/>
              <w:rPr>
                <w:b/>
                <w:lang w:val="bg-BG"/>
              </w:rPr>
            </w:pPr>
            <w:r w:rsidRPr="00270654">
              <w:rPr>
                <w:b/>
                <w:lang w:val="bg-BG"/>
              </w:rPr>
              <w:t>Ботаническа градина в с.Рудник - изграждане на туристически обект "Градината на щастието"</w:t>
            </w:r>
          </w:p>
        </w:tc>
        <w:tc>
          <w:tcPr>
            <w:tcW w:w="7645" w:type="dxa"/>
            <w:shd w:val="clear" w:color="auto" w:fill="auto"/>
          </w:tcPr>
          <w:p w:rsidR="003D4F06" w:rsidRPr="003D4F06" w:rsidRDefault="003D4F06" w:rsidP="003D4F06">
            <w:pPr>
              <w:ind w:firstLine="720"/>
              <w:jc w:val="both"/>
              <w:rPr>
                <w:lang w:val="bg-BG"/>
              </w:rPr>
            </w:pPr>
            <w:r w:rsidRPr="003D4F06">
              <w:rPr>
                <w:lang w:val="bg-BG"/>
              </w:rPr>
              <w:t>Поради липса на задължително изискуеми документи и непредставяне на допълнително изискани такива, проектното предложение (ПП) не отговаря на Критерий № 3 „Налице са всички изискуеми документи и са попълнени съгласно изискванията, посочени в т. 24 от Условията за кандидатстване по настоящата процедура“ и Критерий № 13 „Предвидените  разходи в проектното предложение са допустими</w:t>
            </w:r>
            <w:r w:rsidR="00C97A10">
              <w:rPr>
                <w:lang w:val="bg-BG"/>
              </w:rPr>
              <w:t>“</w:t>
            </w:r>
            <w:r w:rsidRPr="003D4F06">
              <w:rPr>
                <w:lang w:val="bg-BG"/>
              </w:rPr>
              <w:t xml:space="preserve"> </w:t>
            </w:r>
            <w:r w:rsidR="00C97A10" w:rsidRPr="00C97A10">
              <w:rPr>
                <w:lang w:val="bg-BG"/>
              </w:rPr>
              <w:t>от Приложение 4 „Критерии и методология за оценка на проектните предложения по Процедура за подбор на проекти BG14MFOP001-4.002.093</w:t>
            </w:r>
            <w:r w:rsidRPr="003D4F06">
              <w:rPr>
                <w:lang w:val="bg-BG"/>
              </w:rPr>
              <w:t xml:space="preserve">. В случай на наличие на недопустими разходи същите са  установени и редуцирани“ от Приложение 4 „Критерии и методология за оценка на проектните предложения по Процедура за подбор на проекти </w:t>
            </w:r>
            <w:r w:rsidR="00183F60">
              <w:rPr>
                <w:lang w:val="bg-BG"/>
              </w:rPr>
              <w:t xml:space="preserve">№ </w:t>
            </w:r>
            <w:r w:rsidR="00183F60" w:rsidRPr="003D4F06">
              <w:rPr>
                <w:lang w:val="bg-BG"/>
              </w:rPr>
              <w:t>BG14MFOP001-4.093</w:t>
            </w:r>
            <w:r w:rsidR="00183F60">
              <w:rPr>
                <w:lang w:val="bg-BG"/>
              </w:rPr>
              <w:t xml:space="preserve"> </w:t>
            </w:r>
            <w:r w:rsidRPr="003D4F06">
              <w:rPr>
                <w:lang w:val="bg-BG"/>
              </w:rPr>
              <w:t>МИРГ БЧС Бяла-Долни чифлик-Аврен</w:t>
            </w:r>
            <w:r w:rsidR="00183F60">
              <w:rPr>
                <w:lang w:val="bg-BG"/>
              </w:rPr>
              <w:t>,</w:t>
            </w:r>
            <w:r w:rsidRPr="003D4F06">
              <w:rPr>
                <w:lang w:val="bg-BG"/>
              </w:rPr>
              <w:t xml:space="preserve"> </w:t>
            </w:r>
            <w:r w:rsidR="00183F60">
              <w:rPr>
                <w:lang w:val="bg-BG"/>
              </w:rPr>
              <w:t>м</w:t>
            </w:r>
            <w:r w:rsidRPr="003D4F06">
              <w:rPr>
                <w:lang w:val="bg-BG"/>
              </w:rPr>
              <w:t xml:space="preserve">ярка 2. Подкрепа за инвестиции в дейности алтернативни на рибарството и </w:t>
            </w:r>
            <w:proofErr w:type="spellStart"/>
            <w:r w:rsidRPr="003D4F06">
              <w:rPr>
                <w:lang w:val="bg-BG"/>
              </w:rPr>
              <w:t>аквакултурите</w:t>
            </w:r>
            <w:proofErr w:type="spellEnd"/>
            <w:r w:rsidRPr="003D4F06">
              <w:rPr>
                <w:lang w:val="bg-BG"/>
              </w:rPr>
              <w:t xml:space="preserve"> в други сектори на морската икономика, предимно в туризъм и развитие на туристически атракции с цел създаване на работни места”. </w:t>
            </w:r>
          </w:p>
          <w:p w:rsidR="003D4F06" w:rsidRPr="003D4F06" w:rsidRDefault="003D4F06" w:rsidP="003D4F06">
            <w:pPr>
              <w:ind w:firstLine="720"/>
              <w:jc w:val="both"/>
              <w:rPr>
                <w:lang w:val="bg-BG"/>
              </w:rPr>
            </w:pPr>
            <w:r w:rsidRPr="003D4F06">
              <w:rPr>
                <w:lang w:val="bg-BG"/>
              </w:rPr>
              <w:t xml:space="preserve">Съгласно чл. 34, ал. 2 </w:t>
            </w:r>
            <w:proofErr w:type="spellStart"/>
            <w:r w:rsidRPr="003D4F06">
              <w:t>от</w:t>
            </w:r>
            <w:proofErr w:type="spellEnd"/>
            <w:r w:rsidRPr="003D4F06">
              <w:t xml:space="preserve"> </w:t>
            </w:r>
            <w:r w:rsidRPr="003D4F06">
              <w:rPr>
                <w:lang w:val="bg-BG"/>
              </w:rPr>
              <w:t>Закона за управление на средствата от Европейските фондове при споделено управление (Загл. изм. - ДВ, бр. 51 от 2022 г., в сила от 01.07.2022 г.</w:t>
            </w:r>
            <w:r w:rsidRPr="003D4F06">
              <w:t>) (</w:t>
            </w:r>
            <w:r w:rsidRPr="003D4F06">
              <w:rPr>
                <w:lang w:val="bg-BG"/>
              </w:rPr>
              <w:t>ЗУСЕФСУ</w:t>
            </w:r>
            <w:r w:rsidRPr="003D4F06">
              <w:t xml:space="preserve">) </w:t>
            </w:r>
            <w:r w:rsidRPr="003D4F06">
              <w:rPr>
                <w:color w:val="222222"/>
                <w:shd w:val="clear" w:color="auto" w:fill="FFFFFF"/>
                <w:lang w:val="bg-BG"/>
              </w:rPr>
              <w:t xml:space="preserve">и </w:t>
            </w:r>
            <w:r w:rsidRPr="003D4F06">
              <w:rPr>
                <w:lang w:val="bg-BG"/>
              </w:rPr>
              <w:t>§ 70 от Преходните и заключителни разпоредби към ЗИД на ЗУСЕСИФ (</w:t>
            </w:r>
            <w:proofErr w:type="spellStart"/>
            <w:r w:rsidRPr="003D4F06">
              <w:rPr>
                <w:lang w:val="bg-BG"/>
              </w:rPr>
              <w:t>Обн</w:t>
            </w:r>
            <w:proofErr w:type="spellEnd"/>
            <w:r w:rsidRPr="003D4F06">
              <w:rPr>
                <w:lang w:val="bg-BG"/>
              </w:rPr>
              <w:t xml:space="preserve">. ДВ, бр. 51 от 2022 г.): „Когато при проверката по ал. 1 се установи липса на документи и/или друга нередовност, комисията изпраща на кандидата уведомление за установените </w:t>
            </w:r>
            <w:proofErr w:type="spellStart"/>
            <w:r w:rsidRPr="003D4F06">
              <w:rPr>
                <w:lang w:val="bg-BG"/>
              </w:rPr>
              <w:t>нередовности</w:t>
            </w:r>
            <w:proofErr w:type="spellEnd"/>
            <w:r w:rsidRPr="003D4F06">
              <w:rPr>
                <w:lang w:val="bg-BG"/>
              </w:rPr>
              <w:t xml:space="preserve"> и определя разумен срок за тяхното отстраняване, който не може да бъде по-кратък от една седмица. Уведомлението съдържа и информация, че не отстраняването на </w:t>
            </w:r>
            <w:proofErr w:type="spellStart"/>
            <w:r w:rsidRPr="003D4F06">
              <w:rPr>
                <w:lang w:val="bg-BG"/>
              </w:rPr>
              <w:t>нередовностите</w:t>
            </w:r>
            <w:proofErr w:type="spellEnd"/>
            <w:r w:rsidRPr="003D4F06">
              <w:rPr>
                <w:lang w:val="bg-BG"/>
              </w:rPr>
              <w:t xml:space="preserve"> в срок може да доведе до прекратяване на производството по отношение на кандидата. Отстраняването на </w:t>
            </w:r>
            <w:proofErr w:type="spellStart"/>
            <w:r w:rsidRPr="003D4F06">
              <w:rPr>
                <w:lang w:val="bg-BG"/>
              </w:rPr>
              <w:t>нередовностите</w:t>
            </w:r>
            <w:proofErr w:type="spellEnd"/>
            <w:r w:rsidRPr="003D4F06">
              <w:rPr>
                <w:lang w:val="bg-BG"/>
              </w:rPr>
              <w:t xml:space="preserve"> не може да води до подобряване на качеството на проектното предложение.“</w:t>
            </w:r>
          </w:p>
          <w:p w:rsidR="003D4F06" w:rsidRPr="003D4F06" w:rsidRDefault="003D4F06" w:rsidP="003D4F06">
            <w:pPr>
              <w:ind w:firstLine="720"/>
              <w:jc w:val="both"/>
              <w:rPr>
                <w:lang w:val="bg-BG"/>
              </w:rPr>
            </w:pPr>
            <w:r w:rsidRPr="003D4F06">
              <w:rPr>
                <w:lang w:val="bg-BG"/>
              </w:rPr>
              <w:t>Във връзка с точка 24. „Списък на документите, които се подават на етап кандидатстване“ от Условия за кандидатстване (УК), на 06.</w:t>
            </w:r>
            <w:proofErr w:type="spellStart"/>
            <w:r w:rsidRPr="003D4F06">
              <w:rPr>
                <w:lang w:val="bg-BG"/>
              </w:rPr>
              <w:t>06</w:t>
            </w:r>
            <w:proofErr w:type="spellEnd"/>
            <w:r w:rsidRPr="003D4F06">
              <w:rPr>
                <w:lang w:val="bg-BG"/>
              </w:rPr>
              <w:t>.2022 г., чрез Модул „Комуникация“ в ИСУН 2020, е изпратено уведомление до кандидата с регистрационен номер BG14MFOP001-4.093-0003-M002, с което е поискана допълнителна информация. Указан е срок до 13.06.2022 г., в който да бъдат предоставени долуописаните липсващите документи и информация. Отговор от кандидата е получен на 11.06.2022 г., като следните от предоставените документи и информация не са съгласно изискванията, посочени в УК на процедурата, което прави невъзможно извършването на оценка на проектното предложение:</w:t>
            </w:r>
          </w:p>
          <w:p w:rsidR="003D4F06" w:rsidRPr="003D4F06" w:rsidRDefault="003D4F06" w:rsidP="003D4F06">
            <w:pPr>
              <w:ind w:firstLine="720"/>
              <w:jc w:val="both"/>
              <w:rPr>
                <w:lang w:val="bg-BG"/>
              </w:rPr>
            </w:pPr>
            <w:r w:rsidRPr="003D4F06">
              <w:rPr>
                <w:lang w:val="bg-BG"/>
              </w:rPr>
              <w:t xml:space="preserve">Съгласно УК по настоящата процедура, точка 24. „Списък на документите, които се подават на етап кандидатстване“, подточка 9, кандидатът следва да предостави „Документ за собственост на земята/сградата, където ще се извършват строително-монтажните работи или учредено право на строеж за срок не по-малък от 8 години от датата на кандидатстване (а при извършване на строително-монтажни работи, за които се изисква разрешение за строеж съгласно ЗУТ, за срок не по-малък от 8 години от датата на кандидатстване) и/или копие от документ за собственост или договор за наем на сградите/помещенията, които ще се обновяват и/или в които ще се монтират машините, съоръженията, оборудването - за инвестиции за закупуване и/или инсталиране на нови машини, оборудване и съоръжения и/или обновяване на сгради и/или помещения, за които не се изисква разрешение за строеж съгласно ЗУТ. В случай на договор за наем, той трябва да бъде в сила най-малко 8 години след датата на кандидатстване и да е нотариално заверен и вписан в службата по вписвания към съответния районен съд“ и съгласно подточка 10 следва да се предостави „ Актуална скица на имота по т. 9“. Към формуляра за кандидатстване кандидатът е предоставил договор за наем между Фондация „Академия за рециклиращо изкуство“ в качеството </w:t>
            </w:r>
            <w:r w:rsidR="00B72251" w:rsidRPr="0093084A">
              <w:rPr>
                <w:lang w:val="bg-BG"/>
              </w:rPr>
              <w:t>ѝ</w:t>
            </w:r>
            <w:r w:rsidRPr="003D4F06">
              <w:rPr>
                <w:lang w:val="bg-BG"/>
              </w:rPr>
              <w:t xml:space="preserve"> на наемател и Павлина Кръстева, Георги Николов и Наталия Николова в качеството им на наемодатели. В допълнение е предоставена скица на имота, която е на името лица, различни от наемодателите, а именно - Николай Кръстев и Желязка Кръстева. При поискване чрез Модул „Комуникация“ в ИСУН 2020 на валиден документ и допълнителна информация във връзка с откритото несъответствие, кандидатът предоставя единствено удостоверение за наследници на трето лице, а именно Никола Стойков, от което не става ясно чия собственост е имотът, какво е правното основание за отдаване на имота, на какво се дължи разминаването в собствеността му съгласно предоставените към проектното предложение документи (договор за наем и скица), както и липсва доказателство, че </w:t>
            </w:r>
            <w:r w:rsidRPr="006717FC">
              <w:rPr>
                <w:lang w:val="bg-BG"/>
              </w:rPr>
              <w:t>скица</w:t>
            </w:r>
            <w:r w:rsidR="006717FC" w:rsidRPr="006717FC">
              <w:rPr>
                <w:lang w:val="bg-BG"/>
              </w:rPr>
              <w:t>та</w:t>
            </w:r>
            <w:r w:rsidRPr="003D4F06">
              <w:rPr>
                <w:lang w:val="bg-BG"/>
              </w:rPr>
              <w:t xml:space="preserve"> на имота съответства на договора за наем съгласно УК. </w:t>
            </w:r>
          </w:p>
          <w:p w:rsidR="003D4F06" w:rsidRPr="003D4F06" w:rsidRDefault="003D4F06" w:rsidP="003D4F06">
            <w:pPr>
              <w:ind w:firstLine="720"/>
              <w:jc w:val="both"/>
              <w:rPr>
                <w:lang w:val="bg-BG"/>
              </w:rPr>
            </w:pPr>
            <w:r w:rsidRPr="003D4F06">
              <w:rPr>
                <w:lang w:val="bg-BG"/>
              </w:rPr>
              <w:t>Съгласно УК по настоящата процедура</w:t>
            </w:r>
            <w:r w:rsidR="00B72251">
              <w:rPr>
                <w:lang w:val="bg-BG"/>
              </w:rPr>
              <w:t>,</w:t>
            </w:r>
            <w:r w:rsidRPr="003D4F06">
              <w:rPr>
                <w:lang w:val="bg-BG"/>
              </w:rPr>
              <w:t xml:space="preserve"> точка 24. „Списък на документите, които се подават на етап кандидатстване“, подточка 6: „с оглед определяне на произхода на цените на предвидените разходи, кандидатът следва да приложи към Формуляра за кандидатстване: А/ Извлечение от официален каталог на производител/доставчик/строител или оторизиран представител, или Б) Една оферта.“. Съгласно т. 14.1. Допустими разходи от УК: „Всички разходи следва да бъдат надлежно обосновани. УО на ПМДР няма да финансира разходи, за които не е представена подробна обосновка.“. Към формуляра за кандидатстване, по т. 24, подточка 6 от УК, кандидатът е представил единствено екранни снимки от различни интернет сайтове (на множество растителни видове, за разходи за пръст, строителни материали, циркуляр и други), като не става ясно как е формиран бюджетът на проектното предложение. С писмото за допълнителна информация до кандидата, оценителната комисия е изискала предоставянето на „подробна спецификация за всички заявени разходи, включени за финансиране по настоящото проектно предложение в Раздел 4, Бюджет – видове разходи, брой, единична цена“. В отговор кандидатът представя единствено таблица на прогнозните разходи, която не е придружена от документи, които да съответстват на изискванията на подточка 6 от т. 24 от УК.</w:t>
            </w:r>
          </w:p>
          <w:p w:rsidR="003D4F06" w:rsidRPr="003D4F06" w:rsidRDefault="003D4F06" w:rsidP="003D4F06">
            <w:pPr>
              <w:ind w:firstLine="720"/>
              <w:jc w:val="both"/>
              <w:rPr>
                <w:lang w:val="bg-BG"/>
              </w:rPr>
            </w:pPr>
            <w:r w:rsidRPr="003D4F06">
              <w:rPr>
                <w:lang w:val="bg-BG"/>
              </w:rPr>
              <w:t>В резултат на гореизложеното, проектното предложение не отговаря на Критерий № 3 „Налице са всички изискуеми документи и са попълнени съгласно изискванията, посочени в т. 24 от Условията за кандидатстване по настоящата процедура“ и  Критерий № 13 „Предвидените  разходи в проектното предложение са допустими</w:t>
            </w:r>
            <w:r w:rsidR="00C97A10">
              <w:rPr>
                <w:lang w:val="bg-BG"/>
              </w:rPr>
              <w:t>“</w:t>
            </w:r>
            <w:r w:rsidRPr="003D4F06">
              <w:rPr>
                <w:lang w:val="bg-BG"/>
              </w:rPr>
              <w:t xml:space="preserve"> съгласно Условията за кандидатстване по настоящата процедура. В случай на наличие на недопустими разходи същите са  установени и редуцирани“ от Приложение 4 „Критерии и методология за оценка на проектните предложения по Процедура за подбор на проекти BG14MFOP001-4.093-МИРГ БЧС Бяла-Долни чифлик-Аврен</w:t>
            </w:r>
            <w:r w:rsidR="00183F60">
              <w:rPr>
                <w:lang w:val="en-US"/>
              </w:rPr>
              <w:t>,</w:t>
            </w:r>
            <w:r w:rsidRPr="003D4F06">
              <w:rPr>
                <w:lang w:val="bg-BG"/>
              </w:rPr>
              <w:t xml:space="preserve"> </w:t>
            </w:r>
            <w:r w:rsidR="00183F60">
              <w:rPr>
                <w:lang w:val="bg-BG"/>
              </w:rPr>
              <w:t>м</w:t>
            </w:r>
            <w:r w:rsidRPr="003D4F06">
              <w:rPr>
                <w:lang w:val="bg-BG"/>
              </w:rPr>
              <w:t xml:space="preserve">ярка 2. </w:t>
            </w:r>
            <w:r w:rsidR="00183F60">
              <w:rPr>
                <w:lang w:val="bg-BG"/>
              </w:rPr>
              <w:t>„</w:t>
            </w:r>
            <w:r w:rsidRPr="003D4F06">
              <w:rPr>
                <w:lang w:val="bg-BG"/>
              </w:rPr>
              <w:t xml:space="preserve">Подкрепа за инвестиции в дейности алтернативни на рибарството и </w:t>
            </w:r>
            <w:proofErr w:type="spellStart"/>
            <w:r w:rsidRPr="003D4F06">
              <w:rPr>
                <w:lang w:val="bg-BG"/>
              </w:rPr>
              <w:t>аквакултурите</w:t>
            </w:r>
            <w:proofErr w:type="spellEnd"/>
            <w:r w:rsidRPr="003D4F06">
              <w:rPr>
                <w:lang w:val="bg-BG"/>
              </w:rPr>
              <w:t xml:space="preserve"> в други сектори на морската икономика, предимно в туризъм и развитие на туристически атракции с цел създаване на работни места”. </w:t>
            </w:r>
          </w:p>
          <w:p w:rsidR="003D4F06" w:rsidRPr="003D4F06" w:rsidRDefault="003D4F06" w:rsidP="003D4F06">
            <w:pPr>
              <w:ind w:firstLine="720"/>
              <w:jc w:val="both"/>
              <w:rPr>
                <w:lang w:val="bg-BG"/>
              </w:rPr>
            </w:pPr>
            <w:r w:rsidRPr="00B72251">
              <w:rPr>
                <w:lang w:val="bg-BG"/>
              </w:rPr>
              <w:t xml:space="preserve">Съгласно чл. 34, ал. 2 </w:t>
            </w:r>
            <w:proofErr w:type="spellStart"/>
            <w:r w:rsidRPr="00B72251">
              <w:t>от</w:t>
            </w:r>
            <w:proofErr w:type="spellEnd"/>
            <w:r w:rsidRPr="00B72251">
              <w:t xml:space="preserve"> </w:t>
            </w:r>
            <w:r w:rsidR="00183F60" w:rsidRPr="00B72251">
              <w:rPr>
                <w:lang w:val="bg-BG"/>
              </w:rPr>
              <w:t>ЗУСЕФСУ</w:t>
            </w:r>
            <w:r w:rsidRPr="00B72251">
              <w:rPr>
                <w:lang w:val="bg-BG"/>
              </w:rPr>
              <w:t xml:space="preserve">,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на процедурата, както и взимайки предвид законовото разпореждане, указващо, че отстраняването на </w:t>
            </w:r>
            <w:proofErr w:type="spellStart"/>
            <w:r w:rsidRPr="00B72251">
              <w:rPr>
                <w:lang w:val="bg-BG"/>
              </w:rPr>
              <w:t>нередовностите</w:t>
            </w:r>
            <w:proofErr w:type="spellEnd"/>
            <w:r w:rsidRPr="00B72251">
              <w:rPr>
                <w:lang w:val="bg-BG"/>
              </w:rPr>
              <w:t xml:space="preserve"> не може да води до подобряване на качеството на проектното предложение, проектно предложение № BG14MFOP001-4.093-0003 не отговаря на УК, поради което производството по него се прекратява.</w:t>
            </w:r>
          </w:p>
          <w:p w:rsidR="003D4F06" w:rsidRPr="003D4F06" w:rsidRDefault="003D4F06" w:rsidP="003D4F06">
            <w:pPr>
              <w:ind w:firstLine="720"/>
              <w:jc w:val="both"/>
              <w:rPr>
                <w:lang w:val="bg-BG"/>
              </w:rPr>
            </w:pPr>
            <w:r w:rsidRPr="00767302">
              <w:rPr>
                <w:lang w:val="bg-BG"/>
              </w:rPr>
              <w:t>Съгласно Приложение № 4 към Условията за кандидатстване, при несъответствие с някое от посочените изисквания, проектното</w:t>
            </w:r>
            <w:r w:rsidRPr="003D4F06">
              <w:rPr>
                <w:lang w:val="bg-BG"/>
              </w:rPr>
              <w:t xml:space="preserve"> предложение се отхвърля.</w:t>
            </w:r>
          </w:p>
          <w:p w:rsidR="003D4F06" w:rsidRPr="003D4F06" w:rsidRDefault="003D4F06" w:rsidP="003D4F06">
            <w:pPr>
              <w:ind w:firstLine="720"/>
              <w:jc w:val="both"/>
              <w:rPr>
                <w:lang w:val="bg-BG"/>
              </w:rPr>
            </w:pPr>
            <w:r w:rsidRPr="003D4F06">
              <w:rPr>
                <w:lang w:val="bg-BG"/>
              </w:rPr>
              <w:t>Поради изложените по-горе аргументи, проектно предложение с рег. № BG14MFOP001-4.093-0003 е включено в Списъка на проектните предложения, които не се допускат до етап Техническа и финансова оценка, по настоящата процедура.</w:t>
            </w:r>
          </w:p>
          <w:p w:rsidR="006748B6" w:rsidRPr="003D4F06" w:rsidRDefault="006748B6" w:rsidP="003D4F06">
            <w:pPr>
              <w:rPr>
                <w:b/>
                <w:lang w:val="bg-BG"/>
              </w:rPr>
            </w:pPr>
          </w:p>
        </w:tc>
      </w:tr>
      <w:tr w:rsidR="00025E58" w:rsidRPr="00723FE7" w:rsidTr="00B72251">
        <w:tc>
          <w:tcPr>
            <w:tcW w:w="468" w:type="dxa"/>
            <w:shd w:val="clear" w:color="auto" w:fill="auto"/>
          </w:tcPr>
          <w:p w:rsidR="00025E58" w:rsidRPr="003D4F06" w:rsidRDefault="00025E58" w:rsidP="00E756A6">
            <w:pPr>
              <w:jc w:val="center"/>
              <w:rPr>
                <w:b/>
                <w:lang w:val="bg-BG"/>
              </w:rPr>
            </w:pPr>
          </w:p>
          <w:p w:rsidR="00025E58" w:rsidRPr="003D4F06" w:rsidRDefault="00C97A10" w:rsidP="00E756A6">
            <w:pPr>
              <w:jc w:val="center"/>
              <w:rPr>
                <w:b/>
                <w:lang w:val="bg-BG"/>
              </w:rPr>
            </w:pPr>
            <w:r>
              <w:rPr>
                <w:b/>
                <w:lang w:val="bg-BG"/>
              </w:rPr>
              <w:t>2</w:t>
            </w:r>
            <w:r w:rsidR="00025E58" w:rsidRPr="003D4F06">
              <w:rPr>
                <w:b/>
                <w:lang w:val="bg-BG"/>
              </w:rPr>
              <w:t>.</w:t>
            </w:r>
          </w:p>
          <w:p w:rsidR="00025E58" w:rsidRPr="003D4F06" w:rsidRDefault="00025E58" w:rsidP="00E756A6">
            <w:pPr>
              <w:jc w:val="center"/>
              <w:rPr>
                <w:b/>
                <w:lang w:val="bg-BG"/>
              </w:rPr>
            </w:pPr>
          </w:p>
        </w:tc>
        <w:tc>
          <w:tcPr>
            <w:tcW w:w="1565" w:type="dxa"/>
            <w:shd w:val="clear" w:color="auto" w:fill="auto"/>
          </w:tcPr>
          <w:p w:rsidR="00025E58" w:rsidRPr="00270654" w:rsidRDefault="000475CA" w:rsidP="002703C2">
            <w:pPr>
              <w:jc w:val="center"/>
              <w:rPr>
                <w:b/>
                <w:lang w:val="bg-BG"/>
              </w:rPr>
            </w:pPr>
            <w:r w:rsidRPr="00270654">
              <w:rPr>
                <w:b/>
                <w:lang w:val="bg-BG"/>
              </w:rPr>
              <w:t>BG14MFOP001-4.093-0005</w:t>
            </w:r>
          </w:p>
        </w:tc>
        <w:tc>
          <w:tcPr>
            <w:tcW w:w="2034" w:type="dxa"/>
            <w:shd w:val="clear" w:color="auto" w:fill="auto"/>
          </w:tcPr>
          <w:p w:rsidR="000475CA" w:rsidRPr="00270654" w:rsidRDefault="000475CA" w:rsidP="00C97A10">
            <w:pPr>
              <w:jc w:val="center"/>
              <w:rPr>
                <w:b/>
                <w:color w:val="333333"/>
                <w:shd w:val="clear" w:color="auto" w:fill="FFFFFF"/>
                <w:lang w:val="bg-BG"/>
              </w:rPr>
            </w:pPr>
            <w:r w:rsidRPr="00270654">
              <w:rPr>
                <w:b/>
                <w:color w:val="333333"/>
                <w:shd w:val="clear" w:color="auto" w:fill="FFFFFF"/>
                <w:lang w:val="bg-BG"/>
              </w:rPr>
              <w:t>„</w:t>
            </w:r>
            <w:r w:rsidRPr="00270654">
              <w:rPr>
                <w:b/>
                <w:color w:val="333333"/>
                <w:shd w:val="clear" w:color="auto" w:fill="FFFFFF"/>
              </w:rPr>
              <w:t>ДИЗАЙН ЕКСПЕРТ ПРО</w:t>
            </w:r>
            <w:r w:rsidRPr="00270654">
              <w:rPr>
                <w:b/>
                <w:color w:val="333333"/>
                <w:shd w:val="clear" w:color="auto" w:fill="FFFFFF"/>
                <w:lang w:val="bg-BG"/>
              </w:rPr>
              <w:t xml:space="preserve">“ </w:t>
            </w:r>
            <w:r w:rsidRPr="00270654">
              <w:rPr>
                <w:b/>
                <w:color w:val="333333"/>
                <w:shd w:val="clear" w:color="auto" w:fill="FFFFFF"/>
              </w:rPr>
              <w:t>ЕООД</w:t>
            </w:r>
          </w:p>
          <w:p w:rsidR="00025E58" w:rsidRPr="00270654" w:rsidRDefault="000475CA" w:rsidP="00C97A10">
            <w:pPr>
              <w:jc w:val="center"/>
              <w:rPr>
                <w:b/>
                <w:lang w:val="bg-BG"/>
              </w:rPr>
            </w:pPr>
            <w:r w:rsidRPr="00270654">
              <w:rPr>
                <w:b/>
                <w:color w:val="333333"/>
                <w:shd w:val="clear" w:color="auto" w:fill="FFFFFF"/>
              </w:rPr>
              <w:t>(ЕИК: 204748413)</w:t>
            </w:r>
          </w:p>
        </w:tc>
        <w:tc>
          <w:tcPr>
            <w:tcW w:w="1801" w:type="dxa"/>
            <w:shd w:val="clear" w:color="auto" w:fill="auto"/>
          </w:tcPr>
          <w:p w:rsidR="00025E58" w:rsidRPr="00270654" w:rsidRDefault="000475CA" w:rsidP="00F73A86">
            <w:pPr>
              <w:jc w:val="center"/>
              <w:rPr>
                <w:b/>
                <w:lang w:val="bg-BG"/>
              </w:rPr>
            </w:pPr>
            <w:r w:rsidRPr="00270654">
              <w:rPr>
                <w:b/>
                <w:lang w:val="bg-BG"/>
              </w:rPr>
              <w:t>„</w:t>
            </w:r>
            <w:r w:rsidR="009C7362" w:rsidRPr="009C7362">
              <w:rPr>
                <w:b/>
                <w:lang w:val="bg-BG"/>
              </w:rPr>
              <w:t>Изграждане на търговски обект за преработка и пакетиране на кафе с.Аврен, община Аврен.</w:t>
            </w:r>
            <w:r w:rsidRPr="00270654">
              <w:rPr>
                <w:b/>
                <w:lang w:val="bg-BG"/>
              </w:rPr>
              <w:t>“</w:t>
            </w:r>
          </w:p>
        </w:tc>
        <w:tc>
          <w:tcPr>
            <w:tcW w:w="7645" w:type="dxa"/>
            <w:shd w:val="clear" w:color="auto" w:fill="auto"/>
          </w:tcPr>
          <w:p w:rsidR="000215B4" w:rsidRDefault="000215B4" w:rsidP="000215B4">
            <w:pPr>
              <w:spacing w:line="256" w:lineRule="auto"/>
              <w:ind w:firstLine="720"/>
              <w:jc w:val="both"/>
              <w:rPr>
                <w:lang w:val="bg-BG"/>
              </w:rPr>
            </w:pPr>
            <w:r>
              <w:rPr>
                <w:lang w:val="bg-BG"/>
              </w:rPr>
              <w:t xml:space="preserve">След извършване на оценка за административно съответствие и допустимост на проектно предложение № </w:t>
            </w:r>
            <w:r w:rsidRPr="00D30F4B">
              <w:rPr>
                <w:lang w:val="bg-BG"/>
              </w:rPr>
              <w:t>BG14MFOP001-4.09</w:t>
            </w:r>
            <w:r>
              <w:rPr>
                <w:lang w:val="bg-BG"/>
              </w:rPr>
              <w:t>3</w:t>
            </w:r>
            <w:r w:rsidRPr="00D30F4B">
              <w:rPr>
                <w:lang w:val="bg-BG"/>
              </w:rPr>
              <w:t>-000</w:t>
            </w:r>
            <w:r>
              <w:rPr>
                <w:lang w:val="bg-BG"/>
              </w:rPr>
              <w:t xml:space="preserve">5 съгласно чл. 29, ал. 2, т. 1, б. „а“ от </w:t>
            </w:r>
            <w:r w:rsidRPr="00AB0453">
              <w:rPr>
                <w:lang w:val="bg-BG"/>
              </w:rPr>
              <w:t>Закона за управление на средствата от Европейските фондове при споделено управление (Загл. изм. - ДВ, бр. 51 от 2022 г., в сила от 01.07.2022 г.) (ЗУСЕФСУ) във връзка с § 70 от Преходните и заключителни разпоредби към ЗИД на ЗУСЕСИФ (</w:t>
            </w:r>
            <w:proofErr w:type="spellStart"/>
            <w:r w:rsidRPr="00AB0453">
              <w:rPr>
                <w:lang w:val="bg-BG"/>
              </w:rPr>
              <w:t>Обн</w:t>
            </w:r>
            <w:proofErr w:type="spellEnd"/>
            <w:r w:rsidRPr="00AB0453">
              <w:rPr>
                <w:lang w:val="bg-BG"/>
              </w:rPr>
              <w:t>. ДВ, бр. 51 от 2022 г.)</w:t>
            </w:r>
            <w:r>
              <w:rPr>
                <w:lang w:val="bg-BG"/>
              </w:rPr>
              <w:t xml:space="preserve">, е установено следното: </w:t>
            </w:r>
          </w:p>
          <w:p w:rsidR="000215B4" w:rsidRPr="00C667F9" w:rsidRDefault="000215B4" w:rsidP="000215B4">
            <w:pPr>
              <w:spacing w:line="256" w:lineRule="auto"/>
              <w:ind w:firstLine="720"/>
              <w:jc w:val="both"/>
              <w:rPr>
                <w:i/>
                <w:lang w:val="bg-BG"/>
              </w:rPr>
            </w:pPr>
            <w:r w:rsidRPr="00EC1D13">
              <w:rPr>
                <w:lang w:val="bg-BG"/>
              </w:rPr>
              <w:t xml:space="preserve">След </w:t>
            </w:r>
            <w:r>
              <w:rPr>
                <w:lang w:val="bg-BG"/>
              </w:rPr>
              <w:t xml:space="preserve">анализ на </w:t>
            </w:r>
            <w:r w:rsidRPr="00EC1D13">
              <w:rPr>
                <w:lang w:val="bg-BG"/>
              </w:rPr>
              <w:t xml:space="preserve">данните за разходите в бизнес плана съгласно т. </w:t>
            </w:r>
            <w:r>
              <w:rPr>
                <w:lang w:val="bg-BG"/>
              </w:rPr>
              <w:t>4</w:t>
            </w:r>
            <w:r w:rsidRPr="00EC1D13">
              <w:rPr>
                <w:lang w:val="bg-BG"/>
              </w:rPr>
              <w:t xml:space="preserve"> от раздел 24 на </w:t>
            </w:r>
            <w:r>
              <w:rPr>
                <w:lang w:val="bg-BG"/>
              </w:rPr>
              <w:t>Условията за кандидатстване (</w:t>
            </w:r>
            <w:r w:rsidRPr="00EC1D13">
              <w:rPr>
                <w:lang w:val="bg-BG"/>
              </w:rPr>
              <w:t>УК</w:t>
            </w:r>
            <w:r>
              <w:rPr>
                <w:lang w:val="bg-BG"/>
              </w:rPr>
              <w:t>)</w:t>
            </w:r>
            <w:r w:rsidRPr="00EC1D13">
              <w:rPr>
                <w:lang w:val="bg-BG"/>
              </w:rPr>
              <w:t xml:space="preserve">: </w:t>
            </w:r>
            <w:r w:rsidRPr="00C667F9">
              <w:rPr>
                <w:i/>
                <w:lang w:val="bg-BG"/>
              </w:rPr>
              <w:t xml:space="preserve">„За проверка на цените на прогнозните разходи, заложени от кандидатите в бизнес плановете им, УО на ПМДР прилага следния подход: </w:t>
            </w:r>
          </w:p>
          <w:p w:rsidR="000215B4" w:rsidRPr="00C667F9" w:rsidRDefault="000215B4" w:rsidP="000215B4">
            <w:pPr>
              <w:spacing w:line="256" w:lineRule="auto"/>
              <w:ind w:firstLine="720"/>
              <w:jc w:val="both"/>
              <w:rPr>
                <w:i/>
                <w:lang w:val="bg-BG"/>
              </w:rPr>
            </w:pPr>
            <w:r w:rsidRPr="00C667F9">
              <w:rPr>
                <w:i/>
                <w:lang w:val="bg-BG"/>
              </w:rPr>
              <w:t>Оценителите проверяват поне 50% от прогнозните разходи, заложени в бизнес плана, които съответстват на  основните категории разходи като електричество, вода, заплати и (в случай на необходимост) амортизации и наеми и др. Ако гореспоменатите разходи не покриват 50% от разходите, заложени в бизнес плана за разликата до 50% се избират още оперативни разходи, включени в себестойността на продукцията.</w:t>
            </w:r>
          </w:p>
          <w:p w:rsidR="000215B4" w:rsidRDefault="000215B4" w:rsidP="000215B4">
            <w:pPr>
              <w:spacing w:line="256" w:lineRule="auto"/>
              <w:ind w:firstLine="720"/>
              <w:jc w:val="both"/>
              <w:rPr>
                <w:i/>
                <w:lang w:val="bg-BG"/>
              </w:rPr>
            </w:pPr>
            <w:r w:rsidRPr="00C667F9">
              <w:rPr>
                <w:i/>
                <w:lang w:val="bg-BG"/>
              </w:rPr>
              <w:t>-</w:t>
            </w:r>
            <w:r w:rsidRPr="00C667F9">
              <w:rPr>
                <w:i/>
                <w:lang w:val="bg-BG"/>
              </w:rPr>
              <w:tab/>
              <w:t xml:space="preserve">за разходи за ток, вода, заплати, амортизации и наеми оценителите ползват при проверката референтни цени или индекс от официална интернет страница,  утвърдени цени на национално ниво, данъчно признатият размер на разходите за амортизация, минимални разходи за работна заплата, изчислени на базата на минималния осигурителен доход по основни икономически дейности и квалификационни групи професии. В случай че бенефициентът представи </w:t>
            </w:r>
          </w:p>
          <w:p w:rsidR="000215B4" w:rsidRPr="00C667F9" w:rsidRDefault="000215B4" w:rsidP="000215B4">
            <w:pPr>
              <w:spacing w:line="256" w:lineRule="auto"/>
              <w:ind w:firstLine="720"/>
              <w:jc w:val="both"/>
              <w:rPr>
                <w:i/>
                <w:lang w:val="bg-BG"/>
              </w:rPr>
            </w:pPr>
            <w:r w:rsidRPr="00C667F9">
              <w:rPr>
                <w:i/>
                <w:lang w:val="bg-BG"/>
              </w:rPr>
              <w:t>-</w:t>
            </w:r>
            <w:r w:rsidRPr="00C667F9">
              <w:rPr>
                <w:i/>
                <w:lang w:val="bg-BG"/>
              </w:rPr>
              <w:tab/>
              <w:t xml:space="preserve">предварителен договор с електроразпределително дружество или ВИК се признават цените по договора. </w:t>
            </w:r>
          </w:p>
          <w:p w:rsidR="000215B4" w:rsidRDefault="000215B4" w:rsidP="000215B4">
            <w:pPr>
              <w:spacing w:line="256" w:lineRule="auto"/>
              <w:ind w:firstLine="720"/>
              <w:jc w:val="both"/>
              <w:rPr>
                <w:lang w:val="bg-BG"/>
              </w:rPr>
            </w:pPr>
            <w:r w:rsidRPr="00C667F9">
              <w:rPr>
                <w:i/>
                <w:lang w:val="bg-BG"/>
              </w:rPr>
              <w:t>-</w:t>
            </w:r>
            <w:r w:rsidRPr="00C667F9">
              <w:rPr>
                <w:i/>
                <w:lang w:val="bg-BG"/>
              </w:rPr>
              <w:tab/>
              <w:t xml:space="preserve">за останалите оперативни разходи (без суровина) до 50%, се извършва пазарно проучване от произволни интернет страници и се изчислява средна пазарна цена,. Когато се установи, че цените на заложените оперативни разходи в бизнес плана на кандидата не отговарят на изчислената средна пазарна цена, получена на база интернет проучване, се допуска възможно отклонение до 30% от изчислената средна пазарна цена“ </w:t>
            </w:r>
            <w:r w:rsidRPr="00B84AA1">
              <w:rPr>
                <w:lang w:val="bg-BG"/>
              </w:rPr>
              <w:t>и в резултат</w:t>
            </w:r>
            <w:r w:rsidRPr="00EC1D13">
              <w:rPr>
                <w:lang w:val="bg-BG"/>
              </w:rPr>
              <w:t xml:space="preserve"> на извършените изчисления</w:t>
            </w:r>
            <w:r>
              <w:rPr>
                <w:lang w:val="bg-BG"/>
              </w:rPr>
              <w:t xml:space="preserve"> на представените данни от кандидата,</w:t>
            </w:r>
            <w:r w:rsidRPr="00EC1D13">
              <w:rPr>
                <w:lang w:val="bg-BG"/>
              </w:rPr>
              <w:t xml:space="preserve"> бизнес планът не показва икономическа жизнеспособност. </w:t>
            </w:r>
          </w:p>
          <w:p w:rsidR="00AA1B6A" w:rsidRDefault="00AA1B6A" w:rsidP="000215B4">
            <w:pPr>
              <w:spacing w:after="160" w:line="256" w:lineRule="auto"/>
              <w:ind w:firstLine="720"/>
              <w:jc w:val="both"/>
              <w:rPr>
                <w:lang w:val="en-US"/>
              </w:rPr>
            </w:pPr>
          </w:p>
          <w:p w:rsidR="000215B4" w:rsidRDefault="000215B4" w:rsidP="000215B4">
            <w:pPr>
              <w:spacing w:after="160" w:line="256" w:lineRule="auto"/>
              <w:ind w:firstLine="720"/>
              <w:jc w:val="both"/>
              <w:rPr>
                <w:lang w:val="bg-BG"/>
              </w:rPr>
            </w:pPr>
            <w:r>
              <w:rPr>
                <w:lang w:val="bg-BG"/>
              </w:rPr>
              <w:t>От представените данни</w:t>
            </w:r>
            <w:r w:rsidR="006309F8">
              <w:rPr>
                <w:lang w:val="bg-BG"/>
              </w:rPr>
              <w:t xml:space="preserve"> от кандидата от първата до петата година</w:t>
            </w:r>
            <w:r>
              <w:rPr>
                <w:lang w:val="bg-BG"/>
              </w:rPr>
              <w:t xml:space="preserve"> и направените изчисления е видно, че размерът на разходите е по-голям </w:t>
            </w:r>
            <w:r w:rsidRPr="00AB0453">
              <w:rPr>
                <w:lang w:val="bg-BG"/>
              </w:rPr>
              <w:t xml:space="preserve">от размера на заложените приходи </w:t>
            </w:r>
            <w:r>
              <w:rPr>
                <w:lang w:val="bg-BG"/>
              </w:rPr>
              <w:t xml:space="preserve">през три от общо петте прогнозни години. </w:t>
            </w:r>
          </w:p>
          <w:p w:rsidR="000215B4" w:rsidRPr="00B84AA1" w:rsidRDefault="000215B4" w:rsidP="000215B4">
            <w:pPr>
              <w:spacing w:after="160" w:line="256" w:lineRule="auto"/>
              <w:ind w:firstLine="720"/>
              <w:jc w:val="both"/>
              <w:rPr>
                <w:i/>
                <w:lang w:val="bg-BG"/>
              </w:rPr>
            </w:pPr>
            <w:r w:rsidRPr="00682F64">
              <w:rPr>
                <w:lang w:val="bg-BG"/>
              </w:rPr>
              <w:t>Сума</w:t>
            </w:r>
            <w:r>
              <w:rPr>
                <w:lang w:val="bg-BG"/>
              </w:rPr>
              <w:t>та</w:t>
            </w:r>
            <w:r w:rsidRPr="00682F64">
              <w:rPr>
                <w:lang w:val="bg-BG"/>
              </w:rPr>
              <w:t xml:space="preserve"> на </w:t>
            </w:r>
            <w:proofErr w:type="spellStart"/>
            <w:r w:rsidRPr="00682F64">
              <w:rPr>
                <w:lang w:val="bg-BG"/>
              </w:rPr>
              <w:t>дисконтираните</w:t>
            </w:r>
            <w:proofErr w:type="spellEnd"/>
            <w:r w:rsidRPr="00682F64">
              <w:rPr>
                <w:lang w:val="bg-BG"/>
              </w:rPr>
              <w:t xml:space="preserve"> парични потоци</w:t>
            </w:r>
            <w:r>
              <w:rPr>
                <w:lang w:val="bg-BG"/>
              </w:rPr>
              <w:t xml:space="preserve"> за периода на бизнес плана е равна на </w:t>
            </w:r>
            <w:r w:rsidRPr="00AB0453">
              <w:rPr>
                <w:lang w:val="bg-BG"/>
              </w:rPr>
              <w:t xml:space="preserve">188 698,68 </w:t>
            </w:r>
            <w:r>
              <w:rPr>
                <w:lang w:val="bg-BG"/>
              </w:rPr>
              <w:t xml:space="preserve">лева. </w:t>
            </w:r>
            <w:r w:rsidRPr="00682F64">
              <w:rPr>
                <w:lang w:val="bg-BG"/>
              </w:rPr>
              <w:t>Сума</w:t>
            </w:r>
            <w:r>
              <w:rPr>
                <w:lang w:val="bg-BG"/>
              </w:rPr>
              <w:t>та</w:t>
            </w:r>
            <w:r w:rsidRPr="00682F64">
              <w:rPr>
                <w:lang w:val="bg-BG"/>
              </w:rPr>
              <w:t xml:space="preserve"> на инвестицията </w:t>
            </w:r>
            <w:r>
              <w:rPr>
                <w:lang w:val="bg-BG"/>
              </w:rPr>
              <w:t xml:space="preserve">е равна на </w:t>
            </w:r>
            <w:r w:rsidRPr="00AB0453">
              <w:rPr>
                <w:lang w:val="bg-BG"/>
              </w:rPr>
              <w:t xml:space="preserve">199 305,00 </w:t>
            </w:r>
            <w:r>
              <w:rPr>
                <w:lang w:val="bg-BG"/>
              </w:rPr>
              <w:t>лева, в резултат на което Н</w:t>
            </w:r>
            <w:r w:rsidRPr="00EC1D13">
              <w:rPr>
                <w:lang w:val="bg-BG"/>
              </w:rPr>
              <w:t xml:space="preserve">етната настояща стойност е </w:t>
            </w:r>
            <w:r>
              <w:rPr>
                <w:lang w:val="bg-BG"/>
              </w:rPr>
              <w:t xml:space="preserve">с </w:t>
            </w:r>
            <w:r w:rsidRPr="00EC1D13">
              <w:rPr>
                <w:lang w:val="bg-BG"/>
              </w:rPr>
              <w:t>отрицател</w:t>
            </w:r>
            <w:r>
              <w:rPr>
                <w:lang w:val="bg-BG"/>
              </w:rPr>
              <w:t xml:space="preserve">ен знак и се равнява на </w:t>
            </w:r>
            <w:r w:rsidRPr="00AB0453">
              <w:rPr>
                <w:lang w:val="bg-BG"/>
              </w:rPr>
              <w:t xml:space="preserve">-10 606,32 </w:t>
            </w:r>
            <w:r>
              <w:rPr>
                <w:lang w:val="bg-BG"/>
              </w:rPr>
              <w:t>лева</w:t>
            </w:r>
            <w:r w:rsidRPr="00EC1D13">
              <w:rPr>
                <w:lang w:val="bg-BG"/>
              </w:rPr>
              <w:t xml:space="preserve">. </w:t>
            </w:r>
          </w:p>
          <w:p w:rsidR="000215B4" w:rsidRDefault="000215B4" w:rsidP="000215B4">
            <w:pPr>
              <w:spacing w:line="256" w:lineRule="auto"/>
              <w:ind w:firstLine="720"/>
              <w:jc w:val="both"/>
              <w:rPr>
                <w:lang w:val="bg-BG"/>
              </w:rPr>
            </w:pPr>
            <w:r w:rsidRPr="00EC1D13">
              <w:rPr>
                <w:lang w:val="bg-BG"/>
              </w:rPr>
              <w:t xml:space="preserve">Във връзка с </w:t>
            </w:r>
            <w:r>
              <w:rPr>
                <w:lang w:val="bg-BG"/>
              </w:rPr>
              <w:t>горнот</w:t>
            </w:r>
            <w:r w:rsidRPr="00EC1D13">
              <w:rPr>
                <w:lang w:val="bg-BG"/>
              </w:rPr>
              <w:t xml:space="preserve">о, </w:t>
            </w:r>
            <w:r>
              <w:rPr>
                <w:lang w:val="bg-BG"/>
              </w:rPr>
              <w:t>проектното предложение</w:t>
            </w:r>
            <w:r w:rsidRPr="00EC1D13">
              <w:rPr>
                <w:lang w:val="bg-BG"/>
              </w:rPr>
              <w:t xml:space="preserve"> не отговаря </w:t>
            </w:r>
            <w:r>
              <w:rPr>
                <w:lang w:val="bg-BG"/>
              </w:rPr>
              <w:t>на Критерий № 16</w:t>
            </w:r>
            <w:r w:rsidRPr="00DF68D6">
              <w:rPr>
                <w:lang w:val="bg-BG"/>
              </w:rPr>
              <w:t xml:space="preserve"> „Проект</w:t>
            </w:r>
            <w:r>
              <w:rPr>
                <w:lang w:val="bg-BG"/>
              </w:rPr>
              <w:t>ът е икономически жизнеспособен</w:t>
            </w:r>
            <w:r w:rsidRPr="00DF68D6">
              <w:rPr>
                <w:lang w:val="bg-BG"/>
              </w:rPr>
              <w:t>“ от Приложение 4 „Критерии и методология за оценка на проектните предложения по Процедура за подбор на проекти BG14MFOP001-4.002.093-МИРГ БЧС Бяла-Долни чифлик-Аврен</w:t>
            </w:r>
            <w:r w:rsidR="00426586">
              <w:rPr>
                <w:lang w:val="bg-BG"/>
              </w:rPr>
              <w:t>,</w:t>
            </w:r>
            <w:r w:rsidRPr="00DF68D6">
              <w:rPr>
                <w:lang w:val="bg-BG"/>
              </w:rPr>
              <w:t xml:space="preserve"> </w:t>
            </w:r>
            <w:r w:rsidR="00426586">
              <w:rPr>
                <w:lang w:val="bg-BG"/>
              </w:rPr>
              <w:t>м</w:t>
            </w:r>
            <w:r w:rsidRPr="00DF68D6">
              <w:rPr>
                <w:lang w:val="bg-BG"/>
              </w:rPr>
              <w:t>ярка 2</w:t>
            </w:r>
            <w:r w:rsidR="00426586">
              <w:rPr>
                <w:lang w:val="bg-BG"/>
              </w:rPr>
              <w:t xml:space="preserve"> „</w:t>
            </w:r>
            <w:r w:rsidRPr="00DF68D6">
              <w:rPr>
                <w:lang w:val="bg-BG"/>
              </w:rPr>
              <w:t xml:space="preserve">Подкрепа за инвестиции в дейности алтернативни на рибарството и </w:t>
            </w:r>
            <w:proofErr w:type="spellStart"/>
            <w:r w:rsidRPr="00DF68D6">
              <w:rPr>
                <w:lang w:val="bg-BG"/>
              </w:rPr>
              <w:t>аквакултурите</w:t>
            </w:r>
            <w:proofErr w:type="spellEnd"/>
            <w:r w:rsidRPr="00DF68D6">
              <w:rPr>
                <w:lang w:val="bg-BG"/>
              </w:rPr>
              <w:t xml:space="preserve"> в други сектори на морската икономика, предимно в туризъм и развитие на туристически атракции с цел създаване на работни места”.</w:t>
            </w:r>
          </w:p>
          <w:p w:rsidR="000215B4" w:rsidRPr="00682F64" w:rsidRDefault="000215B4" w:rsidP="000215B4">
            <w:pPr>
              <w:spacing w:line="256" w:lineRule="auto"/>
              <w:ind w:firstLine="720"/>
              <w:jc w:val="both"/>
              <w:rPr>
                <w:i/>
                <w:lang w:val="bg-BG"/>
              </w:rPr>
            </w:pPr>
            <w:r>
              <w:rPr>
                <w:lang w:val="bg-BG"/>
              </w:rPr>
              <w:t xml:space="preserve">Проектното предложение не отговаря също </w:t>
            </w:r>
            <w:r w:rsidRPr="00EC1D13">
              <w:rPr>
                <w:lang w:val="bg-BG"/>
              </w:rPr>
              <w:t xml:space="preserve">на </w:t>
            </w:r>
            <w:r>
              <w:rPr>
                <w:lang w:val="bg-BG"/>
              </w:rPr>
              <w:t xml:space="preserve">разпоредбите </w:t>
            </w:r>
            <w:r w:rsidRPr="00682F64">
              <w:rPr>
                <w:lang w:val="bg-BG"/>
              </w:rPr>
              <w:t>на РЕГЛАМЕНТ (ЕС) № 508/2014 НА ЕВРОПЕЙСКИЯ ПАРЛАМЕНТ И НА СЪВЕТА от 15 май 2014 година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w:t>
            </w:r>
            <w:r>
              <w:rPr>
                <w:i/>
                <w:lang w:val="bg-BG"/>
              </w:rPr>
              <w:t xml:space="preserve"> </w:t>
            </w:r>
            <w:r>
              <w:rPr>
                <w:lang w:val="bg-BG"/>
              </w:rPr>
              <w:t xml:space="preserve">Съгласно чл. 5, буква „а“ от </w:t>
            </w:r>
            <w:r w:rsidRPr="00BE3424">
              <w:rPr>
                <w:lang w:val="bg-BG"/>
              </w:rPr>
              <w:t xml:space="preserve">Регламент (ЕС) № </w:t>
            </w:r>
            <w:r>
              <w:rPr>
                <w:lang w:val="bg-BG"/>
              </w:rPr>
              <w:t>508</w:t>
            </w:r>
            <w:r w:rsidRPr="00BE3424">
              <w:rPr>
                <w:lang w:val="bg-BG"/>
              </w:rPr>
              <w:t>/201</w:t>
            </w:r>
            <w:r>
              <w:rPr>
                <w:lang w:val="bg-BG"/>
              </w:rPr>
              <w:t>4: „</w:t>
            </w:r>
            <w:r w:rsidRPr="00682F64">
              <w:rPr>
                <w:i/>
                <w:lang w:val="bg-BG"/>
              </w:rPr>
              <w:t>ЕФМДР допринася за постигането на следните цели:</w:t>
            </w:r>
          </w:p>
          <w:p w:rsidR="000215B4" w:rsidRDefault="000215B4" w:rsidP="000215B4">
            <w:pPr>
              <w:spacing w:line="256" w:lineRule="auto"/>
              <w:ind w:firstLine="720"/>
              <w:jc w:val="both"/>
              <w:rPr>
                <w:i/>
                <w:lang w:val="bg-BG"/>
              </w:rPr>
            </w:pPr>
            <w:r w:rsidRPr="00682F64">
              <w:rPr>
                <w:i/>
                <w:lang w:val="bg-BG"/>
              </w:rPr>
              <w:t xml:space="preserve">а) насърчаване на конкурентоспособни, устойчиви в екологично отношение, </w:t>
            </w:r>
            <w:r w:rsidRPr="00682F64">
              <w:rPr>
                <w:i/>
                <w:u w:val="single"/>
                <w:lang w:val="bg-BG"/>
              </w:rPr>
              <w:t>икономически жизнеспособни</w:t>
            </w:r>
            <w:r w:rsidRPr="00682F64">
              <w:rPr>
                <w:i/>
                <w:lang w:val="bg-BG"/>
              </w:rPr>
              <w:t xml:space="preserve"> и социално</w:t>
            </w:r>
            <w:r>
              <w:rPr>
                <w:i/>
                <w:lang w:val="bg-BG"/>
              </w:rPr>
              <w:t xml:space="preserve"> </w:t>
            </w:r>
            <w:r w:rsidRPr="00682F64">
              <w:rPr>
                <w:i/>
                <w:lang w:val="bg-BG"/>
              </w:rPr>
              <w:t xml:space="preserve">отговорни рибарство и </w:t>
            </w:r>
            <w:proofErr w:type="spellStart"/>
            <w:r w:rsidRPr="00682F64">
              <w:rPr>
                <w:i/>
                <w:lang w:val="bg-BG"/>
              </w:rPr>
              <w:t>аквакултури</w:t>
            </w:r>
            <w:proofErr w:type="spellEnd"/>
            <w:r w:rsidRPr="00BE3424">
              <w:rPr>
                <w:i/>
                <w:lang w:val="bg-BG"/>
              </w:rPr>
              <w:t>.</w:t>
            </w:r>
            <w:r>
              <w:rPr>
                <w:i/>
                <w:lang w:val="bg-BG"/>
              </w:rPr>
              <w:t>“</w:t>
            </w:r>
          </w:p>
          <w:p w:rsidR="000215B4" w:rsidRDefault="000215B4" w:rsidP="000215B4">
            <w:pPr>
              <w:ind w:firstLine="720"/>
              <w:jc w:val="both"/>
              <w:rPr>
                <w:lang w:val="bg-BG"/>
              </w:rPr>
            </w:pPr>
            <w:r w:rsidRPr="005C50BC">
              <w:rPr>
                <w:lang w:val="bg-BG"/>
              </w:rPr>
              <w:t>Въз основа на извършената проверка за административно съответствие и допустимост</w:t>
            </w:r>
            <w:r>
              <w:rPr>
                <w:lang w:val="bg-BG"/>
              </w:rPr>
              <w:t xml:space="preserve"> и икономическата нежизнеспособност, </w:t>
            </w:r>
            <w:r w:rsidRPr="005C50BC">
              <w:rPr>
                <w:lang w:val="bg-BG"/>
              </w:rPr>
              <w:t xml:space="preserve">комисията </w:t>
            </w:r>
            <w:r w:rsidRPr="00002D3D">
              <w:rPr>
                <w:lang w:val="bg-BG"/>
              </w:rPr>
              <w:t xml:space="preserve">предлага </w:t>
            </w:r>
            <w:r>
              <w:rPr>
                <w:lang w:val="bg-BG"/>
              </w:rPr>
              <w:t xml:space="preserve">проектно предложение № </w:t>
            </w:r>
            <w:r w:rsidRPr="00D30F4B">
              <w:rPr>
                <w:lang w:val="bg-BG"/>
              </w:rPr>
              <w:t>BG14MFOP001-4.09</w:t>
            </w:r>
            <w:r>
              <w:rPr>
                <w:lang w:val="bg-BG"/>
              </w:rPr>
              <w:t>3</w:t>
            </w:r>
            <w:r w:rsidRPr="00D30F4B">
              <w:rPr>
                <w:lang w:val="bg-BG"/>
              </w:rPr>
              <w:t>-000</w:t>
            </w:r>
            <w:r>
              <w:rPr>
                <w:lang w:val="bg-BG"/>
              </w:rPr>
              <w:t xml:space="preserve">5 </w:t>
            </w:r>
            <w:r w:rsidRPr="00002D3D">
              <w:rPr>
                <w:lang w:val="bg-BG"/>
              </w:rPr>
              <w:t xml:space="preserve">за отхвърляне на основание </w:t>
            </w:r>
            <w:proofErr w:type="spellStart"/>
            <w:r>
              <w:t>чл</w:t>
            </w:r>
            <w:proofErr w:type="spellEnd"/>
            <w:r>
              <w:t>.</w:t>
            </w:r>
            <w:r>
              <w:rPr>
                <w:lang w:val="bg-BG"/>
              </w:rPr>
              <w:t xml:space="preserve"> </w:t>
            </w:r>
            <w:r>
              <w:t>29</w:t>
            </w:r>
            <w:r>
              <w:rPr>
                <w:lang w:val="bg-BG"/>
              </w:rPr>
              <w:t>,</w:t>
            </w:r>
            <w:r>
              <w:t xml:space="preserve"> </w:t>
            </w:r>
            <w:proofErr w:type="spellStart"/>
            <w:r>
              <w:t>ал</w:t>
            </w:r>
            <w:proofErr w:type="spellEnd"/>
            <w:r>
              <w:t>.</w:t>
            </w:r>
            <w:r>
              <w:rPr>
                <w:lang w:val="bg-BG"/>
              </w:rPr>
              <w:t xml:space="preserve"> </w:t>
            </w:r>
            <w:r>
              <w:t>2</w:t>
            </w:r>
            <w:r>
              <w:rPr>
                <w:lang w:val="bg-BG"/>
              </w:rPr>
              <w:t>,</w:t>
            </w:r>
            <w:r>
              <w:t xml:space="preserve"> т.</w:t>
            </w:r>
            <w:r>
              <w:rPr>
                <w:lang w:val="bg-BG"/>
              </w:rPr>
              <w:t xml:space="preserve"> </w:t>
            </w:r>
            <w:r>
              <w:t>3</w:t>
            </w:r>
            <w:r>
              <w:rPr>
                <w:lang w:val="bg-BG"/>
              </w:rPr>
              <w:t xml:space="preserve"> и </w:t>
            </w:r>
            <w:r w:rsidRPr="00002D3D">
              <w:rPr>
                <w:lang w:val="bg-BG"/>
              </w:rPr>
              <w:t xml:space="preserve">чл. 34, ал. 1 от </w:t>
            </w:r>
            <w:r w:rsidR="00426586" w:rsidRPr="00DF68D6">
              <w:rPr>
                <w:lang w:val="bg-BG"/>
              </w:rPr>
              <w:t>ЗУСЕФСУ)</w:t>
            </w:r>
            <w:r w:rsidRPr="00002D3D">
              <w:rPr>
                <w:lang w:val="bg-BG"/>
              </w:rPr>
              <w:t>.</w:t>
            </w:r>
          </w:p>
          <w:p w:rsidR="000215B4" w:rsidRPr="00DF68D6" w:rsidRDefault="000215B4" w:rsidP="000215B4">
            <w:pPr>
              <w:ind w:firstLine="720"/>
              <w:jc w:val="both"/>
              <w:rPr>
                <w:lang w:val="bg-BG"/>
              </w:rPr>
            </w:pPr>
            <w:r w:rsidRPr="00DF68D6">
              <w:rPr>
                <w:lang w:val="bg-BG"/>
              </w:rPr>
              <w:t xml:space="preserve">В допълнение на горепосоченото и съгласно раздел 24. „Списък на документите, които се подават на етап кандидатстване“ от УК: „Отстраняването на </w:t>
            </w:r>
            <w:proofErr w:type="spellStart"/>
            <w:r w:rsidRPr="00DF68D6">
              <w:rPr>
                <w:lang w:val="bg-BG"/>
              </w:rPr>
              <w:t>нередовностите</w:t>
            </w:r>
            <w:proofErr w:type="spellEnd"/>
            <w:r w:rsidRPr="00DF68D6">
              <w:rPr>
                <w:lang w:val="bg-BG"/>
              </w:rPr>
              <w:t xml:space="preserve"> в никакъв случай и при никакви обстоятелства не трябва да води до подобряване на качеството на проектните предложения“. В тази връзка, предоставянето на нов бизнес план би довело до подобряване на качеството на проектното предложение и би било в разрез с УК по настоящата процедура и би довело до неспазване на Критерий № 10 „Отстраняването на </w:t>
            </w:r>
            <w:proofErr w:type="spellStart"/>
            <w:r w:rsidRPr="00DF68D6">
              <w:rPr>
                <w:lang w:val="bg-BG"/>
              </w:rPr>
              <w:t>нередовностите</w:t>
            </w:r>
            <w:proofErr w:type="spellEnd"/>
            <w:r w:rsidRPr="00DF68D6">
              <w:rPr>
                <w:lang w:val="bg-BG"/>
              </w:rPr>
              <w:t xml:space="preserve"> по проектното предложение не е довело до подобряване на качеството му“ от Приложение № 4 „Критерии и методология за оценка на проектните предложения по Процедура за подбор на проекти BG14MFOP001-4.093-МИРГ БЧС Бяла-Долни чифлик-Аврен</w:t>
            </w:r>
            <w:r w:rsidR="007509A4">
              <w:rPr>
                <w:lang w:val="bg-BG"/>
              </w:rPr>
              <w:t>,</w:t>
            </w:r>
            <w:r w:rsidRPr="00DF68D6">
              <w:rPr>
                <w:lang w:val="bg-BG"/>
              </w:rPr>
              <w:t xml:space="preserve"> </w:t>
            </w:r>
            <w:r w:rsidR="007509A4">
              <w:rPr>
                <w:lang w:val="bg-BG"/>
              </w:rPr>
              <w:t>м</w:t>
            </w:r>
            <w:r w:rsidRPr="00DF68D6">
              <w:rPr>
                <w:lang w:val="bg-BG"/>
              </w:rPr>
              <w:t xml:space="preserve">ярка 2. Подкрепа за инвестиции в дейности алтернативни на рибарството и </w:t>
            </w:r>
            <w:proofErr w:type="spellStart"/>
            <w:r w:rsidRPr="00DF68D6">
              <w:rPr>
                <w:lang w:val="bg-BG"/>
              </w:rPr>
              <w:t>аквакултурите</w:t>
            </w:r>
            <w:proofErr w:type="spellEnd"/>
            <w:r w:rsidRPr="00DF68D6">
              <w:rPr>
                <w:lang w:val="bg-BG"/>
              </w:rPr>
              <w:t xml:space="preserve"> в други сектори на морската икономика, предимно в туризъм и развитие на туристически атракции с цел създаване на работни места“.</w:t>
            </w:r>
          </w:p>
          <w:p w:rsidR="000215B4" w:rsidRPr="00002D3D" w:rsidRDefault="000215B4" w:rsidP="000215B4">
            <w:pPr>
              <w:ind w:firstLine="720"/>
              <w:jc w:val="both"/>
              <w:rPr>
                <w:lang w:val="bg-BG"/>
              </w:rPr>
            </w:pPr>
            <w:r w:rsidRPr="00DF68D6">
              <w:rPr>
                <w:lang w:val="bg-BG"/>
              </w:rPr>
              <w:t>Поради изложените по-горе аргументи, проектно предложение с рег. № BG14MFOP001-4.0</w:t>
            </w:r>
            <w:r>
              <w:rPr>
                <w:lang w:val="bg-BG"/>
              </w:rPr>
              <w:t>93-0005</w:t>
            </w:r>
            <w:r w:rsidRPr="00DF68D6">
              <w:rPr>
                <w:lang w:val="bg-BG"/>
              </w:rPr>
              <w:t xml:space="preserve"> е включено в Списъка на проектните предложения, които не се допускат до етап Техническа и финансова оценка, по настоящата процедура.</w:t>
            </w:r>
          </w:p>
          <w:p w:rsidR="00723FE7" w:rsidRPr="003D4F06" w:rsidRDefault="00723FE7" w:rsidP="000215B4">
            <w:pPr>
              <w:ind w:right="248"/>
              <w:jc w:val="both"/>
              <w:rPr>
                <w:highlight w:val="green"/>
                <w:lang w:val="bg-BG"/>
              </w:rPr>
            </w:pPr>
          </w:p>
        </w:tc>
      </w:tr>
    </w:tbl>
    <w:p w:rsidR="00025E58" w:rsidRDefault="00025E58">
      <w:pPr>
        <w:rPr>
          <w:lang w:val="bg-BG"/>
        </w:rPr>
      </w:pPr>
    </w:p>
    <w:p w:rsidR="00CD2ADF" w:rsidRPr="00CD2ADF" w:rsidRDefault="00CD2ADF" w:rsidP="000215B4">
      <w:pPr>
        <w:jc w:val="both"/>
        <w:rPr>
          <w:lang w:val="bg-BG"/>
        </w:rPr>
      </w:pPr>
      <w:r w:rsidRPr="00CD2ADF">
        <w:rPr>
          <w:lang w:val="bg-BG"/>
        </w:rPr>
        <w:t xml:space="preserve">ЗАБЕЛЕЖКА: </w:t>
      </w:r>
    </w:p>
    <w:p w:rsidR="00CD2ADF" w:rsidRPr="00CD2ADF" w:rsidRDefault="00CD2ADF" w:rsidP="000215B4">
      <w:pPr>
        <w:jc w:val="both"/>
        <w:rPr>
          <w:lang w:val="bg-BG"/>
        </w:rPr>
      </w:pPr>
      <w:r w:rsidRPr="00CD2ADF">
        <w:rPr>
          <w:lang w:val="bg-BG"/>
        </w:rPr>
        <w:t>Съгласно р</w:t>
      </w:r>
      <w:r w:rsidR="000E48E5">
        <w:rPr>
          <w:lang w:val="bg-BG"/>
        </w:rPr>
        <w:t>азпоредбите на чл. 34, ал. 3 от Закона за управление на средствата от Европейските фондове при споделено управление (Загл. изм. - ДВ, бр. 51 от 2022 г., в сила от 01.07.2022 г.</w:t>
      </w:r>
      <w:r w:rsidR="000E48E5">
        <w:t>) (</w:t>
      </w:r>
      <w:r w:rsidR="000E48E5">
        <w:rPr>
          <w:lang w:val="bg-BG"/>
        </w:rPr>
        <w:t>ЗУСЕФСУ</w:t>
      </w:r>
      <w:r w:rsidR="000E48E5">
        <w:t xml:space="preserve">) </w:t>
      </w:r>
      <w:r w:rsidR="000E48E5">
        <w:rPr>
          <w:color w:val="222222"/>
          <w:shd w:val="clear" w:color="auto" w:fill="FFFFFF"/>
          <w:lang w:val="bg-BG"/>
        </w:rPr>
        <w:t xml:space="preserve">и </w:t>
      </w:r>
      <w:r w:rsidR="000E48E5">
        <w:rPr>
          <w:lang w:val="bg-BG"/>
        </w:rPr>
        <w:t>§ 70 от Преходните и заключителни разпоредби към ЗИД на ЗУСЕСИФ</w:t>
      </w:r>
      <w:r w:rsidRPr="00CD2ADF">
        <w:rPr>
          <w:lang w:val="bg-BG"/>
        </w:rPr>
        <w:t>, кандидатите, чиито проектни предложения са предложени за отхвърляне на етап оценка на административното съответствие и допустимостта по горепосочената процедура, могат да подадат писмени възражения срещу предложението за отхвърлянето им пред Ръководителя на Управляващия орган, в едноседмичен срок от съобщаването.</w:t>
      </w:r>
    </w:p>
    <w:p w:rsidR="00CD2ADF" w:rsidRPr="00025E58" w:rsidRDefault="00CD2ADF" w:rsidP="000215B4">
      <w:pPr>
        <w:jc w:val="both"/>
        <w:rPr>
          <w:lang w:val="bg-BG"/>
        </w:rPr>
      </w:pPr>
    </w:p>
    <w:sectPr w:rsidR="00CD2ADF" w:rsidRPr="00025E58" w:rsidSect="00025E58">
      <w:pgSz w:w="15840" w:h="12240" w:orient="landscape"/>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G Mincho Light J">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60CB1"/>
    <w:multiLevelType w:val="hybridMultilevel"/>
    <w:tmpl w:val="37D40732"/>
    <w:lvl w:ilvl="0" w:tplc="63B236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5B2DCF"/>
    <w:multiLevelType w:val="hybridMultilevel"/>
    <w:tmpl w:val="78D04B20"/>
    <w:lvl w:ilvl="0" w:tplc="64463166">
      <w:start w:val="1"/>
      <w:numFmt w:val="lowerLetter"/>
      <w:lvlText w:val="%1)"/>
      <w:lvlJc w:val="left"/>
      <w:pPr>
        <w:ind w:left="795" w:hanging="37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42B60EDE"/>
    <w:multiLevelType w:val="hybridMultilevel"/>
    <w:tmpl w:val="F866EC32"/>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liya Stoilova">
    <w15:presenceInfo w15:providerId="AD" w15:userId="S-1-5-21-3673932534-3318588094-701912851-7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E58"/>
    <w:rsid w:val="000104BA"/>
    <w:rsid w:val="000215B4"/>
    <w:rsid w:val="00025E58"/>
    <w:rsid w:val="00044CEB"/>
    <w:rsid w:val="000475CA"/>
    <w:rsid w:val="000D61E5"/>
    <w:rsid w:val="000E48E5"/>
    <w:rsid w:val="00183F60"/>
    <w:rsid w:val="001F6238"/>
    <w:rsid w:val="002703C2"/>
    <w:rsid w:val="00270654"/>
    <w:rsid w:val="002A06B5"/>
    <w:rsid w:val="003A7AD2"/>
    <w:rsid w:val="003D4F06"/>
    <w:rsid w:val="00426586"/>
    <w:rsid w:val="004B5779"/>
    <w:rsid w:val="004F1BAD"/>
    <w:rsid w:val="006309F8"/>
    <w:rsid w:val="006717FC"/>
    <w:rsid w:val="006748B6"/>
    <w:rsid w:val="00723FE7"/>
    <w:rsid w:val="00745E5F"/>
    <w:rsid w:val="007509A4"/>
    <w:rsid w:val="00767302"/>
    <w:rsid w:val="0079197B"/>
    <w:rsid w:val="008246D7"/>
    <w:rsid w:val="008B3EA1"/>
    <w:rsid w:val="00906609"/>
    <w:rsid w:val="009266D4"/>
    <w:rsid w:val="0093084A"/>
    <w:rsid w:val="0093219F"/>
    <w:rsid w:val="00971D91"/>
    <w:rsid w:val="009C7362"/>
    <w:rsid w:val="009F10FC"/>
    <w:rsid w:val="00A60CE6"/>
    <w:rsid w:val="00AA1B6A"/>
    <w:rsid w:val="00B45446"/>
    <w:rsid w:val="00B72251"/>
    <w:rsid w:val="00C97A10"/>
    <w:rsid w:val="00CD2ADF"/>
    <w:rsid w:val="00D166C0"/>
    <w:rsid w:val="00D81A6C"/>
    <w:rsid w:val="00D9025C"/>
    <w:rsid w:val="00DC0198"/>
    <w:rsid w:val="00F5302D"/>
    <w:rsid w:val="00F73A86"/>
    <w:rsid w:val="00F84B18"/>
    <w:rsid w:val="00FD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E5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25E58"/>
  </w:style>
  <w:style w:type="paragraph" w:styleId="ListParagraph">
    <w:name w:val="List Paragraph"/>
    <w:basedOn w:val="Normal"/>
    <w:uiPriority w:val="34"/>
    <w:qFormat/>
    <w:rsid w:val="0093219F"/>
    <w:pPr>
      <w:ind w:left="720"/>
      <w:contextualSpacing/>
    </w:pPr>
  </w:style>
  <w:style w:type="paragraph" w:styleId="BalloonText">
    <w:name w:val="Balloon Text"/>
    <w:basedOn w:val="Normal"/>
    <w:link w:val="BalloonTextChar"/>
    <w:uiPriority w:val="99"/>
    <w:semiHidden/>
    <w:unhideWhenUsed/>
    <w:rsid w:val="00183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F60"/>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B72251"/>
    <w:rPr>
      <w:sz w:val="16"/>
      <w:szCs w:val="16"/>
    </w:rPr>
  </w:style>
  <w:style w:type="paragraph" w:styleId="CommentText">
    <w:name w:val="annotation text"/>
    <w:basedOn w:val="Normal"/>
    <w:link w:val="CommentTextChar"/>
    <w:uiPriority w:val="99"/>
    <w:semiHidden/>
    <w:unhideWhenUsed/>
    <w:rsid w:val="00B72251"/>
    <w:rPr>
      <w:sz w:val="20"/>
      <w:szCs w:val="20"/>
    </w:rPr>
  </w:style>
  <w:style w:type="character" w:customStyle="1" w:styleId="CommentTextChar">
    <w:name w:val="Comment Text Char"/>
    <w:basedOn w:val="DefaultParagraphFont"/>
    <w:link w:val="CommentText"/>
    <w:uiPriority w:val="99"/>
    <w:semiHidden/>
    <w:rsid w:val="00B7225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72251"/>
    <w:rPr>
      <w:b/>
      <w:bCs/>
    </w:rPr>
  </w:style>
  <w:style w:type="character" w:customStyle="1" w:styleId="CommentSubjectChar">
    <w:name w:val="Comment Subject Char"/>
    <w:basedOn w:val="CommentTextChar"/>
    <w:link w:val="CommentSubject"/>
    <w:uiPriority w:val="99"/>
    <w:semiHidden/>
    <w:rsid w:val="00B72251"/>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E5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25E58"/>
  </w:style>
  <w:style w:type="paragraph" w:styleId="ListParagraph">
    <w:name w:val="List Paragraph"/>
    <w:basedOn w:val="Normal"/>
    <w:uiPriority w:val="34"/>
    <w:qFormat/>
    <w:rsid w:val="0093219F"/>
    <w:pPr>
      <w:ind w:left="720"/>
      <w:contextualSpacing/>
    </w:pPr>
  </w:style>
  <w:style w:type="paragraph" w:styleId="BalloonText">
    <w:name w:val="Balloon Text"/>
    <w:basedOn w:val="Normal"/>
    <w:link w:val="BalloonTextChar"/>
    <w:uiPriority w:val="99"/>
    <w:semiHidden/>
    <w:unhideWhenUsed/>
    <w:rsid w:val="00183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F60"/>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B72251"/>
    <w:rPr>
      <w:sz w:val="16"/>
      <w:szCs w:val="16"/>
    </w:rPr>
  </w:style>
  <w:style w:type="paragraph" w:styleId="CommentText">
    <w:name w:val="annotation text"/>
    <w:basedOn w:val="Normal"/>
    <w:link w:val="CommentTextChar"/>
    <w:uiPriority w:val="99"/>
    <w:semiHidden/>
    <w:unhideWhenUsed/>
    <w:rsid w:val="00B72251"/>
    <w:rPr>
      <w:sz w:val="20"/>
      <w:szCs w:val="20"/>
    </w:rPr>
  </w:style>
  <w:style w:type="character" w:customStyle="1" w:styleId="CommentTextChar">
    <w:name w:val="Comment Text Char"/>
    <w:basedOn w:val="DefaultParagraphFont"/>
    <w:link w:val="CommentText"/>
    <w:uiPriority w:val="99"/>
    <w:semiHidden/>
    <w:rsid w:val="00B7225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72251"/>
    <w:rPr>
      <w:b/>
      <w:bCs/>
    </w:rPr>
  </w:style>
  <w:style w:type="character" w:customStyle="1" w:styleId="CommentSubjectChar">
    <w:name w:val="Comment Subject Char"/>
    <w:basedOn w:val="CommentTextChar"/>
    <w:link w:val="CommentSubject"/>
    <w:uiPriority w:val="99"/>
    <w:semiHidden/>
    <w:rsid w:val="00B72251"/>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28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2229</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Boyanova</dc:creator>
  <cp:lastModifiedBy>Zornitsa Vasileva</cp:lastModifiedBy>
  <cp:revision>3</cp:revision>
  <dcterms:created xsi:type="dcterms:W3CDTF">2022-08-04T11:57:00Z</dcterms:created>
  <dcterms:modified xsi:type="dcterms:W3CDTF">2022-08-04T11:57:00Z</dcterms:modified>
</cp:coreProperties>
</file>