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69651" w14:textId="77777777" w:rsidR="004F3A47" w:rsidRPr="004F3A47" w:rsidRDefault="004F3A47" w:rsidP="004F3A47">
      <w:pPr>
        <w:spacing w:after="0" w:line="240" w:lineRule="auto"/>
        <w:jc w:val="center"/>
        <w:rPr>
          <w:rFonts w:ascii="Arial" w:eastAsia="Calibri" w:hAnsi="Arial" w:cs="Arial"/>
          <w:b/>
          <w:bCs/>
          <w:noProof w:val="0"/>
          <w:snapToGrid w:val="0"/>
          <w:sz w:val="24"/>
          <w:szCs w:val="24"/>
          <w:lang w:val="en-US"/>
        </w:rPr>
      </w:pPr>
      <w:bookmarkStart w:id="0" w:name="_Hlk529977123"/>
    </w:p>
    <w:bookmarkEnd w:id="0"/>
    <w:p w14:paraId="72A18A66" w14:textId="77777777"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Приложение № </w:t>
      </w:r>
      <w:r w:rsidRPr="004F3A47">
        <w:rPr>
          <w:rFonts w:ascii="Arial" w:eastAsia="Calibri" w:hAnsi="Arial" w:cs="Arial"/>
          <w:b/>
          <w:bCs/>
          <w:noProof w:val="0"/>
          <w:snapToGrid w:val="0"/>
          <w:lang w:val="en-US"/>
        </w:rPr>
        <w:t>2</w:t>
      </w:r>
    </w:p>
    <w:p w14:paraId="3A475740" w14:textId="6915DDCD"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към Заповед № </w:t>
      </w:r>
      <w:r w:rsidR="00C156F9" w:rsidRPr="00C156F9">
        <w:rPr>
          <w:rFonts w:ascii="Arial" w:eastAsia="Calibri" w:hAnsi="Arial" w:cs="Arial"/>
          <w:b/>
          <w:bCs/>
          <w:noProof w:val="0"/>
          <w:snapToGrid w:val="0"/>
        </w:rPr>
        <w:t>МДР-ПП-09-122 / 29.08.2022 г.</w:t>
      </w:r>
      <w:bookmarkStart w:id="1" w:name="_GoBack"/>
      <w:bookmarkEnd w:id="1"/>
    </w:p>
    <w:p w14:paraId="5DEB172D" w14:textId="77777777" w:rsidR="004F3A47" w:rsidRPr="004F3A47" w:rsidRDefault="004F3A47" w:rsidP="004F3A47">
      <w:pPr>
        <w:spacing w:after="60" w:line="259" w:lineRule="auto"/>
        <w:jc w:val="center"/>
        <w:rPr>
          <w:rFonts w:ascii="Arial" w:eastAsia="Calibri" w:hAnsi="Arial" w:cs="Arial"/>
          <w:b/>
          <w:bCs/>
          <w:noProof w:val="0"/>
          <w:snapToGrid w:val="0"/>
        </w:rPr>
      </w:pPr>
    </w:p>
    <w:p w14:paraId="1EE50CE4" w14:textId="77777777" w:rsidR="004F3A47" w:rsidRPr="004F3A47" w:rsidRDefault="004F3A47" w:rsidP="004F3A47">
      <w:pPr>
        <w:spacing w:after="60" w:line="259" w:lineRule="auto"/>
        <w:jc w:val="center"/>
        <w:rPr>
          <w:rFonts w:ascii="Arial" w:eastAsia="Calibri" w:hAnsi="Arial" w:cs="Arial"/>
          <w:b/>
          <w:bCs/>
          <w:noProof w:val="0"/>
          <w:snapToGrid w:val="0"/>
        </w:rPr>
      </w:pPr>
    </w:p>
    <w:p w14:paraId="542C3DC0" w14:textId="77777777" w:rsidR="004F3A47" w:rsidRPr="004F3A47" w:rsidRDefault="004F3A47" w:rsidP="004F3A47">
      <w:pPr>
        <w:spacing w:after="60" w:line="259" w:lineRule="auto"/>
        <w:jc w:val="center"/>
        <w:rPr>
          <w:rFonts w:ascii="Arial" w:eastAsia="Calibri" w:hAnsi="Arial" w:cs="Arial"/>
          <w:b/>
          <w:bCs/>
          <w:noProof w:val="0"/>
          <w:snapToGrid w:val="0"/>
        </w:rPr>
      </w:pPr>
    </w:p>
    <w:p w14:paraId="4049CE0F" w14:textId="77777777" w:rsidR="004F3A47" w:rsidRPr="004F3A47" w:rsidRDefault="004F3A47" w:rsidP="004F3A47">
      <w:pPr>
        <w:spacing w:after="60" w:line="259" w:lineRule="auto"/>
        <w:jc w:val="center"/>
        <w:rPr>
          <w:rFonts w:ascii="Arial" w:eastAsia="Calibri" w:hAnsi="Arial" w:cs="Arial"/>
          <w:b/>
          <w:bCs/>
          <w:noProof w:val="0"/>
          <w:snapToGrid w:val="0"/>
        </w:rPr>
      </w:pPr>
    </w:p>
    <w:p w14:paraId="6A72F116" w14:textId="77777777" w:rsidR="004F3A47" w:rsidRPr="004F3A47" w:rsidRDefault="004F3A47" w:rsidP="004F3A47">
      <w:pPr>
        <w:spacing w:after="60" w:line="259" w:lineRule="auto"/>
        <w:jc w:val="center"/>
        <w:rPr>
          <w:rFonts w:ascii="Arial" w:eastAsia="Calibri" w:hAnsi="Arial" w:cs="Arial"/>
          <w:b/>
          <w:bCs/>
          <w:noProof w:val="0"/>
          <w:snapToGrid w:val="0"/>
        </w:rPr>
      </w:pPr>
    </w:p>
    <w:p w14:paraId="5697B873"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sz w:val="32"/>
          <w:szCs w:val="32"/>
        </w:rPr>
      </w:pPr>
      <w:r w:rsidRPr="004F3A47">
        <w:rPr>
          <w:rFonts w:ascii="Arial" w:eastAsia="Calibri" w:hAnsi="Arial" w:cs="Arial"/>
          <w:b/>
          <w:bCs/>
          <w:noProof w:val="0"/>
          <w:sz w:val="32"/>
          <w:szCs w:val="32"/>
        </w:rPr>
        <w:t>Условия за изпълнение</w:t>
      </w:r>
    </w:p>
    <w:p w14:paraId="158BFD5B"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r w:rsidRPr="004F3A47">
        <w:rPr>
          <w:rFonts w:ascii="Arial" w:eastAsia="Calibri" w:hAnsi="Arial" w:cs="Arial"/>
          <w:b/>
          <w:bCs/>
          <w:noProof w:val="0"/>
        </w:rPr>
        <w:t>на проектни предложения за предоставяне на безвъзмездна финансова помощ по Програма за морско дело и рибарство 2014-2020</w:t>
      </w:r>
    </w:p>
    <w:p w14:paraId="36833CEA"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p>
    <w:p w14:paraId="5E367097" w14:textId="51A45646" w:rsidR="00711B38" w:rsidRPr="00711B38" w:rsidRDefault="00711B38" w:rsidP="00711B38">
      <w:pPr>
        <w:tabs>
          <w:tab w:val="left" w:pos="-180"/>
        </w:tabs>
        <w:spacing w:before="120" w:after="120" w:line="360" w:lineRule="auto"/>
        <w:jc w:val="center"/>
        <w:rPr>
          <w:rFonts w:ascii="Arial" w:eastAsia="Calibri" w:hAnsi="Arial" w:cs="Arial"/>
          <w:b/>
          <w:bCs/>
          <w:noProof w:val="0"/>
        </w:rPr>
      </w:pPr>
      <w:r w:rsidRPr="00711B38">
        <w:rPr>
          <w:rFonts w:ascii="Arial" w:eastAsia="Calibri" w:hAnsi="Arial" w:cs="Arial"/>
          <w:b/>
          <w:bCs/>
          <w:noProof w:val="0"/>
        </w:rPr>
        <w:t>Процедура чрез под</w:t>
      </w:r>
      <w:r w:rsidR="0099466C">
        <w:rPr>
          <w:rFonts w:ascii="Arial" w:eastAsia="Calibri" w:hAnsi="Arial" w:cs="Arial"/>
          <w:b/>
          <w:bCs/>
          <w:noProof w:val="0"/>
        </w:rPr>
        <w:t>бор на проекти BG14MFOP001-4.10</w:t>
      </w:r>
      <w:r w:rsidR="0099466C">
        <w:rPr>
          <w:rFonts w:ascii="Arial" w:eastAsia="Calibri" w:hAnsi="Arial" w:cs="Arial"/>
          <w:b/>
          <w:bCs/>
          <w:noProof w:val="0"/>
          <w:lang w:val="en-US"/>
        </w:rPr>
        <w:t>8</w:t>
      </w:r>
      <w:r w:rsidRPr="00711B38">
        <w:rPr>
          <w:rFonts w:ascii="Arial" w:eastAsia="Calibri" w:hAnsi="Arial" w:cs="Arial"/>
          <w:b/>
          <w:bCs/>
          <w:noProof w:val="0"/>
        </w:rPr>
        <w:t xml:space="preserve"> „</w:t>
      </w:r>
      <w:r w:rsidR="0099466C" w:rsidRPr="00920828">
        <w:rPr>
          <w:rStyle w:val="indented"/>
          <w:rFonts w:ascii="Arial" w:hAnsi="Arial" w:cs="Arial"/>
          <w:b/>
          <w:bCs/>
        </w:rPr>
        <w:t>Производствени инвестиции в аквакултурите</w:t>
      </w:r>
      <w:r w:rsidR="0099466C" w:rsidRPr="00711B38">
        <w:rPr>
          <w:rFonts w:ascii="Arial" w:eastAsia="Calibri" w:hAnsi="Arial" w:cs="Arial"/>
          <w:b/>
          <w:bCs/>
          <w:noProof w:val="0"/>
        </w:rPr>
        <w:t xml:space="preserve"> </w:t>
      </w:r>
      <w:r w:rsidRPr="00711B38">
        <w:rPr>
          <w:rFonts w:ascii="Arial" w:eastAsia="Calibri" w:hAnsi="Arial" w:cs="Arial"/>
          <w:b/>
          <w:bCs/>
          <w:noProof w:val="0"/>
        </w:rPr>
        <w:t>”,</w:t>
      </w:r>
    </w:p>
    <w:p w14:paraId="46DC8A2E" w14:textId="4A94AE54" w:rsidR="004F3A47" w:rsidRPr="001E4487" w:rsidRDefault="0099466C" w:rsidP="00711B38">
      <w:pPr>
        <w:tabs>
          <w:tab w:val="left" w:pos="-180"/>
        </w:tabs>
        <w:spacing w:before="120" w:after="120" w:line="360" w:lineRule="auto"/>
        <w:jc w:val="center"/>
        <w:rPr>
          <w:rFonts w:ascii="Arial" w:eastAsia="Calibri" w:hAnsi="Arial" w:cs="Arial"/>
          <w:b/>
          <w:bCs/>
          <w:noProof w:val="0"/>
        </w:rPr>
      </w:pPr>
      <w:r>
        <w:rPr>
          <w:rFonts w:ascii="Arial" w:eastAsia="Calibri" w:hAnsi="Arial" w:cs="Arial"/>
          <w:b/>
          <w:bCs/>
          <w:noProof w:val="0"/>
        </w:rPr>
        <w:t>мярка 01</w:t>
      </w:r>
      <w:r w:rsidR="00711B38" w:rsidRPr="00711B38">
        <w:rPr>
          <w:rFonts w:ascii="Arial" w:eastAsia="Calibri" w:hAnsi="Arial" w:cs="Arial"/>
          <w:b/>
          <w:bCs/>
          <w:noProof w:val="0"/>
        </w:rPr>
        <w:t xml:space="preserve"> „</w:t>
      </w:r>
      <w:r w:rsidRPr="00920828">
        <w:rPr>
          <w:rStyle w:val="indented"/>
          <w:rFonts w:ascii="Arial" w:hAnsi="Arial" w:cs="Arial"/>
          <w:b/>
          <w:bCs/>
        </w:rPr>
        <w:t>Производствени инвестиции в аквакултурите</w:t>
      </w:r>
      <w:r w:rsidR="00711B38" w:rsidRPr="00711B38">
        <w:rPr>
          <w:rFonts w:ascii="Arial" w:eastAsia="Calibri" w:hAnsi="Arial" w:cs="Arial"/>
          <w:b/>
          <w:bCs/>
          <w:noProof w:val="0"/>
        </w:rPr>
        <w:t>” от стратегия</w:t>
      </w:r>
      <w:r w:rsidR="00212B11">
        <w:rPr>
          <w:rFonts w:ascii="Arial" w:eastAsia="Calibri" w:hAnsi="Arial" w:cs="Arial"/>
          <w:b/>
          <w:bCs/>
          <w:noProof w:val="0"/>
        </w:rPr>
        <w:t>та</w:t>
      </w:r>
      <w:r w:rsidR="00711B38" w:rsidRPr="00711B38">
        <w:rPr>
          <w:rFonts w:ascii="Arial" w:eastAsia="Calibri" w:hAnsi="Arial" w:cs="Arial"/>
          <w:b/>
          <w:bCs/>
          <w:noProof w:val="0"/>
        </w:rPr>
        <w:t xml:space="preserve"> за Водено от общностите местно развитие на</w:t>
      </w:r>
      <w:r w:rsidR="00711B38">
        <w:rPr>
          <w:rFonts w:ascii="Arial" w:eastAsia="Calibri" w:hAnsi="Arial" w:cs="Arial"/>
          <w:b/>
          <w:bCs/>
          <w:noProof w:val="0"/>
          <w:lang w:val="en-US"/>
        </w:rPr>
        <w:t xml:space="preserve"> </w:t>
      </w:r>
      <w:r w:rsidR="00711B38" w:rsidRPr="00711B38">
        <w:rPr>
          <w:rFonts w:ascii="Arial" w:eastAsia="Calibri" w:hAnsi="Arial" w:cs="Arial"/>
          <w:b/>
          <w:bCs/>
          <w:noProof w:val="0"/>
        </w:rPr>
        <w:t>Местна инициативна рибарска група Самоков</w:t>
      </w:r>
    </w:p>
    <w:p w14:paraId="15ADDAA2" w14:textId="77777777" w:rsidR="004F3A47" w:rsidRPr="004F3A47" w:rsidRDefault="004F3A47" w:rsidP="004F3A47">
      <w:pPr>
        <w:spacing w:before="120" w:after="120" w:line="360" w:lineRule="auto"/>
        <w:jc w:val="center"/>
        <w:rPr>
          <w:rFonts w:ascii="Arial" w:eastAsia="Calibri" w:hAnsi="Arial" w:cs="Arial"/>
          <w:b/>
          <w:bCs/>
          <w:noProof w:val="0"/>
          <w:lang w:val="en-US"/>
        </w:rPr>
      </w:pPr>
    </w:p>
    <w:p w14:paraId="49A93D1C" w14:textId="77777777" w:rsidR="004F3A47" w:rsidRPr="004F3A47" w:rsidRDefault="004F3A47" w:rsidP="004F3A47">
      <w:pPr>
        <w:spacing w:after="160" w:line="259" w:lineRule="auto"/>
        <w:rPr>
          <w:rFonts w:ascii="Arial" w:eastAsia="Calibri" w:hAnsi="Arial" w:cs="Arial"/>
          <w:noProof w:val="0"/>
          <w:lang w:eastAsia="bg-BG"/>
        </w:rPr>
      </w:pPr>
      <w:r w:rsidRPr="004F3A47">
        <w:rPr>
          <w:rFonts w:ascii="Arial" w:eastAsia="Calibri" w:hAnsi="Arial" w:cs="Arial"/>
          <w:noProof w:val="0"/>
          <w:lang w:eastAsia="bg-BG"/>
        </w:rPr>
        <w:br w:type="page"/>
      </w:r>
    </w:p>
    <w:p w14:paraId="7C9A4737" w14:textId="77777777" w:rsidR="004F3A47" w:rsidRPr="00F001FC" w:rsidRDefault="004F3A47" w:rsidP="004F3A47">
      <w:pPr>
        <w:keepNext/>
        <w:keepLines/>
        <w:spacing w:after="0" w:line="360" w:lineRule="auto"/>
        <w:rPr>
          <w:rFonts w:ascii="Arial" w:eastAsia="Calibri" w:hAnsi="Arial" w:cs="Arial"/>
          <w:b/>
          <w:bCs/>
          <w:noProof w:val="0"/>
          <w:color w:val="0070C0"/>
          <w:sz w:val="24"/>
          <w:szCs w:val="24"/>
          <w:lang w:eastAsia="bg-BG"/>
        </w:rPr>
      </w:pPr>
      <w:r w:rsidRPr="00F001FC">
        <w:rPr>
          <w:rFonts w:ascii="Arial" w:eastAsia="Calibri" w:hAnsi="Arial" w:cs="Arial"/>
          <w:b/>
          <w:bCs/>
          <w:noProof w:val="0"/>
          <w:color w:val="0070C0"/>
          <w:sz w:val="24"/>
          <w:szCs w:val="24"/>
          <w:lang w:eastAsia="bg-BG"/>
        </w:rPr>
        <w:lastRenderedPageBreak/>
        <w:t>Съдържание</w:t>
      </w:r>
    </w:p>
    <w:p w14:paraId="45AB0656" w14:textId="77777777" w:rsidR="004F3A47" w:rsidRPr="004F3A47" w:rsidRDefault="004F3A47" w:rsidP="004F3A47">
      <w:pPr>
        <w:spacing w:after="0" w:line="360" w:lineRule="auto"/>
        <w:rPr>
          <w:rFonts w:ascii="Arial" w:eastAsia="Calibri" w:hAnsi="Arial" w:cs="Arial"/>
          <w:noProof w:val="0"/>
          <w:sz w:val="24"/>
          <w:szCs w:val="24"/>
          <w:lang w:eastAsia="bg-BG"/>
        </w:rPr>
      </w:pPr>
    </w:p>
    <w:p w14:paraId="4D1EE6BC"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1. Техническо изпълнение на проектите………………………………….……………...……..3</w:t>
      </w:r>
    </w:p>
    <w:p w14:paraId="35869DCD"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2. Финансово изпълнение на проектит</w:t>
      </w:r>
      <w:r w:rsidR="00F724A9" w:rsidRPr="0000484B">
        <w:rPr>
          <w:rFonts w:ascii="Arial" w:eastAsia="Calibri" w:hAnsi="Arial" w:cs="Arial"/>
          <w:noProof w:val="0"/>
          <w:color w:val="0070C0"/>
        </w:rPr>
        <w:t>е и плащане……………………………….….……..11</w:t>
      </w:r>
    </w:p>
    <w:p w14:paraId="0860A3B5"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 xml:space="preserve">3. Мерки за информиране </w:t>
      </w:r>
      <w:r w:rsidR="009D6BF3" w:rsidRPr="0000484B">
        <w:rPr>
          <w:rFonts w:ascii="Arial" w:eastAsia="Calibri" w:hAnsi="Arial" w:cs="Arial"/>
          <w:noProof w:val="0"/>
          <w:color w:val="0070C0"/>
        </w:rPr>
        <w:t>и публичност………………………………………….…....</w:t>
      </w:r>
      <w:r w:rsidR="000A5B07" w:rsidRPr="0000484B">
        <w:rPr>
          <w:rFonts w:ascii="Arial" w:eastAsia="Calibri" w:hAnsi="Arial" w:cs="Arial"/>
          <w:noProof w:val="0"/>
          <w:color w:val="0070C0"/>
        </w:rPr>
        <w:t>..…….12</w:t>
      </w:r>
    </w:p>
    <w:p w14:paraId="7E750F3F"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 xml:space="preserve">4. Приложения към Условията </w:t>
      </w:r>
      <w:r w:rsidR="009D6BF3" w:rsidRPr="0000484B">
        <w:rPr>
          <w:rFonts w:ascii="Arial" w:eastAsia="Calibri" w:hAnsi="Arial" w:cs="Arial"/>
          <w:noProof w:val="0"/>
          <w:color w:val="0070C0"/>
        </w:rPr>
        <w:t>за изпълнение………………………………………......</w:t>
      </w:r>
      <w:r w:rsidR="007316AD" w:rsidRPr="0000484B">
        <w:rPr>
          <w:rFonts w:ascii="Arial" w:eastAsia="Calibri" w:hAnsi="Arial" w:cs="Arial"/>
          <w:noProof w:val="0"/>
          <w:color w:val="0070C0"/>
        </w:rPr>
        <w:t>…...14</w:t>
      </w:r>
    </w:p>
    <w:p w14:paraId="6BD6E270" w14:textId="77777777" w:rsidR="004F3A47" w:rsidRPr="004F3A47" w:rsidRDefault="004F3A47" w:rsidP="004F3A47">
      <w:pPr>
        <w:spacing w:after="0" w:line="360" w:lineRule="auto"/>
        <w:rPr>
          <w:rFonts w:ascii="Arial" w:eastAsia="Calibri" w:hAnsi="Arial" w:cs="Arial"/>
          <w:noProof w:val="0"/>
          <w:sz w:val="24"/>
          <w:szCs w:val="24"/>
        </w:rPr>
      </w:pPr>
    </w:p>
    <w:p w14:paraId="2DB9DAF3" w14:textId="77777777" w:rsidR="004F3A47" w:rsidRPr="004F3A47" w:rsidRDefault="004F3A47" w:rsidP="004F3A47">
      <w:pPr>
        <w:spacing w:after="0" w:line="360" w:lineRule="auto"/>
        <w:rPr>
          <w:rFonts w:ascii="Arial" w:eastAsia="Calibri" w:hAnsi="Arial" w:cs="Arial"/>
          <w:noProof w:val="0"/>
          <w:sz w:val="24"/>
          <w:szCs w:val="24"/>
        </w:rPr>
      </w:pPr>
    </w:p>
    <w:p w14:paraId="4E116448" w14:textId="086E5BBE" w:rsidR="004F3A47" w:rsidRPr="0093538A" w:rsidRDefault="004F3A47" w:rsidP="0093538A">
      <w:pPr>
        <w:pStyle w:val="ListParagraph"/>
        <w:numPr>
          <w:ilvl w:val="0"/>
          <w:numId w:val="1"/>
        </w:numPr>
        <w:spacing w:after="0" w:line="360" w:lineRule="auto"/>
        <w:rPr>
          <w:rFonts w:ascii="Arial" w:eastAsia="Calibri" w:hAnsi="Arial" w:cs="Arial"/>
          <w:b/>
          <w:bCs/>
          <w:noProof w:val="0"/>
          <w:color w:val="0070C0"/>
        </w:rPr>
      </w:pPr>
      <w:r w:rsidRPr="0093538A">
        <w:rPr>
          <w:rFonts w:ascii="Arial" w:eastAsia="Calibri" w:hAnsi="Arial" w:cs="Arial"/>
          <w:noProof w:val="0"/>
          <w:sz w:val="24"/>
          <w:szCs w:val="24"/>
        </w:rPr>
        <w:br w:type="page"/>
      </w:r>
      <w:r w:rsidRPr="0093538A">
        <w:rPr>
          <w:rFonts w:ascii="Arial" w:eastAsia="Calibri" w:hAnsi="Arial" w:cs="Arial"/>
          <w:b/>
          <w:bCs/>
          <w:noProof w:val="0"/>
          <w:color w:val="0070C0"/>
        </w:rPr>
        <w:lastRenderedPageBreak/>
        <w:t>Техническо изпълнение на проектите.</w:t>
      </w:r>
    </w:p>
    <w:p w14:paraId="47994661" w14:textId="4BB3A0C4" w:rsidR="00212B11" w:rsidRPr="00212B11" w:rsidRDefault="00212B11" w:rsidP="00E77C15">
      <w:pPr>
        <w:pStyle w:val="NormalWeb"/>
        <w:spacing w:line="360" w:lineRule="auto"/>
        <w:ind w:firstLine="720"/>
        <w:jc w:val="both"/>
        <w:rPr>
          <w:rFonts w:ascii="Arial" w:hAnsi="Arial" w:cs="Arial"/>
          <w:sz w:val="22"/>
          <w:szCs w:val="22"/>
        </w:rPr>
      </w:pPr>
      <w:r w:rsidRPr="00212B11">
        <w:rPr>
          <w:rFonts w:ascii="Arial" w:hAnsi="Arial" w:cs="Arial"/>
          <w:sz w:val="22"/>
          <w:szCs w:val="22"/>
        </w:rPr>
        <w:t xml:space="preserve">При изпълнението на проектните предложения (ПП) трябва да са спазени поетите ангажименти от страна на кандидата/бенефициера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w:t>
      </w:r>
      <w:r w:rsidR="00F50E98" w:rsidRPr="00F50E98">
        <w:rPr>
          <w:rFonts w:ascii="Arial" w:hAnsi="Arial" w:cs="Arial"/>
          <w:sz w:val="22"/>
          <w:szCs w:val="22"/>
        </w:rPr>
        <w:t xml:space="preserve">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w:t>
      </w:r>
      <w:r w:rsidR="00F50E98" w:rsidRPr="00212B11">
        <w:rPr>
          <w:rFonts w:ascii="Arial" w:hAnsi="Arial" w:cs="Arial"/>
          <w:sz w:val="22"/>
          <w:szCs w:val="22"/>
        </w:rPr>
        <w:t>(ЕС)</w:t>
      </w:r>
      <w:r w:rsidR="00F50E98">
        <w:rPr>
          <w:rFonts w:ascii="Arial" w:hAnsi="Arial" w:cs="Arial"/>
          <w:sz w:val="22"/>
          <w:szCs w:val="22"/>
        </w:rPr>
        <w:t xml:space="preserve"> </w:t>
      </w:r>
      <w:r w:rsidR="00F50E98" w:rsidRPr="00F50E98">
        <w:rPr>
          <w:rFonts w:ascii="Arial" w:hAnsi="Arial" w:cs="Arial"/>
          <w:sz w:val="22"/>
          <w:szCs w:val="22"/>
        </w:rPr>
        <w:t xml:space="preserve">№ 1303/2013) </w:t>
      </w:r>
      <w:r w:rsidRPr="00212B11">
        <w:rPr>
          <w:rFonts w:ascii="Arial" w:hAnsi="Arial" w:cs="Arial"/>
          <w:sz w:val="22"/>
          <w:szCs w:val="22"/>
        </w:rPr>
        <w:t>в съответствие с изискванията на член 33, член 36, параграф 1 и член 63 от Регламент (ЕС, Евратом) 2018/1046 (Финансовия регламент).</w:t>
      </w:r>
    </w:p>
    <w:p w14:paraId="32B77FF3" w14:textId="0FD32172" w:rsidR="00212B11" w:rsidRDefault="00212B11" w:rsidP="00212B11">
      <w:pPr>
        <w:pStyle w:val="NormalWeb"/>
        <w:spacing w:line="360" w:lineRule="auto"/>
        <w:jc w:val="both"/>
        <w:rPr>
          <w:rFonts w:ascii="Arial" w:hAnsi="Arial" w:cs="Arial"/>
          <w:sz w:val="22"/>
          <w:szCs w:val="22"/>
        </w:rPr>
      </w:pPr>
      <w:r>
        <w:rPr>
          <w:rFonts w:ascii="Arial" w:hAnsi="Arial" w:cs="Arial"/>
          <w:bCs/>
          <w:noProof/>
          <w:lang w:val="en-US" w:eastAsia="en-US"/>
        </w:rPr>
        <w:drawing>
          <wp:inline distT="0" distB="0" distL="0" distR="0" wp14:anchorId="149DDCB3" wp14:editId="20FB3DBE">
            <wp:extent cx="666750" cy="352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12B11">
        <w:rPr>
          <w:rFonts w:ascii="Arial" w:hAnsi="Arial" w:cs="Arial"/>
          <w:sz w:val="22"/>
          <w:szCs w:val="22"/>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2ED1D4BA" w14:textId="77777777" w:rsidR="0093538A" w:rsidRPr="0093538A" w:rsidRDefault="0093538A" w:rsidP="00E77C15">
      <w:pPr>
        <w:pStyle w:val="NormalWeb"/>
        <w:spacing w:line="360" w:lineRule="auto"/>
        <w:ind w:firstLine="720"/>
        <w:jc w:val="both"/>
        <w:rPr>
          <w:rFonts w:ascii="Arial" w:hAnsi="Arial" w:cs="Arial"/>
          <w:sz w:val="22"/>
          <w:szCs w:val="22"/>
        </w:rPr>
      </w:pPr>
      <w:r w:rsidRPr="0093538A">
        <w:rPr>
          <w:rFonts w:ascii="Arial" w:hAnsi="Arial" w:cs="Arial"/>
          <w:sz w:val="22"/>
          <w:szCs w:val="22"/>
        </w:rPr>
        <w:t>Съгласно чл. 33, параграф 1, букви а), б) и в) на Финансовия регламент:</w:t>
      </w:r>
    </w:p>
    <w:p w14:paraId="42DABDB6" w14:textId="39C06695" w:rsidR="0093538A" w:rsidRPr="0093538A" w:rsidRDefault="0093538A" w:rsidP="0093538A">
      <w:pPr>
        <w:pStyle w:val="NormalWeb"/>
        <w:spacing w:line="360" w:lineRule="auto"/>
        <w:ind w:firstLine="1068"/>
        <w:jc w:val="both"/>
        <w:rPr>
          <w:rFonts w:ascii="Arial" w:hAnsi="Arial" w:cs="Arial"/>
          <w:sz w:val="22"/>
          <w:szCs w:val="22"/>
        </w:rPr>
      </w:pPr>
      <w:r w:rsidRPr="0093538A">
        <w:rPr>
          <w:rFonts w:ascii="Arial" w:hAnsi="Arial" w:cs="Arial"/>
          <w:sz w:val="22"/>
          <w:szCs w:val="22"/>
        </w:rPr>
        <w:t xml:space="preserve">а) принципът икономичност се отнасят за ресурсите, използвани </w:t>
      </w:r>
      <w:r w:rsidR="006B2C09" w:rsidRPr="006B2C09">
        <w:rPr>
          <w:rFonts w:ascii="Arial" w:hAnsi="Arial" w:cs="Arial"/>
          <w:sz w:val="22"/>
          <w:szCs w:val="22"/>
        </w:rPr>
        <w:t>за осъществяване на дейности</w:t>
      </w:r>
      <w:r w:rsidR="006B2C09">
        <w:rPr>
          <w:rFonts w:ascii="Arial" w:hAnsi="Arial" w:cs="Arial"/>
          <w:sz w:val="22"/>
          <w:szCs w:val="22"/>
        </w:rPr>
        <w:t>те</w:t>
      </w:r>
      <w:r w:rsidR="006B2C09" w:rsidRPr="006B2C09">
        <w:rPr>
          <w:rFonts w:ascii="Arial" w:hAnsi="Arial" w:cs="Arial"/>
          <w:sz w:val="22"/>
          <w:szCs w:val="22"/>
        </w:rPr>
        <w:t xml:space="preserve"> от ПП</w:t>
      </w:r>
      <w:r w:rsidRPr="0093538A">
        <w:rPr>
          <w:rFonts w:ascii="Arial" w:hAnsi="Arial" w:cs="Arial"/>
          <w:sz w:val="22"/>
          <w:szCs w:val="22"/>
        </w:rPr>
        <w:t>, в подходящо количество и качество и на най-добрата цена;</w:t>
      </w:r>
    </w:p>
    <w:p w14:paraId="5CACB64C" w14:textId="77777777" w:rsidR="0093538A" w:rsidRPr="0093538A" w:rsidRDefault="0093538A" w:rsidP="0093538A">
      <w:pPr>
        <w:pStyle w:val="NormalWeb"/>
        <w:spacing w:line="360" w:lineRule="auto"/>
        <w:ind w:firstLine="1068"/>
        <w:jc w:val="both"/>
        <w:rPr>
          <w:rFonts w:ascii="Arial" w:hAnsi="Arial" w:cs="Arial"/>
          <w:sz w:val="22"/>
          <w:szCs w:val="22"/>
        </w:rPr>
      </w:pPr>
      <w:r w:rsidRPr="0093538A">
        <w:rPr>
          <w:rFonts w:ascii="Arial" w:hAnsi="Arial" w:cs="Arial"/>
          <w:sz w:val="22"/>
          <w:szCs w:val="22"/>
        </w:rPr>
        <w:t>б) ефикасността се отнася до най-доброто съотношение между използваните ресурси, предприетите дейности и постигането на целите;</w:t>
      </w:r>
    </w:p>
    <w:p w14:paraId="68DA70E0" w14:textId="69A1B96E" w:rsidR="0093538A" w:rsidRPr="0093538A" w:rsidRDefault="0093538A" w:rsidP="0093538A">
      <w:pPr>
        <w:pStyle w:val="NormalWeb"/>
        <w:spacing w:line="360" w:lineRule="auto"/>
        <w:ind w:firstLine="1068"/>
        <w:jc w:val="both"/>
        <w:rPr>
          <w:rFonts w:ascii="Arial" w:hAnsi="Arial" w:cs="Arial"/>
          <w:sz w:val="22"/>
          <w:szCs w:val="22"/>
        </w:rPr>
      </w:pPr>
      <w:r w:rsidRPr="0093538A">
        <w:rPr>
          <w:rFonts w:ascii="Arial" w:hAnsi="Arial" w:cs="Arial"/>
          <w:sz w:val="22"/>
          <w:szCs w:val="22"/>
        </w:rPr>
        <w:t xml:space="preserve">в) принципът на ефективност е свързан </w:t>
      </w:r>
      <w:r w:rsidR="006B2C09" w:rsidRPr="006B2C09">
        <w:rPr>
          <w:rFonts w:ascii="Arial" w:hAnsi="Arial" w:cs="Arial"/>
          <w:sz w:val="22"/>
          <w:szCs w:val="22"/>
        </w:rPr>
        <w:t>със степента, в която се постигат поставените цели посредством предприетите дейности.</w:t>
      </w:r>
    </w:p>
    <w:p w14:paraId="0C410D5A" w14:textId="2E48B606"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процеса на изпълнение </w:t>
      </w:r>
      <w:r w:rsidR="00F642E0">
        <w:rPr>
          <w:rFonts w:ascii="Arial" w:eastAsia="Calibri" w:hAnsi="Arial" w:cs="Arial"/>
          <w:bCs/>
          <w:noProof w:val="0"/>
        </w:rPr>
        <w:t>на одобрените проекти бенефицие</w:t>
      </w:r>
      <w:r w:rsidR="00C64B57">
        <w:rPr>
          <w:rFonts w:ascii="Arial" w:eastAsia="Calibri" w:hAnsi="Arial" w:cs="Arial"/>
          <w:bCs/>
          <w:noProof w:val="0"/>
        </w:rPr>
        <w:t>р</w:t>
      </w:r>
      <w:r w:rsidRPr="004F3A47">
        <w:rPr>
          <w:rFonts w:ascii="Arial" w:eastAsia="Calibri" w:hAnsi="Arial" w:cs="Arial"/>
          <w:bCs/>
          <w:noProof w:val="0"/>
        </w:rPr>
        <w:t>ите могат да възлагат на изпълнители – външни за тях лица, извър</w:t>
      </w:r>
      <w:r w:rsidR="002971F5">
        <w:rPr>
          <w:rFonts w:ascii="Arial" w:eastAsia="Calibri" w:hAnsi="Arial" w:cs="Arial"/>
          <w:bCs/>
          <w:noProof w:val="0"/>
        </w:rPr>
        <w:t>шването на дейности по проекта.</w:t>
      </w:r>
    </w:p>
    <w:p w14:paraId="367BC9F1" w14:textId="147A106C" w:rsidR="002971F5" w:rsidRPr="004F3A47" w:rsidRDefault="002971F5" w:rsidP="004F3A47">
      <w:pPr>
        <w:spacing w:before="120" w:after="120" w:line="360" w:lineRule="auto"/>
        <w:ind w:firstLine="720"/>
        <w:jc w:val="both"/>
        <w:rPr>
          <w:rFonts w:ascii="Arial" w:eastAsia="Calibri" w:hAnsi="Arial" w:cs="Arial"/>
          <w:bCs/>
          <w:noProof w:val="0"/>
        </w:rPr>
      </w:pPr>
      <w:r w:rsidRPr="002971F5">
        <w:rPr>
          <w:rFonts w:ascii="Arial" w:eastAsia="Calibri" w:hAnsi="Arial" w:cs="Arial"/>
          <w:bCs/>
          <w:noProof w:val="0"/>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w:t>
      </w:r>
      <w:r w:rsidRPr="002971F5">
        <w:rPr>
          <w:rFonts w:ascii="Arial" w:eastAsia="Calibri" w:hAnsi="Arial" w:cs="Arial"/>
          <w:bCs/>
          <w:noProof w:val="0"/>
        </w:rPr>
        <w:lastRenderedPageBreak/>
        <w:t>определяне на изпълнител от страна на бенефициери на договорена безвъзмездна финансова помощ от ЕФМДР.</w:t>
      </w:r>
    </w:p>
    <w:p w14:paraId="36A9FE74"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1F2D8A72" wp14:editId="3124EBF1">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29369EE" w14:textId="75C491A9"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707C3CB0" wp14:editId="6931185B">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E308E7" w:rsidRPr="00E308E7">
        <w:rPr>
          <w:rFonts w:ascii="Arial" w:eastAsia="Calibri" w:hAnsi="Arial" w:cs="Arial"/>
          <w:bCs/>
          <w:noProof w:val="0"/>
        </w:rPr>
        <w:t xml:space="preserve"> </w:t>
      </w:r>
      <w:r w:rsidR="00EF1ADC">
        <w:rPr>
          <w:rFonts w:ascii="Arial" w:eastAsia="Calibri" w:hAnsi="Arial" w:cs="Arial"/>
          <w:bCs/>
          <w:noProof w:val="0"/>
        </w:rPr>
        <w:t>Допустимо</w:t>
      </w:r>
      <w:r w:rsidR="00E308E7" w:rsidRPr="00E77C15">
        <w:rPr>
          <w:rFonts w:ascii="Arial" w:eastAsia="Calibri" w:hAnsi="Arial" w:cs="Arial"/>
          <w:bCs/>
          <w:noProof w:val="0"/>
        </w:rPr>
        <w:t xml:space="preserve"> е бенефициерите да проведат съответните процедури за избор на изпълнител/и на дейностите по проекта преди подписване на административния договор за предоставяне на безвъзмездна финансова помощ. </w:t>
      </w:r>
      <w:r w:rsidRPr="004F3A47">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r w:rsidR="00E77C15">
        <w:rPr>
          <w:rFonts w:ascii="Arial" w:eastAsia="Calibri" w:hAnsi="Arial" w:cs="Arial"/>
          <w:bCs/>
          <w:noProof w:val="0"/>
        </w:rPr>
        <w:t xml:space="preserve"> </w:t>
      </w:r>
      <w:r w:rsidR="00E77C15" w:rsidRPr="00E77C15">
        <w:rPr>
          <w:rFonts w:ascii="Arial" w:eastAsia="Calibri" w:hAnsi="Arial" w:cs="Arial"/>
          <w:bCs/>
          <w:noProof w:val="0"/>
        </w:rPr>
        <w:t>Процедурите се провеждат по реда ПМС 160/2016 и при спазване условията и реда на приложимото законодателство.</w:t>
      </w:r>
    </w:p>
    <w:p w14:paraId="5C53955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0D96230C" w14:textId="7F30DC2D"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трябва да представи чрез ИСУН 2020 мотивирано искане до УО на ПМДР за сключване на допълнително споразумение към АД</w:t>
      </w:r>
      <w:r w:rsidR="00711B38">
        <w:rPr>
          <w:rFonts w:ascii="Arial" w:eastAsia="Calibri" w:hAnsi="Arial" w:cs="Arial"/>
          <w:bCs/>
          <w:noProof w:val="0"/>
        </w:rPr>
        <w:t>П</w:t>
      </w:r>
      <w:r w:rsidRPr="004F3A47">
        <w:rPr>
          <w:rFonts w:ascii="Arial" w:eastAsia="Calibri" w:hAnsi="Arial" w:cs="Arial"/>
          <w:bCs/>
          <w:noProof w:val="0"/>
        </w:rPr>
        <w:t>БФП във връзка с избор на изпълнители.</w:t>
      </w:r>
    </w:p>
    <w:p w14:paraId="53CB4C6A" w14:textId="77777777" w:rsidR="004F3A47" w:rsidRPr="004F3A47" w:rsidRDefault="004F3A47" w:rsidP="004F3A47">
      <w:pPr>
        <w:spacing w:before="120" w:after="120" w:line="360" w:lineRule="auto"/>
        <w:jc w:val="both"/>
        <w:rPr>
          <w:rFonts w:ascii="Arial" w:eastAsia="Calibri" w:hAnsi="Arial" w:cs="Arial"/>
          <w:b/>
          <w:bCs/>
          <w:noProof w:val="0"/>
        </w:rPr>
      </w:pPr>
    </w:p>
    <w:p w14:paraId="393F5C2B"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1.1. Процедури за избор на изпълнител.</w:t>
      </w:r>
    </w:p>
    <w:p w14:paraId="4EBFB968"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могат да извършат процедури за избор на изпълнител по следния ред:</w:t>
      </w:r>
    </w:p>
    <w:p w14:paraId="2C38B82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
          <w:bCs/>
          <w:noProof w:val="0"/>
          <w:u w:val="single"/>
        </w:rPr>
        <w:t>А. „Процедура за избор с публична покана“</w:t>
      </w:r>
      <w:r w:rsidRPr="004F3A47">
        <w:rPr>
          <w:rFonts w:ascii="Arial" w:eastAsia="Calibri" w:hAnsi="Arial" w:cs="Arial"/>
          <w:b/>
          <w:bCs/>
          <w:noProof w:val="0"/>
        </w:rPr>
        <w:t xml:space="preserve"> пo реда на Постановление № 160 на Министерския съвет от 1 юли 2016 г. </w:t>
      </w:r>
      <w:r w:rsidRPr="009D6BF3">
        <w:rPr>
          <w:rFonts w:ascii="Arial" w:eastAsia="Calibri" w:hAnsi="Arial" w:cs="Arial"/>
          <w:bCs/>
          <w:noProof w:val="0"/>
        </w:rPr>
        <w:t xml:space="preserve">за </w:t>
      </w:r>
      <w:r w:rsidRPr="004F3A47">
        <w:rPr>
          <w:rFonts w:ascii="Arial" w:eastAsia="Calibri" w:hAnsi="Arial" w:cs="Arial"/>
          <w:bCs/>
          <w:noProof w:val="0"/>
        </w:rPr>
        <w:t>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(ПМС 160/2016 г.).</w:t>
      </w:r>
    </w:p>
    <w:p w14:paraId="16FE77AF" w14:textId="6DC969D2"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Когато бенефициерът не е възложител по смисъла на ЗОП, при избор на изпълнител/и същият задължително прилага разпоредбите на Глава четвърта от </w:t>
      </w:r>
      <w:r w:rsidR="002971F5" w:rsidRPr="002971F5">
        <w:rPr>
          <w:rFonts w:ascii="Arial" w:eastAsia="Calibri" w:hAnsi="Arial" w:cs="Arial"/>
          <w:bCs/>
          <w:noProof w:val="0"/>
        </w:rPr>
        <w:t xml:space="preserve">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w:t>
      </w:r>
      <w:r w:rsidR="002971F5" w:rsidRPr="002971F5">
        <w:rPr>
          <w:rFonts w:ascii="Arial" w:eastAsia="Calibri" w:hAnsi="Arial" w:cs="Arial"/>
          <w:bCs/>
          <w:noProof w:val="0"/>
        </w:rPr>
        <w:lastRenderedPageBreak/>
        <w:t>заключителни разпоредби към Закон за изменение и допълнение на Закона за управление на средствата от Европейските структурни и инвестиционни фондове (Обн. ДВ, бр. 51 от 2022 г.)</w:t>
      </w:r>
      <w:r w:rsidRPr="004F3A47">
        <w:rPr>
          <w:rFonts w:ascii="Arial" w:eastAsia="Calibri" w:hAnsi="Arial" w:cs="Arial"/>
          <w:bCs/>
          <w:noProof w:val="0"/>
        </w:rPr>
        <w:t xml:space="preserve"> и ПМС № 160/2016 г., както и указанията, заложени в настоящите Условия за изпълнение.</w:t>
      </w:r>
    </w:p>
    <w:p w14:paraId="3B42262D" w14:textId="77777777" w:rsidR="004F3A47" w:rsidRDefault="004F3A47" w:rsidP="004F3A47">
      <w:pPr>
        <w:spacing w:before="120" w:after="120" w:line="360" w:lineRule="auto"/>
        <w:jc w:val="both"/>
        <w:rPr>
          <w:rFonts w:ascii="Arial" w:eastAsia="Calibri" w:hAnsi="Arial" w:cs="Arial"/>
          <w:bCs/>
          <w:i/>
          <w:noProof w:val="0"/>
        </w:rPr>
      </w:pPr>
      <w:r>
        <w:rPr>
          <w:rFonts w:ascii="Arial" w:eastAsia="Calibri" w:hAnsi="Arial" w:cs="Arial"/>
          <w:b/>
          <w:lang w:val="en-US"/>
        </w:rPr>
        <w:drawing>
          <wp:inline distT="0" distB="0" distL="0" distR="0" wp14:anchorId="1B8054F8" wp14:editId="254875E1">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4F3A47">
        <w:rPr>
          <w:rFonts w:ascii="Arial" w:eastAsia="Calibri" w:hAnsi="Arial" w:cs="Arial"/>
          <w:b/>
          <w:bCs/>
          <w:noProof w:val="0"/>
        </w:rPr>
        <w:t xml:space="preserve"> </w:t>
      </w:r>
      <w:r w:rsidRPr="004F3A47">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11" w:history="1">
        <w:r w:rsidRPr="004F3A47">
          <w:rPr>
            <w:rFonts w:ascii="Arial" w:eastAsia="Calibri" w:hAnsi="Arial" w:cs="Arial"/>
            <w:bCs/>
            <w:i/>
            <w:noProof w:val="0"/>
            <w:color w:val="0563C1"/>
            <w:u w:val="single"/>
          </w:rPr>
          <w:t>https://www.eufunds.bg/bg/pmdr/node/5313</w:t>
        </w:r>
      </w:hyperlink>
      <w:r w:rsidRPr="004F3A47">
        <w:rPr>
          <w:rFonts w:ascii="Arial" w:eastAsia="Calibri" w:hAnsi="Arial" w:cs="Arial"/>
          <w:bCs/>
          <w:i/>
          <w:noProof w:val="0"/>
          <w:lang w:val="en-US"/>
        </w:rPr>
        <w:t>.</w:t>
      </w:r>
    </w:p>
    <w:p w14:paraId="73BF6FA0" w14:textId="17334B5F"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Съгласно чл. 50, </w:t>
      </w:r>
      <w:r w:rsidR="00711B38">
        <w:rPr>
          <w:rFonts w:ascii="Arial" w:eastAsia="Calibri" w:hAnsi="Arial" w:cs="Arial"/>
          <w:bCs/>
          <w:noProof w:val="0"/>
        </w:rPr>
        <w:t>ал. 2</w:t>
      </w:r>
      <w:r w:rsidRPr="004F3A47">
        <w:rPr>
          <w:rFonts w:ascii="Arial" w:eastAsia="Calibri" w:hAnsi="Arial" w:cs="Arial"/>
          <w:bCs/>
          <w:noProof w:val="0"/>
        </w:rPr>
        <w:t xml:space="preserve"> от </w:t>
      </w:r>
      <w:r w:rsidR="002971F5">
        <w:rPr>
          <w:rFonts w:ascii="Arial" w:eastAsia="Calibri" w:hAnsi="Arial" w:cs="Arial"/>
          <w:bCs/>
          <w:noProof w:val="0"/>
        </w:rPr>
        <w:t>ЗУСЕФСУ</w:t>
      </w:r>
      <w:r w:rsidRPr="004F3A47">
        <w:rPr>
          <w:rFonts w:ascii="Arial" w:eastAsia="Calibri" w:hAnsi="Arial" w:cs="Arial"/>
          <w:bCs/>
          <w:noProof w:val="0"/>
        </w:rPr>
        <w:t xml:space="preserve"> кандидатът провежда процедура за избор с публична покана, </w:t>
      </w:r>
      <w:r w:rsidR="00711B38" w:rsidRPr="00711B38">
        <w:rPr>
          <w:rFonts w:ascii="Arial" w:eastAsia="Calibri" w:hAnsi="Arial" w:cs="Arial"/>
          <w:bCs/>
          <w:noProof w:val="0"/>
        </w:rPr>
        <w:t>когато размерът на предоставената безвъзмездна финансова помощ е по-голям от 50 на сто от общата сума на одобрения проект и прогнозната стойност за</w:t>
      </w:r>
      <w:r w:rsidRPr="004F3A47">
        <w:rPr>
          <w:rFonts w:ascii="Arial" w:eastAsia="Calibri" w:hAnsi="Arial" w:cs="Arial"/>
          <w:bCs/>
          <w:noProof w:val="0"/>
        </w:rPr>
        <w:t>:</w:t>
      </w:r>
    </w:p>
    <w:p w14:paraId="122A40D1"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равна или по-висока от 50 000 лв.;</w:t>
      </w:r>
    </w:p>
    <w:p w14:paraId="7A0556C8" w14:textId="77777777" w:rsid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или услуги, в т. ч. съфинансирането от страна на бенефициера, без данък върху добавената стойност, е равна или по-висока от 30 000 лв.</w:t>
      </w:r>
    </w:p>
    <w:p w14:paraId="12FE4F8F" w14:textId="00AF93D7" w:rsidR="001631AA" w:rsidRPr="004F3A47" w:rsidRDefault="001631AA" w:rsidP="001631AA">
      <w:pPr>
        <w:spacing w:before="120" w:after="120" w:line="360" w:lineRule="auto"/>
        <w:ind w:firstLine="720"/>
        <w:jc w:val="both"/>
        <w:rPr>
          <w:rFonts w:ascii="Arial" w:eastAsia="Calibri" w:hAnsi="Arial" w:cs="Arial"/>
          <w:bCs/>
          <w:noProof w:val="0"/>
        </w:rPr>
      </w:pPr>
      <w:r>
        <w:rPr>
          <w:rFonts w:ascii="Arial" w:eastAsia="Calibri" w:hAnsi="Arial" w:cs="Arial"/>
          <w:bCs/>
          <w:noProof w:val="0"/>
        </w:rPr>
        <w:t xml:space="preserve">Съгласно чл. 50, ал. </w:t>
      </w:r>
      <w:r w:rsidRPr="001631AA">
        <w:rPr>
          <w:rFonts w:ascii="Arial" w:eastAsia="Calibri" w:hAnsi="Arial" w:cs="Arial"/>
          <w:bCs/>
          <w:noProof w:val="0"/>
        </w:rPr>
        <w:t xml:space="preserve">3 от </w:t>
      </w:r>
      <w:r w:rsidR="002971F5">
        <w:rPr>
          <w:rFonts w:ascii="Arial" w:eastAsia="Calibri" w:hAnsi="Arial" w:cs="Arial"/>
          <w:bCs/>
          <w:noProof w:val="0"/>
        </w:rPr>
        <w:t>ЗУСЕФСУ</w:t>
      </w:r>
      <w:r w:rsidRPr="001631AA">
        <w:rPr>
          <w:rFonts w:ascii="Arial" w:eastAsia="Calibri" w:hAnsi="Arial" w:cs="Arial"/>
          <w:bCs/>
          <w:noProof w:val="0"/>
        </w:rPr>
        <w:t xml:space="preserve"> и изискванията на УО</w:t>
      </w:r>
      <w:r>
        <w:rPr>
          <w:rFonts w:ascii="Arial" w:eastAsia="Calibri" w:hAnsi="Arial" w:cs="Arial"/>
          <w:bCs/>
          <w:noProof w:val="0"/>
        </w:rPr>
        <w:t xml:space="preserve"> на ПМДР, бенефициер</w:t>
      </w:r>
      <w:r w:rsidRPr="001631AA">
        <w:rPr>
          <w:rFonts w:ascii="Arial" w:eastAsia="Calibri" w:hAnsi="Arial" w:cs="Arial"/>
          <w:bCs/>
          <w:noProof w:val="0"/>
        </w:rPr>
        <w:t>ът провежда процедура за избор с публична покана, когато размерът на предоставената безвъзмездна финансова помощ е равен или по-малък от 50 на сто от о</w:t>
      </w:r>
      <w:r>
        <w:rPr>
          <w:rFonts w:ascii="Arial" w:eastAsia="Calibri" w:hAnsi="Arial" w:cs="Arial"/>
          <w:bCs/>
          <w:noProof w:val="0"/>
        </w:rPr>
        <w:t>бщата сума на одобрения проект.</w:t>
      </w:r>
    </w:p>
    <w:p w14:paraId="39DF3416" w14:textId="7D55DD2D"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Публичната покана следва да съдържа информацията, посочена в чл. 51 от </w:t>
      </w:r>
      <w:r w:rsidR="002971F5">
        <w:rPr>
          <w:rFonts w:ascii="Arial" w:eastAsia="Calibri" w:hAnsi="Arial" w:cs="Arial"/>
          <w:bCs/>
          <w:noProof w:val="0"/>
        </w:rPr>
        <w:t>ЗУСЕФСУ</w:t>
      </w:r>
      <w:r w:rsidRPr="004F3A47">
        <w:rPr>
          <w:rFonts w:ascii="Arial" w:eastAsia="Calibri" w:hAnsi="Arial" w:cs="Arial"/>
          <w:bCs/>
          <w:noProof w:val="0"/>
        </w:rPr>
        <w:t>, както и следните изисквания към кандидатите – изпълнители:</w:t>
      </w:r>
    </w:p>
    <w:p w14:paraId="42DE0C8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5B937D65" w14:textId="5902EF2B"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443E6A2D" w14:textId="5DAF2DCE"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 xml:space="preserve">годишният оборот, който се отнася до предмета на поръчката (специфичен оборот) да е най-много за последните 3 приключили финансови години, в зависимост от датата, на която кандидатът е учреден или започнал дейността си, да е равен или по-голям </w:t>
      </w:r>
      <w:r w:rsidR="001631AA" w:rsidRPr="001631AA">
        <w:rPr>
          <w:rFonts w:ascii="Arial" w:eastAsia="Calibri" w:hAnsi="Arial" w:cs="Arial"/>
          <w:bCs/>
          <w:noProof w:val="0"/>
        </w:rPr>
        <w:lastRenderedPageBreak/>
        <w:t>от стойността на поръчката или на съответната обособена позиция, в случай че процедурата е с обособени позиции, при спазване разпоредбите на чл. 3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297C1C10"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194D51E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464AE3D4" w14:textId="4BB923B7" w:rsidR="004F3A47" w:rsidRPr="004F3A47" w:rsidRDefault="001631AA" w:rsidP="004F3A47">
      <w:pPr>
        <w:spacing w:before="120" w:after="120" w:line="360" w:lineRule="auto"/>
        <w:ind w:firstLine="720"/>
        <w:jc w:val="both"/>
        <w:rPr>
          <w:rFonts w:ascii="Arial" w:eastAsia="Calibri" w:hAnsi="Arial" w:cs="Arial"/>
          <w:bCs/>
          <w:noProof w:val="0"/>
        </w:rPr>
      </w:pPr>
      <w:r w:rsidRPr="001631AA">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и не може да бъде по-кратък от 21 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w:t>
      </w:r>
    </w:p>
    <w:p w14:paraId="4213139B" w14:textId="04CED782"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009518BD">
        <w:rPr>
          <w:rFonts w:ascii="Arial" w:eastAsia="Calibri" w:hAnsi="Arial" w:cs="Arial"/>
          <w:bCs/>
          <w:noProof w:val="0"/>
        </w:rPr>
        <w:t>Приложение № 26</w:t>
      </w:r>
      <w:r w:rsidRPr="004F3A47">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14:paraId="70E4081C" w14:textId="595F363B" w:rsidR="004F3A47" w:rsidRPr="004F3A47" w:rsidRDefault="00B27E79" w:rsidP="004F3A47">
      <w:pPr>
        <w:spacing w:before="120" w:after="120" w:line="360" w:lineRule="auto"/>
        <w:ind w:firstLine="720"/>
        <w:jc w:val="both"/>
        <w:rPr>
          <w:rFonts w:ascii="Arial" w:eastAsia="Calibri" w:hAnsi="Arial" w:cs="Arial"/>
          <w:bCs/>
          <w:noProof w:val="0"/>
          <w:u w:val="single"/>
        </w:rPr>
      </w:pPr>
      <w:r>
        <w:rPr>
          <w:rFonts w:ascii="Arial" w:eastAsia="Calibri" w:hAnsi="Arial" w:cs="Arial"/>
          <w:b/>
          <w:bCs/>
          <w:noProof w:val="0"/>
          <w:u w:val="single"/>
        </w:rPr>
        <w:t>Б. Избор на изпълнител „</w:t>
      </w:r>
      <w:r w:rsidR="004F3A47" w:rsidRPr="004F3A47">
        <w:rPr>
          <w:rFonts w:ascii="Arial" w:eastAsia="Calibri" w:hAnsi="Arial" w:cs="Arial"/>
          <w:b/>
          <w:bCs/>
          <w:noProof w:val="0"/>
          <w:u w:val="single"/>
        </w:rPr>
        <w:t xml:space="preserve">чрез представяне на поне две съпоставими независими </w:t>
      </w:r>
      <w:r w:rsidR="001631AA">
        <w:rPr>
          <w:rFonts w:ascii="Arial" w:eastAsia="Calibri" w:hAnsi="Arial" w:cs="Arial"/>
          <w:b/>
          <w:bCs/>
          <w:noProof w:val="0"/>
          <w:u w:val="single"/>
        </w:rPr>
        <w:t xml:space="preserve">и конкурентни </w:t>
      </w:r>
      <w:r w:rsidR="004F3A47" w:rsidRPr="004F3A47">
        <w:rPr>
          <w:rFonts w:ascii="Arial" w:eastAsia="Calibri" w:hAnsi="Arial" w:cs="Arial"/>
          <w:b/>
          <w:bCs/>
          <w:noProof w:val="0"/>
          <w:u w:val="single"/>
        </w:rPr>
        <w:t>оферти</w:t>
      </w:r>
      <w:r>
        <w:rPr>
          <w:rFonts w:ascii="Arial" w:eastAsia="Calibri" w:hAnsi="Arial" w:cs="Arial"/>
          <w:b/>
          <w:bCs/>
          <w:noProof w:val="0"/>
          <w:u w:val="single"/>
        </w:rPr>
        <w:t xml:space="preserve"> </w:t>
      </w:r>
      <w:r w:rsidRPr="00B27E79">
        <w:rPr>
          <w:rFonts w:ascii="Arial" w:eastAsia="Calibri" w:hAnsi="Arial" w:cs="Arial"/>
          <w:b/>
          <w:bCs/>
          <w:noProof w:val="0"/>
          <w:u w:val="single"/>
        </w:rPr>
        <w:t>и покана в ИСУН 2020</w:t>
      </w:r>
      <w:r w:rsidR="004F3A47" w:rsidRPr="004F3A47">
        <w:rPr>
          <w:rFonts w:ascii="Arial" w:eastAsia="Calibri" w:hAnsi="Arial" w:cs="Arial"/>
          <w:b/>
          <w:bCs/>
          <w:noProof w:val="0"/>
          <w:u w:val="single"/>
        </w:rPr>
        <w:t>“:</w:t>
      </w:r>
    </w:p>
    <w:p w14:paraId="7717FC1A" w14:textId="55F1FE4B" w:rsidR="004F3A47" w:rsidRPr="004F3A47" w:rsidRDefault="00B27E79" w:rsidP="004F3A47">
      <w:pPr>
        <w:spacing w:before="120" w:after="120" w:line="360" w:lineRule="auto"/>
        <w:ind w:firstLine="720"/>
        <w:jc w:val="both"/>
        <w:rPr>
          <w:rFonts w:ascii="Arial" w:eastAsia="Calibri" w:hAnsi="Arial" w:cs="Arial"/>
          <w:bCs/>
          <w:noProof w:val="0"/>
        </w:rPr>
      </w:pPr>
      <w:r w:rsidRPr="00B27E79">
        <w:rPr>
          <w:rFonts w:ascii="Arial" w:eastAsia="Calibri" w:hAnsi="Arial" w:cs="Arial"/>
          <w:bCs/>
          <w:noProof w:val="0"/>
        </w:rPr>
        <w:t xml:space="preserve">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 ефикасност и ефективност, при избор на изпълнител „Чрез представяне на поне две съпоставими, независими и конкурентни оферти и </w:t>
      </w:r>
      <w:r w:rsidR="00066B51">
        <w:rPr>
          <w:rFonts w:ascii="Arial" w:eastAsia="Calibri" w:hAnsi="Arial" w:cs="Arial"/>
          <w:bCs/>
          <w:noProof w:val="0"/>
        </w:rPr>
        <w:t>покана в ИСУН 2020“, б</w:t>
      </w:r>
      <w:r>
        <w:rPr>
          <w:rFonts w:ascii="Arial" w:eastAsia="Calibri" w:hAnsi="Arial" w:cs="Arial"/>
          <w:bCs/>
          <w:noProof w:val="0"/>
        </w:rPr>
        <w:t>енефициерите пред</w:t>
      </w:r>
      <w:r w:rsidRPr="00B27E79">
        <w:rPr>
          <w:rFonts w:ascii="Arial" w:eastAsia="Calibri" w:hAnsi="Arial" w:cs="Arial"/>
          <w:bCs/>
          <w:noProof w:val="0"/>
        </w:rPr>
        <w:t xml:space="preserve">ставят минимум две съпоставими, независими и конкурентни оферти, подадени от квалифициран доставчик и публикуват в ИСУН за срок минимум 5 дни покана </w:t>
      </w:r>
      <w:r w:rsidRPr="00B27E79">
        <w:rPr>
          <w:rFonts w:ascii="Arial" w:eastAsia="Calibri" w:hAnsi="Arial" w:cs="Arial"/>
          <w:bCs/>
          <w:noProof w:val="0"/>
        </w:rPr>
        <w:lastRenderedPageBreak/>
        <w:t>за събиране на оферти,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6E2F5AD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по-малка от 50 000 лв.;</w:t>
      </w:r>
    </w:p>
    <w:p w14:paraId="29BDE65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и/или услуги, в т.ч. съфинансирането от страна на бенефициера, без данък върху добавената стойност, е по-малка от 30 000 лв.</w:t>
      </w:r>
    </w:p>
    <w:p w14:paraId="753B7764" w14:textId="3722CF2F" w:rsidR="004F3A47" w:rsidRPr="004F3A47" w:rsidRDefault="00066B51" w:rsidP="004F3A47">
      <w:pPr>
        <w:spacing w:before="120" w:after="120" w:line="360" w:lineRule="auto"/>
        <w:ind w:firstLine="720"/>
        <w:jc w:val="both"/>
        <w:rPr>
          <w:rFonts w:ascii="Arial" w:eastAsia="Calibri" w:hAnsi="Arial" w:cs="Arial"/>
          <w:bCs/>
          <w:noProof w:val="0"/>
        </w:rPr>
      </w:pPr>
      <w:r>
        <w:rPr>
          <w:rFonts w:ascii="Arial" w:eastAsia="Calibri" w:hAnsi="Arial" w:cs="Arial"/>
          <w:bCs/>
          <w:noProof w:val="0"/>
        </w:rPr>
        <w:t>В този случай б</w:t>
      </w:r>
      <w:r w:rsidR="00B27E79">
        <w:rPr>
          <w:rFonts w:ascii="Arial" w:eastAsia="Calibri" w:hAnsi="Arial" w:cs="Arial"/>
          <w:bCs/>
          <w:noProof w:val="0"/>
        </w:rPr>
        <w:t>енефициер</w:t>
      </w:r>
      <w:r w:rsidR="00B27E79" w:rsidRPr="00B27E79">
        <w:rPr>
          <w:rFonts w:ascii="Arial" w:eastAsia="Calibri" w:hAnsi="Arial" w:cs="Arial"/>
          <w:bCs/>
          <w:noProof w:val="0"/>
        </w:rPr>
        <w:t xml:space="preserve">ите определят изпълнител </w:t>
      </w:r>
      <w:r w:rsidR="008B55BC">
        <w:rPr>
          <w:rFonts w:ascii="Arial" w:eastAsia="Calibri" w:hAnsi="Arial" w:cs="Arial"/>
          <w:bCs/>
          <w:noProof w:val="0"/>
        </w:rPr>
        <w:t>въз основа на</w:t>
      </w:r>
      <w:r w:rsidR="00B27E79" w:rsidRPr="00B27E79">
        <w:rPr>
          <w:rFonts w:ascii="Arial" w:eastAsia="Calibri" w:hAnsi="Arial" w:cs="Arial"/>
          <w:bCs/>
          <w:noProof w:val="0"/>
        </w:rPr>
        <w:t xml:space="preserve"> получените оферти чрез ИСУН 2020 и събраните от определени икономически оператори две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w:t>
      </w:r>
      <w:r w:rsidR="008B55BC">
        <w:rPr>
          <w:rFonts w:ascii="Arial" w:eastAsia="Calibri" w:hAnsi="Arial" w:cs="Arial"/>
          <w:bCs/>
          <w:noProof w:val="0"/>
        </w:rPr>
        <w:t>ена, характеристика/функционалн</w:t>
      </w:r>
      <w:r w:rsidR="00B27E79" w:rsidRPr="00B27E79">
        <w:rPr>
          <w:rFonts w:ascii="Arial" w:eastAsia="Calibri" w:hAnsi="Arial" w:cs="Arial"/>
          <w:bCs/>
          <w:noProof w:val="0"/>
        </w:rPr>
        <w:t xml:space="preserve">ост/описание, които </w:t>
      </w:r>
      <w:r w:rsidR="008B55BC">
        <w:rPr>
          <w:rFonts w:ascii="Arial" w:eastAsia="Calibri" w:hAnsi="Arial" w:cs="Arial"/>
          <w:bCs/>
          <w:noProof w:val="0"/>
        </w:rPr>
        <w:t>отговарят на изискванията заложени</w:t>
      </w:r>
      <w:r w:rsidR="00B27E79" w:rsidRPr="00B27E79">
        <w:rPr>
          <w:rFonts w:ascii="Arial" w:eastAsia="Calibri" w:hAnsi="Arial" w:cs="Arial"/>
          <w:bCs/>
          <w:noProof w:val="0"/>
        </w:rPr>
        <w:t xml:space="preserve"> в одобрения проект.</w:t>
      </w:r>
    </w:p>
    <w:p w14:paraId="05602FF7"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7DEECA9" wp14:editId="6E2A0AE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561CDB4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2C158771" w14:textId="418BF4F8" w:rsidR="004F3A47" w:rsidRPr="004F3A47" w:rsidRDefault="0000484B" w:rsidP="0000484B">
      <w:pPr>
        <w:spacing w:before="120" w:after="120" w:line="360" w:lineRule="auto"/>
        <w:jc w:val="both"/>
        <w:rPr>
          <w:rFonts w:ascii="Arial" w:eastAsia="Calibri" w:hAnsi="Arial" w:cs="Arial"/>
          <w:bCs/>
          <w:noProof w:val="0"/>
        </w:rPr>
      </w:pPr>
      <w:r>
        <w:rPr>
          <w:rFonts w:ascii="Arial" w:eastAsia="Calibri" w:hAnsi="Arial" w:cs="Arial"/>
          <w:bCs/>
          <w:lang w:val="en-US"/>
        </w:rPr>
        <w:drawing>
          <wp:inline distT="0" distB="0" distL="0" distR="0" wp14:anchorId="04A6D7BF" wp14:editId="068F4663">
            <wp:extent cx="694690" cy="3778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4F3A47" w:rsidRPr="004F3A47">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50F9C08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Оферентите следва да отговарят на следните две кумулативни условия:</w:t>
      </w:r>
    </w:p>
    <w:p w14:paraId="185D04DE" w14:textId="2E9A2585"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r w:rsidR="001B220D">
        <w:rPr>
          <w:rFonts w:ascii="Arial" w:eastAsia="Calibri" w:hAnsi="Arial" w:cs="Arial"/>
          <w:bCs/>
          <w:noProof w:val="0"/>
        </w:rPr>
        <w:t>.</w:t>
      </w:r>
    </w:p>
    <w:p w14:paraId="43908719" w14:textId="0770D635"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0F413DDF" w14:textId="77777777" w:rsidR="00C1319C" w:rsidRPr="00C1319C" w:rsidRDefault="00C1319C" w:rsidP="00C1319C">
      <w:pPr>
        <w:spacing w:before="120" w:after="120" w:line="360" w:lineRule="auto"/>
        <w:ind w:firstLine="720"/>
        <w:jc w:val="both"/>
        <w:rPr>
          <w:rFonts w:ascii="Arial" w:eastAsia="Calibri" w:hAnsi="Arial" w:cs="Arial"/>
          <w:bCs/>
          <w:noProof w:val="0"/>
        </w:rPr>
      </w:pPr>
      <w:r w:rsidRPr="00C1319C">
        <w:rPr>
          <w:rFonts w:ascii="Arial" w:eastAsia="Calibri" w:hAnsi="Arial" w:cs="Arial"/>
          <w:bCs/>
          <w:noProof w:val="0"/>
        </w:rPr>
        <w:t xml:space="preserve">Горепосочените условия, на които трябва да отговарят оферентите и документите, с които се доказва съответствие с двете кумулативни условия, следва да бъдат заложени и в поканата за събиране на оферти чрез ИСУН 2020. Тези изисквания са кумулативни и кандидатите за изпълнители, трябва да отговарят задължително на тях. </w:t>
      </w:r>
    </w:p>
    <w:p w14:paraId="54EF50A1" w14:textId="024C6DAF" w:rsidR="00C1319C" w:rsidRPr="00C1319C" w:rsidRDefault="00C1319C" w:rsidP="00C1319C">
      <w:pPr>
        <w:spacing w:before="120" w:after="120" w:line="360" w:lineRule="auto"/>
        <w:ind w:firstLine="720"/>
        <w:jc w:val="both"/>
        <w:rPr>
          <w:rFonts w:ascii="Arial" w:eastAsia="Calibri" w:hAnsi="Arial" w:cs="Arial"/>
          <w:bCs/>
          <w:noProof w:val="0"/>
        </w:rPr>
      </w:pPr>
      <w:r w:rsidRPr="00C1319C">
        <w:rPr>
          <w:rFonts w:ascii="Arial" w:eastAsia="Calibri" w:hAnsi="Arial" w:cs="Arial"/>
          <w:bCs/>
          <w:noProof w:val="0"/>
        </w:rPr>
        <w:t>В случай</w:t>
      </w:r>
      <w:r>
        <w:rPr>
          <w:rFonts w:ascii="Arial" w:eastAsia="Calibri" w:hAnsi="Arial" w:cs="Arial"/>
          <w:bCs/>
          <w:noProof w:val="0"/>
        </w:rPr>
        <w:t>,</w:t>
      </w:r>
      <w:r w:rsidRPr="00C1319C">
        <w:rPr>
          <w:rFonts w:ascii="Arial" w:eastAsia="Calibri" w:hAnsi="Arial" w:cs="Arial"/>
          <w:bCs/>
          <w:noProof w:val="0"/>
        </w:rPr>
        <w:t xml:space="preserve"> че чрез ИСУН 2020 не постъпят оферти или са постъпили оферти от оференти, които не отговарят на изискванията на двете кумулативни условия, изборът на изпълнител се извършва между събраните две съпоставими и независими оферти.</w:t>
      </w:r>
    </w:p>
    <w:p w14:paraId="1A9BAABE" w14:textId="5042F42F" w:rsidR="004F3A47" w:rsidRPr="004F3A47" w:rsidRDefault="00C1319C" w:rsidP="00C1319C">
      <w:pPr>
        <w:spacing w:before="120" w:after="120" w:line="360" w:lineRule="auto"/>
        <w:ind w:firstLine="720"/>
        <w:jc w:val="both"/>
        <w:rPr>
          <w:rFonts w:ascii="Arial" w:eastAsia="Calibri" w:hAnsi="Arial" w:cs="Arial"/>
          <w:bCs/>
          <w:noProof w:val="0"/>
        </w:rPr>
      </w:pPr>
      <w:r w:rsidRPr="00C1319C">
        <w:rPr>
          <w:rFonts w:ascii="Arial" w:eastAsia="Calibri" w:hAnsi="Arial" w:cs="Arial"/>
          <w:bCs/>
          <w:noProof w:val="0"/>
        </w:rPr>
        <w:t>В случай</w:t>
      </w:r>
      <w:r>
        <w:rPr>
          <w:rFonts w:ascii="Arial" w:eastAsia="Calibri" w:hAnsi="Arial" w:cs="Arial"/>
          <w:bCs/>
          <w:noProof w:val="0"/>
        </w:rPr>
        <w:t>, че в</w:t>
      </w:r>
      <w:r w:rsidRPr="00C1319C">
        <w:rPr>
          <w:rFonts w:ascii="Arial" w:eastAsia="Calibri" w:hAnsi="Arial" w:cs="Arial"/>
          <w:bCs/>
          <w:noProof w:val="0"/>
        </w:rPr>
        <w:t>следствие на проведения избор на изпълнител за съответния разход от бюджета на проекта не са представени поне две съпоставими и независими оферти, издад</w:t>
      </w:r>
      <w:r>
        <w:rPr>
          <w:rFonts w:ascii="Arial" w:eastAsia="Calibri" w:hAnsi="Arial" w:cs="Arial"/>
          <w:bCs/>
          <w:noProof w:val="0"/>
        </w:rPr>
        <w:t>ени от оференти отговарящи на двете</w:t>
      </w:r>
      <w:r w:rsidRPr="00C1319C">
        <w:rPr>
          <w:rFonts w:ascii="Arial" w:eastAsia="Calibri" w:hAnsi="Arial" w:cs="Arial"/>
          <w:bCs/>
          <w:noProof w:val="0"/>
        </w:rPr>
        <w:t xml:space="preserve"> кумулативни условия, Управ</w:t>
      </w:r>
      <w:r w:rsidR="00066B51">
        <w:rPr>
          <w:rFonts w:ascii="Arial" w:eastAsia="Calibri" w:hAnsi="Arial" w:cs="Arial"/>
          <w:bCs/>
          <w:noProof w:val="0"/>
        </w:rPr>
        <w:t>ляващият орган на ПМДР</w:t>
      </w:r>
      <w:r w:rsidRPr="00C1319C">
        <w:rPr>
          <w:rFonts w:ascii="Arial" w:eastAsia="Calibri" w:hAnsi="Arial" w:cs="Arial"/>
          <w:bCs/>
          <w:noProof w:val="0"/>
        </w:rPr>
        <w:t xml:space="preserve"> ще открие процедура по определяне на финансова корекция и няма да одобри БФП за съответния разход.</w:t>
      </w:r>
    </w:p>
    <w:p w14:paraId="60F1FAA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3E292139"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не могат да с</w:t>
      </w:r>
      <w:r w:rsidR="009475EC">
        <w:rPr>
          <w:rFonts w:ascii="Arial" w:eastAsia="Calibri" w:hAnsi="Arial" w:cs="Arial"/>
          <w:bCs/>
          <w:noProof w:val="0"/>
        </w:rPr>
        <w:t>к</w:t>
      </w:r>
      <w:r w:rsidRPr="004F3A47">
        <w:rPr>
          <w:rFonts w:ascii="Arial" w:eastAsia="Calibri" w:hAnsi="Arial" w:cs="Arial"/>
          <w:bCs/>
          <w:noProof w:val="0"/>
        </w:rPr>
        <w:t xml:space="preserve">лючват договори с оференти, които са свързани лица по смисъла на § 1, т. 13 и 14 от допълнителните разпоредби на Закона за публичното </w:t>
      </w:r>
      <w:r w:rsidRPr="004F3A47">
        <w:rPr>
          <w:rFonts w:ascii="Arial" w:eastAsia="Calibri" w:hAnsi="Arial" w:cs="Arial"/>
          <w:bCs/>
          <w:noProof w:val="0"/>
        </w:rPr>
        <w:lastRenderedPageBreak/>
        <w:t>предлагане на ценни книжа, с бенефициера или с член на неговия управителен или контролен орган.</w:t>
      </w:r>
    </w:p>
    <w:p w14:paraId="4AEC51A9" w14:textId="7692CE59"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00066B51">
        <w:rPr>
          <w:rFonts w:ascii="Arial" w:eastAsia="Calibri" w:hAnsi="Arial" w:cs="Arial"/>
          <w:b/>
          <w:bCs/>
          <w:noProof w:val="0"/>
        </w:rPr>
        <w:t>на изпълнител „</w:t>
      </w:r>
      <w:r w:rsidRPr="004F3A47">
        <w:rPr>
          <w:rFonts w:ascii="Arial" w:eastAsia="Calibri" w:hAnsi="Arial" w:cs="Arial"/>
          <w:b/>
          <w:bCs/>
          <w:noProof w:val="0"/>
        </w:rPr>
        <w:t>чрез представяне на поне две съпоставими независими оферти</w:t>
      </w:r>
      <w:r w:rsidR="00066B51" w:rsidRPr="00066B51">
        <w:t xml:space="preserve"> </w:t>
      </w:r>
      <w:r w:rsidR="00066B51" w:rsidRPr="00066B51">
        <w:rPr>
          <w:rFonts w:ascii="Arial" w:eastAsia="Calibri" w:hAnsi="Arial" w:cs="Arial"/>
          <w:b/>
          <w:bCs/>
          <w:noProof w:val="0"/>
        </w:rPr>
        <w:t>и покана в ИСУН 2020</w:t>
      </w:r>
      <w:r w:rsidRPr="004F3A47">
        <w:rPr>
          <w:rFonts w:ascii="Arial" w:eastAsia="Calibri" w:hAnsi="Arial" w:cs="Arial"/>
          <w:b/>
          <w:bCs/>
          <w:noProof w:val="0"/>
        </w:rPr>
        <w:t>“</w:t>
      </w:r>
      <w:r w:rsidRPr="004F3A47">
        <w:rPr>
          <w:rFonts w:ascii="Arial" w:eastAsia="Calibri" w:hAnsi="Arial" w:cs="Arial"/>
          <w:noProof w:val="0"/>
        </w:rPr>
        <w:t xml:space="preserve"> </w:t>
      </w:r>
      <w:r w:rsidRPr="004F3A47">
        <w:rPr>
          <w:rFonts w:ascii="Arial" w:eastAsia="Calibri" w:hAnsi="Arial" w:cs="Arial"/>
          <w:b/>
          <w:bCs/>
          <w:noProof w:val="0"/>
        </w:rPr>
        <w:t xml:space="preserve">като задължително го уведомява за това чрез модул „Комуникация“. </w:t>
      </w:r>
      <w:r w:rsidRPr="004F3A47">
        <w:rPr>
          <w:rFonts w:ascii="Arial" w:eastAsia="Calibri" w:hAnsi="Arial" w:cs="Arial"/>
          <w:bCs/>
          <w:noProof w:val="0"/>
        </w:rPr>
        <w:t xml:space="preserve">В този случай бенефициерът представя на УО на ПМДР, чрез ИСУН 2020, минимум следните документи: </w:t>
      </w:r>
    </w:p>
    <w:p w14:paraId="6705A4F2" w14:textId="77777777" w:rsid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събраните поне 2 оферти;</w:t>
      </w:r>
    </w:p>
    <w:p w14:paraId="096DFBAD" w14:textId="17C56B75" w:rsidR="00066B51" w:rsidRPr="004F3A47" w:rsidRDefault="00066B51" w:rsidP="003B19D2">
      <w:pPr>
        <w:spacing w:before="120" w:after="120" w:line="360" w:lineRule="auto"/>
        <w:ind w:firstLine="1080"/>
        <w:jc w:val="both"/>
        <w:rPr>
          <w:rFonts w:ascii="Arial" w:eastAsia="Calibri" w:hAnsi="Arial" w:cs="Arial"/>
          <w:bCs/>
          <w:noProof w:val="0"/>
        </w:rPr>
      </w:pPr>
      <w:r>
        <w:rPr>
          <w:rFonts w:ascii="Arial" w:eastAsia="Calibri" w:hAnsi="Arial" w:cs="Arial"/>
          <w:bCs/>
          <w:noProof w:val="0"/>
        </w:rPr>
        <w:t xml:space="preserve">- </w:t>
      </w:r>
      <w:r w:rsidRPr="00066B51">
        <w:rPr>
          <w:rFonts w:ascii="Arial" w:eastAsia="Calibri" w:hAnsi="Arial" w:cs="Arial"/>
          <w:bCs/>
          <w:noProof w:val="0"/>
        </w:rPr>
        <w:t>обосновка в свободен текст за направения избор на база на събраните оферти и постъпилите оферти чрез ИСУН 2020 (в случай, че са постъпили оферти чрез ИСУН 2020)</w:t>
      </w:r>
      <w:r>
        <w:rPr>
          <w:rFonts w:ascii="Arial" w:eastAsia="Calibri" w:hAnsi="Arial" w:cs="Arial"/>
          <w:bCs/>
          <w:noProof w:val="0"/>
        </w:rPr>
        <w:t>;</w:t>
      </w:r>
    </w:p>
    <w:p w14:paraId="34321859" w14:textId="0BB822A0"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документите доказващи, че оферентът отговаря на кумулативните изисквания, посочени по-горе;</w:t>
      </w:r>
    </w:p>
    <w:p w14:paraId="00DCEBC6"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сключен договор, предметът и параметрите на който трябва да съответстват на избраната оферта.</w:t>
      </w:r>
    </w:p>
    <w:p w14:paraId="364DAB7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5CB72E2C" w14:textId="1880031C"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случай на необходимост, УО на ПМДР изисква от бенефициера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w:t>
      </w:r>
      <w:r w:rsidR="00F50E98">
        <w:rPr>
          <w:rFonts w:ascii="Arial" w:eastAsia="Calibri" w:hAnsi="Arial" w:cs="Arial"/>
          <w:bCs/>
          <w:noProof w:val="0"/>
        </w:rPr>
        <w:t>енти могат да бъдат предоставени</w:t>
      </w:r>
      <w:r w:rsidRPr="004F3A47">
        <w:rPr>
          <w:rFonts w:ascii="Arial" w:eastAsia="Calibri" w:hAnsi="Arial" w:cs="Arial"/>
          <w:bCs/>
          <w:noProof w:val="0"/>
        </w:rPr>
        <w:t xml:space="preserve"> само по искане на УО на ПМДР.</w:t>
      </w:r>
    </w:p>
    <w:p w14:paraId="7A7339A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77BC8C" w14:textId="0E0D09DF"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w:t>
      </w:r>
      <w:r w:rsidR="002971F5">
        <w:rPr>
          <w:rFonts w:ascii="Arial" w:eastAsia="Calibri" w:hAnsi="Arial" w:cs="Arial"/>
          <w:bCs/>
          <w:noProof w:val="0"/>
        </w:rPr>
        <w:t>ЗУСЕФСУ</w:t>
      </w:r>
      <w:r w:rsidRPr="004F3A47">
        <w:rPr>
          <w:rFonts w:ascii="Arial" w:eastAsia="Calibri" w:hAnsi="Arial" w:cs="Arial"/>
          <w:bCs/>
          <w:noProof w:val="0"/>
        </w:rPr>
        <w:t>.</w:t>
      </w:r>
    </w:p>
    <w:p w14:paraId="59890A85" w14:textId="10420E3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Правата и задълженията, които възникват за бенефициера, са описани в приложения образец на Административен договор за </w:t>
      </w:r>
      <w:r w:rsidR="0000484B">
        <w:rPr>
          <w:rFonts w:ascii="Arial" w:eastAsia="Calibri" w:hAnsi="Arial" w:cs="Arial"/>
          <w:bCs/>
          <w:noProof w:val="0"/>
        </w:rPr>
        <w:t xml:space="preserve">предоставяне на </w:t>
      </w:r>
      <w:r w:rsidRPr="004F3A47">
        <w:rPr>
          <w:rFonts w:ascii="Arial" w:eastAsia="Calibri" w:hAnsi="Arial" w:cs="Arial"/>
          <w:bCs/>
          <w:noProof w:val="0"/>
        </w:rPr>
        <w:t xml:space="preserve">безвъзмездна финансова помощ по „Програма за морско дело и рибарство” 2014-2020 </w:t>
      </w:r>
      <w:r w:rsidR="0000484B">
        <w:rPr>
          <w:rFonts w:ascii="Arial" w:eastAsia="Calibri" w:hAnsi="Arial" w:cs="Arial"/>
          <w:bCs/>
          <w:noProof w:val="0"/>
        </w:rPr>
        <w:t>(Приложение № 15</w:t>
      </w:r>
      <w:r w:rsidRPr="000724B8">
        <w:rPr>
          <w:rFonts w:ascii="Arial" w:eastAsia="Calibri" w:hAnsi="Arial" w:cs="Arial"/>
          <w:bCs/>
          <w:noProof w:val="0"/>
        </w:rPr>
        <w:t>).</w:t>
      </w:r>
    </w:p>
    <w:p w14:paraId="79656AFA" w14:textId="133C4A85"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На основание чл. 69, ал. 6 от </w:t>
      </w:r>
      <w:r w:rsidR="002971F5">
        <w:rPr>
          <w:rFonts w:ascii="Arial" w:eastAsia="Calibri" w:hAnsi="Arial" w:cs="Arial"/>
          <w:bCs/>
          <w:noProof w:val="0"/>
        </w:rPr>
        <w:t>ЗУСЕФСУ</w:t>
      </w:r>
      <w:r w:rsidRPr="004F3A47">
        <w:rPr>
          <w:rFonts w:ascii="Arial" w:eastAsia="Calibri" w:hAnsi="Arial" w:cs="Arial"/>
          <w:bCs/>
          <w:noProof w:val="0"/>
        </w:rPr>
        <w:t xml:space="preserve">,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w:t>
      </w:r>
      <w:r w:rsidR="002971F5">
        <w:rPr>
          <w:rFonts w:ascii="Arial" w:eastAsia="Calibri" w:hAnsi="Arial" w:cs="Arial"/>
          <w:bCs/>
          <w:noProof w:val="0"/>
        </w:rPr>
        <w:t>ЗУСЕФСУ</w:t>
      </w:r>
      <w:r w:rsidRPr="004F3A47">
        <w:rPr>
          <w:rFonts w:ascii="Arial" w:eastAsia="Calibri" w:hAnsi="Arial" w:cs="Arial"/>
          <w:bCs/>
          <w:noProof w:val="0"/>
        </w:rPr>
        <w:t xml:space="preserve">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42C5F0C8"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3EB2FB2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7359E07B"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w:t>
      </w:r>
      <w:r w:rsidR="0010695F">
        <w:rPr>
          <w:rFonts w:ascii="Arial" w:eastAsia="Calibri" w:hAnsi="Arial" w:cs="Arial"/>
          <w:bCs/>
          <w:noProof w:val="0"/>
        </w:rPr>
        <w:t>бва да са с декларативен хара</w:t>
      </w:r>
      <w:r w:rsidRPr="004F3A47">
        <w:rPr>
          <w:rFonts w:ascii="Arial" w:eastAsia="Calibri" w:hAnsi="Arial" w:cs="Arial"/>
          <w:bCs/>
          <w:noProof w:val="0"/>
        </w:rPr>
        <w:t>ктер, а да съдържат оценка за иновативния продукт/процес/съоръжения и да доказват неговата иновативност.</w:t>
      </w:r>
    </w:p>
    <w:p w14:paraId="5A05BC4D"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lastRenderedPageBreak/>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2915CC49"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44ADF17" w14:textId="77777777" w:rsid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075D55A4" w14:textId="77777777" w:rsidR="003B19D2" w:rsidRPr="004F3A47"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2AB37B7" w14:textId="77777777" w:rsidR="004F3A47" w:rsidRPr="0000484B" w:rsidRDefault="004F3A47" w:rsidP="004F3A47">
      <w:pPr>
        <w:spacing w:before="120" w:after="120" w:line="360" w:lineRule="auto"/>
        <w:jc w:val="both"/>
        <w:rPr>
          <w:rFonts w:ascii="Arial" w:eastAsia="Calibri" w:hAnsi="Arial" w:cs="Arial"/>
          <w:bCs/>
          <w:noProof w:val="0"/>
          <w:color w:val="0070C0"/>
        </w:rPr>
      </w:pPr>
    </w:p>
    <w:p w14:paraId="1D8537BB" w14:textId="41957E85" w:rsidR="004F3A47" w:rsidRPr="0000484B" w:rsidRDefault="004F3A47" w:rsidP="004F3A47">
      <w:pPr>
        <w:spacing w:before="120" w:after="120" w:line="360" w:lineRule="auto"/>
        <w:jc w:val="both"/>
        <w:rPr>
          <w:rFonts w:ascii="Arial" w:eastAsia="Calibri" w:hAnsi="Arial" w:cs="Arial"/>
          <w:bCs/>
          <w:noProof w:val="0"/>
          <w:color w:val="0070C0"/>
        </w:rPr>
      </w:pPr>
      <w:r w:rsidRPr="0000484B">
        <w:rPr>
          <w:rFonts w:ascii="Arial" w:eastAsia="Calibri" w:hAnsi="Arial" w:cs="Arial"/>
          <w:b/>
          <w:bCs/>
          <w:noProof w:val="0"/>
          <w:color w:val="0070C0"/>
        </w:rPr>
        <w:t>1.2. Изменения и/или допълнение на административен договор за предоставяне на безвъзмездна финансова помощ</w:t>
      </w:r>
      <w:r w:rsidR="00A37B2A">
        <w:rPr>
          <w:rFonts w:ascii="Arial" w:eastAsia="Calibri" w:hAnsi="Arial" w:cs="Arial"/>
          <w:b/>
          <w:bCs/>
          <w:noProof w:val="0"/>
          <w:color w:val="0070C0"/>
        </w:rPr>
        <w:t>.</w:t>
      </w:r>
    </w:p>
    <w:p w14:paraId="0A62429C" w14:textId="21C9CA13" w:rsidR="00A37B2A"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Бенефициера, при условията на чл. 39 от </w:t>
      </w:r>
      <w:r w:rsidR="002971F5">
        <w:rPr>
          <w:rFonts w:ascii="Arial" w:eastAsia="Calibri" w:hAnsi="Arial" w:cs="Arial"/>
          <w:bCs/>
          <w:noProof w:val="0"/>
        </w:rPr>
        <w:t>ЗУСЕФСУ</w:t>
      </w:r>
      <w:r w:rsidRPr="004F3A47">
        <w:rPr>
          <w:rFonts w:ascii="Arial" w:eastAsia="Calibri" w:hAnsi="Arial" w:cs="Arial"/>
          <w:noProof w:val="0"/>
        </w:rPr>
        <w:t xml:space="preserve"> </w:t>
      </w:r>
      <w:r w:rsidR="00342A0C">
        <w:rPr>
          <w:rFonts w:ascii="Arial" w:eastAsia="Calibri" w:hAnsi="Arial" w:cs="Arial"/>
          <w:bCs/>
          <w:noProof w:val="0"/>
        </w:rPr>
        <w:t xml:space="preserve">и раздел VIII </w:t>
      </w:r>
      <w:r w:rsidR="00A37B2A">
        <w:rPr>
          <w:rFonts w:ascii="Arial" w:eastAsia="Calibri" w:hAnsi="Arial" w:cs="Arial"/>
          <w:bCs/>
          <w:noProof w:val="0"/>
        </w:rPr>
        <w:t>от Общите условия.</w:t>
      </w:r>
    </w:p>
    <w:p w14:paraId="1AB7C904" w14:textId="76A20B39"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p>
    <w:p w14:paraId="17A76E41" w14:textId="77777777" w:rsidR="004F3A47" w:rsidRPr="004F3A47" w:rsidRDefault="004F3A47" w:rsidP="004F3A47">
      <w:pPr>
        <w:spacing w:before="120" w:after="120" w:line="360" w:lineRule="auto"/>
        <w:jc w:val="both"/>
        <w:rPr>
          <w:rFonts w:ascii="Arial" w:eastAsia="Calibri" w:hAnsi="Arial" w:cs="Arial"/>
          <w:b/>
          <w:bCs/>
          <w:noProof w:val="0"/>
        </w:rPr>
      </w:pPr>
    </w:p>
    <w:p w14:paraId="0D3D7840" w14:textId="77777777" w:rsidR="004F3A47" w:rsidRPr="00A37B2A" w:rsidRDefault="004F3A47" w:rsidP="004F3A47">
      <w:pPr>
        <w:spacing w:before="120" w:after="120" w:line="360" w:lineRule="auto"/>
        <w:jc w:val="both"/>
        <w:rPr>
          <w:rFonts w:ascii="Arial" w:eastAsia="Calibri" w:hAnsi="Arial" w:cs="Arial"/>
          <w:bCs/>
          <w:noProof w:val="0"/>
          <w:color w:val="0070C0"/>
        </w:rPr>
      </w:pPr>
      <w:r w:rsidRPr="00A37B2A">
        <w:rPr>
          <w:rFonts w:ascii="Arial" w:eastAsia="Calibri" w:hAnsi="Arial" w:cs="Arial"/>
          <w:b/>
          <w:bCs/>
          <w:noProof w:val="0"/>
          <w:color w:val="0070C0"/>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0A3AF16A" w14:textId="1B82A556"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Съгласно правилата на Регламент (ЕС) № 1303/2013 и Споразумението за делегиране на функции от УО на ПМДР на Междинното звено (МЗ) - Държавен фонд </w:t>
      </w:r>
      <w:r w:rsidRPr="004F3A47">
        <w:rPr>
          <w:rFonts w:ascii="Arial" w:eastAsia="Calibri" w:hAnsi="Arial" w:cs="Arial"/>
          <w:bCs/>
          <w:noProof w:val="0"/>
        </w:rPr>
        <w:lastRenderedPageBreak/>
        <w:t>„Земеделие“-Разплащателна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124C31E6" w14:textId="5B0B1A2C" w:rsidR="004F3A47" w:rsidRPr="004F3A47" w:rsidRDefault="00A37B2A" w:rsidP="004F3A47">
      <w:pPr>
        <w:spacing w:before="120" w:after="120" w:line="360" w:lineRule="auto"/>
        <w:ind w:firstLine="720"/>
        <w:jc w:val="both"/>
        <w:rPr>
          <w:rFonts w:ascii="Arial" w:eastAsia="Calibri" w:hAnsi="Arial" w:cs="Arial"/>
          <w:bCs/>
          <w:noProof w:val="0"/>
        </w:rPr>
      </w:pPr>
      <w:r w:rsidRPr="00A37B2A">
        <w:rPr>
          <w:rFonts w:ascii="Arial" w:eastAsia="Calibri" w:hAnsi="Arial" w:cs="Arial"/>
          <w:bCs/>
          <w:noProof w:val="0"/>
        </w:rPr>
        <w:t>Управляващият орган на ПМДР извършва задължителни проверки преди подписване на договори и мониторингови проверки на изпълнените проекти чрез МИРГ и Междинното звено ДФЗ-РА съгласно делегираните им функции.</w:t>
      </w:r>
      <w:r>
        <w:rPr>
          <w:rFonts w:ascii="Arial" w:eastAsia="Calibri" w:hAnsi="Arial" w:cs="Arial"/>
          <w:bCs/>
          <w:noProof w:val="0"/>
        </w:rPr>
        <w:t xml:space="preserve"> </w:t>
      </w:r>
      <w:r w:rsidRPr="00A37B2A">
        <w:rPr>
          <w:rFonts w:ascii="Arial" w:eastAsia="Calibri" w:hAnsi="Arial" w:cs="Arial"/>
          <w:bCs/>
          <w:noProof w:val="0"/>
        </w:rPr>
        <w:t>Мониторинговите проверки на изпълнените проекти на база извадка (проверките са административни и проверки на място) се извършват от междинното звено ДФЗ-РА.</w:t>
      </w:r>
    </w:p>
    <w:p w14:paraId="1022F57C"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Междинното звено – ДФЗ-РА извършва административни проверки и проверки на място преди плащане по реда установен в т. 2 от настоящите условия.</w:t>
      </w:r>
    </w:p>
    <w:p w14:paraId="283060FA" w14:textId="77777777" w:rsidR="00342A0C" w:rsidRPr="004F3A47" w:rsidRDefault="00342A0C" w:rsidP="004F3A47">
      <w:pPr>
        <w:spacing w:before="120" w:after="120" w:line="360" w:lineRule="auto"/>
        <w:ind w:firstLine="720"/>
        <w:jc w:val="both"/>
        <w:rPr>
          <w:rFonts w:ascii="Arial" w:eastAsia="Calibri" w:hAnsi="Arial" w:cs="Arial"/>
          <w:bCs/>
          <w:noProof w:val="0"/>
        </w:rPr>
      </w:pPr>
      <w:r w:rsidRPr="00342A0C">
        <w:rPr>
          <w:rFonts w:ascii="Arial" w:eastAsia="Calibri" w:hAnsi="Arial" w:cs="Arial"/>
          <w:bCs/>
          <w:noProof w:val="0"/>
        </w:rPr>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630522DF" w14:textId="77777777" w:rsidR="00342A0C"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w:t>
      </w:r>
      <w:r w:rsidR="00342A0C">
        <w:rPr>
          <w:rFonts w:ascii="Arial" w:eastAsia="Calibri" w:hAnsi="Arial" w:cs="Arial"/>
          <w:bCs/>
          <w:noProof w:val="0"/>
        </w:rPr>
        <w:t>,</w:t>
      </w:r>
      <w:r w:rsidRPr="004F3A47">
        <w:rPr>
          <w:rFonts w:ascii="Arial" w:eastAsia="Calibri" w:hAnsi="Arial" w:cs="Arial"/>
          <w:bCs/>
          <w:noProof w:val="0"/>
        </w:rPr>
        <w:t xml:space="preserve"> че бъдат констатирани несъответствия, разходите за съответните дейности няма да бъдат признати, като ще бъдат прилагани съответни</w:t>
      </w:r>
      <w:r w:rsidR="00342A0C">
        <w:rPr>
          <w:rFonts w:ascii="Arial" w:eastAsia="Calibri" w:hAnsi="Arial" w:cs="Arial"/>
          <w:bCs/>
          <w:noProof w:val="0"/>
        </w:rPr>
        <w:t xml:space="preserve"> европейски и национални норми.</w:t>
      </w:r>
    </w:p>
    <w:p w14:paraId="5717ACDC" w14:textId="5DB2DC0D"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w:t>
      </w:r>
      <w:r w:rsidR="00A37B2A">
        <w:rPr>
          <w:rFonts w:ascii="Arial" w:eastAsia="Calibri" w:hAnsi="Arial" w:cs="Arial"/>
          <w:bCs/>
          <w:noProof w:val="0"/>
        </w:rPr>
        <w:t>, МИРГ</w:t>
      </w:r>
      <w:r w:rsidRPr="004F3A47">
        <w:rPr>
          <w:rFonts w:ascii="Arial" w:eastAsia="Calibri" w:hAnsi="Arial" w:cs="Arial"/>
          <w:bCs/>
          <w:noProof w:val="0"/>
        </w:rPr>
        <w:t xml:space="preserve"> и/или други одитиращи институции с цел извършването на проверка на място на резултатите от изпълнението на проекта.</w:t>
      </w:r>
    </w:p>
    <w:p w14:paraId="424F6AA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е задължен да докладва и отчита изпълнението на проекта в съответните отчетни форми и документи чрез ИСУН 2020.</w:t>
      </w:r>
    </w:p>
    <w:p w14:paraId="7BBC9197" w14:textId="1529DAB5"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108534B0" wp14:editId="6143034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 xml:space="preserve">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w:t>
      </w:r>
      <w:r w:rsidR="00F50E98">
        <w:rPr>
          <w:rFonts w:ascii="Arial" w:eastAsia="Calibri" w:hAnsi="Arial" w:cs="Arial"/>
          <w:bCs/>
          <w:noProof w:val="0"/>
        </w:rPr>
        <w:t>2017г. (о</w:t>
      </w:r>
      <w:r w:rsidRPr="004F3A47">
        <w:rPr>
          <w:rFonts w:ascii="Arial" w:eastAsia="Calibri" w:hAnsi="Arial" w:cs="Arial"/>
          <w:bCs/>
          <w:noProof w:val="0"/>
        </w:rPr>
        <w:t>бн., ДВ, бр. 57 от 2017 г.).</w:t>
      </w:r>
    </w:p>
    <w:p w14:paraId="0C2A3BC7"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4B4406C0" w14:textId="77777777" w:rsidR="004F3A47" w:rsidRPr="00A37B2A" w:rsidRDefault="004F3A47" w:rsidP="004F3A47">
      <w:pPr>
        <w:spacing w:before="120" w:after="120" w:line="360" w:lineRule="auto"/>
        <w:jc w:val="both"/>
        <w:rPr>
          <w:rFonts w:ascii="Arial" w:eastAsia="Calibri" w:hAnsi="Arial" w:cs="Arial"/>
          <w:bCs/>
          <w:noProof w:val="0"/>
          <w:color w:val="0070C0"/>
        </w:rPr>
      </w:pPr>
      <w:r w:rsidRPr="00A37B2A">
        <w:rPr>
          <w:rFonts w:ascii="Arial" w:eastAsia="Calibri" w:hAnsi="Arial" w:cs="Arial"/>
          <w:b/>
          <w:bCs/>
          <w:noProof w:val="0"/>
          <w:color w:val="0070C0"/>
        </w:rPr>
        <w:lastRenderedPageBreak/>
        <w:t>2. Финансово изпълнение на проектите и плащане.</w:t>
      </w:r>
    </w:p>
    <w:p w14:paraId="0BC3DC34" w14:textId="7AEADA72"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w:t>
      </w:r>
      <w:r w:rsidR="00A37B2A">
        <w:rPr>
          <w:rFonts w:ascii="Arial" w:eastAsia="Calibri" w:hAnsi="Arial" w:cs="Arial"/>
          <w:bCs/>
          <w:noProof w:val="0"/>
        </w:rPr>
        <w:t xml:space="preserve">тавени за плащане само веднъж, </w:t>
      </w:r>
      <w:r w:rsidRPr="004F3A47">
        <w:rPr>
          <w:rFonts w:ascii="Arial" w:eastAsia="Calibri" w:hAnsi="Arial" w:cs="Arial"/>
          <w:bCs/>
          <w:noProof w:val="0"/>
        </w:rPr>
        <w:t>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73E3724E" w14:textId="57E6F70F"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w:t>
      </w:r>
      <w:r w:rsidR="00EF1ADC">
        <w:rPr>
          <w:rFonts w:ascii="Arial" w:eastAsia="Calibri" w:hAnsi="Arial" w:cs="Arial"/>
          <w:bCs/>
          <w:noProof w:val="0"/>
        </w:rPr>
        <w:t>-</w:t>
      </w:r>
      <w:r w:rsidRPr="004F3A47">
        <w:rPr>
          <w:rFonts w:ascii="Arial" w:eastAsia="Calibri" w:hAnsi="Arial" w:cs="Arial"/>
          <w:bCs/>
          <w:noProof w:val="0"/>
        </w:rPr>
        <w:t>ите и използването на средствата от безвъзмездната финансова помощ, съгласно изискванията на чл. 57, ал. 1, т.</w:t>
      </w:r>
      <w:r w:rsidR="00A930E2">
        <w:rPr>
          <w:rFonts w:ascii="Arial" w:eastAsia="Calibri" w:hAnsi="Arial" w:cs="Arial"/>
          <w:bCs/>
          <w:noProof w:val="0"/>
        </w:rPr>
        <w:t xml:space="preserve"> </w:t>
      </w:r>
      <w:r w:rsidRPr="004F3A47">
        <w:rPr>
          <w:rFonts w:ascii="Arial" w:eastAsia="Calibri" w:hAnsi="Arial" w:cs="Arial"/>
          <w:bCs/>
          <w:noProof w:val="0"/>
        </w:rPr>
        <w:t xml:space="preserve">5 от </w:t>
      </w:r>
      <w:r w:rsidR="002971F5">
        <w:rPr>
          <w:rFonts w:ascii="Arial" w:eastAsia="Calibri" w:hAnsi="Arial" w:cs="Arial"/>
          <w:bCs/>
          <w:noProof w:val="0"/>
        </w:rPr>
        <w:t>ЗУСЕФСУ</w:t>
      </w:r>
      <w:r w:rsidRPr="004F3A47">
        <w:rPr>
          <w:rFonts w:ascii="Arial" w:eastAsia="Calibri" w:hAnsi="Arial" w:cs="Arial"/>
          <w:bCs/>
          <w:noProof w:val="0"/>
        </w:rPr>
        <w:t>.</w:t>
      </w:r>
    </w:p>
    <w:p w14:paraId="4F5B0EF5" w14:textId="4F8EC3E0" w:rsidR="00A37B2A" w:rsidRPr="004F3A47" w:rsidRDefault="00A37B2A" w:rsidP="004F3A47">
      <w:pPr>
        <w:spacing w:before="120" w:after="120" w:line="360" w:lineRule="auto"/>
        <w:ind w:firstLine="720"/>
        <w:jc w:val="both"/>
        <w:rPr>
          <w:rFonts w:ascii="Arial" w:eastAsia="Calibri" w:hAnsi="Arial" w:cs="Arial"/>
          <w:bCs/>
          <w:noProof w:val="0"/>
        </w:rPr>
      </w:pPr>
      <w:r>
        <w:rPr>
          <w:rFonts w:ascii="Arial" w:eastAsia="Calibri" w:hAnsi="Arial" w:cs="Arial"/>
          <w:bCs/>
          <w:noProof w:val="0"/>
        </w:rPr>
        <w:t>При изпълнение на А</w:t>
      </w:r>
      <w:r w:rsidRPr="00A37B2A">
        <w:rPr>
          <w:rFonts w:ascii="Arial" w:eastAsia="Calibri" w:hAnsi="Arial" w:cs="Arial"/>
          <w:bCs/>
          <w:noProof w:val="0"/>
        </w:rPr>
        <w:t>дминистративните договори за предоставяне на безвъзмездна финансова помощ, бенеф</w:t>
      </w:r>
      <w:r>
        <w:rPr>
          <w:rFonts w:ascii="Arial" w:eastAsia="Calibri" w:hAnsi="Arial" w:cs="Arial"/>
          <w:bCs/>
          <w:noProof w:val="0"/>
        </w:rPr>
        <w:t>ициер</w:t>
      </w:r>
      <w:r w:rsidRPr="00A37B2A">
        <w:rPr>
          <w:rFonts w:ascii="Arial" w:eastAsia="Calibri" w:hAnsi="Arial" w:cs="Arial"/>
          <w:bCs/>
          <w:noProof w:val="0"/>
        </w:rPr>
        <w:t>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w:t>
      </w:r>
      <w:r>
        <w:rPr>
          <w:rFonts w:ascii="Arial" w:eastAsia="Calibri" w:hAnsi="Arial" w:cs="Arial"/>
          <w:bCs/>
          <w:noProof w:val="0"/>
        </w:rPr>
        <w:t>астоящата процедура, бенефициер</w:t>
      </w:r>
      <w:r w:rsidRPr="00A37B2A">
        <w:rPr>
          <w:rFonts w:ascii="Arial" w:eastAsia="Calibri" w:hAnsi="Arial" w:cs="Arial"/>
          <w:bCs/>
          <w:noProof w:val="0"/>
        </w:rPr>
        <w:t>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77A51C1C" w14:textId="5A924DC0"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Максималният размер на безвъзмездната финансова помощ задължително се посочва в административния договор за </w:t>
      </w:r>
      <w:r w:rsidR="00592C5E">
        <w:rPr>
          <w:rFonts w:ascii="Arial" w:eastAsia="Calibri" w:hAnsi="Arial" w:cs="Arial"/>
          <w:bCs/>
          <w:noProof w:val="0"/>
        </w:rPr>
        <w:t xml:space="preserve">предоставяне на </w:t>
      </w:r>
      <w:r w:rsidRPr="004F3A47">
        <w:rPr>
          <w:rFonts w:ascii="Arial" w:eastAsia="Calibri" w:hAnsi="Arial" w:cs="Arial"/>
          <w:bCs/>
          <w:noProof w:val="0"/>
        </w:rPr>
        <w:t>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4344F18" w14:textId="77777777" w:rsidR="00A7497E" w:rsidRDefault="00A7497E" w:rsidP="00A7497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7DC610D" w14:textId="3CF956B1" w:rsidR="00592C5E" w:rsidRPr="00592C5E" w:rsidRDefault="00592C5E" w:rsidP="00592C5E">
      <w:pPr>
        <w:spacing w:before="120" w:after="120" w:line="360" w:lineRule="auto"/>
        <w:ind w:firstLine="720"/>
        <w:jc w:val="both"/>
        <w:rPr>
          <w:rFonts w:ascii="Arial" w:eastAsia="Calibri" w:hAnsi="Arial" w:cs="Arial"/>
          <w:bCs/>
          <w:noProof w:val="0"/>
        </w:rPr>
      </w:pPr>
      <w:r w:rsidRPr="00592C5E">
        <w:rPr>
          <w:rFonts w:ascii="Arial" w:eastAsia="Calibri" w:hAnsi="Arial" w:cs="Arial"/>
          <w:bCs/>
          <w:noProof w:val="0"/>
        </w:rPr>
        <w:t>По настоящата процедура за предоставяне на безвъзмездна финансова помощ се предвиж</w:t>
      </w:r>
      <w:r>
        <w:rPr>
          <w:rFonts w:ascii="Arial" w:eastAsia="Calibri" w:hAnsi="Arial" w:cs="Arial"/>
          <w:bCs/>
          <w:noProof w:val="0"/>
        </w:rPr>
        <w:t xml:space="preserve">дат авансово, </w:t>
      </w:r>
      <w:r w:rsidRPr="00592C5E">
        <w:rPr>
          <w:rFonts w:ascii="Arial" w:eastAsia="Calibri" w:hAnsi="Arial" w:cs="Arial"/>
          <w:bCs/>
          <w:noProof w:val="0"/>
        </w:rPr>
        <w:t>междинни и окончателно плащане, като редът, условията и сроковете за негов</w:t>
      </w:r>
      <w:r>
        <w:rPr>
          <w:rFonts w:ascii="Arial" w:eastAsia="Calibri" w:hAnsi="Arial" w:cs="Arial"/>
          <w:bCs/>
          <w:noProof w:val="0"/>
        </w:rPr>
        <w:t>ото извършване са определени в А</w:t>
      </w:r>
      <w:r w:rsidRPr="00592C5E">
        <w:rPr>
          <w:rFonts w:ascii="Arial" w:eastAsia="Calibri" w:hAnsi="Arial" w:cs="Arial"/>
          <w:bCs/>
          <w:noProof w:val="0"/>
        </w:rPr>
        <w:t>дминистративния договор за предоставяне н</w:t>
      </w:r>
      <w:r>
        <w:rPr>
          <w:rFonts w:ascii="Arial" w:eastAsia="Calibri" w:hAnsi="Arial" w:cs="Arial"/>
          <w:bCs/>
          <w:noProof w:val="0"/>
        </w:rPr>
        <w:t xml:space="preserve">а безвъзмездна финансова помощ </w:t>
      </w:r>
      <w:r w:rsidRPr="00592C5E">
        <w:rPr>
          <w:rFonts w:ascii="Arial" w:eastAsia="Calibri" w:hAnsi="Arial" w:cs="Arial"/>
          <w:bCs/>
          <w:noProof w:val="0"/>
        </w:rPr>
        <w:t>и в Общите условия към него.</w:t>
      </w:r>
      <w:r>
        <w:rPr>
          <w:rFonts w:ascii="Arial" w:eastAsia="Calibri" w:hAnsi="Arial" w:cs="Arial"/>
          <w:bCs/>
          <w:noProof w:val="0"/>
        </w:rPr>
        <w:t xml:space="preserve"> Исканията </w:t>
      </w:r>
      <w:r>
        <w:rPr>
          <w:rFonts w:ascii="Arial" w:eastAsia="Calibri" w:hAnsi="Arial" w:cs="Arial"/>
          <w:bCs/>
          <w:noProof w:val="0"/>
        </w:rPr>
        <w:lastRenderedPageBreak/>
        <w:t>за авансово, междинни</w:t>
      </w:r>
      <w:r w:rsidRPr="00592C5E">
        <w:rPr>
          <w:rFonts w:ascii="Arial" w:eastAsia="Calibri" w:hAnsi="Arial" w:cs="Arial"/>
          <w:bCs/>
          <w:noProof w:val="0"/>
        </w:rPr>
        <w:t xml:space="preserve"> и окончателно плащане се подават по ред, условия и в срок определени в </w:t>
      </w:r>
      <w:r w:rsidR="00EF1ADC" w:rsidRPr="00592C5E">
        <w:rPr>
          <w:rFonts w:ascii="Arial" w:eastAsia="Calibri" w:hAnsi="Arial" w:cs="Arial"/>
          <w:bCs/>
          <w:noProof w:val="0"/>
        </w:rPr>
        <w:t>Административния</w:t>
      </w:r>
      <w:r w:rsidRPr="00592C5E">
        <w:rPr>
          <w:rFonts w:ascii="Arial" w:eastAsia="Calibri" w:hAnsi="Arial" w:cs="Arial"/>
          <w:bCs/>
          <w:noProof w:val="0"/>
        </w:rPr>
        <w:t xml:space="preserve"> договор и Общите условия към него.</w:t>
      </w:r>
    </w:p>
    <w:p w14:paraId="1C83FC87" w14:textId="6354F487" w:rsidR="00592C5E" w:rsidRPr="00592C5E" w:rsidRDefault="00592C5E" w:rsidP="00592C5E">
      <w:pPr>
        <w:spacing w:before="120" w:after="120" w:line="360" w:lineRule="auto"/>
        <w:ind w:firstLine="720"/>
        <w:jc w:val="both"/>
        <w:rPr>
          <w:rFonts w:ascii="Arial" w:eastAsia="Calibri" w:hAnsi="Arial" w:cs="Arial"/>
          <w:bCs/>
          <w:noProof w:val="0"/>
        </w:rPr>
      </w:pPr>
      <w:r>
        <w:rPr>
          <w:rFonts w:ascii="Arial" w:eastAsia="Calibri" w:hAnsi="Arial" w:cs="Arial"/>
          <w:bCs/>
          <w:noProof w:val="0"/>
        </w:rPr>
        <w:t xml:space="preserve">Междинни и </w:t>
      </w:r>
      <w:r w:rsidRPr="00592C5E">
        <w:rPr>
          <w:rFonts w:ascii="Arial" w:eastAsia="Calibri" w:hAnsi="Arial" w:cs="Arial"/>
          <w:bCs/>
          <w:noProof w:val="0"/>
        </w:rPr>
        <w:t>окончателно плащане се извършва в срок до 90 (деветдесет) календарни дни от датата на постъпван</w:t>
      </w:r>
      <w:r>
        <w:rPr>
          <w:rFonts w:ascii="Arial" w:eastAsia="Calibri" w:hAnsi="Arial" w:cs="Arial"/>
          <w:bCs/>
          <w:noProof w:val="0"/>
        </w:rPr>
        <w:t>е на искането за плащане в ДФЗ-</w:t>
      </w:r>
      <w:r w:rsidRPr="00592C5E">
        <w:rPr>
          <w:rFonts w:ascii="Arial" w:eastAsia="Calibri" w:hAnsi="Arial" w:cs="Arial"/>
          <w:bCs/>
          <w:noProof w:val="0"/>
        </w:rPr>
        <w:t xml:space="preserve">РА, при условията и реда на чл. 62, ал. 1 от </w:t>
      </w:r>
      <w:r w:rsidR="002971F5">
        <w:rPr>
          <w:rFonts w:ascii="Arial" w:eastAsia="Calibri" w:hAnsi="Arial" w:cs="Arial"/>
          <w:bCs/>
          <w:noProof w:val="0"/>
        </w:rPr>
        <w:t>ЗУСЕФСУ</w:t>
      </w:r>
      <w:r w:rsidRPr="00592C5E">
        <w:rPr>
          <w:rFonts w:ascii="Arial" w:eastAsia="Calibri" w:hAnsi="Arial" w:cs="Arial"/>
          <w:bCs/>
          <w:noProof w:val="0"/>
        </w:rPr>
        <w:t>.</w:t>
      </w:r>
    </w:p>
    <w:p w14:paraId="39BDA733" w14:textId="22922143" w:rsidR="00592C5E" w:rsidRDefault="00592C5E" w:rsidP="00592C5E">
      <w:pPr>
        <w:spacing w:before="120" w:after="120" w:line="360" w:lineRule="auto"/>
        <w:ind w:firstLine="720"/>
        <w:jc w:val="both"/>
        <w:rPr>
          <w:rFonts w:ascii="Arial" w:eastAsia="Calibri" w:hAnsi="Arial" w:cs="Arial"/>
          <w:bCs/>
          <w:noProof w:val="0"/>
        </w:rPr>
      </w:pPr>
      <w:r w:rsidRPr="00592C5E">
        <w:rPr>
          <w:rFonts w:ascii="Arial" w:eastAsia="Calibri" w:hAnsi="Arial" w:cs="Arial"/>
          <w:bCs/>
          <w:noProof w:val="0"/>
        </w:rPr>
        <w:t>Авансовото плащане се извършва в двуседмичен срок от датата на постъ</w:t>
      </w:r>
      <w:r>
        <w:rPr>
          <w:rFonts w:ascii="Arial" w:eastAsia="Calibri" w:hAnsi="Arial" w:cs="Arial"/>
          <w:bCs/>
          <w:noProof w:val="0"/>
        </w:rPr>
        <w:t>пване на искането на бенефициер</w:t>
      </w:r>
      <w:r w:rsidRPr="00592C5E">
        <w:rPr>
          <w:rFonts w:ascii="Arial" w:eastAsia="Calibri" w:hAnsi="Arial" w:cs="Arial"/>
          <w:bCs/>
          <w:noProof w:val="0"/>
        </w:rPr>
        <w:t>а при условията и реда на чл.</w:t>
      </w:r>
      <w:r>
        <w:rPr>
          <w:rFonts w:ascii="Arial" w:eastAsia="Calibri" w:hAnsi="Arial" w:cs="Arial"/>
          <w:bCs/>
          <w:noProof w:val="0"/>
        </w:rPr>
        <w:t xml:space="preserve"> </w:t>
      </w:r>
      <w:r w:rsidRPr="00592C5E">
        <w:rPr>
          <w:rFonts w:ascii="Arial" w:eastAsia="Calibri" w:hAnsi="Arial" w:cs="Arial"/>
          <w:bCs/>
          <w:noProof w:val="0"/>
        </w:rPr>
        <w:t>61, ал.</w:t>
      </w:r>
      <w:r>
        <w:rPr>
          <w:rFonts w:ascii="Arial" w:eastAsia="Calibri" w:hAnsi="Arial" w:cs="Arial"/>
          <w:bCs/>
          <w:noProof w:val="0"/>
        </w:rPr>
        <w:t xml:space="preserve"> </w:t>
      </w:r>
      <w:r w:rsidRPr="00592C5E">
        <w:rPr>
          <w:rFonts w:ascii="Arial" w:eastAsia="Calibri" w:hAnsi="Arial" w:cs="Arial"/>
          <w:bCs/>
          <w:noProof w:val="0"/>
        </w:rPr>
        <w:t xml:space="preserve">1 от </w:t>
      </w:r>
      <w:r w:rsidR="002971F5">
        <w:rPr>
          <w:rFonts w:ascii="Arial" w:eastAsia="Calibri" w:hAnsi="Arial" w:cs="Arial"/>
          <w:bCs/>
          <w:noProof w:val="0"/>
        </w:rPr>
        <w:t>ЗУСЕФСУ</w:t>
      </w:r>
      <w:r w:rsidRPr="00592C5E">
        <w:rPr>
          <w:rFonts w:ascii="Arial" w:eastAsia="Calibri" w:hAnsi="Arial" w:cs="Arial"/>
          <w:bCs/>
          <w:noProof w:val="0"/>
        </w:rPr>
        <w:t>, освен ако за него не е посочен по-дълъг срок в документите по чл. 26, ал. 1.</w:t>
      </w:r>
    </w:p>
    <w:p w14:paraId="35CAF50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3" w:history="1">
        <w:r w:rsidRPr="004F3A47">
          <w:rPr>
            <w:rFonts w:ascii="Arial" w:eastAsia="Calibri" w:hAnsi="Arial" w:cs="Arial"/>
            <w:bCs/>
            <w:i/>
            <w:noProof w:val="0"/>
            <w:color w:val="0563C1"/>
            <w:u w:val="single"/>
          </w:rPr>
          <w:t>https://www.eufunds.bg/bg/pmdr/node/5279</w:t>
        </w:r>
      </w:hyperlink>
      <w:r w:rsidRPr="004F3A47">
        <w:rPr>
          <w:rFonts w:ascii="Arial" w:eastAsia="Calibri" w:hAnsi="Arial" w:cs="Arial"/>
          <w:bCs/>
          <w:i/>
          <w:noProof w:val="0"/>
        </w:rPr>
        <w:t>.</w:t>
      </w:r>
    </w:p>
    <w:p w14:paraId="4626046D" w14:textId="25D55C9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2E09ABF" wp14:editId="5D9D6BD3">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4F3A47">
        <w:rPr>
          <w:rFonts w:ascii="Arial" w:eastAsia="Calibri" w:hAnsi="Arial" w:cs="Arial"/>
          <w:noProof w:val="0"/>
        </w:rPr>
        <w:t xml:space="preserve"> (</w:t>
      </w:r>
      <w:r w:rsidRPr="004F3A47">
        <w:rPr>
          <w:rFonts w:ascii="Arial" w:eastAsia="Calibri" w:hAnsi="Arial" w:cs="Arial"/>
          <w:bCs/>
          <w:noProof w:val="0"/>
        </w:rPr>
        <w:t>Регламент (ЕО, ЕВРАТОМ) № 2988/95), безвъзмездната финансов</w:t>
      </w:r>
      <w:r w:rsidR="0061385F">
        <w:rPr>
          <w:rFonts w:ascii="Arial" w:eastAsia="Calibri" w:hAnsi="Arial" w:cs="Arial"/>
          <w:bCs/>
          <w:noProof w:val="0"/>
        </w:rPr>
        <w:t>а</w:t>
      </w:r>
      <w:r w:rsidRPr="004F3A47">
        <w:rPr>
          <w:rFonts w:ascii="Arial" w:eastAsia="Calibri" w:hAnsi="Arial" w:cs="Arial"/>
          <w:bCs/>
          <w:noProof w:val="0"/>
        </w:rPr>
        <w:t xml:space="preserve">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61895A55"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6D5B6304"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3. Мерки за информиране и публичност.</w:t>
      </w:r>
    </w:p>
    <w:p w14:paraId="65F27F1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sidR="00A7497E">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p>
    <w:p w14:paraId="2303AD0B" w14:textId="521B302E"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Бенефициерите са длъжни да упоменат финансовия принос на Европейския фонд за морско дело и рибарство (ЕФМДР)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w:t>
      </w:r>
      <w:r w:rsidR="00592C5E">
        <w:rPr>
          <w:rFonts w:ascii="Arial" w:eastAsia="Calibri" w:hAnsi="Arial" w:cs="Arial"/>
          <w:bCs/>
          <w:noProof w:val="0"/>
        </w:rPr>
        <w:t>Във всички обяви и публикации (в случай, че има такива)</w:t>
      </w:r>
      <w:r w:rsidR="00592C5E" w:rsidRPr="00592C5E">
        <w:rPr>
          <w:rFonts w:ascii="Arial" w:eastAsia="Calibri" w:hAnsi="Arial" w:cs="Arial"/>
          <w:bCs/>
          <w:noProof w:val="0"/>
        </w:rPr>
        <w:t>, свързани с изп</w:t>
      </w:r>
      <w:r w:rsidR="00592C5E">
        <w:rPr>
          <w:rFonts w:ascii="Arial" w:eastAsia="Calibri" w:hAnsi="Arial" w:cs="Arial"/>
          <w:bCs/>
          <w:noProof w:val="0"/>
        </w:rPr>
        <w:t>ълнението на проекта, бенефициер</w:t>
      </w:r>
      <w:r w:rsidR="00592C5E" w:rsidRPr="00592C5E">
        <w:rPr>
          <w:rFonts w:ascii="Arial" w:eastAsia="Calibri" w:hAnsi="Arial" w:cs="Arial"/>
          <w:bCs/>
          <w:noProof w:val="0"/>
        </w:rPr>
        <w:t>ът е длъжен да оповести, че проектът е получил финансиране от ЕФМДР чрез ПМДР.</w:t>
      </w:r>
    </w:p>
    <w:p w14:paraId="5F123E3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По време на изпълнението на даден проект бенефициерът информира обществеността за получената от ЕФМДР подкрепа като:</w:t>
      </w:r>
    </w:p>
    <w:p w14:paraId="59EA6953"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lastRenderedPageBreak/>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10D773B7"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47EEFCC" w14:textId="77777777" w:rsidR="004F3A47" w:rsidRPr="004F3A47" w:rsidRDefault="004F3A47" w:rsidP="005E2026">
      <w:pPr>
        <w:spacing w:before="120" w:after="120" w:line="360" w:lineRule="auto"/>
        <w:ind w:firstLine="720"/>
        <w:contextualSpacing/>
        <w:jc w:val="both"/>
        <w:rPr>
          <w:rFonts w:ascii="Arial" w:eastAsia="Calibri" w:hAnsi="Arial" w:cs="Arial"/>
          <w:bCs/>
          <w:noProof w:val="0"/>
        </w:rPr>
      </w:pPr>
      <w:r w:rsidRPr="004F3A47">
        <w:rPr>
          <w:rFonts w:ascii="Arial" w:eastAsia="Calibri" w:hAnsi="Arial" w:cs="Arial"/>
          <w:bCs/>
          <w:noProof w:val="0"/>
        </w:rPr>
        <w:t>Плакатът следва да съдържа следната текстова и визуална информация:</w:t>
      </w:r>
    </w:p>
    <w:p w14:paraId="04C2476B"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емблемата на ЕС и упоменаването „Европейски съюз“;</w:t>
      </w:r>
    </w:p>
    <w:p w14:paraId="2C3A9356"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-наименованието на съфинансиращия фонд - Европейски фонд за морско дело и рибарство;</w:t>
      </w:r>
    </w:p>
    <w:p w14:paraId="5E331E4F"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общото лого за програмен период 2014-2020 г.;</w:t>
      </w:r>
    </w:p>
    <w:p w14:paraId="6A1EB542" w14:textId="781446D3"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наименованието</w:t>
      </w:r>
      <w:r w:rsidR="00592C5E">
        <w:rPr>
          <w:rFonts w:ascii="Arial" w:eastAsia="Calibri" w:hAnsi="Arial" w:cs="Arial"/>
          <w:bCs/>
          <w:noProof w:val="0"/>
        </w:rPr>
        <w:t>/логото</w:t>
      </w:r>
      <w:r w:rsidRPr="004F3A47">
        <w:rPr>
          <w:rFonts w:ascii="Arial" w:eastAsia="Calibri" w:hAnsi="Arial" w:cs="Arial"/>
          <w:bCs/>
          <w:noProof w:val="0"/>
        </w:rPr>
        <w:t xml:space="preserve"> на МИРГ </w:t>
      </w:r>
      <w:r w:rsidR="005301DC">
        <w:rPr>
          <w:rFonts w:ascii="Arial" w:eastAsia="Calibri" w:hAnsi="Arial" w:cs="Arial"/>
          <w:bCs/>
          <w:noProof w:val="0"/>
        </w:rPr>
        <w:t>Самоков</w:t>
      </w:r>
      <w:r w:rsidRPr="004F3A47">
        <w:rPr>
          <w:rFonts w:ascii="Arial" w:eastAsia="Calibri" w:hAnsi="Arial" w:cs="Arial"/>
          <w:bCs/>
          <w:noProof w:val="0"/>
        </w:rPr>
        <w:t>;</w:t>
      </w:r>
    </w:p>
    <w:p w14:paraId="371C88C8"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xml:space="preserve">- </w:t>
      </w:r>
      <w:bookmarkStart w:id="2" w:name="_Hlk530394371"/>
      <w:r w:rsidRPr="004F3A47">
        <w:rPr>
          <w:rFonts w:ascii="Arial" w:eastAsia="Calibri" w:hAnsi="Arial" w:cs="Arial"/>
          <w:bCs/>
          <w:noProof w:val="0"/>
        </w:rPr>
        <w:t xml:space="preserve">наименованието на </w:t>
      </w:r>
      <w:bookmarkEnd w:id="2"/>
      <w:r w:rsidRPr="004F3A47">
        <w:rPr>
          <w:rFonts w:ascii="Arial" w:eastAsia="Calibri" w:hAnsi="Arial" w:cs="Arial"/>
          <w:bCs/>
          <w:noProof w:val="0"/>
        </w:rPr>
        <w:t>Програма за морско дело и рибарство 2014-2020;</w:t>
      </w:r>
    </w:p>
    <w:p w14:paraId="5CB83865"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наименованието на проекта;</w:t>
      </w:r>
    </w:p>
    <w:p w14:paraId="22586F6F"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35B7A8A7"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начална и крайна дата на изпълнение на проекта.</w:t>
      </w:r>
    </w:p>
    <w:p w14:paraId="61CDD267" w14:textId="00D13094"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Емблемата на ЕС следва да е в съответствие с граф</w:t>
      </w:r>
      <w:r w:rsidR="00DB7C93">
        <w:rPr>
          <w:rFonts w:ascii="Arial" w:eastAsia="Calibri" w:hAnsi="Arial" w:cs="Arial"/>
          <w:bCs/>
          <w:noProof w:val="0"/>
        </w:rPr>
        <w:t>ичните стандарти, определени в П</w:t>
      </w:r>
      <w:r w:rsidRPr="004F3A47">
        <w:rPr>
          <w:rFonts w:ascii="Arial" w:eastAsia="Calibri" w:hAnsi="Arial" w:cs="Arial"/>
          <w:bCs/>
          <w:noProof w:val="0"/>
        </w:rPr>
        <w:t>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w:t>
      </w:r>
      <w:r w:rsidR="005301DC">
        <w:rPr>
          <w:rFonts w:ascii="Arial" w:eastAsia="Calibri" w:hAnsi="Arial" w:cs="Arial"/>
          <w:bCs/>
          <w:noProof w:val="0"/>
        </w:rPr>
        <w:t>ни (Регламент за изпълнение</w:t>
      </w:r>
      <w:r w:rsidRPr="004F3A47">
        <w:rPr>
          <w:rFonts w:ascii="Arial" w:eastAsia="Calibri" w:hAnsi="Arial" w:cs="Arial"/>
          <w:bCs/>
          <w:noProof w:val="0"/>
        </w:rPr>
        <w:t xml:space="preserve"> № 821/2014).</w:t>
      </w:r>
    </w:p>
    <w:p w14:paraId="300D9B0D"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15020F34" w14:textId="77777777" w:rsidR="002054DE" w:rsidRDefault="004F3A47" w:rsidP="004F3A47">
      <w:pPr>
        <w:spacing w:before="120" w:after="120" w:line="360" w:lineRule="auto"/>
        <w:ind w:firstLine="720"/>
        <w:jc w:val="both"/>
      </w:pPr>
      <w:r w:rsidRPr="004F3A47">
        <w:rPr>
          <w:rFonts w:ascii="Arial" w:eastAsia="Calibri" w:hAnsi="Arial" w:cs="Arial"/>
          <w:bCs/>
          <w:noProof w:val="0"/>
        </w:rPr>
        <w:t>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w:t>
      </w:r>
      <w:r w:rsidR="00F001FC">
        <w:rPr>
          <w:rFonts w:ascii="Arial" w:eastAsia="Calibri" w:hAnsi="Arial" w:cs="Arial"/>
          <w:bCs/>
          <w:noProof w:val="0"/>
        </w:rPr>
        <w:t xml:space="preserve"> „Единния наръчник на бенефициент</w:t>
      </w:r>
      <w:r w:rsidRPr="004F3A47">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4" w:history="1">
        <w:r w:rsidR="002054DE" w:rsidRPr="00F001FC">
          <w:rPr>
            <w:rStyle w:val="Hyperlink"/>
            <w:rFonts w:ascii="Arial" w:hAnsi="Arial" w:cs="Arial"/>
            <w:i/>
            <w:color w:val="0070C0"/>
          </w:rPr>
          <w:t>https://www.eufunds.bg/sites/default/files/uploads/eip/docs/2018-12/Prilojenie_2_Edinen_naruchnik.pdf</w:t>
        </w:r>
      </w:hyperlink>
    </w:p>
    <w:p w14:paraId="0B0DEA54" w14:textId="77777777" w:rsidR="004F3A47" w:rsidRPr="004F3A47" w:rsidRDefault="004F3A47" w:rsidP="004F3A47">
      <w:pPr>
        <w:spacing w:before="120" w:after="120" w:line="360" w:lineRule="auto"/>
        <w:ind w:firstLine="720"/>
        <w:jc w:val="both"/>
        <w:rPr>
          <w:rFonts w:ascii="Arial" w:eastAsia="Calibri" w:hAnsi="Arial" w:cs="Arial"/>
          <w:bCs/>
          <w:i/>
          <w:noProof w:val="0"/>
        </w:rPr>
      </w:pPr>
      <w:r w:rsidRPr="004F3A47">
        <w:rPr>
          <w:rFonts w:ascii="Arial" w:eastAsia="Calibri" w:hAnsi="Arial" w:cs="Arial"/>
          <w:bCs/>
          <w:noProof w:val="0"/>
        </w:rPr>
        <w:lastRenderedPageBreak/>
        <w:t xml:space="preserve">На </w:t>
      </w:r>
      <w:r w:rsidR="002054DE">
        <w:rPr>
          <w:rFonts w:ascii="Arial" w:eastAsia="Calibri" w:hAnsi="Arial" w:cs="Arial"/>
          <w:bCs/>
          <w:noProof w:val="0"/>
        </w:rPr>
        <w:t xml:space="preserve">интернет </w:t>
      </w:r>
      <w:r w:rsidRPr="004F3A47">
        <w:rPr>
          <w:rFonts w:ascii="Arial" w:eastAsia="Calibri" w:hAnsi="Arial" w:cs="Arial"/>
          <w:bCs/>
          <w:noProof w:val="0"/>
        </w:rPr>
        <w:t>страница</w:t>
      </w:r>
      <w:r w:rsidR="002054DE">
        <w:rPr>
          <w:rFonts w:ascii="Arial" w:eastAsia="Calibri" w:hAnsi="Arial" w:cs="Arial"/>
          <w:bCs/>
          <w:noProof w:val="0"/>
        </w:rPr>
        <w:t>та</w:t>
      </w:r>
      <w:r w:rsidRPr="004F3A47">
        <w:rPr>
          <w:rFonts w:ascii="Arial" w:eastAsia="Calibri" w:hAnsi="Arial" w:cs="Arial"/>
          <w:bCs/>
          <w:noProof w:val="0"/>
        </w:rPr>
        <w:t xml:space="preserve"> </w:t>
      </w:r>
      <w:hyperlink r:id="rId15" w:history="1">
        <w:r w:rsidR="002054DE" w:rsidRPr="004F3A47">
          <w:rPr>
            <w:rFonts w:ascii="Arial" w:eastAsia="Calibri" w:hAnsi="Arial" w:cs="Arial"/>
            <w:bCs/>
            <w:i/>
            <w:noProof w:val="0"/>
            <w:color w:val="0563C1"/>
            <w:u w:val="single"/>
          </w:rPr>
          <w:t>https://www.eufunds.bg/bg/taxonomy/term/609</w:t>
        </w:r>
      </w:hyperlink>
      <w:r w:rsidR="002054DE">
        <w:rPr>
          <w:rFonts w:ascii="Arial" w:eastAsia="Calibri" w:hAnsi="Arial" w:cs="Arial"/>
          <w:bCs/>
          <w:i/>
          <w:noProof w:val="0"/>
          <w:color w:val="0563C1"/>
          <w:u w:val="single"/>
        </w:rPr>
        <w:t xml:space="preserve"> </w:t>
      </w:r>
      <w:r w:rsidRPr="004F3A47">
        <w:rPr>
          <w:rFonts w:ascii="Arial" w:eastAsia="Calibri" w:hAnsi="Arial" w:cs="Arial"/>
          <w:bCs/>
          <w:noProof w:val="0"/>
        </w:rPr>
        <w:t xml:space="preserve">могат да бъдат намерени </w:t>
      </w:r>
      <w:r w:rsidR="007E684E">
        <w:rPr>
          <w:rFonts w:ascii="Arial" w:eastAsia="Calibri" w:hAnsi="Arial" w:cs="Arial"/>
          <w:bCs/>
          <w:noProof w:val="0"/>
        </w:rPr>
        <w:t>също</w:t>
      </w:r>
      <w:r w:rsidRPr="004F3A47">
        <w:rPr>
          <w:rFonts w:ascii="Arial" w:eastAsia="Calibri" w:hAnsi="Arial" w:cs="Arial"/>
          <w:bCs/>
          <w:noProof w:val="0"/>
        </w:rPr>
        <w:t xml:space="preserve"> векторните варианти на логото на ПМДР.</w:t>
      </w:r>
      <w:r w:rsidR="002054DE">
        <w:rPr>
          <w:rFonts w:ascii="Arial" w:eastAsia="Calibri" w:hAnsi="Arial" w:cs="Arial"/>
          <w:bCs/>
          <w:noProof w:val="0"/>
        </w:rPr>
        <w:t xml:space="preserve"> </w:t>
      </w:r>
    </w:p>
    <w:p w14:paraId="2FE340FA" w14:textId="77777777" w:rsid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7B3E60B4" wp14:editId="2310DE8A">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bookmarkStart w:id="3" w:name="_Toc442274579"/>
      <w:bookmarkStart w:id="4" w:name="_Toc442348060"/>
    </w:p>
    <w:p w14:paraId="3C4093F5" w14:textId="77777777" w:rsidR="002054DE" w:rsidRPr="004F3A47" w:rsidRDefault="002054DE" w:rsidP="004F3A47">
      <w:pPr>
        <w:spacing w:before="120" w:after="120" w:line="360" w:lineRule="auto"/>
        <w:jc w:val="both"/>
        <w:rPr>
          <w:rFonts w:ascii="Arial" w:eastAsia="Calibri" w:hAnsi="Arial" w:cs="Arial"/>
          <w:bCs/>
          <w:noProof w:val="0"/>
        </w:rPr>
      </w:pPr>
    </w:p>
    <w:p w14:paraId="1478EF61"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4. Приложения към Условията за изпълнение:</w:t>
      </w:r>
      <w:bookmarkEnd w:id="3"/>
      <w:bookmarkEnd w:id="4"/>
    </w:p>
    <w:p w14:paraId="4030E7E3" w14:textId="77777777" w:rsidR="00680BA1"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 Таблица за одобрените инвестиционни разходи.</w:t>
      </w:r>
    </w:p>
    <w:p w14:paraId="2F3CCC74" w14:textId="42D3FF8C" w:rsidR="00680BA1"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12 </w:t>
      </w:r>
      <w:r w:rsidRPr="005E2026">
        <w:rPr>
          <w:rFonts w:ascii="Arial" w:eastAsia="Calibri" w:hAnsi="Arial" w:cs="Arial"/>
          <w:bCs/>
          <w:noProof w:val="0"/>
        </w:rPr>
        <w:t xml:space="preserve">Декларация по чл. 25, ал. 2 от </w:t>
      </w:r>
      <w:r w:rsidR="002971F5">
        <w:rPr>
          <w:rFonts w:ascii="Arial" w:eastAsia="Calibri" w:hAnsi="Arial" w:cs="Arial"/>
          <w:bCs/>
          <w:noProof w:val="0"/>
        </w:rPr>
        <w:t>ЗУСЕФСУ</w:t>
      </w:r>
      <w:r w:rsidRPr="005E2026">
        <w:rPr>
          <w:rFonts w:ascii="Arial" w:eastAsia="Calibri" w:hAnsi="Arial" w:cs="Arial"/>
          <w:bCs/>
          <w:noProof w:val="0"/>
        </w:rPr>
        <w:t xml:space="preserve"> и чл. 7 от ПМС № 162/2016 г.</w:t>
      </w:r>
    </w:p>
    <w:p w14:paraId="5318E082" w14:textId="127E0F08" w:rsidR="005E2026" w:rsidRDefault="005E2026"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15</w:t>
      </w:r>
      <w:r w:rsidR="004F3A47" w:rsidRPr="004F3A47">
        <w:rPr>
          <w:rFonts w:ascii="Arial" w:eastAsia="Calibri" w:hAnsi="Arial" w:cs="Arial"/>
          <w:bCs/>
          <w:noProof w:val="0"/>
        </w:rPr>
        <w:t xml:space="preserve"> </w:t>
      </w:r>
      <w:r w:rsidR="00FD7339" w:rsidRPr="004F3A47">
        <w:rPr>
          <w:rFonts w:ascii="Arial" w:eastAsia="Calibri" w:hAnsi="Arial" w:cs="Arial"/>
          <w:bCs/>
          <w:noProof w:val="0"/>
        </w:rPr>
        <w:t>Административен</w:t>
      </w:r>
      <w:r w:rsidRPr="004F3A47">
        <w:rPr>
          <w:rFonts w:ascii="Arial" w:eastAsia="Calibri" w:hAnsi="Arial" w:cs="Arial"/>
          <w:bCs/>
          <w:noProof w:val="0"/>
        </w:rPr>
        <w:t xml:space="preserve"> договор за предоставяне на безвъзмездна финансова помощ по Програмата за морско де</w:t>
      </w:r>
      <w:r w:rsidR="00E908BC">
        <w:rPr>
          <w:rFonts w:ascii="Arial" w:eastAsia="Calibri" w:hAnsi="Arial" w:cs="Arial"/>
          <w:bCs/>
          <w:noProof w:val="0"/>
        </w:rPr>
        <w:t>ло и рибарство  2014 – 2020 г.</w:t>
      </w:r>
    </w:p>
    <w:p w14:paraId="00E9411B" w14:textId="789A5C3B" w:rsidR="005E2026" w:rsidRDefault="005E2026"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16 </w:t>
      </w:r>
      <w:r w:rsidRPr="004F3A47">
        <w:rPr>
          <w:rFonts w:ascii="Arial" w:eastAsia="Calibri" w:hAnsi="Arial" w:cs="Arial"/>
          <w:bCs/>
          <w:noProof w:val="0"/>
        </w:rPr>
        <w:t xml:space="preserve">Общи условия към финансираните по Програмата за морско дело и рибарство 2014-2020 г. административни договори за предоставяне </w:t>
      </w:r>
      <w:r w:rsidR="00E908BC">
        <w:rPr>
          <w:rFonts w:ascii="Arial" w:eastAsia="Calibri" w:hAnsi="Arial" w:cs="Arial"/>
          <w:bCs/>
          <w:noProof w:val="0"/>
        </w:rPr>
        <w:t>на безвъзмездна финансова помощ.</w:t>
      </w:r>
    </w:p>
    <w:p w14:paraId="6D601048" w14:textId="0499C1E8" w:rsidR="00E908BC"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17 Декларации към АДПБФП (</w:t>
      </w:r>
      <w:r w:rsidR="00680BA1">
        <w:rPr>
          <w:rFonts w:ascii="Arial" w:eastAsia="Calibri" w:hAnsi="Arial" w:cs="Arial"/>
          <w:bCs/>
          <w:noProof w:val="0"/>
        </w:rPr>
        <w:t>Д</w:t>
      </w:r>
      <w:r w:rsidR="00680BA1" w:rsidRPr="00E908BC">
        <w:rPr>
          <w:rFonts w:ascii="Arial" w:eastAsia="Calibri" w:hAnsi="Arial" w:cs="Arial"/>
          <w:bCs/>
          <w:noProof w:val="0"/>
        </w:rPr>
        <w:t>екларация за липса на нередности</w:t>
      </w:r>
      <w:r w:rsidR="00680BA1">
        <w:rPr>
          <w:rFonts w:ascii="Arial" w:eastAsia="Calibri" w:hAnsi="Arial" w:cs="Arial"/>
          <w:bCs/>
          <w:noProof w:val="0"/>
        </w:rPr>
        <w:t>;</w:t>
      </w:r>
      <w:r>
        <w:rPr>
          <w:rFonts w:ascii="Arial" w:eastAsia="Calibri" w:hAnsi="Arial" w:cs="Arial"/>
          <w:bCs/>
          <w:noProof w:val="0"/>
        </w:rPr>
        <w:t xml:space="preserve"> </w:t>
      </w:r>
      <w:r w:rsidR="00D37D5F" w:rsidRPr="00680BA1">
        <w:rPr>
          <w:rFonts w:ascii="Arial" w:eastAsia="Calibri" w:hAnsi="Arial" w:cs="Arial"/>
          <w:bCs/>
          <w:noProof w:val="0"/>
        </w:rPr>
        <w:t>Декларация</w:t>
      </w:r>
      <w:r w:rsidR="00680BA1" w:rsidRPr="00680BA1">
        <w:rPr>
          <w:rFonts w:ascii="Arial" w:eastAsia="Calibri" w:hAnsi="Arial" w:cs="Arial"/>
          <w:bCs/>
          <w:noProof w:val="0"/>
        </w:rPr>
        <w:t xml:space="preserve"> за липса на конфликт на интереси по смисъла на чл. 61, параграф 3 от Регламент (ЕС, Евратом) 2018/1046 на Европейския парламент и на Съвета от 18 юли 2018</w:t>
      </w:r>
      <w:r w:rsidR="00680BA1">
        <w:rPr>
          <w:rFonts w:ascii="Arial" w:eastAsia="Calibri" w:hAnsi="Arial" w:cs="Arial"/>
          <w:bCs/>
          <w:noProof w:val="0"/>
        </w:rPr>
        <w:t xml:space="preserve">; </w:t>
      </w:r>
      <w:r w:rsidR="00FD7339" w:rsidRPr="00FD7339">
        <w:rPr>
          <w:rFonts w:ascii="Arial" w:eastAsia="Calibri" w:hAnsi="Arial" w:cs="Arial"/>
          <w:bCs/>
          <w:noProof w:val="0"/>
        </w:rPr>
        <w:t xml:space="preserve">Декларация за задължение да не се отглеждат и развъждат генетично модифицирани организми; Декларация по чл. 10, параграф 5 </w:t>
      </w:r>
      <w:r w:rsidR="00680BA1" w:rsidRPr="00680BA1">
        <w:rPr>
          <w:rFonts w:ascii="Arial" w:eastAsia="Calibri" w:hAnsi="Arial" w:cs="Arial"/>
          <w:bCs/>
          <w:noProof w:val="0"/>
        </w:rPr>
        <w:t xml:space="preserve">от Регламент (ЕС) № 508/2014 на </w:t>
      </w:r>
      <w:r w:rsidR="00680BA1">
        <w:rPr>
          <w:rFonts w:ascii="Arial" w:eastAsia="Calibri" w:hAnsi="Arial" w:cs="Arial"/>
          <w:bCs/>
          <w:noProof w:val="0"/>
        </w:rPr>
        <w:t>Европейския парламент и на С</w:t>
      </w:r>
      <w:r w:rsidR="00680BA1" w:rsidRPr="00680BA1">
        <w:rPr>
          <w:rFonts w:ascii="Arial" w:eastAsia="Calibri" w:hAnsi="Arial" w:cs="Arial"/>
          <w:bCs/>
          <w:noProof w:val="0"/>
        </w:rPr>
        <w:t>ъвета от 15 май 2014 година за Европейския фонд за морско дело и рибарство;</w:t>
      </w:r>
      <w:r w:rsidR="00680BA1">
        <w:rPr>
          <w:rFonts w:ascii="Arial" w:eastAsia="Calibri" w:hAnsi="Arial" w:cs="Arial"/>
          <w:bCs/>
          <w:noProof w:val="0"/>
        </w:rPr>
        <w:t xml:space="preserve"> </w:t>
      </w:r>
      <w:r w:rsidR="00680BA1" w:rsidRPr="00680BA1">
        <w:rPr>
          <w:rFonts w:ascii="Arial" w:eastAsia="Calibri" w:hAnsi="Arial" w:cs="Arial"/>
          <w:bCs/>
          <w:noProof w:val="0"/>
        </w:rPr>
        <w:t>Декларация за свързаност по смисъла на § 1, т. 13 и т. 14 от допълнителните разпоредби на Закона за публичното предлагане на ценни книжа (ЗППЦК)</w:t>
      </w:r>
      <w:r w:rsidR="00680BA1">
        <w:rPr>
          <w:rFonts w:ascii="Arial" w:eastAsia="Calibri" w:hAnsi="Arial" w:cs="Arial"/>
          <w:bCs/>
          <w:noProof w:val="0"/>
        </w:rPr>
        <w:t>; Д</w:t>
      </w:r>
      <w:r w:rsidR="00680BA1" w:rsidRPr="00680BA1">
        <w:rPr>
          <w:rFonts w:ascii="Arial" w:eastAsia="Calibri" w:hAnsi="Arial" w:cs="Arial"/>
          <w:bCs/>
          <w:noProof w:val="0"/>
        </w:rPr>
        <w:t>екларация за липса на промяна в обстоятелствата, декларирани при подаване на формуляр за кандидатстване</w:t>
      </w:r>
      <w:r w:rsidR="00680BA1">
        <w:rPr>
          <w:rFonts w:ascii="Arial" w:eastAsia="Calibri" w:hAnsi="Arial" w:cs="Arial"/>
          <w:bCs/>
          <w:noProof w:val="0"/>
        </w:rPr>
        <w:t xml:space="preserve">; </w:t>
      </w:r>
      <w:r w:rsidR="00680BA1" w:rsidRPr="00680BA1">
        <w:rPr>
          <w:rFonts w:ascii="Arial" w:eastAsia="Calibri" w:hAnsi="Arial" w:cs="Arial"/>
          <w:bCs/>
          <w:noProof w:val="0"/>
        </w:rPr>
        <w:t>Декларация по чл. 137 от Регламент (ЕС, Евратом) 2018/1046 на Европейския парламент и на Съвета от 18 юли 2018 година</w:t>
      </w:r>
      <w:r w:rsidR="00680BA1">
        <w:rPr>
          <w:rFonts w:ascii="Arial" w:eastAsia="Calibri" w:hAnsi="Arial" w:cs="Arial"/>
          <w:bCs/>
          <w:noProof w:val="0"/>
        </w:rPr>
        <w:t>)</w:t>
      </w:r>
      <w:r w:rsidR="00D37D5F">
        <w:rPr>
          <w:rFonts w:ascii="Arial" w:eastAsia="Calibri" w:hAnsi="Arial" w:cs="Arial"/>
          <w:bCs/>
          <w:noProof w:val="0"/>
        </w:rPr>
        <w:t>.</w:t>
      </w:r>
    </w:p>
    <w:p w14:paraId="680B5E71" w14:textId="35FA2564" w:rsidR="00E908BC" w:rsidRDefault="00E908BC" w:rsidP="00680BA1">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w:t>
      </w:r>
      <w:r>
        <w:rPr>
          <w:rFonts w:ascii="Arial" w:eastAsia="Calibri" w:hAnsi="Arial" w:cs="Arial"/>
          <w:bCs/>
          <w:noProof w:val="0"/>
        </w:rPr>
        <w:t xml:space="preserve"> 18 </w:t>
      </w:r>
      <w:r w:rsidRPr="004F3A47">
        <w:rPr>
          <w:rFonts w:ascii="Arial" w:eastAsia="Calibri" w:hAnsi="Arial" w:cs="Arial"/>
          <w:bCs/>
          <w:noProof w:val="0"/>
        </w:rPr>
        <w:t>Декларация за втора употреба</w:t>
      </w:r>
      <w:r>
        <w:rPr>
          <w:rFonts w:ascii="Arial" w:eastAsia="Calibri" w:hAnsi="Arial" w:cs="Arial"/>
          <w:bCs/>
          <w:noProof w:val="0"/>
        </w:rPr>
        <w:t>.</w:t>
      </w:r>
    </w:p>
    <w:p w14:paraId="2CDCDFD3" w14:textId="17EE6D37" w:rsidR="004F3A47"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19</w:t>
      </w:r>
      <w:r w:rsidR="004F3A47" w:rsidRPr="004F3A47">
        <w:rPr>
          <w:rFonts w:ascii="Arial" w:eastAsia="Calibri" w:hAnsi="Arial" w:cs="Arial"/>
          <w:bCs/>
          <w:noProof w:val="0"/>
        </w:rPr>
        <w:t xml:space="preserve"> Декларация за упражня</w:t>
      </w:r>
      <w:r>
        <w:rPr>
          <w:rFonts w:ascii="Arial" w:eastAsia="Calibri" w:hAnsi="Arial" w:cs="Arial"/>
          <w:bCs/>
          <w:noProof w:val="0"/>
        </w:rPr>
        <w:t>ване правото на данъчен кредит.</w:t>
      </w:r>
    </w:p>
    <w:p w14:paraId="01D1A67A" w14:textId="3AE3242F" w:rsidR="00E908BC" w:rsidRPr="004F3A47"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20</w:t>
      </w:r>
      <w:r w:rsidRPr="00E908BC">
        <w:rPr>
          <w:rFonts w:ascii="Arial" w:eastAsia="Calibri" w:hAnsi="Arial" w:cs="Arial"/>
          <w:bCs/>
          <w:noProof w:val="0"/>
        </w:rPr>
        <w:t xml:space="preserve">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w:t>
      </w:r>
      <w:r w:rsidR="00FD7339" w:rsidRPr="00FD7339">
        <w:rPr>
          <w:rFonts w:ascii="Arial" w:eastAsia="Calibri" w:hAnsi="Arial" w:cs="Arial"/>
          <w:bCs/>
          <w:noProof w:val="0"/>
        </w:rPr>
        <w:t xml:space="preserve">Декларация за задължение да не се отглеждат и развъждат генетично модифицирани организми; Декларация по чл. 10, параграф 5 </w:t>
      </w:r>
      <w:r w:rsidRPr="00E908BC">
        <w:rPr>
          <w:rFonts w:ascii="Arial" w:eastAsia="Calibri" w:hAnsi="Arial" w:cs="Arial"/>
          <w:bCs/>
          <w:noProof w:val="0"/>
        </w:rPr>
        <w:t xml:space="preserve">от Регламент (ЕС) № 508/2014 на европейския </w:t>
      </w:r>
      <w:r w:rsidRPr="00E908BC">
        <w:rPr>
          <w:rFonts w:ascii="Arial" w:eastAsia="Calibri" w:hAnsi="Arial" w:cs="Arial"/>
          <w:bCs/>
          <w:noProof w:val="0"/>
        </w:rPr>
        <w:lastRenderedPageBreak/>
        <w:t>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14:paraId="7F087F8B" w14:textId="6235DA85" w:rsidR="004F3A47"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21 Банкова гаранция.</w:t>
      </w:r>
    </w:p>
    <w:p w14:paraId="0411EAE4" w14:textId="7181FE1F"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22 </w:t>
      </w:r>
      <w:r w:rsidR="004F3A47" w:rsidRPr="004F3A47">
        <w:rPr>
          <w:rFonts w:ascii="Arial" w:eastAsia="Calibri" w:hAnsi="Arial" w:cs="Arial"/>
          <w:bCs/>
          <w:noProof w:val="0"/>
        </w:rPr>
        <w:t>Заявление за профил за достъп на ръководи</w:t>
      </w:r>
      <w:r>
        <w:rPr>
          <w:rFonts w:ascii="Arial" w:eastAsia="Calibri" w:hAnsi="Arial" w:cs="Arial"/>
          <w:bCs/>
          <w:noProof w:val="0"/>
        </w:rPr>
        <w:t>тел на бенефициера до ИСУН 2020.</w:t>
      </w:r>
    </w:p>
    <w:p w14:paraId="3E6CD5D0" w14:textId="72B705B0"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23</w:t>
      </w:r>
      <w:r w:rsidR="004F3A47" w:rsidRPr="004F3A47">
        <w:rPr>
          <w:rFonts w:ascii="Arial" w:eastAsia="Calibri" w:hAnsi="Arial" w:cs="Arial"/>
          <w:bCs/>
          <w:noProof w:val="0"/>
        </w:rPr>
        <w:t xml:space="preserve"> Заявление за профил за достъп на упълномощени о</w:t>
      </w:r>
      <w:r>
        <w:rPr>
          <w:rFonts w:ascii="Arial" w:eastAsia="Calibri" w:hAnsi="Arial" w:cs="Arial"/>
          <w:bCs/>
          <w:noProof w:val="0"/>
        </w:rPr>
        <w:t>т бенефициера лица до ИСУН 2020.</w:t>
      </w:r>
    </w:p>
    <w:p w14:paraId="7053741C" w14:textId="0FE216F9"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24 </w:t>
      </w:r>
      <w:r w:rsidR="004F3A47" w:rsidRPr="004F3A47">
        <w:rPr>
          <w:rFonts w:ascii="Arial" w:eastAsia="Calibri" w:hAnsi="Arial" w:cs="Arial"/>
          <w:bCs/>
          <w:noProof w:val="0"/>
        </w:rPr>
        <w:t>Списък с изискуеми документи</w:t>
      </w:r>
      <w:r>
        <w:rPr>
          <w:rFonts w:ascii="Arial" w:eastAsia="Calibri" w:hAnsi="Arial" w:cs="Arial"/>
          <w:bCs/>
          <w:noProof w:val="0"/>
        </w:rPr>
        <w:t xml:space="preserve"> към Искане за авансово плащане.</w:t>
      </w:r>
    </w:p>
    <w:p w14:paraId="4C9A576C" w14:textId="348272BC" w:rsidR="004F3A47" w:rsidRPr="004F3A47" w:rsidRDefault="00680BA1" w:rsidP="00680BA1">
      <w:pPr>
        <w:spacing w:before="120" w:after="120" w:line="360" w:lineRule="auto"/>
        <w:jc w:val="both"/>
        <w:rPr>
          <w:rFonts w:ascii="Arial" w:eastAsia="Calibri" w:hAnsi="Arial" w:cs="Arial"/>
          <w:bCs/>
          <w:noProof w:val="0"/>
          <w:lang w:val="en-US"/>
        </w:rPr>
      </w:pPr>
      <w:r>
        <w:rPr>
          <w:rFonts w:ascii="Arial" w:eastAsia="Calibri" w:hAnsi="Arial" w:cs="Arial"/>
          <w:bCs/>
          <w:noProof w:val="0"/>
        </w:rPr>
        <w:t xml:space="preserve">Приложение № 25 </w:t>
      </w:r>
      <w:r w:rsidR="004F3A47" w:rsidRPr="004F3A47">
        <w:rPr>
          <w:rFonts w:ascii="Arial" w:eastAsia="Calibri" w:hAnsi="Arial" w:cs="Arial"/>
          <w:bCs/>
          <w:noProof w:val="0"/>
        </w:rPr>
        <w:t>Списък с изискуеми документи към Искане за междинно/окончател</w:t>
      </w:r>
      <w:r>
        <w:rPr>
          <w:rFonts w:ascii="Arial" w:eastAsia="Calibri" w:hAnsi="Arial" w:cs="Arial"/>
          <w:bCs/>
          <w:noProof w:val="0"/>
        </w:rPr>
        <w:t>но плащане.</w:t>
      </w:r>
    </w:p>
    <w:p w14:paraId="5818B0CF" w14:textId="7D753D77"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26</w:t>
      </w:r>
      <w:r w:rsidR="004F3A47" w:rsidRPr="004F3A47">
        <w:rPr>
          <w:rFonts w:ascii="Arial" w:eastAsia="Calibri" w:hAnsi="Arial" w:cs="Arial"/>
          <w:bCs/>
          <w:noProof w:val="0"/>
        </w:rPr>
        <w:t xml:space="preserve"> Документи за осъществяване на последващ контрол за законосъобразност на проведена процедура „Избор с публична покана“ по чл. 50, ал. 1</w:t>
      </w:r>
      <w:r>
        <w:rPr>
          <w:rFonts w:ascii="Arial" w:eastAsia="Calibri" w:hAnsi="Arial" w:cs="Arial"/>
          <w:bCs/>
          <w:noProof w:val="0"/>
        </w:rPr>
        <w:t xml:space="preserve"> от </w:t>
      </w:r>
      <w:r w:rsidR="002971F5">
        <w:rPr>
          <w:rFonts w:ascii="Arial" w:eastAsia="Calibri" w:hAnsi="Arial" w:cs="Arial"/>
          <w:bCs/>
          <w:noProof w:val="0"/>
        </w:rPr>
        <w:t>ЗУСЕФСУ</w:t>
      </w:r>
      <w:r>
        <w:rPr>
          <w:rFonts w:ascii="Arial" w:eastAsia="Calibri" w:hAnsi="Arial" w:cs="Arial"/>
          <w:bCs/>
          <w:noProof w:val="0"/>
        </w:rPr>
        <w:t xml:space="preserve"> и ПМС № 160/2016 г.</w:t>
      </w:r>
    </w:p>
    <w:p w14:paraId="4643E897" w14:textId="670E51E2" w:rsidR="004F3A47" w:rsidRPr="004F3A47" w:rsidRDefault="00680BA1" w:rsidP="00680BA1">
      <w:pPr>
        <w:spacing w:before="120" w:after="120" w:line="360" w:lineRule="auto"/>
        <w:jc w:val="both"/>
        <w:rPr>
          <w:rFonts w:ascii="Arial" w:eastAsia="Calibri" w:hAnsi="Arial" w:cs="Arial"/>
          <w:bCs/>
          <w:noProof w:val="0"/>
          <w:lang w:val="en-US"/>
        </w:rPr>
      </w:pPr>
      <w:r>
        <w:rPr>
          <w:rFonts w:ascii="Arial" w:eastAsia="Calibri" w:hAnsi="Arial" w:cs="Arial"/>
          <w:bCs/>
          <w:noProof w:val="0"/>
        </w:rPr>
        <w:t>Приложение № 27</w:t>
      </w:r>
      <w:r w:rsidR="004F3A47" w:rsidRPr="004F3A47">
        <w:rPr>
          <w:rFonts w:ascii="Arial" w:eastAsia="Calibri" w:hAnsi="Arial" w:cs="Arial"/>
          <w:bCs/>
          <w:noProof w:val="0"/>
        </w:rPr>
        <w:t xml:space="preserve"> Методика за определяне на размера на финансовите корекции по проекти, финансирани по ПМДР 2014-2020 г., одобрена с докладна записка № 93-1797 / 18.03.2020 г.</w:t>
      </w:r>
    </w:p>
    <w:p w14:paraId="363EB835" w14:textId="48E15794" w:rsidR="00E92704" w:rsidRDefault="00680BA1" w:rsidP="00680BA1">
      <w:pPr>
        <w:jc w:val="both"/>
        <w:rPr>
          <w:rFonts w:ascii="Arial" w:hAnsi="Arial" w:cs="Arial"/>
        </w:rPr>
      </w:pPr>
      <w:r>
        <w:rPr>
          <w:rFonts w:ascii="Arial" w:hAnsi="Arial" w:cs="Arial"/>
        </w:rPr>
        <w:t>Приложение № 28</w:t>
      </w:r>
      <w:r w:rsidRPr="00680BA1">
        <w:rPr>
          <w:rFonts w:ascii="Arial" w:hAnsi="Arial" w:cs="Arial"/>
        </w:rPr>
        <w:t xml:space="preserve"> Указание за прилагане н</w:t>
      </w:r>
      <w:r>
        <w:rPr>
          <w:rFonts w:ascii="Arial" w:hAnsi="Arial" w:cs="Arial"/>
        </w:rPr>
        <w:t>а ПМС 160/01.07.2016.</w:t>
      </w:r>
    </w:p>
    <w:p w14:paraId="2A51D77F" w14:textId="760C0FCC" w:rsidR="00680BA1" w:rsidRPr="00680BA1" w:rsidRDefault="00680BA1" w:rsidP="00680BA1">
      <w:pPr>
        <w:jc w:val="both"/>
        <w:rPr>
          <w:rFonts w:ascii="Arial" w:hAnsi="Arial" w:cs="Arial"/>
        </w:rPr>
      </w:pPr>
      <w:r>
        <w:rPr>
          <w:rFonts w:ascii="Arial" w:hAnsi="Arial" w:cs="Arial"/>
        </w:rPr>
        <w:t>Приложение № 29 У</w:t>
      </w:r>
      <w:r w:rsidRPr="00680BA1">
        <w:rPr>
          <w:rFonts w:ascii="Arial" w:hAnsi="Arial" w:cs="Arial"/>
        </w:rPr>
        <w:t>казание за регламентиране и отчитане на възнагражденията на екипите за изпълнение на проекти</w:t>
      </w:r>
      <w:r>
        <w:rPr>
          <w:rFonts w:ascii="Arial" w:hAnsi="Arial" w:cs="Arial"/>
        </w:rPr>
        <w:t>.</w:t>
      </w:r>
    </w:p>
    <w:sectPr w:rsidR="00680BA1" w:rsidRPr="00680BA1" w:rsidSect="002054DE">
      <w:footerReference w:type="default" r:id="rId16"/>
      <w:headerReference w:type="first" r:id="rId17"/>
      <w:pgSz w:w="11906" w:h="16838"/>
      <w:pgMar w:top="1418" w:right="1134" w:bottom="1440" w:left="1260" w:header="425"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0BEFA" w14:textId="77777777" w:rsidR="00595F5A" w:rsidRDefault="00595F5A">
      <w:pPr>
        <w:spacing w:after="0" w:line="240" w:lineRule="auto"/>
      </w:pPr>
      <w:r>
        <w:separator/>
      </w:r>
    </w:p>
  </w:endnote>
  <w:endnote w:type="continuationSeparator" w:id="0">
    <w:p w14:paraId="0FB74934" w14:textId="77777777" w:rsidR="00595F5A" w:rsidRDefault="00595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E6AAF" w14:textId="1D1131E7" w:rsidR="004F5769" w:rsidRPr="00C55642" w:rsidRDefault="004F3A47" w:rsidP="004F5769">
    <w:pPr>
      <w:pStyle w:val="Footer"/>
      <w:jc w:val="right"/>
      <w:rPr>
        <w:rFonts w:ascii="Arial" w:hAnsi="Arial" w:cs="Arial"/>
        <w:sz w:val="18"/>
        <w:szCs w:val="18"/>
      </w:rPr>
    </w:pPr>
    <w:r w:rsidRPr="00C55642">
      <w:rPr>
        <w:rFonts w:ascii="Arial" w:hAnsi="Arial" w:cs="Arial"/>
        <w:sz w:val="18"/>
        <w:szCs w:val="18"/>
      </w:rPr>
      <w:fldChar w:fldCharType="begin"/>
    </w:r>
    <w:r w:rsidRPr="00C55642">
      <w:rPr>
        <w:rFonts w:ascii="Arial" w:hAnsi="Arial" w:cs="Arial"/>
        <w:sz w:val="18"/>
        <w:szCs w:val="18"/>
      </w:rPr>
      <w:instrText xml:space="preserve"> PAGE   \* MERGEFORMAT </w:instrText>
    </w:r>
    <w:r w:rsidRPr="00C55642">
      <w:rPr>
        <w:rFonts w:ascii="Arial" w:hAnsi="Arial" w:cs="Arial"/>
        <w:sz w:val="18"/>
        <w:szCs w:val="18"/>
      </w:rPr>
      <w:fldChar w:fldCharType="separate"/>
    </w:r>
    <w:r w:rsidR="00C156F9">
      <w:rPr>
        <w:rFonts w:ascii="Arial" w:hAnsi="Arial" w:cs="Arial"/>
        <w:sz w:val="18"/>
        <w:szCs w:val="18"/>
      </w:rPr>
      <w:t>2</w:t>
    </w:r>
    <w:r w:rsidRPr="00C55642">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FF324" w14:textId="77777777" w:rsidR="00595F5A" w:rsidRDefault="00595F5A">
      <w:pPr>
        <w:spacing w:after="0" w:line="240" w:lineRule="auto"/>
      </w:pPr>
      <w:r>
        <w:separator/>
      </w:r>
    </w:p>
  </w:footnote>
  <w:footnote w:type="continuationSeparator" w:id="0">
    <w:p w14:paraId="5514D13F" w14:textId="77777777" w:rsidR="00595F5A" w:rsidRDefault="00595F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02414D" w:rsidRPr="00FE00EA" w14:paraId="1B0112B5" w14:textId="77777777" w:rsidTr="00DE47E4">
      <w:trPr>
        <w:jc w:val="center"/>
      </w:trPr>
      <w:tc>
        <w:tcPr>
          <w:tcW w:w="2889" w:type="dxa"/>
          <w:shd w:val="clear" w:color="auto" w:fill="auto"/>
        </w:tcPr>
        <w:p w14:paraId="299135A0"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495ED0B8" wp14:editId="557A0CF1">
                <wp:extent cx="942975" cy="6477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2C30C6C"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4FC06825"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23683646"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6FF6E54E"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DC7E548"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464F5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75pt" o:ole="">
                <v:imagedata r:id="rId2" o:title=""/>
              </v:shape>
              <o:OLEObject Type="Embed" ProgID="Photoshop.Image.13" ShapeID="_x0000_i1025" DrawAspect="Content" ObjectID="_1723369921" r:id="rId3">
                <o:FieldCodes>\s</o:FieldCodes>
              </o:OLEObject>
            </w:object>
          </w:r>
        </w:p>
      </w:tc>
      <w:tc>
        <w:tcPr>
          <w:tcW w:w="2630" w:type="dxa"/>
          <w:shd w:val="clear" w:color="auto" w:fill="auto"/>
          <w:hideMark/>
        </w:tcPr>
        <w:p w14:paraId="28B3F66A"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6D69E78C" wp14:editId="12E4DF06">
                <wp:extent cx="1426210" cy="108966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13376733" w14:textId="77777777" w:rsidR="004F5769" w:rsidRDefault="00595F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05E7"/>
    <w:multiLevelType w:val="hybridMultilevel"/>
    <w:tmpl w:val="52E4572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127"/>
    <w:rsid w:val="0000484B"/>
    <w:rsid w:val="00013785"/>
    <w:rsid w:val="0002414D"/>
    <w:rsid w:val="000443EF"/>
    <w:rsid w:val="00066B51"/>
    <w:rsid w:val="000724B8"/>
    <w:rsid w:val="00082133"/>
    <w:rsid w:val="0009369F"/>
    <w:rsid w:val="000A5B07"/>
    <w:rsid w:val="0010695F"/>
    <w:rsid w:val="001631AA"/>
    <w:rsid w:val="00195049"/>
    <w:rsid w:val="001B220D"/>
    <w:rsid w:val="001E4487"/>
    <w:rsid w:val="002054DE"/>
    <w:rsid w:val="00212B11"/>
    <w:rsid w:val="002971F5"/>
    <w:rsid w:val="002A055D"/>
    <w:rsid w:val="002B0267"/>
    <w:rsid w:val="003155A4"/>
    <w:rsid w:val="00342A0C"/>
    <w:rsid w:val="003B19D2"/>
    <w:rsid w:val="00421AAC"/>
    <w:rsid w:val="00424D24"/>
    <w:rsid w:val="0043615A"/>
    <w:rsid w:val="00463AF1"/>
    <w:rsid w:val="004949DF"/>
    <w:rsid w:val="004F3A47"/>
    <w:rsid w:val="005301DC"/>
    <w:rsid w:val="005438C1"/>
    <w:rsid w:val="00563796"/>
    <w:rsid w:val="00585DF6"/>
    <w:rsid w:val="00592C5E"/>
    <w:rsid w:val="00595F5A"/>
    <w:rsid w:val="005E2026"/>
    <w:rsid w:val="00604972"/>
    <w:rsid w:val="0061385F"/>
    <w:rsid w:val="00646CEF"/>
    <w:rsid w:val="00680BA1"/>
    <w:rsid w:val="006B2C09"/>
    <w:rsid w:val="00711B38"/>
    <w:rsid w:val="007316AD"/>
    <w:rsid w:val="00753127"/>
    <w:rsid w:val="0075345F"/>
    <w:rsid w:val="00784818"/>
    <w:rsid w:val="007A68F1"/>
    <w:rsid w:val="007E684E"/>
    <w:rsid w:val="00864938"/>
    <w:rsid w:val="008708E5"/>
    <w:rsid w:val="008B55BC"/>
    <w:rsid w:val="0093538A"/>
    <w:rsid w:val="009475EC"/>
    <w:rsid w:val="009518BD"/>
    <w:rsid w:val="0099466C"/>
    <w:rsid w:val="009D6BF3"/>
    <w:rsid w:val="009E6D7B"/>
    <w:rsid w:val="00A37B2A"/>
    <w:rsid w:val="00A7497E"/>
    <w:rsid w:val="00A930E2"/>
    <w:rsid w:val="00B27E79"/>
    <w:rsid w:val="00B33385"/>
    <w:rsid w:val="00B573EA"/>
    <w:rsid w:val="00B7438F"/>
    <w:rsid w:val="00C1319C"/>
    <w:rsid w:val="00C156F9"/>
    <w:rsid w:val="00C64B57"/>
    <w:rsid w:val="00C73F5C"/>
    <w:rsid w:val="00CB2B51"/>
    <w:rsid w:val="00CF4E2B"/>
    <w:rsid w:val="00D229FF"/>
    <w:rsid w:val="00D33D7D"/>
    <w:rsid w:val="00D37D5F"/>
    <w:rsid w:val="00D60B10"/>
    <w:rsid w:val="00DB7C93"/>
    <w:rsid w:val="00E308E7"/>
    <w:rsid w:val="00E77C15"/>
    <w:rsid w:val="00E908BC"/>
    <w:rsid w:val="00E92704"/>
    <w:rsid w:val="00E94E98"/>
    <w:rsid w:val="00EC6928"/>
    <w:rsid w:val="00EF1ADC"/>
    <w:rsid w:val="00F001FC"/>
    <w:rsid w:val="00F50E98"/>
    <w:rsid w:val="00F57DBF"/>
    <w:rsid w:val="00F642E0"/>
    <w:rsid w:val="00F724A9"/>
    <w:rsid w:val="00FD7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E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5E2026"/>
    <w:rPr>
      <w:color w:val="800080" w:themeColor="followedHyperlink"/>
      <w:u w:val="single"/>
    </w:rPr>
  </w:style>
  <w:style w:type="character" w:customStyle="1" w:styleId="indented">
    <w:name w:val="indented"/>
    <w:basedOn w:val="DefaultParagraphFont"/>
    <w:uiPriority w:val="99"/>
    <w:rsid w:val="0099466C"/>
  </w:style>
  <w:style w:type="paragraph" w:styleId="ListParagraph">
    <w:name w:val="List Paragraph"/>
    <w:basedOn w:val="Normal"/>
    <w:uiPriority w:val="34"/>
    <w:qFormat/>
    <w:rsid w:val="0093538A"/>
    <w:pPr>
      <w:ind w:left="720"/>
      <w:contextualSpacing/>
    </w:pPr>
  </w:style>
  <w:style w:type="paragraph" w:styleId="NormalWeb">
    <w:name w:val="Normal (Web)"/>
    <w:basedOn w:val="Normal"/>
    <w:uiPriority w:val="99"/>
    <w:semiHidden/>
    <w:unhideWhenUsed/>
    <w:rsid w:val="0093538A"/>
    <w:pPr>
      <w:spacing w:before="100" w:beforeAutospacing="1" w:after="100" w:afterAutospacing="1" w:line="240" w:lineRule="auto"/>
    </w:pPr>
    <w:rPr>
      <w:rFonts w:ascii="Times New Roman" w:eastAsia="Times New Roman" w:hAnsi="Times New Roman" w:cs="Times New Roman"/>
      <w:noProof w:val="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5E2026"/>
    <w:rPr>
      <w:color w:val="800080" w:themeColor="followedHyperlink"/>
      <w:u w:val="single"/>
    </w:rPr>
  </w:style>
  <w:style w:type="character" w:customStyle="1" w:styleId="indented">
    <w:name w:val="indented"/>
    <w:basedOn w:val="DefaultParagraphFont"/>
    <w:uiPriority w:val="99"/>
    <w:rsid w:val="0099466C"/>
  </w:style>
  <w:style w:type="paragraph" w:styleId="ListParagraph">
    <w:name w:val="List Paragraph"/>
    <w:basedOn w:val="Normal"/>
    <w:uiPriority w:val="34"/>
    <w:qFormat/>
    <w:rsid w:val="0093538A"/>
    <w:pPr>
      <w:ind w:left="720"/>
      <w:contextualSpacing/>
    </w:pPr>
  </w:style>
  <w:style w:type="paragraph" w:styleId="NormalWeb">
    <w:name w:val="Normal (Web)"/>
    <w:basedOn w:val="Normal"/>
    <w:uiPriority w:val="99"/>
    <w:semiHidden/>
    <w:unhideWhenUsed/>
    <w:rsid w:val="0093538A"/>
    <w:pPr>
      <w:spacing w:before="100" w:beforeAutospacing="1" w:after="100" w:afterAutospacing="1" w:line="240" w:lineRule="auto"/>
    </w:pPr>
    <w:rPr>
      <w:rFonts w:ascii="Times New Roman" w:eastAsia="Times New Roman" w:hAnsi="Times New Roman" w:cs="Times New Roman"/>
      <w:noProof w:val="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159355">
      <w:bodyDiv w:val="1"/>
      <w:marLeft w:val="0"/>
      <w:marRight w:val="0"/>
      <w:marTop w:val="0"/>
      <w:marBottom w:val="0"/>
      <w:divBdr>
        <w:top w:val="none" w:sz="0" w:space="0" w:color="auto"/>
        <w:left w:val="none" w:sz="0" w:space="0" w:color="auto"/>
        <w:bottom w:val="none" w:sz="0" w:space="0" w:color="auto"/>
        <w:right w:val="none" w:sz="0" w:space="0" w:color="auto"/>
      </w:divBdr>
    </w:div>
    <w:div w:id="1352996964">
      <w:bodyDiv w:val="1"/>
      <w:marLeft w:val="0"/>
      <w:marRight w:val="0"/>
      <w:marTop w:val="0"/>
      <w:marBottom w:val="0"/>
      <w:divBdr>
        <w:top w:val="none" w:sz="0" w:space="0" w:color="auto"/>
        <w:left w:val="none" w:sz="0" w:space="0" w:color="auto"/>
        <w:bottom w:val="none" w:sz="0" w:space="0" w:color="auto"/>
        <w:right w:val="none" w:sz="0" w:space="0" w:color="auto"/>
      </w:divBdr>
    </w:div>
    <w:div w:id="178942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pmdr/node/527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5313" TargetMode="Externa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sites/default/files/uploads/eip/docs/2018-12/Prilojenie_2_Edinen_naruchnik.pdf"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5.emf"/><Relationship Id="rId1" Type="http://schemas.openxmlformats.org/officeDocument/2006/relationships/image" Target="media/image4.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83D4F-1DDB-4B88-AEE6-FD0634D2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17</Pages>
  <Words>5113</Words>
  <Characters>29150</Characters>
  <Application>Microsoft Office Word</Application>
  <DocSecurity>0</DocSecurity>
  <Lines>242</Lines>
  <Paragraphs>68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23</cp:revision>
  <dcterms:created xsi:type="dcterms:W3CDTF">2021-05-14T09:41:00Z</dcterms:created>
  <dcterms:modified xsi:type="dcterms:W3CDTF">2022-08-30T10:06:00Z</dcterms:modified>
</cp:coreProperties>
</file>