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52A8" w14:textId="77777777" w:rsidR="007C20F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Н Д И К А Т И В Н А  Г О Д И Ш Н А  Р А Б О Т Н А  П Р О Г Р А М А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122AC496" w14:textId="77777777" w:rsidR="007C20F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за 2022 г. - изменена с протокол №43/01.09.2022 г.на УС</w:t>
      </w:r>
    </w:p>
    <w:p w14:paraId="0DC461E5" w14:textId="77777777" w:rsidR="007C20F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на Местна инициативна рибарска група Бургас-Камено</w:t>
      </w:r>
    </w:p>
    <w:tbl>
      <w:tblPr>
        <w:tblW w:w="15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7"/>
        <w:gridCol w:w="969"/>
        <w:gridCol w:w="1629"/>
        <w:gridCol w:w="1170"/>
        <w:gridCol w:w="643"/>
        <w:gridCol w:w="1418"/>
        <w:gridCol w:w="1179"/>
        <w:gridCol w:w="1710"/>
        <w:gridCol w:w="990"/>
        <w:gridCol w:w="800"/>
        <w:gridCol w:w="810"/>
        <w:gridCol w:w="988"/>
        <w:gridCol w:w="722"/>
        <w:gridCol w:w="630"/>
        <w:gridCol w:w="910"/>
        <w:gridCol w:w="1070"/>
      </w:tblGrid>
      <w:tr w:rsidR="007C20F4" w14:paraId="401F50DF" w14:textId="77777777">
        <w:trPr>
          <w:trHeight w:val="584"/>
        </w:trPr>
        <w:tc>
          <w:tcPr>
            <w:tcW w:w="296" w:type="dxa"/>
            <w:gridSpan w:val="2"/>
            <w:vMerge w:val="restart"/>
            <w:shd w:val="clear" w:color="auto" w:fill="auto"/>
          </w:tcPr>
          <w:p w14:paraId="41EC58E5" w14:textId="77777777" w:rsidR="007C20F4" w:rsidRDefault="00000000">
            <w:pPr>
              <w:widowControl w:val="0"/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69" w:type="dxa"/>
            <w:vMerge w:val="restart"/>
            <w:shd w:val="clear" w:color="auto" w:fill="auto"/>
          </w:tcPr>
          <w:p w14:paraId="231B26B4" w14:textId="77777777" w:rsidR="007C20F4" w:rsidRDefault="00000000">
            <w:pPr>
              <w:spacing w:before="120"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Наимено-вание на  процедурата </w:t>
            </w:r>
          </w:p>
        </w:tc>
        <w:tc>
          <w:tcPr>
            <w:tcW w:w="1629" w:type="dxa"/>
            <w:vMerge w:val="restart"/>
            <w:shd w:val="clear" w:color="auto" w:fill="auto"/>
          </w:tcPr>
          <w:p w14:paraId="63A8953D" w14:textId="77777777" w:rsidR="007C20F4" w:rsidRDefault="00000000">
            <w:pPr>
              <w:spacing w:before="120"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Цели на предоставяната БФП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bg-BG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по  процедурата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55723ACC" w14:textId="77777777" w:rsidR="007C20F4" w:rsidRDefault="00000000">
            <w:pPr>
              <w:spacing w:before="120" w:after="0" w:line="240" w:lineRule="auto"/>
              <w:ind w:left="-109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Начин на провеждане на процедурата съгласно чл. 2 от ПМС 162 от 2016 г.</w:t>
            </w:r>
          </w:p>
        </w:tc>
        <w:tc>
          <w:tcPr>
            <w:tcW w:w="643" w:type="dxa"/>
            <w:vMerge w:val="restart"/>
            <w:shd w:val="clear" w:color="auto" w:fill="auto"/>
          </w:tcPr>
          <w:p w14:paraId="1A4684B2" w14:textId="77777777" w:rsidR="007C20F4" w:rsidRDefault="00000000">
            <w:pPr>
              <w:spacing w:before="120"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Извършване на предварителен подбор на концепции за проектни предложения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bg-BG"/>
              </w:rPr>
              <w:footnoteReference w:id="3"/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5D5950" w14:textId="77777777" w:rsidR="007C20F4" w:rsidRDefault="00000000">
            <w:pPr>
              <w:spacing w:before="120" w:after="0" w:line="240" w:lineRule="auto"/>
              <w:ind w:left="-129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Общ размер на БФП  по процедурата (в лева)</w:t>
            </w:r>
          </w:p>
        </w:tc>
        <w:tc>
          <w:tcPr>
            <w:tcW w:w="1179" w:type="dxa"/>
            <w:vMerge w:val="restart"/>
            <w:shd w:val="clear" w:color="auto" w:fill="auto"/>
          </w:tcPr>
          <w:p w14:paraId="7E3811D3" w14:textId="77777777" w:rsidR="007C20F4" w:rsidRDefault="00000000">
            <w:pPr>
              <w:spacing w:before="120" w:after="0" w:line="240" w:lineRule="auto"/>
              <w:ind w:left="-109" w:right="-1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Допустими кандидати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4810BB98" w14:textId="77777777" w:rsidR="007C20F4" w:rsidRDefault="00000000">
            <w:pPr>
              <w:spacing w:before="120" w:after="0" w:line="240" w:lineRule="auto"/>
              <w:ind w:left="-116" w:right="-12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Примерни допустими дейности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44F99E72" w14:textId="77777777" w:rsidR="007C20F4" w:rsidRDefault="00000000">
            <w:pPr>
              <w:spacing w:before="120"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Категории допустими разходи</w:t>
            </w:r>
          </w:p>
        </w:tc>
        <w:tc>
          <w:tcPr>
            <w:tcW w:w="800" w:type="dxa"/>
            <w:vMerge w:val="restart"/>
            <w:shd w:val="clear" w:color="auto" w:fill="auto"/>
          </w:tcPr>
          <w:p w14:paraId="3740484B" w14:textId="77777777" w:rsidR="007C20F4" w:rsidRDefault="00000000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Максимален </w:t>
            </w:r>
          </w:p>
          <w:p w14:paraId="382226A9" w14:textId="77777777" w:rsidR="007C20F4" w:rsidRDefault="000000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% на съ-финансиране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1131EAD4" w14:textId="77777777" w:rsidR="007C20F4" w:rsidRDefault="00000000">
            <w:pPr>
              <w:tabs>
                <w:tab w:val="left" w:pos="601"/>
              </w:tabs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Дата на обявяване на процедурата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bg-BG"/>
              </w:rPr>
              <w:footnoteReference w:id="4"/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430A7ACB" w14:textId="77777777" w:rsidR="007C20F4" w:rsidRDefault="00000000">
            <w:pPr>
              <w:spacing w:before="120"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Краен срок за подаване на проектни предложения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bg-BG"/>
              </w:rPr>
              <w:footnoteReference w:id="5"/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041584EF" w14:textId="77777777" w:rsidR="007C20F4" w:rsidRDefault="00000000">
            <w:pPr>
              <w:spacing w:before="120" w:after="0" w:line="240" w:lineRule="auto"/>
              <w:ind w:left="-102" w:right="-14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Представлява ли процедурата/част от нея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bg-BG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899675E" w14:textId="77777777" w:rsidR="007C20F4" w:rsidRDefault="00000000">
            <w:pPr>
              <w:spacing w:before="120"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Размер на БФП за проект (в лева)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bg-BG"/>
              </w:rPr>
              <w:footnoteReference w:id="7"/>
            </w:r>
          </w:p>
        </w:tc>
      </w:tr>
      <w:tr w:rsidR="007C20F4" w14:paraId="73D4B17C" w14:textId="77777777">
        <w:trPr>
          <w:trHeight w:val="392"/>
        </w:trPr>
        <w:tc>
          <w:tcPr>
            <w:tcW w:w="296" w:type="dxa"/>
            <w:gridSpan w:val="2"/>
            <w:vMerge/>
            <w:shd w:val="clear" w:color="auto" w:fill="auto"/>
          </w:tcPr>
          <w:p w14:paraId="0C6E5F0B" w14:textId="77777777" w:rsidR="007C20F4" w:rsidRDefault="007C20F4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14:paraId="0140EF48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14:paraId="33285F2B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2ED7CF70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14:paraId="283DC05C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09623F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570B04C2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5CC25DFE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79CB91C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14:paraId="427626DC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49BDAEE5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0CEB7364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22" w:type="dxa"/>
            <w:shd w:val="clear" w:color="auto" w:fill="auto"/>
          </w:tcPr>
          <w:p w14:paraId="3FB681E5" w14:textId="77777777" w:rsidR="007C20F4" w:rsidRDefault="00000000">
            <w:pPr>
              <w:spacing w:after="0" w:line="240" w:lineRule="auto"/>
              <w:ind w:left="-109" w:right="-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държавна помощ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bg-BG"/>
              </w:rPr>
              <w:footnoteReference w:id="8"/>
            </w:r>
          </w:p>
        </w:tc>
        <w:tc>
          <w:tcPr>
            <w:tcW w:w="630" w:type="dxa"/>
            <w:shd w:val="clear" w:color="auto" w:fill="auto"/>
          </w:tcPr>
          <w:p w14:paraId="57A1FB5E" w14:textId="77777777" w:rsidR="007C20F4" w:rsidRDefault="00000000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минимална  помощ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bg-BG"/>
              </w:rPr>
              <w:footnoteReference w:id="9"/>
            </w:r>
          </w:p>
        </w:tc>
        <w:tc>
          <w:tcPr>
            <w:tcW w:w="910" w:type="dxa"/>
            <w:shd w:val="clear" w:color="auto" w:fill="auto"/>
          </w:tcPr>
          <w:p w14:paraId="7C35226E" w14:textId="77777777" w:rsidR="007C20F4" w:rsidRDefault="0000000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минимален</w:t>
            </w:r>
          </w:p>
        </w:tc>
        <w:tc>
          <w:tcPr>
            <w:tcW w:w="1070" w:type="dxa"/>
            <w:shd w:val="clear" w:color="auto" w:fill="auto"/>
          </w:tcPr>
          <w:p w14:paraId="1D76DBA3" w14:textId="77777777" w:rsidR="007C20F4" w:rsidRDefault="00000000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максимален</w:t>
            </w:r>
          </w:p>
        </w:tc>
      </w:tr>
      <w:tr w:rsidR="007C20F4" w14:paraId="2E311960" w14:textId="77777777">
        <w:trPr>
          <w:trHeight w:val="397"/>
        </w:trPr>
        <w:tc>
          <w:tcPr>
            <w:tcW w:w="15934" w:type="dxa"/>
            <w:gridSpan w:val="17"/>
            <w:shd w:val="clear" w:color="auto" w:fill="auto"/>
          </w:tcPr>
          <w:p w14:paraId="41A9E7DE" w14:textId="77777777" w:rsidR="007C20F4" w:rsidRDefault="000000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Приоритет 2 Съхранение и развитие на местното културно, историческо и природно наследство</w:t>
            </w:r>
          </w:p>
        </w:tc>
      </w:tr>
      <w:tr w:rsidR="007C20F4" w14:paraId="09FB6A1A" w14:textId="77777777">
        <w:tc>
          <w:tcPr>
            <w:tcW w:w="159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94B" w14:textId="77777777" w:rsidR="007C20F4" w:rsidRDefault="00000000">
            <w:pPr>
              <w:pStyle w:val="a3"/>
              <w:rPr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Приоритет 1: Повишаване конкурентоспособността на предприятията в сектор „Рибарство и аквакултури“ и разкриване на нови работни места</w:t>
            </w:r>
          </w:p>
        </w:tc>
      </w:tr>
      <w:tr w:rsidR="007C20F4" w14:paraId="49BD9E31" w14:textId="77777777"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2211A2" w14:textId="1E9F6B10" w:rsidR="007C20F4" w:rsidRDefault="00D5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6F0B3171" w14:textId="77777777" w:rsidR="007C20F4" w:rsidRDefault="007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1B74A1BB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Мярка 5.4.</w:t>
            </w:r>
          </w:p>
          <w:p w14:paraId="646D4924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Преработване на продуктите от риболов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аквакултури</w:t>
            </w:r>
          </w:p>
          <w:p w14:paraId="4F9BCB7C" w14:textId="77777777" w:rsidR="007C20F4" w:rsidRDefault="007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14:paraId="26DA32FC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Изграждане на нови и</w:t>
            </w:r>
          </w:p>
          <w:p w14:paraId="1BE2A658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модернизация на съществуващи предприятия в сектор „Рибарство и аквакултури“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1144BAB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Процедура на подбор на проекти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62A7C6D2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9834F1D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* Размерът на БФП по процедурата ще бъде определен допълнително, след като се приспаднат договорираните средства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предходни приеми и налични средства от други мерки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1D7EE9CC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Еднолични търговци (ЕТ) 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юридически лица, регистрирани по Търговския закон , които:</w:t>
            </w:r>
          </w:p>
          <w:p w14:paraId="28DBFDEB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lastRenderedPageBreak/>
              <w:t> да са регистрирани по реда на чл. 12 от Закона за храните и да са</w:t>
            </w:r>
          </w:p>
          <w:p w14:paraId="1AA8ECCD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вписани в регистъра на БАБХ, в сектор „Рибни продукти“ – само за</w:t>
            </w:r>
          </w:p>
          <w:p w14:paraId="5D913270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съществуващи предприятия;</w:t>
            </w:r>
          </w:p>
          <w:p w14:paraId="2648D4D8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 да са регистрирани като производители на риба и други водни</w:t>
            </w:r>
          </w:p>
          <w:p w14:paraId="531A3A5C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организми по реда на чл. 25 от ЗРА в случаите, когато обекти на</w:t>
            </w:r>
          </w:p>
          <w:p w14:paraId="303DB7BC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подпомагане са съществуващи или нови предприятия, които</w:t>
            </w:r>
          </w:p>
          <w:p w14:paraId="4ABE78BE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lastRenderedPageBreak/>
              <w:t>преработват собствена аквакултура;</w:t>
            </w:r>
          </w:p>
          <w:p w14:paraId="082AFBE0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 да имат издадено Разрешително за стопански риболов и</w:t>
            </w:r>
          </w:p>
          <w:p w14:paraId="740D749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Удостоверение за придобиване на право за усвояване на ресурс от</w:t>
            </w:r>
          </w:p>
          <w:p w14:paraId="433F0293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риба и други водни организми, когато обекти на подпомагане са</w:t>
            </w:r>
          </w:p>
          <w:p w14:paraId="635297F1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съществуващи или нови предприятия, които преработват собствен</w:t>
            </w:r>
          </w:p>
          <w:p w14:paraId="729BF0E2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улов;</w:t>
            </w:r>
          </w:p>
          <w:p w14:paraId="6375035D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 да са регистрирани по реда на чл. 137 от Закона за</w:t>
            </w:r>
          </w:p>
          <w:p w14:paraId="1B0EEAF8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ветеринарномедицинската дейност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lastRenderedPageBreak/>
              <w:t>(ЗВД) в случаите, когато обекти</w:t>
            </w:r>
          </w:p>
          <w:p w14:paraId="2658D9F4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на подпомагане са съществуващи или нови предприятия, които</w:t>
            </w:r>
          </w:p>
          <w:p w14:paraId="39AE1F6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преработват собствена аквакултура.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7F7DAB4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ЕФМДР може да подпомага инвестиции в преработването на продукти от риболов и аквакултури, когато тези инвестиции:</w:t>
            </w:r>
          </w:p>
          <w:p w14:paraId="2A8E2A3F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1.допринасят за реализирането на икономии на енергия или намаляване на въздействието върху околната среда, включително третирането на отпадъци;</w:t>
            </w:r>
          </w:p>
          <w:p w14:paraId="2AF77A38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2.подобряват безопасността, хигиената, здравето и условията на труд;</w:t>
            </w:r>
          </w:p>
          <w:p w14:paraId="73188D2F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 свързани с преработването на странични продукти, които се получават в резултат на основни дейности от преработването;</w:t>
            </w:r>
          </w:p>
          <w:p w14:paraId="0FED31EC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3.са свързани с преработването на продукти на биологичните аквакултури съгласно членове 6 и 7 от Регламент (ЕО) № 834/2007;</w:t>
            </w:r>
          </w:p>
          <w:p w14:paraId="19A0E94D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4.водят до нови или подобрени продукти, нови или подобрени процеси или нови или подобрени управленски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организационни системи.</w:t>
            </w:r>
          </w:p>
          <w:p w14:paraId="4D22FC26" w14:textId="77777777" w:rsidR="007C20F4" w:rsidRDefault="007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2301B17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Инвестиционни разходи, разходи за услуги.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1A8C20AB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 50%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0CCDF566" w14:textId="1F2F749A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4-то тримесечие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544C0326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До 90 дни от датата на обявяване на процедурата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</w:tcPr>
          <w:p w14:paraId="0321B262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3EC50A75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14:paraId="282EEE78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19 558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2B7F326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97 791</w:t>
            </w:r>
          </w:p>
        </w:tc>
      </w:tr>
      <w:tr w:rsidR="007C20F4" w14:paraId="7043CB1D" w14:textId="77777777">
        <w:trPr>
          <w:trHeight w:val="1068"/>
        </w:trPr>
        <w:tc>
          <w:tcPr>
            <w:tcW w:w="279" w:type="dxa"/>
            <w:shd w:val="clear" w:color="auto" w:fill="auto"/>
          </w:tcPr>
          <w:p w14:paraId="0A6A928C" w14:textId="41CFA565" w:rsidR="007C20F4" w:rsidRDefault="00D5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584C90C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Мярка 2.2.</w:t>
            </w:r>
          </w:p>
          <w:p w14:paraId="42219013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Продуктивни инвестиции в аквакултурите</w:t>
            </w:r>
          </w:p>
        </w:tc>
        <w:tc>
          <w:tcPr>
            <w:tcW w:w="1629" w:type="dxa"/>
            <w:shd w:val="clear" w:color="auto" w:fill="auto"/>
          </w:tcPr>
          <w:p w14:paraId="1CA10405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Подобряване на конкурентноспособността и жизнеспособността на предприятията в сектора на Аквакултурата</w:t>
            </w:r>
          </w:p>
        </w:tc>
        <w:tc>
          <w:tcPr>
            <w:tcW w:w="1170" w:type="dxa"/>
            <w:shd w:val="clear" w:color="auto" w:fill="auto"/>
          </w:tcPr>
          <w:p w14:paraId="6823E27F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Процедура на подбор на проекти</w:t>
            </w:r>
          </w:p>
        </w:tc>
        <w:tc>
          <w:tcPr>
            <w:tcW w:w="643" w:type="dxa"/>
            <w:shd w:val="clear" w:color="auto" w:fill="auto"/>
          </w:tcPr>
          <w:p w14:paraId="43B50232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418" w:type="dxa"/>
            <w:shd w:val="clear" w:color="auto" w:fill="auto"/>
          </w:tcPr>
          <w:p w14:paraId="12220CC3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* Размерът на БФП по процедурата ще бъде определен допълнително, след като се приспаднат договорираните средства от предходни приеми и налични средства от други мерки</w:t>
            </w:r>
          </w:p>
        </w:tc>
        <w:tc>
          <w:tcPr>
            <w:tcW w:w="1179" w:type="dxa"/>
            <w:shd w:val="clear" w:color="auto" w:fill="auto"/>
          </w:tcPr>
          <w:p w14:paraId="3F504B17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еднолични</w:t>
            </w:r>
          </w:p>
          <w:p w14:paraId="065D7851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търговци (ЕТ) или юридически лица, регистрирани по Търговския закон, както следва:</w:t>
            </w:r>
          </w:p>
          <w:p w14:paraId="4ADD6F6D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1. да са регистрирани като производители на риба и други водни</w:t>
            </w:r>
          </w:p>
          <w:p w14:paraId="2C0884B0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организми по реда на чл.25 ЗРА;</w:t>
            </w:r>
          </w:p>
          <w:p w14:paraId="5DD7107A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2. да са регистрирани по реда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чл. 137 от Закона за</w:t>
            </w:r>
          </w:p>
          <w:p w14:paraId="1EA00F8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ветеринарномедицинската дейност (ЗВД);</w:t>
            </w:r>
          </w:p>
          <w:p w14:paraId="7D80ADDE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3. да отговарят на изискванията за микро, малко или средно предприятие</w:t>
            </w:r>
          </w:p>
          <w:p w14:paraId="4C9B1934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съгласно Закона за малките и средни предприятия;</w:t>
            </w:r>
          </w:p>
        </w:tc>
        <w:tc>
          <w:tcPr>
            <w:tcW w:w="1710" w:type="dxa"/>
            <w:shd w:val="clear" w:color="auto" w:fill="auto"/>
          </w:tcPr>
          <w:p w14:paraId="7522CDF5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1.1. продуктивните инвестиции в аквакултурите, включително</w:t>
            </w:r>
          </w:p>
          <w:p w14:paraId="534429B0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производство на зарибителен материал;</w:t>
            </w:r>
          </w:p>
          <w:p w14:paraId="79001E2D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1.2. диверсификацията на продукцията на аквакултурите и отглежданите</w:t>
            </w:r>
          </w:p>
          <w:p w14:paraId="14928B01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видове;</w:t>
            </w:r>
          </w:p>
          <w:p w14:paraId="54EB5325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1.3. модернизация на аквакултурните стопанства, включително</w:t>
            </w:r>
          </w:p>
          <w:p w14:paraId="62E18B9B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подобряването на условията на труд и безопасност за работещите в</w:t>
            </w:r>
          </w:p>
          <w:p w14:paraId="01B598FF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сектора;</w:t>
            </w:r>
          </w:p>
          <w:p w14:paraId="2EBB2064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1.4. подобряването и модернизацията,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свързани със здравето на животните</w:t>
            </w:r>
          </w:p>
          <w:p w14:paraId="5BD6672F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 хуманното отношение към тях, включително закупуване на</w:t>
            </w:r>
          </w:p>
          <w:p w14:paraId="4B415229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оборудване за предпазване на стопанствата от диви хищници;</w:t>
            </w:r>
          </w:p>
          <w:p w14:paraId="23F9D1CD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1.5. инвестиции, намаляващи отрицателното въздействие или</w:t>
            </w:r>
          </w:p>
          <w:p w14:paraId="41F27652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повишаващи положителното въздействие върху околната среда, както</w:t>
            </w:r>
          </w:p>
          <w:p w14:paraId="0DB20142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 подобряването на ефективното използване на ресурсите;</w:t>
            </w:r>
          </w:p>
          <w:p w14:paraId="00E6EFD0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1.6. инвестиции в повишаване на качеството или добавената стойност на</w:t>
            </w:r>
          </w:p>
          <w:p w14:paraId="368A9FD5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продуктите от аквакултури;</w:t>
            </w:r>
          </w:p>
          <w:p w14:paraId="7F227ABA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1.7. инвестиции, водещи до значително намаляване на въздействието на</w:t>
            </w:r>
          </w:p>
          <w:p w14:paraId="68CB40C2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предприятията за аквакултури върху потреблението и качеството на</w:t>
            </w:r>
          </w:p>
          <w:p w14:paraId="588030CF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водата, по-специално чрез намаляване на използваното количество</w:t>
            </w:r>
          </w:p>
          <w:p w14:paraId="48DD6956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вода или химикали, антибиотици и други лекарствени продукти или</w:t>
            </w:r>
          </w:p>
          <w:p w14:paraId="711EF6E9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чрез повишаване на качеството на отпадните води, включително чрез</w:t>
            </w:r>
          </w:p>
          <w:p w14:paraId="4BF32D59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разработване на мултитрофични системи за аквакултури;</w:t>
            </w:r>
          </w:p>
          <w:p w14:paraId="4B1F8DF7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(поликултурно отглеждане на аквакултури);</w:t>
            </w:r>
          </w:p>
          <w:p w14:paraId="14962662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1.8. насърчаването на затворени системи за аквакултури, в които</w:t>
            </w:r>
          </w:p>
          <w:p w14:paraId="5F4B356C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продуктите от аквакултури се отглеждат в затворени</w:t>
            </w:r>
          </w:p>
          <w:p w14:paraId="634D566F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рециркулационни системи, като по този начин се свежда до минимум</w:t>
            </w:r>
          </w:p>
          <w:p w14:paraId="28F9D73D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потреблението на вода;</w:t>
            </w:r>
          </w:p>
          <w:p w14:paraId="13C2FCC1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1.9. инвестиции в повишаването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енергийната ефективност и</w:t>
            </w:r>
          </w:p>
          <w:p w14:paraId="3A67376E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насърчаването на преминаването на предприятията за аквакултури</w:t>
            </w:r>
          </w:p>
          <w:p w14:paraId="24C63D19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към възобновяеми източници на енергия (на ниво допустимост</w:t>
            </w:r>
          </w:p>
          <w:p w14:paraId="64229C28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капацитета на инсталацията да не е по-голям от потреблението, което</w:t>
            </w:r>
          </w:p>
          <w:p w14:paraId="1ECD8D97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 необходимо за проекта);</w:t>
            </w:r>
          </w:p>
          <w:p w14:paraId="4EBD9247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1.10. диверсификация на доходите на предприятията за аквакултури чрез</w:t>
            </w:r>
          </w:p>
          <w:p w14:paraId="59A17F04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развиване на допълнителни дейности, свързани с основната дейност</w:t>
            </w:r>
          </w:p>
          <w:p w14:paraId="23929266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 предприятието в областта на аквакултурите, включително за</w:t>
            </w:r>
          </w:p>
          <w:p w14:paraId="490713A5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риболовен туризъм, свързани с аквакултурите екологични услуги или</w:t>
            </w:r>
          </w:p>
          <w:p w14:paraId="2F896A73" w14:textId="77777777" w:rsidR="007C20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образователни дейности в областта на аквакултурите.</w:t>
            </w:r>
          </w:p>
        </w:tc>
        <w:tc>
          <w:tcPr>
            <w:tcW w:w="990" w:type="dxa"/>
            <w:shd w:val="clear" w:color="auto" w:fill="auto"/>
          </w:tcPr>
          <w:p w14:paraId="45C57885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Инвестиционни разходи, разходи за услуги.</w:t>
            </w:r>
          </w:p>
        </w:tc>
        <w:tc>
          <w:tcPr>
            <w:tcW w:w="800" w:type="dxa"/>
            <w:shd w:val="clear" w:color="auto" w:fill="auto"/>
          </w:tcPr>
          <w:p w14:paraId="43AD6FBE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 50%</w:t>
            </w:r>
          </w:p>
        </w:tc>
        <w:tc>
          <w:tcPr>
            <w:tcW w:w="810" w:type="dxa"/>
            <w:shd w:val="clear" w:color="auto" w:fill="auto"/>
          </w:tcPr>
          <w:p w14:paraId="6FA4954D" w14:textId="52ED645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="00717AA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1-во </w:t>
            </w:r>
            <w:r w:rsidR="00BB70C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тримесечие</w:t>
            </w:r>
          </w:p>
        </w:tc>
        <w:tc>
          <w:tcPr>
            <w:tcW w:w="988" w:type="dxa"/>
            <w:shd w:val="clear" w:color="auto" w:fill="auto"/>
          </w:tcPr>
          <w:p w14:paraId="18009D8A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До 90 дни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от датата на обявяване на процедурата.</w:t>
            </w:r>
          </w:p>
        </w:tc>
        <w:tc>
          <w:tcPr>
            <w:tcW w:w="722" w:type="dxa"/>
            <w:shd w:val="clear" w:color="auto" w:fill="auto"/>
          </w:tcPr>
          <w:p w14:paraId="6AA886A1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630" w:type="dxa"/>
            <w:shd w:val="clear" w:color="auto" w:fill="auto"/>
          </w:tcPr>
          <w:p w14:paraId="5E41C3F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910" w:type="dxa"/>
            <w:shd w:val="clear" w:color="auto" w:fill="auto"/>
          </w:tcPr>
          <w:p w14:paraId="1C082078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9 779</w:t>
            </w:r>
          </w:p>
          <w:p w14:paraId="7ED25C7A" w14:textId="77777777" w:rsidR="007C20F4" w:rsidRDefault="007C20F4">
            <w:pPr>
              <w:tabs>
                <w:tab w:val="center" w:pos="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70" w:type="dxa"/>
            <w:shd w:val="clear" w:color="auto" w:fill="auto"/>
          </w:tcPr>
          <w:p w14:paraId="6732C00F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97 791</w:t>
            </w:r>
          </w:p>
          <w:p w14:paraId="20FEF683" w14:textId="77777777" w:rsidR="007C20F4" w:rsidRDefault="007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7C20F4" w14:paraId="0DBD2ED8" w14:textId="77777777">
        <w:trPr>
          <w:trHeight w:val="403"/>
        </w:trPr>
        <w:tc>
          <w:tcPr>
            <w:tcW w:w="279" w:type="dxa"/>
            <w:shd w:val="clear" w:color="auto" w:fill="auto"/>
          </w:tcPr>
          <w:p w14:paraId="73D41B55" w14:textId="3205AFA1" w:rsidR="007C20F4" w:rsidRDefault="00D5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2B297933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Мярка 1.1 Диверсификация и нови форми на доход</w:t>
            </w:r>
          </w:p>
        </w:tc>
        <w:tc>
          <w:tcPr>
            <w:tcW w:w="1629" w:type="dxa"/>
            <w:shd w:val="clear" w:color="auto" w:fill="auto"/>
          </w:tcPr>
          <w:p w14:paraId="711B73F7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Диверсифицирането (разнообразяването) на доходите на рибарите чрез</w:t>
            </w:r>
          </w:p>
          <w:p w14:paraId="453CADC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развиването на допълващи дейности</w:t>
            </w:r>
          </w:p>
        </w:tc>
        <w:tc>
          <w:tcPr>
            <w:tcW w:w="1170" w:type="dxa"/>
            <w:shd w:val="clear" w:color="auto" w:fill="auto"/>
          </w:tcPr>
          <w:p w14:paraId="43E3D6F4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Процедура на подбор на проекти</w:t>
            </w:r>
          </w:p>
        </w:tc>
        <w:tc>
          <w:tcPr>
            <w:tcW w:w="643" w:type="dxa"/>
            <w:shd w:val="clear" w:color="auto" w:fill="auto"/>
          </w:tcPr>
          <w:p w14:paraId="16BA2DCD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418" w:type="dxa"/>
            <w:shd w:val="clear" w:color="auto" w:fill="auto"/>
          </w:tcPr>
          <w:p w14:paraId="7F7BDF2B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 Размерът на БФП по процедурата ще бъде определен допълнително, след като се приспаднат договорираните средства от предходни приеми и налични средства от други мерки</w:t>
            </w:r>
          </w:p>
        </w:tc>
        <w:tc>
          <w:tcPr>
            <w:tcW w:w="1179" w:type="dxa"/>
            <w:shd w:val="clear" w:color="auto" w:fill="auto"/>
          </w:tcPr>
          <w:p w14:paraId="4E2D82AF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Рибари, включително и тези във вътрешни водоеми, които:</w:t>
            </w:r>
          </w:p>
          <w:p w14:paraId="42FB5C66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 да са регистрирани като еднолични търговци (ЕТ) или юридически</w:t>
            </w:r>
          </w:p>
          <w:p w14:paraId="40149351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лица, регистрирани по Търговския закон;</w:t>
            </w:r>
          </w:p>
          <w:p w14:paraId="7064513B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 да са регистрирани като рибари за „стопански риболов” в регистъра</w:t>
            </w:r>
          </w:p>
          <w:p w14:paraId="538D373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 ИАРА;</w:t>
            </w:r>
          </w:p>
          <w:p w14:paraId="6B8C6A0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 представят бизнес план за развитието на новите си дейности;</w:t>
            </w:r>
          </w:p>
          <w:p w14:paraId="04CCBD6E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 притежават подходящи професионални умения,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които могат да</w:t>
            </w:r>
          </w:p>
          <w:p w14:paraId="3D8BD6A4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бъдат придобити чрез операции, финансирани съгласно член 29,</w:t>
            </w:r>
          </w:p>
          <w:p w14:paraId="38B61577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параграф 1, буква а) от Регламент 508/2014, както следва:</w:t>
            </w:r>
          </w:p>
          <w:p w14:paraId="3C623F70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професионалното обучение, ученето през целия живот, съвместните</w:t>
            </w:r>
          </w:p>
          <w:p w14:paraId="202870EC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проекти, разпространението на знания в икономическата,</w:t>
            </w:r>
          </w:p>
          <w:p w14:paraId="4A80E147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техническата, регулаторната и научната област и на иновативни</w:t>
            </w:r>
          </w:p>
          <w:p w14:paraId="4D4F4EF0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практики, както и придобиването на нови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професионални умения,</w:t>
            </w:r>
          </w:p>
          <w:p w14:paraId="7694277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хигиената, здравето, безопасността, иновациите и</w:t>
            </w:r>
          </w:p>
          <w:p w14:paraId="2CBB4871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предприемачеството;</w:t>
            </w:r>
          </w:p>
        </w:tc>
        <w:tc>
          <w:tcPr>
            <w:tcW w:w="1710" w:type="dxa"/>
            <w:shd w:val="clear" w:color="auto" w:fill="auto"/>
          </w:tcPr>
          <w:p w14:paraId="27D6D7B7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1. Производство – различно от рибарството, производството и</w:t>
            </w:r>
          </w:p>
          <w:p w14:paraId="781E57F3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преработката на риби и аквакултури, но свързано с риболовната</w:t>
            </w:r>
          </w:p>
          <w:p w14:paraId="3F2108A1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дейност на рибаря.</w:t>
            </w:r>
          </w:p>
          <w:p w14:paraId="7154CBFF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2. Развитие на услуги</w:t>
            </w:r>
          </w:p>
          <w:p w14:paraId="5D22E8BA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3. Развитие на туризъм – развитие и разнообразяване на туристическите</w:t>
            </w:r>
          </w:p>
          <w:p w14:paraId="1F470169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услуги, включително инвестиции на борда на корабите, риболовен</w:t>
            </w:r>
          </w:p>
          <w:p w14:paraId="020DEAD2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туризъм, ресторанти, екологични услуги, свързани с рибарството;</w:t>
            </w:r>
          </w:p>
          <w:p w14:paraId="6AF62D50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4. Образователни дейности в областта на рибарството.</w:t>
            </w:r>
          </w:p>
        </w:tc>
        <w:tc>
          <w:tcPr>
            <w:tcW w:w="990" w:type="dxa"/>
            <w:shd w:val="clear" w:color="auto" w:fill="auto"/>
          </w:tcPr>
          <w:p w14:paraId="01354AA8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Инвестиционни разходи, разходи за услуги</w:t>
            </w:r>
          </w:p>
        </w:tc>
        <w:tc>
          <w:tcPr>
            <w:tcW w:w="800" w:type="dxa"/>
            <w:shd w:val="clear" w:color="auto" w:fill="auto"/>
          </w:tcPr>
          <w:p w14:paraId="747DCB7F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 50%</w:t>
            </w:r>
          </w:p>
        </w:tc>
        <w:tc>
          <w:tcPr>
            <w:tcW w:w="810" w:type="dxa"/>
            <w:shd w:val="clear" w:color="auto" w:fill="auto"/>
          </w:tcPr>
          <w:p w14:paraId="18F4B762" w14:textId="351C8E7B" w:rsidR="007C20F4" w:rsidRDefault="0071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1-во и 4-то тримесечие</w:t>
            </w:r>
          </w:p>
        </w:tc>
        <w:tc>
          <w:tcPr>
            <w:tcW w:w="988" w:type="dxa"/>
            <w:shd w:val="clear" w:color="auto" w:fill="auto"/>
          </w:tcPr>
          <w:p w14:paraId="7F2BED5C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До 90 дни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от датата на обявяване на процедурата</w:t>
            </w:r>
          </w:p>
        </w:tc>
        <w:tc>
          <w:tcPr>
            <w:tcW w:w="722" w:type="dxa"/>
            <w:shd w:val="clear" w:color="auto" w:fill="auto"/>
          </w:tcPr>
          <w:p w14:paraId="533DDC8E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630" w:type="dxa"/>
            <w:shd w:val="clear" w:color="auto" w:fill="auto"/>
          </w:tcPr>
          <w:p w14:paraId="0743106D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910" w:type="dxa"/>
            <w:shd w:val="clear" w:color="auto" w:fill="auto"/>
          </w:tcPr>
          <w:p w14:paraId="32D9DB19" w14:textId="77777777" w:rsidR="007C20F4" w:rsidRDefault="00000000">
            <w:pPr>
              <w:tabs>
                <w:tab w:val="center" w:pos="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9 779</w:t>
            </w:r>
          </w:p>
        </w:tc>
        <w:tc>
          <w:tcPr>
            <w:tcW w:w="1070" w:type="dxa"/>
            <w:shd w:val="clear" w:color="auto" w:fill="auto"/>
          </w:tcPr>
          <w:p w14:paraId="6AB71C15" w14:textId="77777777" w:rsidR="007C20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146 687</w:t>
            </w:r>
          </w:p>
        </w:tc>
      </w:tr>
    </w:tbl>
    <w:p w14:paraId="2DBAC673" w14:textId="77777777" w:rsidR="007C20F4" w:rsidRDefault="007C20F4"/>
    <w:sectPr w:rsidR="007C20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2091" w:right="641" w:bottom="567" w:left="709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8600" w14:textId="77777777" w:rsidR="004A1EE2" w:rsidRDefault="004A1EE2">
      <w:pPr>
        <w:spacing w:after="0" w:line="240" w:lineRule="auto"/>
      </w:pPr>
      <w:r>
        <w:separator/>
      </w:r>
    </w:p>
  </w:endnote>
  <w:endnote w:type="continuationSeparator" w:id="0">
    <w:p w14:paraId="0B73C924" w14:textId="77777777" w:rsidR="004A1EE2" w:rsidRDefault="004A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ADA7" w14:textId="77777777" w:rsidR="007C20F4" w:rsidRDefault="00000000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 w14:paraId="611BD408" w14:textId="77777777" w:rsidR="007C20F4" w:rsidRDefault="00000000">
    <w:pPr>
      <w:pStyle w:val="aff"/>
      <w:jc w:val="both"/>
      <w:rPr>
        <w:i/>
        <w:sz w:val="20"/>
        <w:szCs w:val="20"/>
      </w:rPr>
    </w:pPr>
    <w:r>
      <w:rPr>
        <w:i/>
        <w:sz w:val="20"/>
        <w:szCs w:val="20"/>
      </w:rPr>
      <w:t>Този документ е създаден в рамките на Договор № МДР-ИП-01-86/20.07.2018г. за предоставяне на безвъзмездна финансова помощ по проект №BG14MFOP001-4.002-0009 „Изпълнение на стратегия за водено от общностите местно развитие на МИРГ Бургас-Камено“ по Програма за морско дело и рибарство 2014 – 2020 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AC25" w14:textId="77777777" w:rsidR="007C20F4" w:rsidRDefault="00000000">
    <w:pPr>
      <w:pStyle w:val="aff"/>
      <w:jc w:val="both"/>
      <w:rPr>
        <w:i/>
        <w:sz w:val="20"/>
        <w:szCs w:val="20"/>
      </w:rPr>
    </w:pPr>
    <w:r>
      <w:rPr>
        <w:i/>
        <w:sz w:val="20"/>
        <w:szCs w:val="20"/>
      </w:rPr>
      <w:t>Този документ е създаден в рамките на Договор № МДР-ИП-01-86/20.07.2018г. за предоставяне на безвъзмездна финансова помощ по проект №BG14MFOP001-4.002-0009 „Изпълнение на стратегия за водено от общностите местно развитие на МИРГ Бургас-Камено“ по Програма за морско дело и рибарство 2014 – 2020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BDAB" w14:textId="77777777" w:rsidR="004A1EE2" w:rsidRDefault="004A1EE2">
      <w:pPr>
        <w:spacing w:after="0" w:line="240" w:lineRule="auto"/>
      </w:pPr>
      <w:r>
        <w:separator/>
      </w:r>
    </w:p>
  </w:footnote>
  <w:footnote w:type="continuationSeparator" w:id="0">
    <w:p w14:paraId="01E1FD7E" w14:textId="77777777" w:rsidR="004A1EE2" w:rsidRDefault="004A1EE2">
      <w:pPr>
        <w:spacing w:after="0" w:line="240" w:lineRule="auto"/>
      </w:pPr>
      <w:r>
        <w:continuationSeparator/>
      </w:r>
    </w:p>
  </w:footnote>
  <w:footnote w:id="1">
    <w:p w14:paraId="255DC9D8" w14:textId="77777777" w:rsidR="007C20F4" w:rsidRDefault="00000000">
      <w:pPr>
        <w:pStyle w:val="afa"/>
        <w:rPr>
          <w:sz w:val="18"/>
          <w:szCs w:val="18"/>
        </w:rPr>
      </w:pPr>
      <w:r>
        <w:rPr>
          <w:rStyle w:val="afc"/>
        </w:rPr>
        <w:footnoteRef/>
      </w:r>
      <w:r>
        <w:rPr>
          <w:rStyle w:val="afc"/>
        </w:rPr>
        <w:t xml:space="preserve"> </w:t>
      </w:r>
      <w:r>
        <w:rPr>
          <w:sz w:val="18"/>
          <w:szCs w:val="18"/>
        </w:rPr>
        <w:t xml:space="preserve">Индикативната годишна работна програма се изготвя в съответствие с чл. 26, ал. 1 от Постановление №162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 </w:t>
      </w:r>
    </w:p>
  </w:footnote>
  <w:footnote w:id="2">
    <w:p w14:paraId="1A15240F" w14:textId="77777777" w:rsidR="007C20F4" w:rsidRDefault="00000000">
      <w:pPr>
        <w:pStyle w:val="afa"/>
        <w:rPr>
          <w:sz w:val="18"/>
          <w:szCs w:val="18"/>
        </w:rPr>
      </w:pPr>
      <w:r>
        <w:rPr>
          <w:rStyle w:val="afc"/>
        </w:rPr>
        <w:footnoteRef/>
      </w:r>
      <w:r>
        <w:rPr>
          <w:rStyle w:val="afc"/>
        </w:rPr>
        <w:t xml:space="preserve"> </w:t>
      </w:r>
      <w:r>
        <w:rPr>
          <w:sz w:val="18"/>
          <w:szCs w:val="18"/>
        </w:rPr>
        <w:t>Безвъзмездна финансова помощ.</w:t>
      </w:r>
    </w:p>
  </w:footnote>
  <w:footnote w:id="3">
    <w:p w14:paraId="38151CF4" w14:textId="77777777" w:rsidR="007C20F4" w:rsidRDefault="00000000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sz w:val="18"/>
          <w:szCs w:val="18"/>
        </w:rPr>
        <w:t>Отбелязва се „да“ или „не“.</w:t>
      </w:r>
    </w:p>
  </w:footnote>
  <w:footnote w:id="4">
    <w:p w14:paraId="1D049DC0" w14:textId="77777777" w:rsidR="007C20F4" w:rsidRDefault="00000000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подбор.</w:t>
      </w:r>
    </w:p>
  </w:footnote>
  <w:footnote w:id="5">
    <w:p w14:paraId="552491CF" w14:textId="77777777" w:rsidR="007C20F4" w:rsidRDefault="00000000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крайният срок за подаване на концепциите.</w:t>
      </w:r>
    </w:p>
  </w:footnote>
  <w:footnote w:id="6">
    <w:p w14:paraId="76FAA1D7" w14:textId="77777777" w:rsidR="007C20F4" w:rsidRDefault="00000000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sz w:val="18"/>
          <w:szCs w:val="18"/>
        </w:rPr>
        <w:t>Отбелязва се „да“, „не“ или „предстои да бъде уточнено“.</w:t>
      </w:r>
    </w:p>
  </w:footnote>
  <w:footnote w:id="7">
    <w:p w14:paraId="081FA7AD" w14:textId="77777777" w:rsidR="007C20F4" w:rsidRDefault="00000000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sz w:val="18"/>
          <w:szCs w:val="18"/>
        </w:rPr>
        <w:t>Ако е приложимо.</w:t>
      </w:r>
    </w:p>
  </w:footnote>
  <w:footnote w:id="8">
    <w:p w14:paraId="417040FC" w14:textId="77777777" w:rsidR="007C20F4" w:rsidRDefault="00000000">
      <w:pPr>
        <w:pStyle w:val="afa"/>
        <w:rPr>
          <w:sz w:val="18"/>
          <w:szCs w:val="18"/>
        </w:rPr>
      </w:pPr>
      <w:r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 xml:space="preserve"> По смисъла на чл. 107 от Договора за функционирането на Европейския съюз.</w:t>
      </w:r>
    </w:p>
  </w:footnote>
  <w:footnote w:id="9">
    <w:p w14:paraId="0A79D2AD" w14:textId="77777777" w:rsidR="007C20F4" w:rsidRDefault="00000000">
      <w:pPr>
        <w:pStyle w:val="afa"/>
        <w:jc w:val="both"/>
      </w:pPr>
      <w:r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на Европейския съюз 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minimis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(ОВ, </w:t>
      </w:r>
      <w:r>
        <w:rPr>
          <w:sz w:val="18"/>
          <w:szCs w:val="18"/>
          <w:lang w:val="en-US"/>
        </w:rPr>
        <w:t>L</w:t>
      </w:r>
      <w:r>
        <w:rPr>
          <w:sz w:val="18"/>
          <w:szCs w:val="18"/>
        </w:rPr>
        <w:t xml:space="preserve"> 352 от 24.12.2013 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928" w14:textId="77777777" w:rsidR="007C20F4" w:rsidRDefault="00000000">
    <w:pPr>
      <w:pStyle w:val="afd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D99E8D" wp14:editId="1FA43575">
              <wp:simplePos x="0" y="0"/>
              <wp:positionH relativeFrom="column">
                <wp:posOffset>-164465</wp:posOffset>
              </wp:positionH>
              <wp:positionV relativeFrom="paragraph">
                <wp:posOffset>5080</wp:posOffset>
              </wp:positionV>
              <wp:extent cx="1905000" cy="1266825"/>
              <wp:effectExtent l="0" t="0" r="0" b="0"/>
              <wp:wrapNone/>
              <wp:docPr id="7" name="Текстово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0500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7D503E" w14:textId="77777777" w:rsidR="007C20F4" w:rsidRDefault="00000000">
                          <w:pPr>
                            <w:pStyle w:val="afd"/>
                            <w:spacing w:after="30"/>
                            <w:jc w:val="center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bg-BG"/>
                            </w:rPr>
                            <w:drawing>
                              <wp:inline distT="0" distB="0" distL="0" distR="0" wp14:anchorId="355AF489" wp14:editId="7D63ECA8">
                                <wp:extent cx="1028700" cy="695325"/>
                                <wp:effectExtent l="0" t="0" r="0" b="0"/>
                                <wp:docPr id="8" name="Картина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Картина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7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7C19B1" w14:textId="77777777" w:rsidR="007C20F4" w:rsidRDefault="00000000">
                          <w:pPr>
                            <w:pStyle w:val="af9"/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000000"/>
                              <w:sz w:val="18"/>
                              <w:szCs w:val="18"/>
                            </w:rPr>
                            <w:t>ЕВРОПЕЙСКИ СЪЮЗ</w:t>
                          </w:r>
                        </w:p>
                        <w:p w14:paraId="27F25380" w14:textId="77777777" w:rsidR="007C20F4" w:rsidRDefault="00000000">
                          <w:pPr>
                            <w:pStyle w:val="af9"/>
                            <w:spacing w:after="0"/>
                            <w:jc w:val="center"/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  <w:t>ЕВРОПЕЙСКИ ФОНД ЗА МОРСКО ДЕЛО И РИБАРСТВО</w:t>
                          </w:r>
                        </w:p>
                        <w:p w14:paraId="167A11D2" w14:textId="77777777" w:rsidR="007C20F4" w:rsidRDefault="007C20F4">
                          <w:pPr>
                            <w:pStyle w:val="af9"/>
                            <w:spacing w:after="0"/>
                            <w:jc w:val="center"/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40A613B" w14:textId="77777777" w:rsidR="007C20F4" w:rsidRDefault="007C20F4">
                          <w:pPr>
                            <w:pStyle w:val="af9"/>
                            <w:spacing w:after="0"/>
                            <w:jc w:val="center"/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99E8D" id="_x0000_t202" coordsize="21600,21600" o:spt="202" path="m,l,21600r21600,l21600,xe">
              <v:stroke joinstyle="miter"/>
              <v:path gradientshapeok="t" o:connecttype="rect"/>
            </v:shapetype>
            <v:shape id="Текстово поле 4" o:spid="_x0000_s1026" type="#_x0000_t202" style="position:absolute;margin-left:-12.95pt;margin-top:.4pt;width:150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" stroked="f">
              <v:textbox>
                <w:txbxContent>
                  <w:p w14:paraId="0A7D503E" w14:textId="77777777" w:rsidR="007C20F4" w:rsidRDefault="00000000">
                    <w:pPr>
                      <w:pStyle w:val="afd"/>
                      <w:spacing w:after="30"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bg-BG"/>
                      </w:rPr>
                      <w:drawing>
                        <wp:inline distT="0" distB="0" distL="0" distR="0" wp14:anchorId="355AF489" wp14:editId="7D63ECA8">
                          <wp:extent cx="1028700" cy="695325"/>
                          <wp:effectExtent l="0" t="0" r="0" b="0"/>
                          <wp:docPr id="8" name="Картина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Картина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7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7C19B1" w14:textId="77777777" w:rsidR="007C20F4" w:rsidRDefault="00000000">
                    <w:pPr>
                      <w:pStyle w:val="af9"/>
                      <w:spacing w:after="0"/>
                      <w:jc w:val="center"/>
                      <w:rPr>
                        <w:rFonts w:ascii="Candara" w:hAnsi="Candara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color w:val="000000"/>
                        <w:sz w:val="18"/>
                        <w:szCs w:val="18"/>
                      </w:rPr>
                      <w:t>ЕВРОПЕЙСКИ СЪЮЗ</w:t>
                    </w:r>
                  </w:p>
                  <w:p w14:paraId="27F25380" w14:textId="77777777" w:rsidR="007C20F4" w:rsidRDefault="00000000">
                    <w:pPr>
                      <w:pStyle w:val="af9"/>
                      <w:spacing w:after="0"/>
                      <w:jc w:val="center"/>
                      <w:rPr>
                        <w:rFonts w:ascii="Candara" w:hAnsi="Candar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  <w:t>ЕВРОПЕЙСКИ ФОНД ЗА МОРСКО ДЕЛО И РИБАРСТВО</w:t>
                    </w:r>
                  </w:p>
                  <w:p w14:paraId="167A11D2" w14:textId="77777777" w:rsidR="007C20F4" w:rsidRDefault="007C20F4">
                    <w:pPr>
                      <w:pStyle w:val="af9"/>
                      <w:spacing w:after="0"/>
                      <w:jc w:val="center"/>
                      <w:rPr>
                        <w:rFonts w:ascii="Candara" w:hAnsi="Candara"/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14:paraId="640A613B" w14:textId="77777777" w:rsidR="007C20F4" w:rsidRDefault="007C20F4">
                    <w:pPr>
                      <w:pStyle w:val="af9"/>
                      <w:spacing w:after="0"/>
                      <w:jc w:val="center"/>
                      <w:rPr>
                        <w:rFonts w:ascii="Candara" w:hAnsi="Candara"/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79A37FC0" wp14:editId="1068D613">
          <wp:simplePos x="0" y="0"/>
          <wp:positionH relativeFrom="column">
            <wp:posOffset>7448550</wp:posOffset>
          </wp:positionH>
          <wp:positionV relativeFrom="paragraph">
            <wp:posOffset>128905</wp:posOffset>
          </wp:positionV>
          <wp:extent cx="2219325" cy="895350"/>
          <wp:effectExtent l="0" t="0" r="0" b="0"/>
          <wp:wrapNone/>
          <wp:docPr id="9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Картина 5"/>
                  <pic:cNvPicPr>
                    <a:picLocks noChangeAspect="1"/>
                  </pic:cNvPicPr>
                </pic:nvPicPr>
                <pic:blipFill>
                  <a:blip r:embed="rId3"/>
                  <a:srcRect l="6290" t="14172" r="17583" b="11024"/>
                  <a:stretch/>
                </pic:blipFill>
                <pic:spPr>
                  <a:xfrm>
                    <a:off x="0" y="0"/>
                    <a:ext cx="2219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</w:p>
  <w:p w14:paraId="476E3625" w14:textId="77777777" w:rsidR="007C20F4" w:rsidRDefault="007C20F4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9B3C" w14:textId="77777777" w:rsidR="007C20F4" w:rsidRDefault="00000000">
    <w:pPr>
      <w:pStyle w:val="afd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94AFB" wp14:editId="30EE3BE0">
              <wp:simplePos x="0" y="0"/>
              <wp:positionH relativeFrom="column">
                <wp:posOffset>-161925</wp:posOffset>
              </wp:positionH>
              <wp:positionV relativeFrom="paragraph">
                <wp:posOffset>5080</wp:posOffset>
              </wp:positionV>
              <wp:extent cx="1971675" cy="1282065"/>
              <wp:effectExtent l="0" t="0" r="0" b="0"/>
              <wp:wrapNone/>
              <wp:docPr id="10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71675" cy="1282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B069" w14:textId="77777777" w:rsidR="007C20F4" w:rsidRDefault="00000000">
                          <w:pPr>
                            <w:pStyle w:val="afd"/>
                            <w:spacing w:after="30"/>
                            <w:jc w:val="center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bg-BG"/>
                            </w:rPr>
                            <w:drawing>
                              <wp:inline distT="0" distB="0" distL="0" distR="0" wp14:anchorId="7D7AD9E8" wp14:editId="6D069F07">
                                <wp:extent cx="1028700" cy="695325"/>
                                <wp:effectExtent l="0" t="0" r="0" b="0"/>
                                <wp:docPr id="11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7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F57E7E" w14:textId="77777777" w:rsidR="007C20F4" w:rsidRDefault="00000000">
                          <w:pPr>
                            <w:pStyle w:val="af9"/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000000"/>
                              <w:sz w:val="18"/>
                              <w:szCs w:val="18"/>
                            </w:rPr>
                            <w:t>ЕВРОПЕЙСКИ СЪЮЗ</w:t>
                          </w:r>
                        </w:p>
                        <w:p w14:paraId="3E027327" w14:textId="77777777" w:rsidR="007C20F4" w:rsidRDefault="00000000">
                          <w:pPr>
                            <w:pStyle w:val="af9"/>
                            <w:spacing w:after="0"/>
                            <w:jc w:val="center"/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  <w:t>ЕВРОПЕЙСКИ ФОНД ЗА МОРСКО ДЕЛО И РИБАРСТВО</w:t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94AFB"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7" type="#_x0000_t202" style="position:absolute;margin-left:-12.75pt;margin-top:.4pt;width:155.25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" stroked="f">
              <v:textbox>
                <w:txbxContent>
                  <w:p w14:paraId="40CDB069" w14:textId="77777777" w:rsidR="007C20F4" w:rsidRDefault="00000000">
                    <w:pPr>
                      <w:pStyle w:val="afd"/>
                      <w:spacing w:after="30"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bg-BG"/>
                      </w:rPr>
                      <w:drawing>
                        <wp:inline distT="0" distB="0" distL="0" distR="0" wp14:anchorId="7D7AD9E8" wp14:editId="6D069F07">
                          <wp:extent cx="1028700" cy="695325"/>
                          <wp:effectExtent l="0" t="0" r="0" b="0"/>
                          <wp:docPr id="11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7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F57E7E" w14:textId="77777777" w:rsidR="007C20F4" w:rsidRDefault="00000000">
                    <w:pPr>
                      <w:pStyle w:val="af9"/>
                      <w:spacing w:after="0"/>
                      <w:jc w:val="center"/>
                      <w:rPr>
                        <w:rFonts w:ascii="Candara" w:hAnsi="Candara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color w:val="000000"/>
                        <w:sz w:val="18"/>
                        <w:szCs w:val="18"/>
                      </w:rPr>
                      <w:t>ЕВРОПЕЙСКИ СЪЮЗ</w:t>
                    </w:r>
                  </w:p>
                  <w:p w14:paraId="3E027327" w14:textId="77777777" w:rsidR="007C20F4" w:rsidRDefault="00000000">
                    <w:pPr>
                      <w:pStyle w:val="af9"/>
                      <w:spacing w:after="0"/>
                      <w:jc w:val="center"/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  <w:t>ЕВРОПЕЙСКИ ФОНД ЗА МОРСКО ДЕЛО И РИБАРСТВО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E7BDF29" wp14:editId="312CF91E">
          <wp:simplePos x="0" y="0"/>
          <wp:positionH relativeFrom="column">
            <wp:posOffset>7448550</wp:posOffset>
          </wp:positionH>
          <wp:positionV relativeFrom="paragraph">
            <wp:posOffset>128905</wp:posOffset>
          </wp:positionV>
          <wp:extent cx="2219325" cy="895350"/>
          <wp:effectExtent l="0" t="0" r="0" b="0"/>
          <wp:wrapNone/>
          <wp:docPr id="1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/>
                  <pic:cNvPicPr>
                    <a:picLocks noChangeAspect="1"/>
                  </pic:cNvPicPr>
                </pic:nvPicPr>
                <pic:blipFill>
                  <a:blip r:embed="rId3"/>
                  <a:srcRect l="6290" t="14172" r="17583" b="11024"/>
                  <a:stretch/>
                </pic:blipFill>
                <pic:spPr>
                  <a:xfrm>
                    <a:off x="0" y="0"/>
                    <a:ext cx="2219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</w:p>
  <w:p w14:paraId="725252EA" w14:textId="77777777" w:rsidR="007C20F4" w:rsidRDefault="007C20F4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8"/>
        <w:szCs w:val="18"/>
      </w:rPr>
    </w:pPr>
  </w:p>
  <w:p w14:paraId="5B43E09B" w14:textId="77777777" w:rsidR="007C20F4" w:rsidRDefault="00000000">
    <w:pPr>
      <w:tabs>
        <w:tab w:val="left" w:pos="3969"/>
      </w:tabs>
      <w:ind w:firstLine="2694"/>
    </w:pPr>
    <w:r>
      <w:tab/>
    </w:r>
  </w:p>
  <w:p w14:paraId="560C6F0D" w14:textId="77777777" w:rsidR="007C20F4" w:rsidRDefault="007C20F4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0E72"/>
    <w:multiLevelType w:val="hybridMultilevel"/>
    <w:tmpl w:val="A52C13FC"/>
    <w:lvl w:ilvl="0" w:tplc="1F22D00E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bg-BG" w:eastAsia="en-US" w:bidi="ar-SA"/>
      </w:rPr>
    </w:lvl>
    <w:lvl w:ilvl="1" w:tplc="4460819C">
      <w:numFmt w:val="bullet"/>
      <w:lvlText w:val="•"/>
      <w:lvlJc w:val="left"/>
      <w:pPr>
        <w:ind w:left="1318" w:hanging="360"/>
      </w:pPr>
      <w:rPr>
        <w:rFonts w:hint="default"/>
        <w:lang w:val="bg-BG" w:eastAsia="en-US" w:bidi="ar-SA"/>
      </w:rPr>
    </w:lvl>
    <w:lvl w:ilvl="2" w:tplc="AA6EB57C">
      <w:numFmt w:val="bullet"/>
      <w:lvlText w:val="•"/>
      <w:lvlJc w:val="left"/>
      <w:pPr>
        <w:ind w:left="2056" w:hanging="360"/>
      </w:pPr>
      <w:rPr>
        <w:rFonts w:hint="default"/>
        <w:lang w:val="bg-BG" w:eastAsia="en-US" w:bidi="ar-SA"/>
      </w:rPr>
    </w:lvl>
    <w:lvl w:ilvl="3" w:tplc="E86C113E">
      <w:numFmt w:val="bullet"/>
      <w:lvlText w:val="•"/>
      <w:lvlJc w:val="left"/>
      <w:pPr>
        <w:ind w:left="2794" w:hanging="360"/>
      </w:pPr>
      <w:rPr>
        <w:rFonts w:hint="default"/>
        <w:lang w:val="bg-BG" w:eastAsia="en-US" w:bidi="ar-SA"/>
      </w:rPr>
    </w:lvl>
    <w:lvl w:ilvl="4" w:tplc="D4B84FC8">
      <w:numFmt w:val="bullet"/>
      <w:lvlText w:val="•"/>
      <w:lvlJc w:val="left"/>
      <w:pPr>
        <w:ind w:left="3532" w:hanging="360"/>
      </w:pPr>
      <w:rPr>
        <w:rFonts w:hint="default"/>
        <w:lang w:val="bg-BG" w:eastAsia="en-US" w:bidi="ar-SA"/>
      </w:rPr>
    </w:lvl>
    <w:lvl w:ilvl="5" w:tplc="44A6DF16">
      <w:numFmt w:val="bullet"/>
      <w:lvlText w:val="•"/>
      <w:lvlJc w:val="left"/>
      <w:pPr>
        <w:ind w:left="4271" w:hanging="360"/>
      </w:pPr>
      <w:rPr>
        <w:rFonts w:hint="default"/>
        <w:lang w:val="bg-BG" w:eastAsia="en-US" w:bidi="ar-SA"/>
      </w:rPr>
    </w:lvl>
    <w:lvl w:ilvl="6" w:tplc="0B425364">
      <w:numFmt w:val="bullet"/>
      <w:lvlText w:val="•"/>
      <w:lvlJc w:val="left"/>
      <w:pPr>
        <w:ind w:left="5009" w:hanging="360"/>
      </w:pPr>
      <w:rPr>
        <w:rFonts w:hint="default"/>
        <w:lang w:val="bg-BG" w:eastAsia="en-US" w:bidi="ar-SA"/>
      </w:rPr>
    </w:lvl>
    <w:lvl w:ilvl="7" w:tplc="958EE61E">
      <w:numFmt w:val="bullet"/>
      <w:lvlText w:val="•"/>
      <w:lvlJc w:val="left"/>
      <w:pPr>
        <w:ind w:left="5747" w:hanging="360"/>
      </w:pPr>
      <w:rPr>
        <w:rFonts w:hint="default"/>
        <w:lang w:val="bg-BG" w:eastAsia="en-US" w:bidi="ar-SA"/>
      </w:rPr>
    </w:lvl>
    <w:lvl w:ilvl="8" w:tplc="D2882364">
      <w:numFmt w:val="bullet"/>
      <w:lvlText w:val="•"/>
      <w:lvlJc w:val="left"/>
      <w:pPr>
        <w:ind w:left="6485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721F508E"/>
    <w:multiLevelType w:val="hybridMultilevel"/>
    <w:tmpl w:val="342AA620"/>
    <w:lvl w:ilvl="0" w:tplc="A0A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002F76" w:tentative="1">
      <w:start w:val="1"/>
      <w:numFmt w:val="lowerLetter"/>
      <w:lvlText w:val="%2."/>
      <w:lvlJc w:val="left"/>
      <w:pPr>
        <w:ind w:left="1440" w:hanging="360"/>
      </w:pPr>
    </w:lvl>
    <w:lvl w:ilvl="2" w:tplc="33AA8748" w:tentative="1">
      <w:start w:val="1"/>
      <w:numFmt w:val="lowerRoman"/>
      <w:lvlText w:val="%3."/>
      <w:lvlJc w:val="right"/>
      <w:pPr>
        <w:ind w:left="2160" w:hanging="180"/>
      </w:pPr>
    </w:lvl>
    <w:lvl w:ilvl="3" w:tplc="42C2834A" w:tentative="1">
      <w:start w:val="1"/>
      <w:numFmt w:val="decimal"/>
      <w:lvlText w:val="%4."/>
      <w:lvlJc w:val="left"/>
      <w:pPr>
        <w:ind w:left="2880" w:hanging="360"/>
      </w:pPr>
    </w:lvl>
    <w:lvl w:ilvl="4" w:tplc="18A4B252" w:tentative="1">
      <w:start w:val="1"/>
      <w:numFmt w:val="lowerLetter"/>
      <w:lvlText w:val="%5."/>
      <w:lvlJc w:val="left"/>
      <w:pPr>
        <w:ind w:left="3600" w:hanging="360"/>
      </w:pPr>
    </w:lvl>
    <w:lvl w:ilvl="5" w:tplc="7B389EB4" w:tentative="1">
      <w:start w:val="1"/>
      <w:numFmt w:val="lowerRoman"/>
      <w:lvlText w:val="%6."/>
      <w:lvlJc w:val="right"/>
      <w:pPr>
        <w:ind w:left="4320" w:hanging="180"/>
      </w:pPr>
    </w:lvl>
    <w:lvl w:ilvl="6" w:tplc="0EFC205E" w:tentative="1">
      <w:start w:val="1"/>
      <w:numFmt w:val="decimal"/>
      <w:lvlText w:val="%7."/>
      <w:lvlJc w:val="left"/>
      <w:pPr>
        <w:ind w:left="5040" w:hanging="360"/>
      </w:pPr>
    </w:lvl>
    <w:lvl w:ilvl="7" w:tplc="152E03B4" w:tentative="1">
      <w:start w:val="1"/>
      <w:numFmt w:val="lowerLetter"/>
      <w:lvlText w:val="%8."/>
      <w:lvlJc w:val="left"/>
      <w:pPr>
        <w:ind w:left="5760" w:hanging="360"/>
      </w:pPr>
    </w:lvl>
    <w:lvl w:ilvl="8" w:tplc="6D5252D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12357">
    <w:abstractNumId w:val="0"/>
  </w:num>
  <w:num w:numId="2" w16cid:durableId="117422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80"/>
    <w:rsid w:val="000617FD"/>
    <w:rsid w:val="00072863"/>
    <w:rsid w:val="00175CBF"/>
    <w:rsid w:val="001D4CC9"/>
    <w:rsid w:val="002452A6"/>
    <w:rsid w:val="002A674C"/>
    <w:rsid w:val="002D6D01"/>
    <w:rsid w:val="00347F3F"/>
    <w:rsid w:val="003E2FA2"/>
    <w:rsid w:val="003F2CC9"/>
    <w:rsid w:val="00403247"/>
    <w:rsid w:val="00427A5C"/>
    <w:rsid w:val="0049190C"/>
    <w:rsid w:val="004A1EE2"/>
    <w:rsid w:val="005320BF"/>
    <w:rsid w:val="00564834"/>
    <w:rsid w:val="00577C3F"/>
    <w:rsid w:val="005E5B10"/>
    <w:rsid w:val="005F1652"/>
    <w:rsid w:val="00654F48"/>
    <w:rsid w:val="00660BB2"/>
    <w:rsid w:val="006D2CE4"/>
    <w:rsid w:val="006F3335"/>
    <w:rsid w:val="00716C49"/>
    <w:rsid w:val="00717AAD"/>
    <w:rsid w:val="00720065"/>
    <w:rsid w:val="007956DC"/>
    <w:rsid w:val="007C20F4"/>
    <w:rsid w:val="00863684"/>
    <w:rsid w:val="008B1350"/>
    <w:rsid w:val="00925728"/>
    <w:rsid w:val="00957EF8"/>
    <w:rsid w:val="00963051"/>
    <w:rsid w:val="009B030F"/>
    <w:rsid w:val="009C2EFF"/>
    <w:rsid w:val="009D7550"/>
    <w:rsid w:val="00A272AE"/>
    <w:rsid w:val="00A525A3"/>
    <w:rsid w:val="00AC068C"/>
    <w:rsid w:val="00B3680B"/>
    <w:rsid w:val="00BB70CA"/>
    <w:rsid w:val="00BF2E98"/>
    <w:rsid w:val="00BF66B3"/>
    <w:rsid w:val="00C30D1D"/>
    <w:rsid w:val="00C50634"/>
    <w:rsid w:val="00C7311C"/>
    <w:rsid w:val="00D155B8"/>
    <w:rsid w:val="00D16280"/>
    <w:rsid w:val="00D510C6"/>
    <w:rsid w:val="00D536FE"/>
    <w:rsid w:val="00DE081F"/>
    <w:rsid w:val="00E857D5"/>
    <w:rsid w:val="00EB6AAC"/>
    <w:rsid w:val="00EB6E62"/>
    <w:rsid w:val="00F3010B"/>
    <w:rsid w:val="00F823FA"/>
    <w:rsid w:val="00F83EE1"/>
    <w:rsid w:val="00F85BC5"/>
    <w:rsid w:val="00F9311C"/>
    <w:rsid w:val="00FB6FA0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51717"/>
  <w15:docId w15:val="{F48E4FD0-6CDF-4EB9-A664-CF3E743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лавие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лав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на бележка в края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Обикновен текст Знак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9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b">
    <w:name w:val="Текст под ли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c">
    <w:name w:val="footnote reference"/>
    <w:uiPriority w:val="99"/>
    <w:semiHidden/>
    <w:rPr>
      <w:vertAlign w:val="superscript"/>
    </w:rPr>
  </w:style>
  <w:style w:type="paragraph" w:styleId="afd">
    <w:name w:val="header"/>
    <w:basedOn w:val="a"/>
    <w:link w:val="afe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орен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Долен колонтитул Знак"/>
    <w:basedOn w:val="a0"/>
    <w:link w:val="aff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Изнесен текст Знак"/>
    <w:basedOn w:val="a0"/>
    <w:link w:val="aff1"/>
    <w:uiPriority w:val="99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</dc:creator>
  <cp:lastModifiedBy>Mirg Burgas</cp:lastModifiedBy>
  <cp:revision>4</cp:revision>
  <dcterms:created xsi:type="dcterms:W3CDTF">2022-09-15T06:50:00Z</dcterms:created>
  <dcterms:modified xsi:type="dcterms:W3CDTF">2022-09-15T07:11:00Z</dcterms:modified>
</cp:coreProperties>
</file>