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410" w:type="dxa"/>
        <w:tblInd w:w="1" w:type="dxa"/>
        <w:tblLayout w:type="fixed"/>
        <w:tblCellMar>
          <w:left w:w="0" w:type="dxa"/>
          <w:right w:w="0" w:type="dxa"/>
        </w:tblCellMar>
        <w:tblLook w:val="0000" w:firstRow="0" w:lastRow="0" w:firstColumn="0" w:lastColumn="0" w:noHBand="0" w:noVBand="0"/>
      </w:tblPr>
      <w:tblGrid>
        <w:gridCol w:w="3445"/>
        <w:gridCol w:w="1217"/>
        <w:gridCol w:w="4337"/>
        <w:gridCol w:w="4411"/>
      </w:tblGrid>
      <w:tr w:rsidR="00025E58" w:rsidRPr="00144A1F" w:rsidTr="0093084A">
        <w:trPr>
          <w:trHeight w:val="1256"/>
          <w:tblHeader/>
        </w:trPr>
        <w:tc>
          <w:tcPr>
            <w:tcW w:w="3445" w:type="dxa"/>
            <w:vMerge w:val="restart"/>
            <w:tcBorders>
              <w:top w:val="single" w:sz="1" w:space="0" w:color="000000"/>
              <w:left w:val="single" w:sz="1" w:space="0" w:color="000000"/>
            </w:tcBorders>
            <w:vAlign w:val="center"/>
          </w:tcPr>
          <w:p w:rsidR="00025E58"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 xml:space="preserve">Министерство на </w:t>
            </w:r>
            <w:r w:rsidR="00971D91">
              <w:rPr>
                <w:rFonts w:eastAsia="HG Mincho Light J"/>
                <w:b/>
                <w:color w:val="000000"/>
                <w:sz w:val="20"/>
                <w:szCs w:val="20"/>
                <w:lang w:val="bg-BG"/>
              </w:rPr>
              <w:t>земеделието</w:t>
            </w:r>
          </w:p>
          <w:p w:rsidR="00971D91" w:rsidRPr="00144A1F" w:rsidRDefault="00971D91" w:rsidP="00E756A6">
            <w:pPr>
              <w:widowControl w:val="0"/>
              <w:suppressLineNumbers/>
              <w:suppressAutoHyphens/>
              <w:jc w:val="center"/>
              <w:rPr>
                <w:rFonts w:eastAsia="HG Mincho Light J"/>
                <w:b/>
                <w:color w:val="000000"/>
                <w:sz w:val="20"/>
                <w:szCs w:val="20"/>
                <w:lang w:val="bg-BG"/>
              </w:rPr>
            </w:pPr>
          </w:p>
          <w:p w:rsidR="00025E58" w:rsidRPr="00877A5F" w:rsidRDefault="00025E58" w:rsidP="00E756A6">
            <w:pPr>
              <w:widowControl w:val="0"/>
              <w:suppressLineNumbers/>
              <w:suppressAutoHyphens/>
              <w:jc w:val="center"/>
              <w:rPr>
                <w:rFonts w:eastAsia="HG Mincho Light J"/>
                <w:b/>
                <w:color w:val="000000"/>
                <w:sz w:val="20"/>
                <w:szCs w:val="20"/>
                <w:lang w:val="en-US"/>
              </w:rPr>
            </w:pPr>
            <w:r>
              <w:rPr>
                <w:rFonts w:eastAsia="HG Mincho Light J"/>
                <w:b/>
                <w:color w:val="000000"/>
                <w:sz w:val="20"/>
                <w:szCs w:val="20"/>
                <w:lang w:val="bg-BG"/>
              </w:rPr>
              <w:t>Д</w:t>
            </w:r>
            <w:r w:rsidRPr="00144A1F">
              <w:rPr>
                <w:rFonts w:eastAsia="HG Mincho Light J"/>
                <w:b/>
                <w:color w:val="000000"/>
                <w:sz w:val="20"/>
                <w:szCs w:val="20"/>
                <w:lang w:val="bg-BG"/>
              </w:rPr>
              <w:t xml:space="preserve">ирекция </w:t>
            </w:r>
            <w:r w:rsidR="00924CC3">
              <w:rPr>
                <w:rFonts w:eastAsia="HG Mincho Light J"/>
                <w:b/>
                <w:color w:val="000000"/>
                <w:sz w:val="20"/>
                <w:szCs w:val="20"/>
                <w:lang w:val="bg-BG"/>
              </w:rPr>
              <w:t>„</w:t>
            </w:r>
            <w:r>
              <w:rPr>
                <w:rFonts w:eastAsia="HG Mincho Light J"/>
                <w:b/>
                <w:color w:val="000000"/>
                <w:sz w:val="20"/>
                <w:szCs w:val="20"/>
                <w:lang w:val="bg-BG"/>
              </w:rPr>
              <w:t>Морско дело и рибарство</w:t>
            </w:r>
            <w:r w:rsidRPr="00144A1F">
              <w:rPr>
                <w:rFonts w:eastAsia="HG Mincho Light J"/>
                <w:b/>
                <w:color w:val="000000"/>
                <w:sz w:val="20"/>
                <w:szCs w:val="20"/>
                <w:lang w:val="bg-BG"/>
              </w:rPr>
              <w:t xml:space="preserve">” – Управляващ орган на </w:t>
            </w:r>
            <w:r>
              <w:rPr>
                <w:rFonts w:eastAsia="HG Mincho Light J"/>
                <w:b/>
                <w:color w:val="000000"/>
                <w:sz w:val="20"/>
                <w:szCs w:val="20"/>
                <w:lang w:val="bg-BG"/>
              </w:rPr>
              <w:t>ПМДР</w:t>
            </w:r>
            <w:r>
              <w:rPr>
                <w:rFonts w:eastAsia="HG Mincho Light J"/>
                <w:b/>
                <w:color w:val="000000"/>
                <w:sz w:val="20"/>
                <w:szCs w:val="20"/>
                <w:lang w:val="en-US"/>
              </w:rPr>
              <w:t xml:space="preserve"> 2014 - 2020</w:t>
            </w:r>
          </w:p>
        </w:tc>
        <w:tc>
          <w:tcPr>
            <w:tcW w:w="5554" w:type="dxa"/>
            <w:gridSpan w:val="2"/>
            <w:tcBorders>
              <w:top w:val="single" w:sz="1" w:space="0" w:color="000000"/>
              <w:left w:val="single" w:sz="1" w:space="0" w:color="000000"/>
              <w:bottom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НАРЪЧНИК ПО ПРОГРАМА ЗА МОРСКО ДЕЛО И РИБАРСТВО</w:t>
            </w:r>
            <w:r w:rsidRPr="00144A1F">
              <w:rPr>
                <w:rFonts w:eastAsia="HG Mincho Light J"/>
                <w:b/>
                <w:color w:val="000000"/>
                <w:sz w:val="20"/>
                <w:szCs w:val="20"/>
                <w:lang w:val="bg-BG"/>
              </w:rPr>
              <w:t>” 2014 -2020 (</w:t>
            </w:r>
            <w:r>
              <w:rPr>
                <w:rFonts w:eastAsia="HG Mincho Light J"/>
                <w:b/>
                <w:color w:val="000000"/>
                <w:sz w:val="20"/>
                <w:szCs w:val="20"/>
                <w:lang w:val="bg-BG"/>
              </w:rPr>
              <w:t>ПМДР</w:t>
            </w:r>
            <w:r w:rsidRPr="00144A1F">
              <w:rPr>
                <w:rFonts w:eastAsia="HG Mincho Light J"/>
                <w:b/>
                <w:color w:val="000000"/>
                <w:sz w:val="20"/>
                <w:szCs w:val="20"/>
                <w:lang w:val="bg-BG"/>
              </w:rPr>
              <w:t>)</w:t>
            </w:r>
          </w:p>
        </w:tc>
        <w:tc>
          <w:tcPr>
            <w:tcW w:w="4411" w:type="dxa"/>
            <w:tcBorders>
              <w:top w:val="single" w:sz="1" w:space="0" w:color="000000"/>
              <w:left w:val="single" w:sz="1" w:space="0" w:color="000000"/>
              <w:bottom w:val="single" w:sz="1" w:space="0" w:color="000000"/>
              <w:righ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lang w:val="bg-BG"/>
              </w:rPr>
              <w:t xml:space="preserve">Вариант </w:t>
            </w:r>
            <w:r>
              <w:rPr>
                <w:rFonts w:eastAsia="HG Mincho Light J"/>
                <w:b/>
                <w:color w:val="000000"/>
                <w:sz w:val="20"/>
                <w:lang w:val="bg-BG"/>
              </w:rPr>
              <w:t>2</w:t>
            </w:r>
          </w:p>
        </w:tc>
      </w:tr>
      <w:tr w:rsidR="00025E58" w:rsidRPr="00144A1F" w:rsidTr="0093084A">
        <w:trPr>
          <w:trHeight w:val="747"/>
        </w:trPr>
        <w:tc>
          <w:tcPr>
            <w:tcW w:w="3445" w:type="dxa"/>
            <w:vMerge/>
            <w:tcBorders>
              <w:lef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1217" w:type="dxa"/>
            <w:tcBorders>
              <w:left w:val="single" w:sz="1" w:space="0" w:color="000000"/>
              <w:bottom w:val="single" w:sz="1" w:space="0" w:color="000000"/>
              <w:righ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Глава 4, раздел 2, </w:t>
            </w:r>
            <w:r w:rsidRPr="00144A1F">
              <w:rPr>
                <w:rFonts w:eastAsia="HG Mincho Light J"/>
                <w:b/>
                <w:color w:val="000000"/>
                <w:sz w:val="20"/>
                <w:szCs w:val="20"/>
                <w:lang w:val="bg-BG"/>
              </w:rPr>
              <w:t xml:space="preserve">Приложение </w:t>
            </w:r>
          </w:p>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4.II.1.</w:t>
            </w:r>
            <w:r>
              <w:rPr>
                <w:rFonts w:eastAsia="HG Mincho Light J"/>
                <w:b/>
                <w:color w:val="000000"/>
                <w:sz w:val="20"/>
                <w:szCs w:val="20"/>
                <w:lang w:val="bg-BG"/>
              </w:rPr>
              <w:t>7</w:t>
            </w:r>
            <w:r w:rsidRPr="00144A1F">
              <w:rPr>
                <w:rFonts w:eastAsia="HG Mincho Light J"/>
                <w:b/>
                <w:color w:val="000000"/>
                <w:sz w:val="20"/>
                <w:szCs w:val="20"/>
                <w:lang w:val="bg-BG"/>
              </w:rPr>
              <w:t>.</w:t>
            </w:r>
          </w:p>
        </w:tc>
        <w:tc>
          <w:tcPr>
            <w:tcW w:w="4337" w:type="dxa"/>
            <w:tcBorders>
              <w:left w:val="single" w:sz="1" w:space="0" w:color="000000"/>
              <w:bottom w:val="single" w:sz="1" w:space="0" w:color="000000"/>
              <w:right w:val="single" w:sz="1" w:space="0" w:color="000000"/>
            </w:tcBorders>
            <w:vAlign w:val="center"/>
          </w:tcPr>
          <w:p w:rsidR="00025E58" w:rsidRPr="00144A1F" w:rsidRDefault="00025E58" w:rsidP="00E756A6">
            <w:pPr>
              <w:widowControl w:val="0"/>
              <w:suppressLineNumbers/>
              <w:suppressAutoHyphens/>
              <w:jc w:val="center"/>
              <w:rPr>
                <w:b/>
                <w:sz w:val="20"/>
                <w:szCs w:val="20"/>
                <w:lang w:val="bg-BG"/>
              </w:rPr>
            </w:pPr>
            <w:r w:rsidRPr="00144A1F">
              <w:rPr>
                <w:b/>
                <w:sz w:val="20"/>
                <w:szCs w:val="20"/>
                <w:lang w:val="bg-BG"/>
              </w:rPr>
              <w:t>ПРОЦЕДУРИ ЗА ПРЕДОСТАВЯНЕ НА БЕЗВЪЗМЕЗДНА ФИНАНСОВА ПОМОЩ</w:t>
            </w:r>
          </w:p>
          <w:p w:rsidR="00025E58" w:rsidRPr="00144A1F" w:rsidRDefault="00025E58" w:rsidP="00E756A6">
            <w:pPr>
              <w:widowControl w:val="0"/>
              <w:suppressLineNumbers/>
              <w:suppressAutoHyphens/>
              <w:jc w:val="center"/>
              <w:rPr>
                <w:b/>
                <w:iCs/>
                <w:sz w:val="20"/>
                <w:szCs w:val="20"/>
                <w:lang w:val="bg-BG"/>
              </w:rPr>
            </w:pPr>
          </w:p>
          <w:p w:rsidR="00025E58" w:rsidRPr="00144A1F" w:rsidRDefault="00025E58" w:rsidP="00E756A6">
            <w:pPr>
              <w:widowControl w:val="0"/>
              <w:suppressLineNumbers/>
              <w:suppressAutoHyphens/>
              <w:jc w:val="center"/>
              <w:rPr>
                <w:b/>
                <w:iCs/>
                <w:sz w:val="20"/>
                <w:szCs w:val="20"/>
                <w:lang w:val="bg-BG"/>
              </w:rPr>
            </w:pPr>
          </w:p>
          <w:p w:rsidR="00025E58" w:rsidRPr="00F609C8" w:rsidRDefault="00025E58" w:rsidP="00E756A6">
            <w:pPr>
              <w:widowControl w:val="0"/>
              <w:suppressLineNumbers/>
              <w:suppressAutoHyphens/>
              <w:jc w:val="center"/>
              <w:rPr>
                <w:rFonts w:eastAsia="HG Mincho Light J"/>
                <w:b/>
                <w:color w:val="000000"/>
                <w:sz w:val="20"/>
                <w:szCs w:val="20"/>
                <w:lang w:val="bg-BG"/>
              </w:rPr>
            </w:pPr>
            <w:r w:rsidRPr="00144A1F">
              <w:rPr>
                <w:b/>
                <w:iCs/>
                <w:sz w:val="20"/>
                <w:szCs w:val="20"/>
                <w:lang w:val="bg-BG"/>
              </w:rPr>
              <w:t xml:space="preserve">Образец на Списък на проектните предложения, </w:t>
            </w:r>
            <w:r>
              <w:rPr>
                <w:b/>
                <w:iCs/>
                <w:sz w:val="20"/>
                <w:szCs w:val="20"/>
                <w:lang w:val="bg-BG"/>
              </w:rPr>
              <w:t xml:space="preserve"> които не се допускат до техническа и финансова оценка</w:t>
            </w:r>
          </w:p>
        </w:tc>
        <w:tc>
          <w:tcPr>
            <w:tcW w:w="4411" w:type="dxa"/>
            <w:tcBorders>
              <w:left w:val="single" w:sz="1" w:space="0" w:color="000000"/>
              <w:bottom w:val="single" w:sz="1" w:space="0" w:color="000000"/>
              <w:righ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b/>
                <w:sz w:val="20"/>
                <w:szCs w:val="20"/>
                <w:lang w:val="bg-BG"/>
              </w:rPr>
              <w:t xml:space="preserve">страница: </w:t>
            </w:r>
            <w:r w:rsidRPr="00144A1F">
              <w:rPr>
                <w:rStyle w:val="PageNumber"/>
                <w:sz w:val="20"/>
                <w:szCs w:val="20"/>
                <w:lang w:val="bg-BG"/>
              </w:rPr>
              <w:fldChar w:fldCharType="begin"/>
            </w:r>
            <w:r w:rsidRPr="00144A1F">
              <w:rPr>
                <w:rStyle w:val="PageNumber"/>
                <w:sz w:val="20"/>
                <w:szCs w:val="20"/>
                <w:lang w:val="bg-BG"/>
              </w:rPr>
              <w:instrText xml:space="preserve"> PAGE </w:instrText>
            </w:r>
            <w:r w:rsidRPr="00144A1F">
              <w:rPr>
                <w:rStyle w:val="PageNumber"/>
                <w:sz w:val="20"/>
                <w:szCs w:val="20"/>
                <w:lang w:val="bg-BG"/>
              </w:rPr>
              <w:fldChar w:fldCharType="separate"/>
            </w:r>
            <w:r>
              <w:rPr>
                <w:rStyle w:val="PageNumber"/>
                <w:noProof/>
                <w:sz w:val="20"/>
                <w:szCs w:val="20"/>
                <w:lang w:val="bg-BG"/>
              </w:rPr>
              <w:t>1</w:t>
            </w:r>
            <w:r w:rsidRPr="00144A1F">
              <w:rPr>
                <w:rStyle w:val="PageNumber"/>
                <w:sz w:val="20"/>
                <w:szCs w:val="20"/>
                <w:lang w:val="bg-BG"/>
              </w:rPr>
              <w:fldChar w:fldCharType="end"/>
            </w:r>
            <w:r w:rsidRPr="00144A1F">
              <w:rPr>
                <w:rStyle w:val="PageNumber"/>
                <w:sz w:val="20"/>
                <w:szCs w:val="20"/>
                <w:lang w:val="bg-BG"/>
              </w:rPr>
              <w:t>/</w:t>
            </w:r>
            <w:r w:rsidRPr="00144A1F">
              <w:rPr>
                <w:rStyle w:val="PageNumber"/>
                <w:sz w:val="20"/>
                <w:szCs w:val="20"/>
                <w:lang w:val="bg-BG"/>
              </w:rPr>
              <w:fldChar w:fldCharType="begin"/>
            </w:r>
            <w:r w:rsidRPr="00144A1F">
              <w:rPr>
                <w:rStyle w:val="PageNumber"/>
                <w:sz w:val="20"/>
                <w:szCs w:val="20"/>
                <w:lang w:val="bg-BG"/>
              </w:rPr>
              <w:instrText xml:space="preserve"> NUMPAGES </w:instrText>
            </w:r>
            <w:r w:rsidRPr="00144A1F">
              <w:rPr>
                <w:rStyle w:val="PageNumber"/>
                <w:sz w:val="20"/>
                <w:szCs w:val="20"/>
                <w:lang w:val="bg-BG"/>
              </w:rPr>
              <w:fldChar w:fldCharType="separate"/>
            </w:r>
            <w:r>
              <w:rPr>
                <w:rStyle w:val="PageNumber"/>
                <w:noProof/>
                <w:sz w:val="20"/>
                <w:szCs w:val="20"/>
                <w:lang w:val="bg-BG"/>
              </w:rPr>
              <w:t>2</w:t>
            </w:r>
            <w:r w:rsidRPr="00144A1F">
              <w:rPr>
                <w:rStyle w:val="PageNumber"/>
                <w:sz w:val="20"/>
                <w:szCs w:val="20"/>
                <w:lang w:val="bg-BG"/>
              </w:rPr>
              <w:fldChar w:fldCharType="end"/>
            </w:r>
          </w:p>
        </w:tc>
      </w:tr>
      <w:tr w:rsidR="00025E58" w:rsidRPr="00144A1F" w:rsidTr="0093084A">
        <w:trPr>
          <w:trHeight w:val="697"/>
        </w:trPr>
        <w:tc>
          <w:tcPr>
            <w:tcW w:w="3445" w:type="dxa"/>
            <w:vMerge/>
            <w:tcBorders>
              <w:lef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Одобрен от: Ръководител на Управляващия орган</w:t>
            </w:r>
          </w:p>
        </w:tc>
        <w:tc>
          <w:tcPr>
            <w:tcW w:w="4411" w:type="dxa"/>
            <w:tcBorders>
              <w:left w:val="single" w:sz="1" w:space="0" w:color="000000"/>
              <w:bottom w:val="single" w:sz="4" w:space="0" w:color="auto"/>
              <w:righ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Дата:</w:t>
            </w:r>
          </w:p>
          <w:p w:rsidR="00025E58" w:rsidRPr="00D81A6C" w:rsidRDefault="00D81A6C"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Януари 2022</w:t>
            </w:r>
          </w:p>
        </w:tc>
      </w:tr>
      <w:tr w:rsidR="00025E58" w:rsidRPr="00144A1F" w:rsidTr="0093084A">
        <w:trPr>
          <w:trHeight w:val="697"/>
        </w:trPr>
        <w:tc>
          <w:tcPr>
            <w:tcW w:w="3445" w:type="dxa"/>
            <w:tcBorders>
              <w:left w:val="single" w:sz="1" w:space="0" w:color="000000"/>
              <w:bottom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bottom w:val="single" w:sz="1" w:space="0" w:color="000000"/>
              <w:right w:val="single" w:sz="4" w:space="0" w:color="auto"/>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4411" w:type="dxa"/>
            <w:tcBorders>
              <w:top w:val="single" w:sz="4" w:space="0" w:color="auto"/>
              <w:left w:val="single" w:sz="4" w:space="0" w:color="auto"/>
              <w:bottom w:val="single" w:sz="4" w:space="0" w:color="auto"/>
              <w:right w:val="single" w:sz="4" w:space="0" w:color="auto"/>
            </w:tcBorders>
            <w:vAlign w:val="center"/>
          </w:tcPr>
          <w:p w:rsidR="00025E58" w:rsidRPr="00D4220F" w:rsidRDefault="00025E58" w:rsidP="00E756A6">
            <w:pPr>
              <w:widowControl w:val="0"/>
              <w:suppressLineNumbers/>
              <w:suppressAutoHyphens/>
              <w:jc w:val="center"/>
              <w:rPr>
                <w:rFonts w:eastAsia="HG Mincho Light J"/>
                <w:b/>
                <w:color w:val="000000"/>
                <w:sz w:val="20"/>
                <w:szCs w:val="20"/>
                <w:lang w:val="bg-BG"/>
              </w:rPr>
            </w:pPr>
            <w:r w:rsidRPr="00D4220F">
              <w:rPr>
                <w:rFonts w:eastAsia="HG Mincho Light J"/>
                <w:b/>
                <w:color w:val="000000"/>
                <w:sz w:val="20"/>
                <w:szCs w:val="20"/>
                <w:lang w:val="bg-BG"/>
              </w:rPr>
              <w:t>Версия:</w:t>
            </w:r>
          </w:p>
          <w:p w:rsidR="00025E58" w:rsidRPr="00144A1F" w:rsidRDefault="00D81A6C"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Януари 2022</w:t>
            </w:r>
          </w:p>
        </w:tc>
      </w:tr>
    </w:tbl>
    <w:p w:rsidR="00025E58" w:rsidRDefault="00025E58">
      <w:pPr>
        <w:rPr>
          <w:lang w:val="bg-BG"/>
        </w:rPr>
      </w:pPr>
    </w:p>
    <w:p w:rsidR="00025E58" w:rsidRDefault="00D166C0" w:rsidP="00D166C0">
      <w:pPr>
        <w:jc w:val="center"/>
        <w:rPr>
          <w:lang w:val="bg-BG"/>
        </w:rPr>
      </w:pPr>
      <w:r>
        <w:rPr>
          <w:b/>
          <w:lang w:val="bg-BG"/>
        </w:rPr>
        <w:t>Списък на проектните предложения</w:t>
      </w:r>
      <w:r w:rsidR="00025E58" w:rsidRPr="005F44E0">
        <w:rPr>
          <w:b/>
          <w:lang w:val="bg-BG"/>
        </w:rPr>
        <w:t xml:space="preserve">, </w:t>
      </w:r>
      <w:r>
        <w:rPr>
          <w:b/>
          <w:lang w:val="bg-BG"/>
        </w:rPr>
        <w:t>които не се допускат до те</w:t>
      </w:r>
      <w:r w:rsidR="0093219F">
        <w:rPr>
          <w:b/>
          <w:lang w:val="bg-BG"/>
        </w:rPr>
        <w:t>хническа и финансова оценка по П</w:t>
      </w:r>
      <w:r>
        <w:rPr>
          <w:b/>
          <w:lang w:val="bg-BG"/>
        </w:rPr>
        <w:t>роцедура</w:t>
      </w:r>
      <w:r w:rsidR="00183F60">
        <w:rPr>
          <w:b/>
          <w:lang w:val="bg-BG"/>
        </w:rPr>
        <w:t xml:space="preserve"> за подбор </w:t>
      </w:r>
      <w:r w:rsidR="00183F60" w:rsidRPr="0093084A">
        <w:rPr>
          <w:b/>
          <w:lang w:val="bg-BG"/>
        </w:rPr>
        <w:t>на проекти</w:t>
      </w:r>
      <w:r w:rsidR="00025E58" w:rsidRPr="0093084A">
        <w:rPr>
          <w:b/>
          <w:lang w:val="bg-BG"/>
        </w:rPr>
        <w:t xml:space="preserve"> </w:t>
      </w:r>
      <w:r w:rsidRPr="0093084A">
        <w:rPr>
          <w:b/>
          <w:lang w:val="bg-BG"/>
        </w:rPr>
        <w:t xml:space="preserve">№ </w:t>
      </w:r>
      <w:r w:rsidR="00186777">
        <w:rPr>
          <w:b/>
          <w:lang w:val="bg-BG"/>
        </w:rPr>
        <w:t>BG14MFOP001-4.103</w:t>
      </w:r>
      <w:r w:rsidR="002703C2" w:rsidRPr="000104BA">
        <w:rPr>
          <w:b/>
          <w:lang w:val="bg-BG"/>
        </w:rPr>
        <w:t xml:space="preserve">, </w:t>
      </w:r>
      <w:r w:rsidR="00A042AD">
        <w:rPr>
          <w:b/>
          <w:lang w:val="bg-BG"/>
        </w:rPr>
        <w:t xml:space="preserve">мярка </w:t>
      </w:r>
      <w:r w:rsidR="00186777" w:rsidRPr="00186777">
        <w:rPr>
          <w:b/>
          <w:lang w:val="bg-BG"/>
        </w:rPr>
        <w:t>2.1.1 „Инвестиции в многообразна публична инфраструктура свързана с рибарската общност и морския потенциал на територията”</w:t>
      </w:r>
      <w:r w:rsidR="00A042AD">
        <w:rPr>
          <w:b/>
          <w:lang w:val="bg-BG"/>
        </w:rPr>
        <w:t xml:space="preserve"> от</w:t>
      </w:r>
      <w:r w:rsidR="00A042AD" w:rsidRPr="00A042AD">
        <w:t xml:space="preserve"> </w:t>
      </w:r>
      <w:r w:rsidR="00A042AD" w:rsidRPr="00A042AD">
        <w:rPr>
          <w:b/>
          <w:lang w:val="bg-BG"/>
        </w:rPr>
        <w:t>Стратегия за Водено от общностите местно развитие</w:t>
      </w:r>
      <w:r w:rsidR="00A042AD">
        <w:rPr>
          <w:b/>
          <w:lang w:val="bg-BG"/>
        </w:rPr>
        <w:t xml:space="preserve"> на  </w:t>
      </w:r>
      <w:r w:rsidR="00A042AD" w:rsidRPr="00A042AD">
        <w:rPr>
          <w:b/>
          <w:lang w:val="bg-BG"/>
        </w:rPr>
        <w:t>МИРГ-ШКБ</w:t>
      </w:r>
      <w:r w:rsidR="00186777">
        <w:rPr>
          <w:b/>
          <w:lang w:val="en-US"/>
        </w:rPr>
        <w:t xml:space="preserve"> </w:t>
      </w:r>
      <w:r w:rsidRPr="00D166C0">
        <w:rPr>
          <w:b/>
          <w:lang w:val="bg-BG"/>
        </w:rPr>
        <w:t>по Програмата за морско дело и рибарство 2014-2020 г.</w:t>
      </w:r>
    </w:p>
    <w:tbl>
      <w:tblPr>
        <w:tblW w:w="13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565"/>
        <w:gridCol w:w="2034"/>
        <w:gridCol w:w="2138"/>
        <w:gridCol w:w="7308"/>
      </w:tblGrid>
      <w:tr w:rsidR="00025E58" w:rsidRPr="00723FE7" w:rsidTr="004D73A0">
        <w:trPr>
          <w:trHeight w:val="990"/>
        </w:trPr>
        <w:tc>
          <w:tcPr>
            <w:tcW w:w="468" w:type="dxa"/>
            <w:shd w:val="clear" w:color="auto" w:fill="auto"/>
          </w:tcPr>
          <w:p w:rsidR="00025E58" w:rsidRPr="00723FE7" w:rsidRDefault="00025E58" w:rsidP="00E756A6">
            <w:pPr>
              <w:jc w:val="center"/>
              <w:rPr>
                <w:b/>
                <w:sz w:val="22"/>
                <w:szCs w:val="22"/>
                <w:lang w:val="bg-BG"/>
              </w:rPr>
            </w:pPr>
            <w:r w:rsidRPr="00723FE7">
              <w:rPr>
                <w:b/>
                <w:sz w:val="22"/>
                <w:szCs w:val="22"/>
                <w:lang w:val="bg-BG"/>
              </w:rPr>
              <w:t>№</w:t>
            </w:r>
          </w:p>
        </w:tc>
        <w:tc>
          <w:tcPr>
            <w:tcW w:w="1565" w:type="dxa"/>
            <w:shd w:val="clear" w:color="auto" w:fill="auto"/>
          </w:tcPr>
          <w:p w:rsidR="00025E58" w:rsidRPr="00723FE7" w:rsidRDefault="00025E58" w:rsidP="00E756A6">
            <w:pPr>
              <w:jc w:val="center"/>
              <w:rPr>
                <w:b/>
                <w:sz w:val="22"/>
                <w:szCs w:val="22"/>
                <w:lang w:val="bg-BG"/>
              </w:rPr>
            </w:pPr>
            <w:r w:rsidRPr="00723FE7">
              <w:rPr>
                <w:b/>
                <w:sz w:val="22"/>
                <w:szCs w:val="22"/>
                <w:lang w:val="bg-BG"/>
              </w:rPr>
              <w:t xml:space="preserve">Рег. № на проектното предложение </w:t>
            </w:r>
          </w:p>
        </w:tc>
        <w:tc>
          <w:tcPr>
            <w:tcW w:w="2034" w:type="dxa"/>
            <w:shd w:val="clear" w:color="auto" w:fill="auto"/>
          </w:tcPr>
          <w:p w:rsidR="00025E58" w:rsidRPr="00723FE7" w:rsidRDefault="00025E58" w:rsidP="00E756A6">
            <w:pPr>
              <w:jc w:val="center"/>
              <w:rPr>
                <w:b/>
                <w:sz w:val="22"/>
                <w:szCs w:val="22"/>
                <w:lang w:val="bg-BG"/>
              </w:rPr>
            </w:pPr>
            <w:r w:rsidRPr="00723FE7">
              <w:rPr>
                <w:b/>
                <w:sz w:val="22"/>
                <w:szCs w:val="22"/>
                <w:lang w:val="bg-BG"/>
              </w:rPr>
              <w:t>Наименование на кандидата</w:t>
            </w:r>
          </w:p>
        </w:tc>
        <w:tc>
          <w:tcPr>
            <w:tcW w:w="2138" w:type="dxa"/>
            <w:shd w:val="clear" w:color="auto" w:fill="auto"/>
          </w:tcPr>
          <w:p w:rsidR="00025E58" w:rsidRPr="00723FE7" w:rsidRDefault="00025E58" w:rsidP="00E756A6">
            <w:pPr>
              <w:jc w:val="center"/>
              <w:rPr>
                <w:b/>
                <w:sz w:val="22"/>
                <w:szCs w:val="22"/>
                <w:lang w:val="bg-BG"/>
              </w:rPr>
            </w:pPr>
            <w:r w:rsidRPr="00723FE7">
              <w:rPr>
                <w:b/>
                <w:sz w:val="22"/>
                <w:szCs w:val="22"/>
                <w:lang w:val="bg-BG"/>
              </w:rPr>
              <w:t>Наименование на проектното предложение</w:t>
            </w:r>
          </w:p>
        </w:tc>
        <w:tc>
          <w:tcPr>
            <w:tcW w:w="7308" w:type="dxa"/>
            <w:shd w:val="clear" w:color="auto" w:fill="auto"/>
          </w:tcPr>
          <w:p w:rsidR="00025E58" w:rsidRPr="00723FE7" w:rsidRDefault="00025E58" w:rsidP="00E756A6">
            <w:pPr>
              <w:jc w:val="center"/>
              <w:rPr>
                <w:b/>
                <w:sz w:val="22"/>
                <w:szCs w:val="22"/>
                <w:lang w:val="bg-BG"/>
              </w:rPr>
            </w:pPr>
            <w:r w:rsidRPr="00723FE7">
              <w:rPr>
                <w:b/>
                <w:sz w:val="22"/>
                <w:szCs w:val="22"/>
                <w:lang w:val="bg-BG"/>
              </w:rPr>
              <w:t>Основание за отхвърляне</w:t>
            </w:r>
          </w:p>
          <w:p w:rsidR="00025E58" w:rsidRPr="00723FE7" w:rsidRDefault="00025E58" w:rsidP="00E756A6">
            <w:pPr>
              <w:jc w:val="center"/>
              <w:rPr>
                <w:b/>
                <w:i/>
                <w:sz w:val="22"/>
                <w:szCs w:val="22"/>
                <w:lang w:val="bg-BG"/>
              </w:rPr>
            </w:pPr>
            <w:r w:rsidRPr="00723FE7">
              <w:rPr>
                <w:b/>
                <w:i/>
                <w:sz w:val="22"/>
                <w:szCs w:val="22"/>
                <w:lang w:val="bg-BG"/>
              </w:rPr>
              <w:t xml:space="preserve">(посочват се конкретните основания, а не само препратки към документите и условията, които не са изпълнени) </w:t>
            </w:r>
          </w:p>
        </w:tc>
      </w:tr>
      <w:tr w:rsidR="006748B6" w:rsidRPr="00723FE7" w:rsidTr="004D73A0">
        <w:trPr>
          <w:trHeight w:val="990"/>
        </w:trPr>
        <w:tc>
          <w:tcPr>
            <w:tcW w:w="468" w:type="dxa"/>
            <w:shd w:val="clear" w:color="auto" w:fill="auto"/>
          </w:tcPr>
          <w:p w:rsidR="006748B6" w:rsidRPr="003D4F06" w:rsidRDefault="006748B6" w:rsidP="00067B02">
            <w:pPr>
              <w:spacing w:line="276" w:lineRule="auto"/>
              <w:jc w:val="center"/>
              <w:rPr>
                <w:b/>
                <w:lang w:val="bg-BG"/>
              </w:rPr>
            </w:pPr>
            <w:r w:rsidRPr="003D4F06">
              <w:rPr>
                <w:b/>
                <w:lang w:val="bg-BG"/>
              </w:rPr>
              <w:t>1.</w:t>
            </w:r>
          </w:p>
        </w:tc>
        <w:tc>
          <w:tcPr>
            <w:tcW w:w="1565" w:type="dxa"/>
            <w:shd w:val="clear" w:color="auto" w:fill="auto"/>
          </w:tcPr>
          <w:p w:rsidR="006748B6" w:rsidRPr="00270654" w:rsidRDefault="00044408" w:rsidP="00067B02">
            <w:pPr>
              <w:spacing w:line="276" w:lineRule="auto"/>
              <w:jc w:val="center"/>
              <w:rPr>
                <w:b/>
                <w:lang w:val="bg-BG"/>
              </w:rPr>
            </w:pPr>
            <w:r w:rsidRPr="00044408">
              <w:rPr>
                <w:b/>
                <w:lang w:val="bg-BG"/>
              </w:rPr>
              <w:t>BG14MFOP001-4.103-0004</w:t>
            </w:r>
          </w:p>
        </w:tc>
        <w:tc>
          <w:tcPr>
            <w:tcW w:w="2034" w:type="dxa"/>
            <w:shd w:val="clear" w:color="auto" w:fill="auto"/>
          </w:tcPr>
          <w:p w:rsidR="006748B6" w:rsidRPr="00270654" w:rsidRDefault="00044408" w:rsidP="00067B02">
            <w:pPr>
              <w:spacing w:line="276" w:lineRule="auto"/>
              <w:jc w:val="center"/>
              <w:rPr>
                <w:b/>
                <w:lang w:val="bg-BG"/>
              </w:rPr>
            </w:pPr>
            <w:r w:rsidRPr="00044408">
              <w:rPr>
                <w:b/>
                <w:lang w:val="bg-BG"/>
              </w:rPr>
              <w:t>Община Каварна</w:t>
            </w:r>
          </w:p>
        </w:tc>
        <w:tc>
          <w:tcPr>
            <w:tcW w:w="2138" w:type="dxa"/>
            <w:shd w:val="clear" w:color="auto" w:fill="auto"/>
          </w:tcPr>
          <w:p w:rsidR="006748B6" w:rsidRPr="00044408" w:rsidRDefault="00924CC3" w:rsidP="00067B02">
            <w:pPr>
              <w:spacing w:line="276" w:lineRule="auto"/>
              <w:jc w:val="center"/>
              <w:rPr>
                <w:b/>
                <w:lang w:val="en-US"/>
              </w:rPr>
            </w:pPr>
            <w:r>
              <w:rPr>
                <w:b/>
                <w:lang w:val="bg-BG"/>
              </w:rPr>
              <w:t>„</w:t>
            </w:r>
            <w:r w:rsidR="00044408" w:rsidRPr="00044408">
              <w:rPr>
                <w:b/>
                <w:lang w:val="bg-BG"/>
              </w:rPr>
              <w:t>Облагородяване на крайбрежна зона в гр. Каварна</w:t>
            </w:r>
            <w:r w:rsidR="00044408">
              <w:rPr>
                <w:b/>
                <w:lang w:val="en-US"/>
              </w:rPr>
              <w:t>”</w:t>
            </w:r>
          </w:p>
        </w:tc>
        <w:tc>
          <w:tcPr>
            <w:tcW w:w="7308" w:type="dxa"/>
            <w:shd w:val="clear" w:color="auto" w:fill="auto"/>
          </w:tcPr>
          <w:p w:rsidR="007676FD" w:rsidRPr="00E11693" w:rsidRDefault="007676FD" w:rsidP="007676FD">
            <w:pPr>
              <w:spacing w:after="160" w:line="276" w:lineRule="auto"/>
              <w:ind w:firstLine="720"/>
              <w:jc w:val="both"/>
              <w:rPr>
                <w:lang w:val="bg-BG"/>
              </w:rPr>
            </w:pPr>
            <w:r w:rsidRPr="00E11693">
              <w:rPr>
                <w:lang w:val="bg-BG"/>
              </w:rPr>
              <w:t xml:space="preserve">След извършване на оценка за административно съответствие и допустимост на проектно предложение № BG14MFOP001-4.103-0004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(Обн. ДВ, бр. 51 от 2022 г.), е установено следното: </w:t>
            </w:r>
          </w:p>
          <w:p w:rsidR="007676FD" w:rsidRPr="00E11693" w:rsidRDefault="007676FD" w:rsidP="007676FD">
            <w:pPr>
              <w:spacing w:line="276" w:lineRule="auto"/>
              <w:jc w:val="both"/>
              <w:rPr>
                <w:lang w:val="bg-BG"/>
              </w:rPr>
            </w:pPr>
            <w:r w:rsidRPr="00E11693">
              <w:rPr>
                <w:lang w:val="bg-BG"/>
              </w:rPr>
              <w:lastRenderedPageBreak/>
              <w:t xml:space="preserve">Проектно предложение № BG14MFOP001-4.103-0004 с наименование „Облагородяване на крайбрежна зона в гр. Каварна“  </w:t>
            </w:r>
            <w:r>
              <w:rPr>
                <w:lang w:val="bg-BG"/>
              </w:rPr>
              <w:t>на</w:t>
            </w:r>
            <w:r w:rsidRPr="00E11693">
              <w:rPr>
                <w:lang w:val="bg-BG"/>
              </w:rPr>
              <w:t xml:space="preserve"> кандидат община Каварна</w:t>
            </w:r>
            <w:r w:rsidRPr="00E11693">
              <w:rPr>
                <w:lang w:val="en-US"/>
              </w:rPr>
              <w:t>,</w:t>
            </w:r>
            <w:r w:rsidRPr="00E11693">
              <w:rPr>
                <w:lang w:val="bg-BG"/>
              </w:rPr>
              <w:t xml:space="preserve"> не отговаря на Критерий № 2 „</w:t>
            </w:r>
            <w:r w:rsidRPr="00E11693">
              <w:rPr>
                <w:i/>
                <w:lang w:val="bg-BG"/>
              </w:rPr>
              <w:t>Налице са всички изискуеми документи и са попълнени съгласно изискванията, посочени в Условията за кандидатстване по настоящата процедура</w:t>
            </w:r>
            <w:r w:rsidRPr="00E11693">
              <w:rPr>
                <w:lang w:val="bg-BG"/>
              </w:rPr>
              <w:t>“ и Критерий № 12 „</w:t>
            </w:r>
            <w:r w:rsidRPr="00E11693">
              <w:rPr>
                <w:i/>
                <w:lang w:val="bg-BG"/>
              </w:rPr>
              <w:t>Предвидените разходи в проектното предложение са допустими съгласно Условията за кандидатстване по настоящата процедура. В случай на наличие на недопустими разходи същите са  установени и редуцирани</w:t>
            </w:r>
            <w:r w:rsidRPr="00E11693">
              <w:rPr>
                <w:lang w:val="bg-BG"/>
              </w:rPr>
              <w:t xml:space="preserve">“ от </w:t>
            </w:r>
            <w:r w:rsidRPr="005D26D0">
              <w:rPr>
                <w:lang w:val="bg-BG"/>
              </w:rPr>
              <w:t xml:space="preserve">Приложение № 3 </w:t>
            </w:r>
            <w:r>
              <w:rPr>
                <w:lang w:val="bg-BG"/>
              </w:rPr>
              <w:t>„</w:t>
            </w:r>
            <w:r w:rsidRPr="00D57CEB">
              <w:rPr>
                <w:lang w:val="bg-BG"/>
              </w:rPr>
              <w:t>Критерии и методология за оценка на проектните предложения по Процедура за подбор на проекти № BG14MFOP001-4.103, мярка 2.1.1 „Инвестиции в многообразна публична инфраструктура свързана с рибарската общност и морския потенциал на територията” от Стратегия за Водено от общностите местно развитие на  МИРГ-ШКБ</w:t>
            </w:r>
            <w:r>
              <w:rPr>
                <w:lang w:val="bg-BG"/>
              </w:rPr>
              <w:t>.</w:t>
            </w:r>
          </w:p>
          <w:p w:rsidR="007676FD" w:rsidRPr="00E11693" w:rsidRDefault="007676FD" w:rsidP="007676FD">
            <w:pPr>
              <w:spacing w:after="160" w:line="276" w:lineRule="auto"/>
              <w:ind w:firstLine="720"/>
              <w:jc w:val="both"/>
              <w:rPr>
                <w:lang w:val="bg-BG"/>
              </w:rPr>
            </w:pPr>
            <w:r w:rsidRPr="00E11693">
              <w:rPr>
                <w:lang w:val="bg-BG"/>
              </w:rPr>
              <w:t>Съгласно чл. 34, ал. 2 от ЗУСЕФСУ: „</w:t>
            </w:r>
            <w:r w:rsidRPr="00E11693">
              <w:rPr>
                <w:i/>
                <w:lang w:val="bg-BG"/>
              </w:rPr>
              <w:t>Когато при проверката по ал. 1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r w:rsidRPr="00E11693">
              <w:rPr>
                <w:lang w:val="bg-BG"/>
              </w:rPr>
              <w:t>“.</w:t>
            </w:r>
          </w:p>
          <w:p w:rsidR="007676FD" w:rsidRPr="00E11693" w:rsidRDefault="007676FD" w:rsidP="007676FD">
            <w:pPr>
              <w:spacing w:after="160" w:line="276" w:lineRule="auto"/>
              <w:ind w:firstLine="720"/>
              <w:jc w:val="both"/>
              <w:rPr>
                <w:lang w:val="bg-BG"/>
              </w:rPr>
            </w:pPr>
            <w:r w:rsidRPr="00E11693">
              <w:rPr>
                <w:lang w:val="bg-BG"/>
              </w:rPr>
              <w:t>Във връзка с точка 24 „Списък на документите, които се подават на етап кандидатстване“ от Условия за кандидатстване (УК), чрез Модул „Комуникация“ в ИСУН 2020 до кандидата е изпратено уведомление с регистрационен № BG14MFOP001-4.103-</w:t>
            </w:r>
            <w:r w:rsidRPr="00E11693">
              <w:rPr>
                <w:lang w:val="bg-BG"/>
              </w:rPr>
              <w:lastRenderedPageBreak/>
              <w:t>0004-M003 от  09.08.2022 г., с което е поискана допълнителна информация. Указан е 10 дневен срок, изтичащ на 19.08.2022 г., в рамките на който да бъдат предоставени липсващите документи. Отговор от кандидата е получен на 19.08.2022 г. С писмото за допълнителна информация, оценителната комисия е уведомила кандидата за следното констатирано несъответствие: За определяне на произхода на цените, заложени в проектното  предложение, е представена оферта от „Тодоров билд“ ЕООД за СМР за обект „Облагородяване на крайбрежна зона в гр. Каварна“. Посочената оферта не съответства на изискванията на т. 6, подточка 2 от т. 24 от УК: „</w:t>
            </w:r>
            <w:r w:rsidRPr="00E11693">
              <w:rPr>
                <w:i/>
                <w:lang w:val="bg-BG"/>
              </w:rPr>
              <w:t>Годишния оборот, който се отнася до предмета на доставката, услугата или строителството (специфичен оборот) през някоя от предходните три или общо за предходните три приключили финансови години преди датата на офертата, да е равен или по-голям от стойността на доставката, услугата или строителството</w:t>
            </w:r>
            <w:r w:rsidRPr="00E11693">
              <w:rPr>
                <w:lang w:val="bg-BG"/>
              </w:rPr>
              <w:t xml:space="preserve">“. Представената справка – декларация и ОПР за 2020 г. и 2021 г. от оферента доказва специфичен оборот от 94 </w:t>
            </w:r>
            <w:r>
              <w:rPr>
                <w:lang w:val="bg-BG"/>
              </w:rPr>
              <w:t>000. лв.</w:t>
            </w:r>
            <w:r w:rsidRPr="00E11693">
              <w:rPr>
                <w:lang w:val="bg-BG"/>
              </w:rPr>
              <w:t xml:space="preserve"> като сумата е по-малка от размера на офертата – 376 476,82 лв. без ДДС. Във връзка с горното, е изискана мотивирана обосновка </w:t>
            </w:r>
            <w:r>
              <w:rPr>
                <w:lang w:val="bg-BG"/>
              </w:rPr>
              <w:t>за</w:t>
            </w:r>
            <w:r w:rsidRPr="00E11693">
              <w:rPr>
                <w:lang w:val="bg-BG"/>
              </w:rPr>
              <w:t xml:space="preserve"> откритото несъответствие и/или документи, </w:t>
            </w:r>
            <w:r>
              <w:rPr>
                <w:lang w:val="bg-BG"/>
              </w:rPr>
              <w:t>доказващи съответствие с</w:t>
            </w:r>
            <w:r w:rsidRPr="00E11693">
              <w:rPr>
                <w:lang w:val="bg-BG"/>
              </w:rPr>
              <w:t xml:space="preserve"> двете условия, посочени в т. 6 от т. 24 от УК - предметът на дейност на оферента да е идентичен или сходен с посочената в офертата доставка, услуга или строителство и годишния оборот, който се отнася до предмета на доставката, услугата или строителството (специфичен оборот) през някоя от предходните три или общо за предходните три приключили финансови години преди датата на офертата, да е равен или по-голям от стойността на доставката, услугата или строителството.</w:t>
            </w:r>
          </w:p>
          <w:p w:rsidR="007676FD" w:rsidRPr="00E11693" w:rsidRDefault="007676FD" w:rsidP="007676FD">
            <w:pPr>
              <w:spacing w:after="160" w:line="276" w:lineRule="auto"/>
              <w:ind w:firstLine="720"/>
              <w:jc w:val="both"/>
              <w:rPr>
                <w:lang w:val="bg-BG"/>
              </w:rPr>
            </w:pPr>
            <w:r w:rsidRPr="00E11693">
              <w:rPr>
                <w:lang w:val="bg-BG"/>
              </w:rPr>
              <w:t xml:space="preserve">В отговор, за доказване на прогнозните цени, кандидатът </w:t>
            </w:r>
            <w:r w:rsidRPr="00E11693">
              <w:rPr>
                <w:lang w:val="bg-BG"/>
              </w:rPr>
              <w:lastRenderedPageBreak/>
              <w:t>община Каварна предоставя оферта за извършване на СМР за обект „Облагородяване на крайбрежна зона в гр. Каварна“ от „Люник“ ЕООД, издадена на 20.04.2022 г. Към офертата са приложени ОПР за 2019 г., 2020 г. и 2021 г., както и справка – декларация за специфичен оборот, подписана от главния счетоводител и управителя на дружеството. От предоставените документи става ясно, че офертата предоставена от „Люник“ ЕООД също не съответства на  изискванията на т. 6, подточка 2 от т. 24 от УК: „</w:t>
            </w:r>
            <w:r w:rsidRPr="00E11693">
              <w:rPr>
                <w:i/>
                <w:lang w:val="bg-BG"/>
              </w:rPr>
              <w:t>Годишния оборот, който се отнася до предмета на доставката, услугата или строителството (специфичен оборот) през някоя от предходните три или общо за предходните три приключили финансови години преди датата на офертата, да е равен или по-голям от стойността на доставката, услугата или строителството</w:t>
            </w:r>
            <w:r w:rsidRPr="00E11693">
              <w:rPr>
                <w:lang w:val="bg-BG"/>
              </w:rPr>
              <w:t>“. Представените справка – декларация и ОПР за 2019 г., 2020 г. и 2021 г. от оферента доказват специфичен оборот от 101 177 лв</w:t>
            </w:r>
            <w:r w:rsidRPr="00E11693">
              <w:rPr>
                <w:lang w:val="en-US"/>
              </w:rPr>
              <w:t>.</w:t>
            </w:r>
            <w:r w:rsidRPr="00E11693">
              <w:rPr>
                <w:lang w:val="bg-BG"/>
              </w:rPr>
              <w:t>, като сумата е по-малка от размера на офертата – 412 733, 51 лв</w:t>
            </w:r>
            <w:r w:rsidRPr="00E11693">
              <w:rPr>
                <w:lang w:val="en-US"/>
              </w:rPr>
              <w:t xml:space="preserve">. </w:t>
            </w:r>
            <w:r w:rsidRPr="00E11693">
              <w:rPr>
                <w:lang w:val="bg-BG"/>
              </w:rPr>
              <w:t>без ДДС и размера на разхода, посочен в бюджета на проектното предложение (бюджетни редове 1.1. „</w:t>
            </w:r>
            <w:r w:rsidRPr="00E11693">
              <w:rPr>
                <w:i/>
                <w:lang w:val="bg-BG"/>
              </w:rPr>
              <w:t>Облагородяване на крайбрежна зона в гр. Каварна</w:t>
            </w:r>
            <w:r w:rsidRPr="00E11693">
              <w:rPr>
                <w:lang w:val="bg-BG"/>
              </w:rPr>
              <w:t>“ и 2.1., „</w:t>
            </w:r>
            <w:r w:rsidRPr="00E11693">
              <w:rPr>
                <w:i/>
                <w:lang w:val="bg-BG"/>
              </w:rPr>
              <w:t>Доставка и монтаж на оборудване за облагородяване на крайбрежна зона в гр. Каварна</w:t>
            </w:r>
            <w:r w:rsidRPr="00E11693">
              <w:rPr>
                <w:lang w:val="bg-BG"/>
              </w:rPr>
              <w:t xml:space="preserve">“) - 376 476,82 лв. без ДДС. </w:t>
            </w:r>
          </w:p>
          <w:p w:rsidR="007676FD" w:rsidRPr="00E11693" w:rsidRDefault="007676FD" w:rsidP="007676FD">
            <w:pPr>
              <w:spacing w:after="160" w:line="276" w:lineRule="auto"/>
              <w:ind w:firstLine="720"/>
              <w:jc w:val="both"/>
              <w:rPr>
                <w:lang w:val="bg-BG"/>
              </w:rPr>
            </w:pPr>
            <w:r w:rsidRPr="00E11693">
              <w:rPr>
                <w:lang w:val="bg-BG"/>
              </w:rPr>
              <w:t xml:space="preserve">В резултат на гореописаното, разходи за „Облагородяване на крайбрежна зона в гр. Каварна“ и „Доставка и монтаж на оборудване за облагородяване на крайбрежна зона в гр. Каварна“ са недопустими за подпомагане и се редуцират. </w:t>
            </w:r>
          </w:p>
          <w:p w:rsidR="007676FD" w:rsidRPr="00E11693" w:rsidRDefault="007676FD" w:rsidP="007676FD">
            <w:pPr>
              <w:spacing w:after="160" w:line="276" w:lineRule="auto"/>
              <w:ind w:firstLine="720"/>
              <w:jc w:val="both"/>
              <w:rPr>
                <w:lang w:val="bg-BG"/>
              </w:rPr>
            </w:pPr>
            <w:r w:rsidRPr="00E11693">
              <w:rPr>
                <w:lang w:val="bg-BG"/>
              </w:rPr>
              <w:t xml:space="preserve">С редукцията на основите разходи, заложените цели и индикатори в проектното предложение не могат да бъдат изпълнени. В допълнение, останалите заложени разходи, посочени в бюджета </w:t>
            </w:r>
            <w:r w:rsidRPr="00E11693">
              <w:rPr>
                <w:lang w:val="bg-BG"/>
              </w:rPr>
              <w:lastRenderedPageBreak/>
              <w:t xml:space="preserve">на проектното предложение също отпадат и стават недопустими, т.к. съгласно УК, т. 14.1 Допустими разходи, те са </w:t>
            </w:r>
            <w:r w:rsidRPr="00E11693">
              <w:rPr>
                <w:b/>
                <w:lang w:val="bg-BG"/>
              </w:rPr>
              <w:t>свързани с прякото изпълнение на строително-монтажните работи</w:t>
            </w:r>
            <w:r w:rsidRPr="00E11693">
              <w:rPr>
                <w:lang w:val="bg-BG"/>
              </w:rPr>
              <w:t>.  Тези разходи са както следва:</w:t>
            </w:r>
          </w:p>
          <w:p w:rsidR="007676FD" w:rsidRPr="00E11693" w:rsidRDefault="007676FD" w:rsidP="007676FD">
            <w:pPr>
              <w:numPr>
                <w:ilvl w:val="0"/>
                <w:numId w:val="4"/>
              </w:numPr>
              <w:spacing w:after="160" w:line="276" w:lineRule="auto"/>
              <w:contextualSpacing/>
              <w:jc w:val="both"/>
              <w:rPr>
                <w:rFonts w:eastAsiaTheme="minorHAnsi"/>
                <w:lang w:val="bg-BG"/>
              </w:rPr>
            </w:pPr>
            <w:r w:rsidRPr="00E11693">
              <w:rPr>
                <w:rFonts w:eastAsiaTheme="minorHAnsi"/>
                <w:lang w:val="bg-BG"/>
              </w:rPr>
              <w:t>непредвидени разходи - до 5% от стойността на одобрените разходи за СМР;</w:t>
            </w:r>
          </w:p>
          <w:p w:rsidR="007676FD" w:rsidRPr="00E11693" w:rsidRDefault="007676FD" w:rsidP="007676FD">
            <w:pPr>
              <w:numPr>
                <w:ilvl w:val="0"/>
                <w:numId w:val="4"/>
              </w:numPr>
              <w:spacing w:after="160" w:line="276" w:lineRule="auto"/>
              <w:contextualSpacing/>
              <w:jc w:val="both"/>
              <w:rPr>
                <w:rFonts w:eastAsiaTheme="minorHAnsi"/>
                <w:lang w:val="bg-BG"/>
              </w:rPr>
            </w:pPr>
            <w:r w:rsidRPr="00E11693">
              <w:rPr>
                <w:rFonts w:eastAsiaTheme="minorHAnsi"/>
                <w:lang w:val="bg-BG"/>
              </w:rPr>
              <w:t>разходи за изготвяне на инвестиционен проект - до 5 на сто от общата стойност на допустими разходи по проекта в съответствие с чл. 39 от ПМС № 189/2016 г.;</w:t>
            </w:r>
          </w:p>
          <w:p w:rsidR="007676FD" w:rsidRPr="00E11693" w:rsidRDefault="007676FD" w:rsidP="007676FD">
            <w:pPr>
              <w:numPr>
                <w:ilvl w:val="0"/>
                <w:numId w:val="4"/>
              </w:numPr>
              <w:spacing w:after="200" w:line="276" w:lineRule="auto"/>
              <w:contextualSpacing/>
              <w:jc w:val="both"/>
              <w:rPr>
                <w:rFonts w:eastAsiaTheme="minorHAnsi"/>
                <w:lang w:val="bg-BG"/>
              </w:rPr>
            </w:pPr>
            <w:r w:rsidRPr="00E11693">
              <w:rPr>
                <w:rFonts w:eastAsiaTheme="minorHAnsi"/>
                <w:lang w:val="bg-BG"/>
              </w:rPr>
              <w:t>разходи за авторски надзор – до 5 на сто от общата стойност на допустими разходи по проекта в съответствие с чл. 39 от ПМС № 189/2016 г.;</w:t>
            </w:r>
          </w:p>
          <w:p w:rsidR="007676FD" w:rsidRPr="00E11693" w:rsidRDefault="007676FD" w:rsidP="007676FD">
            <w:pPr>
              <w:numPr>
                <w:ilvl w:val="0"/>
                <w:numId w:val="4"/>
              </w:numPr>
              <w:spacing w:after="200" w:line="276" w:lineRule="auto"/>
              <w:contextualSpacing/>
              <w:jc w:val="both"/>
              <w:rPr>
                <w:rFonts w:eastAsiaTheme="minorHAnsi"/>
                <w:lang w:val="bg-BG"/>
              </w:rPr>
            </w:pPr>
            <w:r w:rsidRPr="00E11693">
              <w:rPr>
                <w:rFonts w:eastAsiaTheme="minorHAnsi"/>
                <w:lang w:val="bg-BG"/>
              </w:rPr>
              <w:t>разходи за строителен надзор - до 5 на сто от общата стойност на допустими разходи по проекта в съответствие с чл. 39 от ПМС № 189/2016 г.</w:t>
            </w:r>
          </w:p>
          <w:p w:rsidR="007676FD" w:rsidRDefault="007676FD" w:rsidP="007676FD">
            <w:pPr>
              <w:spacing w:after="160" w:line="276" w:lineRule="auto"/>
              <w:ind w:firstLine="720"/>
              <w:jc w:val="both"/>
              <w:rPr>
                <w:highlight w:val="yellow"/>
                <w:lang w:val="bg-BG"/>
              </w:rPr>
            </w:pPr>
            <w:r w:rsidRPr="00E11693">
              <w:rPr>
                <w:lang w:val="bg-BG"/>
              </w:rPr>
              <w:t>Във връзка с гореизложеното, проектното предложение не отговаря на  Критерий № 2 „</w:t>
            </w:r>
            <w:r w:rsidRPr="00E11693">
              <w:rPr>
                <w:i/>
                <w:lang w:val="bg-BG"/>
              </w:rPr>
              <w:t>Налице са всички изискуеми документи и са попълнени съгласно изискванията, посочени в Условията за кандидатстване по настоящата процедура</w:t>
            </w:r>
            <w:r w:rsidRPr="00E11693">
              <w:rPr>
                <w:lang w:val="bg-BG"/>
              </w:rPr>
              <w:t>“ и Критерий № 12 „</w:t>
            </w:r>
            <w:r w:rsidRPr="00E11693">
              <w:rPr>
                <w:i/>
                <w:lang w:val="bg-BG"/>
              </w:rPr>
              <w:t>Предвидените разходи в проектното предложение са допустими съгласно Условията за кандидатстване по настоящата процедура. В случай на наличие на недопустими разходи същите са  установени и редуцирани</w:t>
            </w:r>
            <w:r w:rsidRPr="00E11693">
              <w:rPr>
                <w:lang w:val="bg-BG"/>
              </w:rPr>
              <w:t xml:space="preserve">“ </w:t>
            </w:r>
            <w:r w:rsidRPr="00ED1EB8">
              <w:rPr>
                <w:lang w:val="bg-BG"/>
              </w:rPr>
              <w:t>от Приложение № 3 „</w:t>
            </w:r>
            <w:r w:rsidRPr="006C405D">
              <w:rPr>
                <w:lang w:val="bg-BG"/>
              </w:rPr>
              <w:t>Критерии и методология за оценка на проектните предложения по Процедура за подбор на проекти № BG14MFOP001-4.103, мярка 2.1.1 „Инвестиции в многообразна публична инфраструктура свързана с рибарската общност и морския потенциал на територията” от Стратегия за Водено от общностите местно развитие на  МИРГ-</w:t>
            </w:r>
            <w:r w:rsidRPr="006C405D">
              <w:rPr>
                <w:lang w:val="bg-BG"/>
              </w:rPr>
              <w:lastRenderedPageBreak/>
              <w:t>ШКБ</w:t>
            </w:r>
            <w:r>
              <w:rPr>
                <w:lang w:val="bg-BG"/>
              </w:rPr>
              <w:t>.</w:t>
            </w:r>
          </w:p>
          <w:p w:rsidR="007676FD" w:rsidRDefault="007676FD" w:rsidP="007676FD">
            <w:pPr>
              <w:spacing w:after="160" w:line="276" w:lineRule="auto"/>
              <w:ind w:firstLine="720"/>
              <w:jc w:val="both"/>
              <w:rPr>
                <w:lang w:val="bg-BG"/>
              </w:rPr>
            </w:pPr>
            <w:r w:rsidRPr="00E11693">
              <w:rPr>
                <w:lang w:val="bg-BG"/>
              </w:rPr>
              <w:t xml:space="preserve">Съгласно </w:t>
            </w:r>
            <w:r>
              <w:rPr>
                <w:lang w:val="bg-BG"/>
              </w:rPr>
              <w:t>чл. 34, ал. 2 от</w:t>
            </w:r>
            <w:r w:rsidRPr="00E11693">
              <w:rPr>
                <w:lang w:val="bg-BG"/>
              </w:rPr>
              <w:t xml:space="preserve"> ЗУСЕФСУ, </w:t>
            </w:r>
            <w:r>
              <w:rPr>
                <w:lang w:val="bg-BG"/>
              </w:rPr>
              <w:t>к</w:t>
            </w:r>
            <w:r w:rsidRPr="004865C5">
              <w:rPr>
                <w:lang w:val="bg-BG"/>
              </w:rPr>
              <w:t>огато при проверката по ал. 1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w:t>
            </w:r>
          </w:p>
          <w:p w:rsidR="007676FD" w:rsidRDefault="007676FD" w:rsidP="007676FD">
            <w:pPr>
              <w:spacing w:line="276" w:lineRule="auto"/>
              <w:ind w:firstLine="720"/>
              <w:jc w:val="both"/>
            </w:pPr>
            <w:r w:rsidRPr="00E11693">
              <w:rPr>
                <w:lang w:val="bg-BG"/>
              </w:rPr>
              <w:t>Поради изложените по-горе аргументи, проектно предложение с рег. № BG14MFOP001-4.103-0004 е включено в Списъка на проектните предложения, които не се допускат до етап Техническа и финансова оценка по настоящата процедура.</w:t>
            </w:r>
          </w:p>
          <w:p w:rsidR="006748B6" w:rsidRPr="00044408" w:rsidRDefault="006748B6" w:rsidP="00067B02">
            <w:pPr>
              <w:spacing w:line="276" w:lineRule="auto"/>
              <w:ind w:firstLine="720"/>
              <w:jc w:val="both"/>
            </w:pPr>
            <w:bookmarkStart w:id="0" w:name="_GoBack"/>
            <w:bookmarkEnd w:id="0"/>
          </w:p>
        </w:tc>
      </w:tr>
    </w:tbl>
    <w:p w:rsidR="00025E58" w:rsidRDefault="00025E58" w:rsidP="00067B02">
      <w:pPr>
        <w:spacing w:line="276" w:lineRule="auto"/>
        <w:rPr>
          <w:lang w:val="bg-BG"/>
        </w:rPr>
      </w:pPr>
    </w:p>
    <w:p w:rsidR="003B4905" w:rsidRDefault="003B4905" w:rsidP="00067B02">
      <w:pPr>
        <w:spacing w:line="276" w:lineRule="auto"/>
        <w:jc w:val="both"/>
        <w:rPr>
          <w:lang w:val="bg-BG"/>
        </w:rPr>
      </w:pPr>
    </w:p>
    <w:p w:rsidR="003B4905" w:rsidRDefault="003B4905" w:rsidP="00067B02">
      <w:pPr>
        <w:spacing w:line="276" w:lineRule="auto"/>
        <w:jc w:val="both"/>
        <w:rPr>
          <w:lang w:val="bg-BG"/>
        </w:rPr>
      </w:pPr>
    </w:p>
    <w:p w:rsidR="00CD2ADF" w:rsidRDefault="00CD2ADF" w:rsidP="00067B02">
      <w:pPr>
        <w:spacing w:line="276" w:lineRule="auto"/>
        <w:jc w:val="both"/>
        <w:rPr>
          <w:lang w:val="bg-BG"/>
        </w:rPr>
      </w:pPr>
      <w:r w:rsidRPr="00CD2ADF">
        <w:rPr>
          <w:lang w:val="bg-BG"/>
        </w:rPr>
        <w:t xml:space="preserve">ЗАБЕЛЕЖКА: </w:t>
      </w:r>
    </w:p>
    <w:p w:rsidR="003B4905" w:rsidRPr="00CD2ADF" w:rsidRDefault="003B4905" w:rsidP="00067B02">
      <w:pPr>
        <w:spacing w:line="276" w:lineRule="auto"/>
        <w:jc w:val="both"/>
        <w:rPr>
          <w:lang w:val="bg-BG"/>
        </w:rPr>
      </w:pPr>
    </w:p>
    <w:p w:rsidR="00CD2ADF" w:rsidRPr="00CD2ADF" w:rsidRDefault="00CD2ADF" w:rsidP="00067B02">
      <w:pPr>
        <w:spacing w:line="276" w:lineRule="auto"/>
        <w:jc w:val="both"/>
        <w:rPr>
          <w:lang w:val="bg-BG"/>
        </w:rPr>
      </w:pPr>
      <w:r w:rsidRPr="00CD2ADF">
        <w:rPr>
          <w:lang w:val="bg-BG"/>
        </w:rPr>
        <w:t>Съгласно р</w:t>
      </w:r>
      <w:r w:rsidR="000E48E5">
        <w:rPr>
          <w:lang w:val="bg-BG"/>
        </w:rPr>
        <w:t>азпоредбите на чл. 34, ал. 3 от Закона за управление на средствата от Европейските фондове при споделено управление (Загл. изм. - ДВ, бр. 51 от 2022 г., в сила от 01.07.2022 г.</w:t>
      </w:r>
      <w:r w:rsidR="000E48E5">
        <w:t>) (</w:t>
      </w:r>
      <w:r w:rsidR="000E48E5">
        <w:rPr>
          <w:lang w:val="bg-BG"/>
        </w:rPr>
        <w:t>ЗУСЕФСУ</w:t>
      </w:r>
      <w:r w:rsidR="000E48E5">
        <w:t xml:space="preserve">) </w:t>
      </w:r>
      <w:r w:rsidR="000E48E5">
        <w:rPr>
          <w:color w:val="222222"/>
          <w:shd w:val="clear" w:color="auto" w:fill="FFFFFF"/>
          <w:lang w:val="bg-BG"/>
        </w:rPr>
        <w:t xml:space="preserve">и </w:t>
      </w:r>
      <w:r w:rsidR="000E48E5">
        <w:rPr>
          <w:lang w:val="bg-BG"/>
        </w:rPr>
        <w:t>§ 70 от Преходните и заключителни разпоредби към ЗИД на ЗУСЕСИФ</w:t>
      </w:r>
      <w:r w:rsidRPr="00CD2ADF">
        <w:rPr>
          <w:lang w:val="bg-BG"/>
        </w:rPr>
        <w:t>, кандидатите, чиито проектни предложения са предложени за отхвърляне на етап оценка на административното съответствие и допустимостта по горепосочената процедура, могат да подадат писмени възражения срещу предложението за отхвърлянето им пред Ръководителя на Управляващия орган, в едноседмичен срок от съобщаването.</w:t>
      </w:r>
    </w:p>
    <w:p w:rsidR="00CD2ADF" w:rsidRPr="00025E58" w:rsidRDefault="00CD2ADF" w:rsidP="00067B02">
      <w:pPr>
        <w:spacing w:line="276" w:lineRule="auto"/>
        <w:jc w:val="both"/>
        <w:rPr>
          <w:lang w:val="bg-BG"/>
        </w:rPr>
      </w:pPr>
    </w:p>
    <w:sectPr w:rsidR="00CD2ADF" w:rsidRPr="00025E58" w:rsidSect="00025E58">
      <w:pgSz w:w="15840" w:h="12240" w:orient="landscape"/>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G Mincho Light J">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60CB1"/>
    <w:multiLevelType w:val="hybridMultilevel"/>
    <w:tmpl w:val="37D40732"/>
    <w:lvl w:ilvl="0" w:tplc="63B236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B2DCF"/>
    <w:multiLevelType w:val="hybridMultilevel"/>
    <w:tmpl w:val="78D04B20"/>
    <w:lvl w:ilvl="0" w:tplc="64463166">
      <w:start w:val="1"/>
      <w:numFmt w:val="lowerLetter"/>
      <w:lvlText w:val="%1)"/>
      <w:lvlJc w:val="left"/>
      <w:pPr>
        <w:ind w:left="795" w:hanging="37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42B60EDE"/>
    <w:multiLevelType w:val="hybridMultilevel"/>
    <w:tmpl w:val="F866EC32"/>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 w15:restartNumberingAfterBreak="0">
    <w:nsid w:val="70ED02C9"/>
    <w:multiLevelType w:val="hybridMultilevel"/>
    <w:tmpl w:val="30CC7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E58"/>
    <w:rsid w:val="000104BA"/>
    <w:rsid w:val="000215B4"/>
    <w:rsid w:val="00025E58"/>
    <w:rsid w:val="00040C72"/>
    <w:rsid w:val="00044408"/>
    <w:rsid w:val="00044CEB"/>
    <w:rsid w:val="000475CA"/>
    <w:rsid w:val="00067B02"/>
    <w:rsid w:val="000D61E5"/>
    <w:rsid w:val="000E48E5"/>
    <w:rsid w:val="00183F60"/>
    <w:rsid w:val="00186777"/>
    <w:rsid w:val="001C62E9"/>
    <w:rsid w:val="001F6238"/>
    <w:rsid w:val="002703C2"/>
    <w:rsid w:val="00270654"/>
    <w:rsid w:val="002A06B5"/>
    <w:rsid w:val="003A7AD2"/>
    <w:rsid w:val="003B4905"/>
    <w:rsid w:val="003D4F06"/>
    <w:rsid w:val="00404143"/>
    <w:rsid w:val="00411C10"/>
    <w:rsid w:val="00426586"/>
    <w:rsid w:val="004922E7"/>
    <w:rsid w:val="004A21CC"/>
    <w:rsid w:val="004B5779"/>
    <w:rsid w:val="004D73A0"/>
    <w:rsid w:val="004F1BAD"/>
    <w:rsid w:val="00512085"/>
    <w:rsid w:val="00546D12"/>
    <w:rsid w:val="005D26D0"/>
    <w:rsid w:val="006309F8"/>
    <w:rsid w:val="006717FC"/>
    <w:rsid w:val="006748B6"/>
    <w:rsid w:val="00723FE7"/>
    <w:rsid w:val="00745E5F"/>
    <w:rsid w:val="007509A4"/>
    <w:rsid w:val="007656FF"/>
    <w:rsid w:val="00767302"/>
    <w:rsid w:val="007676FD"/>
    <w:rsid w:val="007873B7"/>
    <w:rsid w:val="0079197B"/>
    <w:rsid w:val="008246D7"/>
    <w:rsid w:val="00860617"/>
    <w:rsid w:val="008B3EA1"/>
    <w:rsid w:val="00906609"/>
    <w:rsid w:val="00924CC3"/>
    <w:rsid w:val="009266D4"/>
    <w:rsid w:val="0093084A"/>
    <w:rsid w:val="0093219F"/>
    <w:rsid w:val="00971D91"/>
    <w:rsid w:val="009C7362"/>
    <w:rsid w:val="009F10FC"/>
    <w:rsid w:val="00A042AD"/>
    <w:rsid w:val="00A60CE6"/>
    <w:rsid w:val="00A73334"/>
    <w:rsid w:val="00AA1B6A"/>
    <w:rsid w:val="00B45446"/>
    <w:rsid w:val="00B72251"/>
    <w:rsid w:val="00C97A10"/>
    <w:rsid w:val="00CC3977"/>
    <w:rsid w:val="00CD2ADF"/>
    <w:rsid w:val="00D166C0"/>
    <w:rsid w:val="00D46A10"/>
    <w:rsid w:val="00D53E0C"/>
    <w:rsid w:val="00D81A6C"/>
    <w:rsid w:val="00D9025C"/>
    <w:rsid w:val="00DC0198"/>
    <w:rsid w:val="00DE4F11"/>
    <w:rsid w:val="00E11693"/>
    <w:rsid w:val="00EA53E3"/>
    <w:rsid w:val="00ED1EB8"/>
    <w:rsid w:val="00F5302D"/>
    <w:rsid w:val="00F73A86"/>
    <w:rsid w:val="00F84B18"/>
    <w:rsid w:val="00FB4447"/>
    <w:rsid w:val="00FD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9E69C-61CF-4E70-9856-84953044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E5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25E58"/>
  </w:style>
  <w:style w:type="paragraph" w:styleId="ListParagraph">
    <w:name w:val="List Paragraph"/>
    <w:basedOn w:val="Normal"/>
    <w:uiPriority w:val="34"/>
    <w:qFormat/>
    <w:rsid w:val="0093219F"/>
    <w:pPr>
      <w:ind w:left="720"/>
      <w:contextualSpacing/>
    </w:pPr>
  </w:style>
  <w:style w:type="paragraph" w:styleId="BalloonText">
    <w:name w:val="Balloon Text"/>
    <w:basedOn w:val="Normal"/>
    <w:link w:val="BalloonTextChar"/>
    <w:uiPriority w:val="99"/>
    <w:semiHidden/>
    <w:unhideWhenUsed/>
    <w:rsid w:val="00183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F60"/>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B72251"/>
    <w:rPr>
      <w:sz w:val="16"/>
      <w:szCs w:val="16"/>
    </w:rPr>
  </w:style>
  <w:style w:type="paragraph" w:styleId="CommentText">
    <w:name w:val="annotation text"/>
    <w:basedOn w:val="Normal"/>
    <w:link w:val="CommentTextChar"/>
    <w:uiPriority w:val="99"/>
    <w:semiHidden/>
    <w:unhideWhenUsed/>
    <w:rsid w:val="00B72251"/>
    <w:rPr>
      <w:sz w:val="20"/>
      <w:szCs w:val="20"/>
    </w:rPr>
  </w:style>
  <w:style w:type="character" w:customStyle="1" w:styleId="CommentTextChar">
    <w:name w:val="Comment Text Char"/>
    <w:basedOn w:val="DefaultParagraphFont"/>
    <w:link w:val="CommentText"/>
    <w:uiPriority w:val="99"/>
    <w:semiHidden/>
    <w:rsid w:val="00B7225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72251"/>
    <w:rPr>
      <w:b/>
      <w:bCs/>
    </w:rPr>
  </w:style>
  <w:style w:type="character" w:customStyle="1" w:styleId="CommentSubjectChar">
    <w:name w:val="Comment Subject Char"/>
    <w:basedOn w:val="CommentTextChar"/>
    <w:link w:val="CommentSubject"/>
    <w:uiPriority w:val="99"/>
    <w:semiHidden/>
    <w:rsid w:val="00B72251"/>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8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Boyanova</dc:creator>
  <cp:lastModifiedBy>Mariana Halacheva</cp:lastModifiedBy>
  <cp:revision>9</cp:revision>
  <dcterms:created xsi:type="dcterms:W3CDTF">2022-09-25T08:27:00Z</dcterms:created>
  <dcterms:modified xsi:type="dcterms:W3CDTF">2022-09-26T10:25:00Z</dcterms:modified>
</cp:coreProperties>
</file>