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410" w:type="dxa"/>
        <w:tblInd w:w="1" w:type="dxa"/>
        <w:tblLayout w:type="fixed"/>
        <w:tblCellMar>
          <w:left w:w="0" w:type="dxa"/>
          <w:right w:w="0" w:type="dxa"/>
        </w:tblCellMar>
        <w:tblLook w:val="0000" w:firstRow="0" w:lastRow="0" w:firstColumn="0" w:lastColumn="0" w:noHBand="0" w:noVBand="0"/>
      </w:tblPr>
      <w:tblGrid>
        <w:gridCol w:w="3445"/>
        <w:gridCol w:w="1217"/>
        <w:gridCol w:w="4337"/>
        <w:gridCol w:w="4411"/>
      </w:tblGrid>
      <w:tr w:rsidR="00025E58" w:rsidRPr="00EC44C2" w:rsidTr="0093084A">
        <w:trPr>
          <w:trHeight w:val="1256"/>
          <w:tblHeader/>
        </w:trPr>
        <w:tc>
          <w:tcPr>
            <w:tcW w:w="3445" w:type="dxa"/>
            <w:vMerge w:val="restart"/>
            <w:tcBorders>
              <w:top w:val="single" w:sz="1" w:space="0" w:color="000000"/>
              <w:left w:val="single" w:sz="1" w:space="0" w:color="000000"/>
            </w:tcBorders>
            <w:vAlign w:val="center"/>
          </w:tcPr>
          <w:p w:rsidR="00025E58" w:rsidRPr="00EC44C2" w:rsidRDefault="00025E58" w:rsidP="00E756A6">
            <w:pPr>
              <w:widowControl w:val="0"/>
              <w:suppressLineNumbers/>
              <w:suppressAutoHyphens/>
              <w:jc w:val="center"/>
              <w:rPr>
                <w:rFonts w:eastAsia="HG Mincho Light J"/>
                <w:b/>
                <w:color w:val="000000"/>
                <w:sz w:val="20"/>
                <w:szCs w:val="20"/>
                <w:lang w:val="bg-BG"/>
              </w:rPr>
            </w:pPr>
            <w:r w:rsidRPr="00EC44C2">
              <w:rPr>
                <w:rFonts w:eastAsia="HG Mincho Light J"/>
                <w:b/>
                <w:color w:val="000000"/>
                <w:sz w:val="20"/>
                <w:szCs w:val="20"/>
                <w:lang w:val="bg-BG"/>
              </w:rPr>
              <w:t xml:space="preserve">Министерство на </w:t>
            </w:r>
            <w:r w:rsidR="00971D91" w:rsidRPr="00EC44C2">
              <w:rPr>
                <w:rFonts w:eastAsia="HG Mincho Light J"/>
                <w:b/>
                <w:color w:val="000000"/>
                <w:sz w:val="20"/>
                <w:szCs w:val="20"/>
                <w:lang w:val="bg-BG"/>
              </w:rPr>
              <w:t>земеделието</w:t>
            </w:r>
          </w:p>
          <w:p w:rsidR="00971D91" w:rsidRPr="00EC44C2" w:rsidRDefault="00971D91" w:rsidP="00E756A6">
            <w:pPr>
              <w:widowControl w:val="0"/>
              <w:suppressLineNumbers/>
              <w:suppressAutoHyphens/>
              <w:jc w:val="center"/>
              <w:rPr>
                <w:rFonts w:eastAsia="HG Mincho Light J"/>
                <w:b/>
                <w:color w:val="000000"/>
                <w:sz w:val="20"/>
                <w:szCs w:val="20"/>
                <w:lang w:val="bg-BG"/>
              </w:rPr>
            </w:pPr>
          </w:p>
          <w:p w:rsidR="00025E58" w:rsidRPr="00EC44C2" w:rsidRDefault="00025E58" w:rsidP="00E756A6">
            <w:pPr>
              <w:widowControl w:val="0"/>
              <w:suppressLineNumbers/>
              <w:suppressAutoHyphens/>
              <w:jc w:val="center"/>
              <w:rPr>
                <w:rFonts w:eastAsia="HG Mincho Light J"/>
                <w:b/>
                <w:color w:val="000000"/>
                <w:sz w:val="20"/>
                <w:szCs w:val="20"/>
                <w:lang w:val="bg-BG"/>
              </w:rPr>
            </w:pPr>
            <w:r w:rsidRPr="00EC44C2">
              <w:rPr>
                <w:rFonts w:eastAsia="HG Mincho Light J"/>
                <w:b/>
                <w:color w:val="000000"/>
                <w:sz w:val="20"/>
                <w:szCs w:val="20"/>
                <w:lang w:val="bg-BG"/>
              </w:rPr>
              <w:t xml:space="preserve">Дирекция </w:t>
            </w:r>
            <w:r w:rsidR="00AC19D5">
              <w:rPr>
                <w:rFonts w:eastAsia="HG Mincho Light J"/>
                <w:b/>
                <w:color w:val="000000"/>
                <w:sz w:val="20"/>
                <w:szCs w:val="20"/>
                <w:lang w:val="bg-BG"/>
              </w:rPr>
              <w:t>„</w:t>
            </w:r>
            <w:r w:rsidRPr="00EC44C2">
              <w:rPr>
                <w:rFonts w:eastAsia="HG Mincho Light J"/>
                <w:b/>
                <w:color w:val="000000"/>
                <w:sz w:val="20"/>
                <w:szCs w:val="20"/>
                <w:lang w:val="bg-BG"/>
              </w:rPr>
              <w:t>Морско дело и рибарство” – Управляващ орган на ПМДР 2014 - 2020</w:t>
            </w:r>
          </w:p>
        </w:tc>
        <w:tc>
          <w:tcPr>
            <w:tcW w:w="5554" w:type="dxa"/>
            <w:gridSpan w:val="2"/>
            <w:tcBorders>
              <w:top w:val="single" w:sz="1" w:space="0" w:color="000000"/>
              <w:left w:val="single" w:sz="1" w:space="0" w:color="000000"/>
              <w:bottom w:val="single" w:sz="1" w:space="0" w:color="000000"/>
            </w:tcBorders>
            <w:vAlign w:val="center"/>
          </w:tcPr>
          <w:p w:rsidR="00025E58" w:rsidRPr="00EC44C2" w:rsidRDefault="00025E58" w:rsidP="00E756A6">
            <w:pPr>
              <w:widowControl w:val="0"/>
              <w:suppressLineNumbers/>
              <w:suppressAutoHyphens/>
              <w:jc w:val="center"/>
              <w:rPr>
                <w:rFonts w:eastAsia="HG Mincho Light J"/>
                <w:b/>
                <w:color w:val="000000"/>
                <w:sz w:val="20"/>
                <w:szCs w:val="20"/>
                <w:lang w:val="bg-BG"/>
              </w:rPr>
            </w:pPr>
            <w:r w:rsidRPr="00EC44C2">
              <w:rPr>
                <w:rFonts w:eastAsia="HG Mincho Light J"/>
                <w:b/>
                <w:color w:val="000000"/>
                <w:sz w:val="20"/>
                <w:szCs w:val="20"/>
                <w:lang w:val="bg-BG"/>
              </w:rPr>
              <w:t>НАРЪЧНИК ПО ПРОГРАМА ЗА МОРСКО ДЕЛО И РИБАРСТВО” 2014 -2020 (ПМДР)</w:t>
            </w:r>
          </w:p>
        </w:tc>
        <w:tc>
          <w:tcPr>
            <w:tcW w:w="4411" w:type="dxa"/>
            <w:tcBorders>
              <w:top w:val="single" w:sz="1" w:space="0" w:color="000000"/>
              <w:left w:val="single" w:sz="1" w:space="0" w:color="000000"/>
              <w:bottom w:val="single" w:sz="1" w:space="0" w:color="000000"/>
              <w:right w:val="single" w:sz="1" w:space="0" w:color="000000"/>
            </w:tcBorders>
            <w:vAlign w:val="center"/>
          </w:tcPr>
          <w:p w:rsidR="00025E58" w:rsidRPr="00EC44C2" w:rsidRDefault="00025E58" w:rsidP="00E756A6">
            <w:pPr>
              <w:widowControl w:val="0"/>
              <w:suppressLineNumbers/>
              <w:suppressAutoHyphens/>
              <w:jc w:val="center"/>
              <w:rPr>
                <w:rFonts w:eastAsia="HG Mincho Light J"/>
                <w:b/>
                <w:color w:val="000000"/>
                <w:sz w:val="20"/>
                <w:szCs w:val="20"/>
                <w:lang w:val="bg-BG"/>
              </w:rPr>
            </w:pPr>
            <w:r w:rsidRPr="00EC44C2">
              <w:rPr>
                <w:rFonts w:eastAsia="HG Mincho Light J"/>
                <w:b/>
                <w:color w:val="000000"/>
                <w:sz w:val="20"/>
                <w:lang w:val="bg-BG"/>
              </w:rPr>
              <w:t>Вариант 2</w:t>
            </w:r>
          </w:p>
        </w:tc>
      </w:tr>
      <w:tr w:rsidR="00025E58" w:rsidRPr="00EC44C2" w:rsidTr="0093084A">
        <w:trPr>
          <w:trHeight w:val="747"/>
        </w:trPr>
        <w:tc>
          <w:tcPr>
            <w:tcW w:w="3445" w:type="dxa"/>
            <w:vMerge/>
            <w:tcBorders>
              <w:left w:val="single" w:sz="1" w:space="0" w:color="000000"/>
            </w:tcBorders>
            <w:vAlign w:val="center"/>
          </w:tcPr>
          <w:p w:rsidR="00025E58" w:rsidRPr="00EC44C2" w:rsidRDefault="00025E58" w:rsidP="00E756A6">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025E58" w:rsidRPr="00EC44C2" w:rsidRDefault="00025E58" w:rsidP="00E756A6">
            <w:pPr>
              <w:widowControl w:val="0"/>
              <w:suppressLineNumbers/>
              <w:suppressAutoHyphens/>
              <w:jc w:val="center"/>
              <w:rPr>
                <w:rFonts w:eastAsia="HG Mincho Light J"/>
                <w:b/>
                <w:color w:val="000000"/>
                <w:sz w:val="20"/>
                <w:szCs w:val="20"/>
                <w:lang w:val="bg-BG"/>
              </w:rPr>
            </w:pPr>
            <w:r w:rsidRPr="00EC44C2">
              <w:rPr>
                <w:rFonts w:eastAsia="HG Mincho Light J"/>
                <w:b/>
                <w:color w:val="000000"/>
                <w:sz w:val="20"/>
                <w:szCs w:val="20"/>
                <w:lang w:val="bg-BG"/>
              </w:rPr>
              <w:t xml:space="preserve">Глава 4, раздел 2, Приложение </w:t>
            </w:r>
          </w:p>
          <w:p w:rsidR="00025E58" w:rsidRPr="00EC44C2" w:rsidRDefault="00025E58" w:rsidP="00E756A6">
            <w:pPr>
              <w:widowControl w:val="0"/>
              <w:suppressLineNumbers/>
              <w:suppressAutoHyphens/>
              <w:jc w:val="center"/>
              <w:rPr>
                <w:rFonts w:eastAsia="HG Mincho Light J"/>
                <w:b/>
                <w:color w:val="000000"/>
                <w:sz w:val="20"/>
                <w:szCs w:val="20"/>
                <w:lang w:val="bg-BG"/>
              </w:rPr>
            </w:pPr>
            <w:r w:rsidRPr="00EC44C2">
              <w:rPr>
                <w:rFonts w:eastAsia="HG Mincho Light J"/>
                <w:b/>
                <w:color w:val="000000"/>
                <w:sz w:val="20"/>
                <w:szCs w:val="20"/>
                <w:lang w:val="bg-BG"/>
              </w:rPr>
              <w:t>4.II.1.7.</w:t>
            </w:r>
          </w:p>
        </w:tc>
        <w:tc>
          <w:tcPr>
            <w:tcW w:w="4337" w:type="dxa"/>
            <w:tcBorders>
              <w:left w:val="single" w:sz="1" w:space="0" w:color="000000"/>
              <w:bottom w:val="single" w:sz="1" w:space="0" w:color="000000"/>
              <w:right w:val="single" w:sz="1" w:space="0" w:color="000000"/>
            </w:tcBorders>
            <w:vAlign w:val="center"/>
          </w:tcPr>
          <w:p w:rsidR="00025E58" w:rsidRPr="00EC44C2" w:rsidRDefault="00025E58" w:rsidP="00E756A6">
            <w:pPr>
              <w:widowControl w:val="0"/>
              <w:suppressLineNumbers/>
              <w:suppressAutoHyphens/>
              <w:jc w:val="center"/>
              <w:rPr>
                <w:b/>
                <w:sz w:val="20"/>
                <w:szCs w:val="20"/>
                <w:lang w:val="bg-BG"/>
              </w:rPr>
            </w:pPr>
            <w:r w:rsidRPr="00EC44C2">
              <w:rPr>
                <w:b/>
                <w:sz w:val="20"/>
                <w:szCs w:val="20"/>
                <w:lang w:val="bg-BG"/>
              </w:rPr>
              <w:t>ПРОЦЕДУРИ ЗА ПРЕДОСТАВЯНЕ НА БЕЗВЪЗМЕЗДНА ФИНАНСОВА ПОМОЩ</w:t>
            </w:r>
          </w:p>
          <w:p w:rsidR="00025E58" w:rsidRPr="00EC44C2" w:rsidRDefault="00025E58" w:rsidP="00E756A6">
            <w:pPr>
              <w:widowControl w:val="0"/>
              <w:suppressLineNumbers/>
              <w:suppressAutoHyphens/>
              <w:jc w:val="center"/>
              <w:rPr>
                <w:b/>
                <w:iCs/>
                <w:sz w:val="20"/>
                <w:szCs w:val="20"/>
                <w:lang w:val="bg-BG"/>
              </w:rPr>
            </w:pPr>
          </w:p>
          <w:p w:rsidR="00025E58" w:rsidRPr="00EC44C2" w:rsidRDefault="00025E58" w:rsidP="00E756A6">
            <w:pPr>
              <w:widowControl w:val="0"/>
              <w:suppressLineNumbers/>
              <w:suppressAutoHyphens/>
              <w:jc w:val="center"/>
              <w:rPr>
                <w:b/>
                <w:iCs/>
                <w:sz w:val="20"/>
                <w:szCs w:val="20"/>
                <w:lang w:val="bg-BG"/>
              </w:rPr>
            </w:pPr>
          </w:p>
          <w:p w:rsidR="00025E58" w:rsidRPr="00EC44C2" w:rsidRDefault="00025E58" w:rsidP="00E756A6">
            <w:pPr>
              <w:widowControl w:val="0"/>
              <w:suppressLineNumbers/>
              <w:suppressAutoHyphens/>
              <w:jc w:val="center"/>
              <w:rPr>
                <w:rFonts w:eastAsia="HG Mincho Light J"/>
                <w:b/>
                <w:color w:val="000000"/>
                <w:sz w:val="20"/>
                <w:szCs w:val="20"/>
                <w:lang w:val="bg-BG"/>
              </w:rPr>
            </w:pPr>
            <w:r w:rsidRPr="00EC44C2">
              <w:rPr>
                <w:b/>
                <w:iCs/>
                <w:sz w:val="20"/>
                <w:szCs w:val="20"/>
                <w:lang w:val="bg-BG"/>
              </w:rPr>
              <w:t>Образец на Списък на проектните предложения,  които не се допускат до техническа и финансова оценка</w:t>
            </w:r>
          </w:p>
        </w:tc>
        <w:tc>
          <w:tcPr>
            <w:tcW w:w="4411" w:type="dxa"/>
            <w:tcBorders>
              <w:left w:val="single" w:sz="1" w:space="0" w:color="000000"/>
              <w:bottom w:val="single" w:sz="1" w:space="0" w:color="000000"/>
              <w:right w:val="single" w:sz="1" w:space="0" w:color="000000"/>
            </w:tcBorders>
            <w:vAlign w:val="center"/>
          </w:tcPr>
          <w:p w:rsidR="00025E58" w:rsidRPr="00EC44C2" w:rsidRDefault="00025E58" w:rsidP="00E756A6">
            <w:pPr>
              <w:widowControl w:val="0"/>
              <w:suppressLineNumbers/>
              <w:suppressAutoHyphens/>
              <w:jc w:val="center"/>
              <w:rPr>
                <w:rFonts w:eastAsia="HG Mincho Light J"/>
                <w:b/>
                <w:color w:val="000000"/>
                <w:sz w:val="20"/>
                <w:szCs w:val="20"/>
                <w:lang w:val="bg-BG"/>
              </w:rPr>
            </w:pPr>
            <w:r w:rsidRPr="00EC44C2">
              <w:rPr>
                <w:b/>
                <w:sz w:val="20"/>
                <w:szCs w:val="20"/>
                <w:lang w:val="bg-BG"/>
              </w:rPr>
              <w:t xml:space="preserve">страница: </w:t>
            </w:r>
            <w:r w:rsidRPr="00EC44C2">
              <w:rPr>
                <w:rStyle w:val="PageNumber"/>
                <w:sz w:val="20"/>
                <w:szCs w:val="20"/>
                <w:lang w:val="bg-BG"/>
              </w:rPr>
              <w:fldChar w:fldCharType="begin"/>
            </w:r>
            <w:r w:rsidRPr="00EC44C2">
              <w:rPr>
                <w:rStyle w:val="PageNumber"/>
                <w:sz w:val="20"/>
                <w:szCs w:val="20"/>
                <w:lang w:val="bg-BG"/>
              </w:rPr>
              <w:instrText xml:space="preserve"> PAGE </w:instrText>
            </w:r>
            <w:r w:rsidRPr="00EC44C2">
              <w:rPr>
                <w:rStyle w:val="PageNumber"/>
                <w:sz w:val="20"/>
                <w:szCs w:val="20"/>
                <w:lang w:val="bg-BG"/>
              </w:rPr>
              <w:fldChar w:fldCharType="separate"/>
            </w:r>
            <w:r w:rsidRPr="00EC44C2">
              <w:rPr>
                <w:rStyle w:val="PageNumber"/>
                <w:sz w:val="20"/>
                <w:szCs w:val="20"/>
                <w:lang w:val="bg-BG"/>
              </w:rPr>
              <w:t>1</w:t>
            </w:r>
            <w:r w:rsidRPr="00EC44C2">
              <w:rPr>
                <w:rStyle w:val="PageNumber"/>
                <w:sz w:val="20"/>
                <w:szCs w:val="20"/>
                <w:lang w:val="bg-BG"/>
              </w:rPr>
              <w:fldChar w:fldCharType="end"/>
            </w:r>
            <w:r w:rsidRPr="00EC44C2">
              <w:rPr>
                <w:rStyle w:val="PageNumber"/>
                <w:sz w:val="20"/>
                <w:szCs w:val="20"/>
                <w:lang w:val="bg-BG"/>
              </w:rPr>
              <w:t>/</w:t>
            </w:r>
            <w:r w:rsidRPr="00EC44C2">
              <w:rPr>
                <w:rStyle w:val="PageNumber"/>
                <w:sz w:val="20"/>
                <w:szCs w:val="20"/>
                <w:lang w:val="bg-BG"/>
              </w:rPr>
              <w:fldChar w:fldCharType="begin"/>
            </w:r>
            <w:r w:rsidRPr="00EC44C2">
              <w:rPr>
                <w:rStyle w:val="PageNumber"/>
                <w:sz w:val="20"/>
                <w:szCs w:val="20"/>
                <w:lang w:val="bg-BG"/>
              </w:rPr>
              <w:instrText xml:space="preserve"> NUMPAGES </w:instrText>
            </w:r>
            <w:r w:rsidRPr="00EC44C2">
              <w:rPr>
                <w:rStyle w:val="PageNumber"/>
                <w:sz w:val="20"/>
                <w:szCs w:val="20"/>
                <w:lang w:val="bg-BG"/>
              </w:rPr>
              <w:fldChar w:fldCharType="separate"/>
            </w:r>
            <w:r w:rsidRPr="00EC44C2">
              <w:rPr>
                <w:rStyle w:val="PageNumber"/>
                <w:sz w:val="20"/>
                <w:szCs w:val="20"/>
                <w:lang w:val="bg-BG"/>
              </w:rPr>
              <w:t>2</w:t>
            </w:r>
            <w:r w:rsidRPr="00EC44C2">
              <w:rPr>
                <w:rStyle w:val="PageNumber"/>
                <w:sz w:val="20"/>
                <w:szCs w:val="20"/>
                <w:lang w:val="bg-BG"/>
              </w:rPr>
              <w:fldChar w:fldCharType="end"/>
            </w:r>
          </w:p>
        </w:tc>
      </w:tr>
      <w:tr w:rsidR="00025E58" w:rsidRPr="00EC44C2" w:rsidTr="0093084A">
        <w:trPr>
          <w:trHeight w:val="697"/>
        </w:trPr>
        <w:tc>
          <w:tcPr>
            <w:tcW w:w="3445" w:type="dxa"/>
            <w:vMerge/>
            <w:tcBorders>
              <w:left w:val="single" w:sz="1" w:space="0" w:color="000000"/>
            </w:tcBorders>
            <w:vAlign w:val="center"/>
          </w:tcPr>
          <w:p w:rsidR="00025E58" w:rsidRPr="00EC44C2"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rsidR="00025E58" w:rsidRPr="00EC44C2" w:rsidRDefault="00025E58" w:rsidP="00E756A6">
            <w:pPr>
              <w:widowControl w:val="0"/>
              <w:suppressLineNumbers/>
              <w:suppressAutoHyphens/>
              <w:jc w:val="center"/>
              <w:rPr>
                <w:rFonts w:eastAsia="HG Mincho Light J"/>
                <w:b/>
                <w:color w:val="000000"/>
                <w:sz w:val="20"/>
                <w:szCs w:val="20"/>
                <w:lang w:val="bg-BG"/>
              </w:rPr>
            </w:pPr>
            <w:r w:rsidRPr="00EC44C2">
              <w:rPr>
                <w:rFonts w:eastAsia="HG Mincho Light J"/>
                <w:b/>
                <w:color w:val="000000"/>
                <w:sz w:val="20"/>
                <w:szCs w:val="20"/>
                <w:lang w:val="bg-BG"/>
              </w:rPr>
              <w:t>Одобрен от: Ръководител на Управляващия орган</w:t>
            </w:r>
          </w:p>
        </w:tc>
        <w:tc>
          <w:tcPr>
            <w:tcW w:w="4411" w:type="dxa"/>
            <w:tcBorders>
              <w:left w:val="single" w:sz="1" w:space="0" w:color="000000"/>
              <w:bottom w:val="single" w:sz="4" w:space="0" w:color="auto"/>
              <w:right w:val="single" w:sz="1" w:space="0" w:color="000000"/>
            </w:tcBorders>
            <w:vAlign w:val="center"/>
          </w:tcPr>
          <w:p w:rsidR="00025E58" w:rsidRPr="00EC44C2" w:rsidRDefault="00025E58" w:rsidP="00E756A6">
            <w:pPr>
              <w:widowControl w:val="0"/>
              <w:suppressLineNumbers/>
              <w:suppressAutoHyphens/>
              <w:jc w:val="center"/>
              <w:rPr>
                <w:rFonts w:eastAsia="HG Mincho Light J"/>
                <w:b/>
                <w:color w:val="000000"/>
                <w:sz w:val="20"/>
                <w:szCs w:val="20"/>
                <w:lang w:val="bg-BG"/>
              </w:rPr>
            </w:pPr>
            <w:r w:rsidRPr="00EC44C2">
              <w:rPr>
                <w:rFonts w:eastAsia="HG Mincho Light J"/>
                <w:b/>
                <w:color w:val="000000"/>
                <w:sz w:val="20"/>
                <w:szCs w:val="20"/>
                <w:lang w:val="bg-BG"/>
              </w:rPr>
              <w:t>Дата:</w:t>
            </w:r>
          </w:p>
          <w:p w:rsidR="00025E58" w:rsidRPr="00EC44C2" w:rsidRDefault="00D81A6C" w:rsidP="00E756A6">
            <w:pPr>
              <w:widowControl w:val="0"/>
              <w:suppressLineNumbers/>
              <w:suppressAutoHyphens/>
              <w:jc w:val="center"/>
              <w:rPr>
                <w:rFonts w:eastAsia="HG Mincho Light J"/>
                <w:b/>
                <w:color w:val="000000"/>
                <w:sz w:val="20"/>
                <w:szCs w:val="20"/>
                <w:lang w:val="bg-BG"/>
              </w:rPr>
            </w:pPr>
            <w:r w:rsidRPr="00EC44C2">
              <w:rPr>
                <w:rFonts w:eastAsia="HG Mincho Light J"/>
                <w:b/>
                <w:color w:val="000000"/>
                <w:sz w:val="20"/>
                <w:szCs w:val="20"/>
                <w:lang w:val="bg-BG"/>
              </w:rPr>
              <w:t>Януари 2022</w:t>
            </w:r>
          </w:p>
        </w:tc>
      </w:tr>
      <w:tr w:rsidR="00025E58" w:rsidRPr="00EC44C2" w:rsidTr="0093084A">
        <w:trPr>
          <w:trHeight w:val="697"/>
        </w:trPr>
        <w:tc>
          <w:tcPr>
            <w:tcW w:w="3445" w:type="dxa"/>
            <w:tcBorders>
              <w:left w:val="single" w:sz="1" w:space="0" w:color="000000"/>
              <w:bottom w:val="single" w:sz="1" w:space="0" w:color="000000"/>
            </w:tcBorders>
            <w:vAlign w:val="center"/>
          </w:tcPr>
          <w:p w:rsidR="00025E58" w:rsidRPr="00EC44C2"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rsidR="00025E58" w:rsidRPr="00EC44C2" w:rsidRDefault="00025E58" w:rsidP="00E756A6">
            <w:pPr>
              <w:widowControl w:val="0"/>
              <w:suppressLineNumbers/>
              <w:suppressAutoHyphens/>
              <w:jc w:val="center"/>
              <w:rPr>
                <w:rFonts w:eastAsia="HG Mincho Light J"/>
                <w:b/>
                <w:color w:val="000000"/>
                <w:sz w:val="20"/>
                <w:szCs w:val="20"/>
                <w:lang w:val="bg-BG"/>
              </w:rPr>
            </w:pPr>
          </w:p>
        </w:tc>
        <w:tc>
          <w:tcPr>
            <w:tcW w:w="4411" w:type="dxa"/>
            <w:tcBorders>
              <w:top w:val="single" w:sz="4" w:space="0" w:color="auto"/>
              <w:left w:val="single" w:sz="4" w:space="0" w:color="auto"/>
              <w:bottom w:val="single" w:sz="4" w:space="0" w:color="auto"/>
              <w:right w:val="single" w:sz="4" w:space="0" w:color="auto"/>
            </w:tcBorders>
            <w:vAlign w:val="center"/>
          </w:tcPr>
          <w:p w:rsidR="00025E58" w:rsidRPr="00EC44C2" w:rsidRDefault="00025E58" w:rsidP="00E756A6">
            <w:pPr>
              <w:widowControl w:val="0"/>
              <w:suppressLineNumbers/>
              <w:suppressAutoHyphens/>
              <w:jc w:val="center"/>
              <w:rPr>
                <w:rFonts w:eastAsia="HG Mincho Light J"/>
                <w:b/>
                <w:color w:val="000000"/>
                <w:sz w:val="20"/>
                <w:szCs w:val="20"/>
                <w:lang w:val="bg-BG"/>
              </w:rPr>
            </w:pPr>
            <w:r w:rsidRPr="00EC44C2">
              <w:rPr>
                <w:rFonts w:eastAsia="HG Mincho Light J"/>
                <w:b/>
                <w:color w:val="000000"/>
                <w:sz w:val="20"/>
                <w:szCs w:val="20"/>
                <w:lang w:val="bg-BG"/>
              </w:rPr>
              <w:t>Версия:</w:t>
            </w:r>
          </w:p>
          <w:p w:rsidR="00025E58" w:rsidRPr="00EC44C2" w:rsidRDefault="00D81A6C" w:rsidP="00E756A6">
            <w:pPr>
              <w:widowControl w:val="0"/>
              <w:suppressLineNumbers/>
              <w:suppressAutoHyphens/>
              <w:jc w:val="center"/>
              <w:rPr>
                <w:rFonts w:eastAsia="HG Mincho Light J"/>
                <w:b/>
                <w:color w:val="000000"/>
                <w:sz w:val="20"/>
                <w:szCs w:val="20"/>
                <w:lang w:val="bg-BG"/>
              </w:rPr>
            </w:pPr>
            <w:r w:rsidRPr="00EC44C2">
              <w:rPr>
                <w:rFonts w:eastAsia="HG Mincho Light J"/>
                <w:b/>
                <w:color w:val="000000"/>
                <w:sz w:val="20"/>
                <w:szCs w:val="20"/>
                <w:lang w:val="bg-BG"/>
              </w:rPr>
              <w:t>Януари 2022</w:t>
            </w:r>
          </w:p>
        </w:tc>
      </w:tr>
    </w:tbl>
    <w:p w:rsidR="00025E58" w:rsidRPr="00EC44C2" w:rsidRDefault="00025E58">
      <w:pPr>
        <w:rPr>
          <w:lang w:val="bg-BG"/>
        </w:rPr>
      </w:pPr>
    </w:p>
    <w:p w:rsidR="00025E58" w:rsidRDefault="00D166C0" w:rsidP="00A55D3F">
      <w:pPr>
        <w:jc w:val="center"/>
        <w:rPr>
          <w:b/>
          <w:lang w:val="bg-BG"/>
        </w:rPr>
      </w:pPr>
      <w:r w:rsidRPr="00EC44C2">
        <w:rPr>
          <w:b/>
          <w:lang w:val="bg-BG"/>
        </w:rPr>
        <w:t>Списък на проектните предложения</w:t>
      </w:r>
      <w:r w:rsidR="00025E58" w:rsidRPr="00EC44C2">
        <w:rPr>
          <w:b/>
          <w:lang w:val="bg-BG"/>
        </w:rPr>
        <w:t xml:space="preserve">, </w:t>
      </w:r>
      <w:r w:rsidRPr="00EC44C2">
        <w:rPr>
          <w:b/>
          <w:lang w:val="bg-BG"/>
        </w:rPr>
        <w:t>които не се допускат до те</w:t>
      </w:r>
      <w:r w:rsidR="0093219F" w:rsidRPr="00EC44C2">
        <w:rPr>
          <w:b/>
          <w:lang w:val="bg-BG"/>
        </w:rPr>
        <w:t>хническа и финансова оценка по П</w:t>
      </w:r>
      <w:r w:rsidRPr="00EC44C2">
        <w:rPr>
          <w:b/>
          <w:lang w:val="bg-BG"/>
        </w:rPr>
        <w:t>роцедура</w:t>
      </w:r>
      <w:r w:rsidR="00183F60" w:rsidRPr="00EC44C2">
        <w:rPr>
          <w:b/>
          <w:lang w:val="bg-BG"/>
        </w:rPr>
        <w:t xml:space="preserve"> за подбор на проекти</w:t>
      </w:r>
      <w:r w:rsidR="00025E58" w:rsidRPr="00EC44C2">
        <w:rPr>
          <w:b/>
          <w:lang w:val="bg-BG"/>
        </w:rPr>
        <w:t xml:space="preserve"> </w:t>
      </w:r>
      <w:r w:rsidR="00A55D3F">
        <w:rPr>
          <w:b/>
          <w:lang w:val="bg-BG"/>
        </w:rPr>
        <w:t xml:space="preserve"> № </w:t>
      </w:r>
      <w:r w:rsidR="00A55D3F" w:rsidRPr="00A55D3F">
        <w:rPr>
          <w:b/>
          <w:lang w:val="bg-BG"/>
        </w:rPr>
        <w:t>BG14MFOP001-4.110 “Диверсификация и нови форми на доход на територията на МИРГ Бургас - Камено“</w:t>
      </w:r>
      <w:r w:rsidR="00A55D3F">
        <w:rPr>
          <w:b/>
          <w:lang w:val="bg-BG"/>
        </w:rPr>
        <w:t>, м</w:t>
      </w:r>
      <w:r w:rsidR="00A55D3F" w:rsidRPr="00A55D3F">
        <w:rPr>
          <w:b/>
          <w:lang w:val="bg-BG"/>
        </w:rPr>
        <w:t>ярка 1.1 „Диверсификация и нови форми на доход</w:t>
      </w:r>
      <w:r w:rsidR="00A042AD" w:rsidRPr="00EC44C2">
        <w:rPr>
          <w:b/>
          <w:lang w:val="bg-BG"/>
        </w:rPr>
        <w:t xml:space="preserve"> от</w:t>
      </w:r>
      <w:r w:rsidR="00A042AD" w:rsidRPr="00EC44C2">
        <w:rPr>
          <w:lang w:val="bg-BG"/>
        </w:rPr>
        <w:t xml:space="preserve"> </w:t>
      </w:r>
      <w:r w:rsidR="00A042AD" w:rsidRPr="00EC44C2">
        <w:rPr>
          <w:b/>
          <w:lang w:val="bg-BG"/>
        </w:rPr>
        <w:t>Стратегия за Водено от общн</w:t>
      </w:r>
      <w:r w:rsidR="00197FB7">
        <w:rPr>
          <w:b/>
          <w:lang w:val="bg-BG"/>
        </w:rPr>
        <w:t xml:space="preserve">остите местно развитие на МИРГ </w:t>
      </w:r>
      <w:r w:rsidR="00197FB7" w:rsidRPr="00197FB7">
        <w:rPr>
          <w:b/>
          <w:lang w:val="bg-BG"/>
        </w:rPr>
        <w:t xml:space="preserve">Бургас - Камено </w:t>
      </w:r>
      <w:r w:rsidRPr="00EC44C2">
        <w:rPr>
          <w:b/>
          <w:lang w:val="bg-BG"/>
        </w:rPr>
        <w:t>по Програмата за морско дело и рибарство 2014-2020 г.</w:t>
      </w:r>
    </w:p>
    <w:p w:rsidR="00A55D3F" w:rsidRPr="00EC44C2" w:rsidRDefault="00A55D3F" w:rsidP="00A55D3F">
      <w:pPr>
        <w:jc w:val="center"/>
        <w:rPr>
          <w:lang w:val="bg-BG"/>
        </w:rPr>
      </w:pPr>
    </w:p>
    <w:tbl>
      <w:tblPr>
        <w:tblW w:w="13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565"/>
        <w:gridCol w:w="2186"/>
        <w:gridCol w:w="1986"/>
        <w:gridCol w:w="7308"/>
      </w:tblGrid>
      <w:tr w:rsidR="00025E58" w:rsidRPr="00EC44C2" w:rsidTr="0042523E">
        <w:trPr>
          <w:trHeight w:val="1132"/>
        </w:trPr>
        <w:tc>
          <w:tcPr>
            <w:tcW w:w="468" w:type="dxa"/>
            <w:shd w:val="clear" w:color="auto" w:fill="auto"/>
          </w:tcPr>
          <w:p w:rsidR="00025E58" w:rsidRPr="00EC44C2" w:rsidRDefault="00025E58" w:rsidP="00E756A6">
            <w:pPr>
              <w:jc w:val="center"/>
              <w:rPr>
                <w:b/>
                <w:sz w:val="22"/>
                <w:szCs w:val="22"/>
                <w:lang w:val="bg-BG"/>
              </w:rPr>
            </w:pPr>
            <w:r w:rsidRPr="00EC44C2">
              <w:rPr>
                <w:b/>
                <w:sz w:val="22"/>
                <w:szCs w:val="22"/>
                <w:lang w:val="bg-BG"/>
              </w:rPr>
              <w:t>№</w:t>
            </w:r>
          </w:p>
        </w:tc>
        <w:tc>
          <w:tcPr>
            <w:tcW w:w="1565" w:type="dxa"/>
            <w:shd w:val="clear" w:color="auto" w:fill="auto"/>
          </w:tcPr>
          <w:p w:rsidR="00025E58" w:rsidRPr="00EC44C2" w:rsidRDefault="00025E58" w:rsidP="00E756A6">
            <w:pPr>
              <w:jc w:val="center"/>
              <w:rPr>
                <w:b/>
                <w:sz w:val="22"/>
                <w:szCs w:val="22"/>
                <w:lang w:val="bg-BG"/>
              </w:rPr>
            </w:pPr>
            <w:r w:rsidRPr="00EC44C2">
              <w:rPr>
                <w:b/>
                <w:sz w:val="22"/>
                <w:szCs w:val="22"/>
                <w:lang w:val="bg-BG"/>
              </w:rPr>
              <w:t xml:space="preserve">Рег. № на проектното предложение </w:t>
            </w:r>
          </w:p>
        </w:tc>
        <w:tc>
          <w:tcPr>
            <w:tcW w:w="2186" w:type="dxa"/>
            <w:shd w:val="clear" w:color="auto" w:fill="auto"/>
          </w:tcPr>
          <w:p w:rsidR="00025E58" w:rsidRPr="00EC44C2" w:rsidRDefault="00025E58" w:rsidP="00E756A6">
            <w:pPr>
              <w:jc w:val="center"/>
              <w:rPr>
                <w:b/>
                <w:sz w:val="22"/>
                <w:szCs w:val="22"/>
                <w:lang w:val="bg-BG"/>
              </w:rPr>
            </w:pPr>
            <w:r w:rsidRPr="00EC44C2">
              <w:rPr>
                <w:b/>
                <w:sz w:val="22"/>
                <w:szCs w:val="22"/>
                <w:lang w:val="bg-BG"/>
              </w:rPr>
              <w:t>Наименование на кандидата</w:t>
            </w:r>
          </w:p>
        </w:tc>
        <w:tc>
          <w:tcPr>
            <w:tcW w:w="1986" w:type="dxa"/>
            <w:shd w:val="clear" w:color="auto" w:fill="auto"/>
          </w:tcPr>
          <w:p w:rsidR="00025E58" w:rsidRPr="00EC44C2" w:rsidRDefault="00025E58" w:rsidP="00E756A6">
            <w:pPr>
              <w:jc w:val="center"/>
              <w:rPr>
                <w:b/>
                <w:sz w:val="22"/>
                <w:szCs w:val="22"/>
                <w:lang w:val="bg-BG"/>
              </w:rPr>
            </w:pPr>
            <w:r w:rsidRPr="00EC44C2">
              <w:rPr>
                <w:b/>
                <w:sz w:val="22"/>
                <w:szCs w:val="22"/>
                <w:lang w:val="bg-BG"/>
              </w:rPr>
              <w:t>Наименование на проектното предложение</w:t>
            </w:r>
          </w:p>
        </w:tc>
        <w:tc>
          <w:tcPr>
            <w:tcW w:w="7308" w:type="dxa"/>
            <w:shd w:val="clear" w:color="auto" w:fill="auto"/>
          </w:tcPr>
          <w:p w:rsidR="00025E58" w:rsidRPr="00EC44C2" w:rsidRDefault="00025E58" w:rsidP="00E756A6">
            <w:pPr>
              <w:jc w:val="center"/>
              <w:rPr>
                <w:b/>
                <w:sz w:val="22"/>
                <w:szCs w:val="22"/>
                <w:lang w:val="bg-BG"/>
              </w:rPr>
            </w:pPr>
            <w:r w:rsidRPr="00EC44C2">
              <w:rPr>
                <w:b/>
                <w:sz w:val="22"/>
                <w:szCs w:val="22"/>
                <w:lang w:val="bg-BG"/>
              </w:rPr>
              <w:t>Основание за отхвърляне</w:t>
            </w:r>
          </w:p>
          <w:p w:rsidR="00025E58" w:rsidRPr="00EC44C2" w:rsidRDefault="00025E58" w:rsidP="00E756A6">
            <w:pPr>
              <w:jc w:val="center"/>
              <w:rPr>
                <w:b/>
                <w:i/>
                <w:sz w:val="22"/>
                <w:szCs w:val="22"/>
                <w:lang w:val="bg-BG"/>
              </w:rPr>
            </w:pPr>
            <w:r w:rsidRPr="00EC44C2">
              <w:rPr>
                <w:b/>
                <w:i/>
                <w:sz w:val="22"/>
                <w:szCs w:val="22"/>
                <w:lang w:val="bg-BG"/>
              </w:rPr>
              <w:t xml:space="preserve">(посочват се конкретните основания, а не само препратки към документите и условията, които не са изпълнени) </w:t>
            </w:r>
          </w:p>
        </w:tc>
      </w:tr>
      <w:tr w:rsidR="006748B6" w:rsidRPr="00EC44C2" w:rsidTr="0042523E">
        <w:trPr>
          <w:trHeight w:val="990"/>
        </w:trPr>
        <w:tc>
          <w:tcPr>
            <w:tcW w:w="468" w:type="dxa"/>
            <w:shd w:val="clear" w:color="auto" w:fill="auto"/>
          </w:tcPr>
          <w:p w:rsidR="006748B6" w:rsidRPr="00EC44C2" w:rsidRDefault="006748B6" w:rsidP="00E756A6">
            <w:pPr>
              <w:jc w:val="center"/>
              <w:rPr>
                <w:b/>
                <w:lang w:val="bg-BG"/>
              </w:rPr>
            </w:pPr>
            <w:r w:rsidRPr="00EC44C2">
              <w:rPr>
                <w:b/>
                <w:lang w:val="bg-BG"/>
              </w:rPr>
              <w:t>1.</w:t>
            </w:r>
          </w:p>
        </w:tc>
        <w:tc>
          <w:tcPr>
            <w:tcW w:w="1565" w:type="dxa"/>
            <w:shd w:val="clear" w:color="auto" w:fill="auto"/>
          </w:tcPr>
          <w:p w:rsidR="006748B6" w:rsidRPr="00EC44C2" w:rsidRDefault="00EC44C2" w:rsidP="00A55D3F">
            <w:pPr>
              <w:jc w:val="center"/>
              <w:rPr>
                <w:b/>
                <w:lang w:val="bg-BG"/>
              </w:rPr>
            </w:pPr>
            <w:r w:rsidRPr="00EC44C2">
              <w:rPr>
                <w:b/>
                <w:lang w:val="bg-BG"/>
              </w:rPr>
              <w:t>BG14MFOP001-4.1</w:t>
            </w:r>
            <w:r w:rsidR="00A55D3F">
              <w:rPr>
                <w:b/>
                <w:lang w:val="bg-BG"/>
              </w:rPr>
              <w:t>10</w:t>
            </w:r>
            <w:r w:rsidRPr="00EC44C2">
              <w:rPr>
                <w:b/>
                <w:lang w:val="bg-BG"/>
              </w:rPr>
              <w:t>-0001</w:t>
            </w:r>
          </w:p>
        </w:tc>
        <w:tc>
          <w:tcPr>
            <w:tcW w:w="2186" w:type="dxa"/>
            <w:shd w:val="clear" w:color="auto" w:fill="auto"/>
          </w:tcPr>
          <w:p w:rsidR="006748B6" w:rsidRPr="00EC44C2" w:rsidRDefault="00AD69E1" w:rsidP="00E756A6">
            <w:pPr>
              <w:jc w:val="center"/>
              <w:rPr>
                <w:b/>
                <w:lang w:val="bg-BG"/>
              </w:rPr>
            </w:pPr>
            <w:r w:rsidRPr="00AD69E1">
              <w:rPr>
                <w:b/>
                <w:lang w:val="bg-BG"/>
              </w:rPr>
              <w:t>„</w:t>
            </w:r>
            <w:r>
              <w:rPr>
                <w:b/>
                <w:lang w:val="bg-BG"/>
              </w:rPr>
              <w:t>МЕДИНВЕС</w:t>
            </w:r>
            <w:r w:rsidR="0042523E">
              <w:rPr>
                <w:b/>
                <w:lang w:val="bg-BG"/>
              </w:rPr>
              <w:t>Т</w:t>
            </w:r>
            <w:r w:rsidRPr="00AD69E1">
              <w:rPr>
                <w:b/>
                <w:lang w:val="bg-BG"/>
              </w:rPr>
              <w:t>“</w:t>
            </w:r>
            <w:r w:rsidRPr="00EC44C2">
              <w:rPr>
                <w:b/>
                <w:lang w:val="bg-BG"/>
              </w:rPr>
              <w:t xml:space="preserve"> </w:t>
            </w:r>
            <w:r w:rsidR="00EC44C2" w:rsidRPr="00EC44C2">
              <w:rPr>
                <w:b/>
                <w:lang w:val="bg-BG"/>
              </w:rPr>
              <w:t>ЕООД</w:t>
            </w:r>
          </w:p>
        </w:tc>
        <w:tc>
          <w:tcPr>
            <w:tcW w:w="1986" w:type="dxa"/>
            <w:shd w:val="clear" w:color="auto" w:fill="auto"/>
          </w:tcPr>
          <w:p w:rsidR="006748B6" w:rsidRPr="00EC44C2" w:rsidRDefault="00AC19D5" w:rsidP="00AD69E1">
            <w:pPr>
              <w:jc w:val="center"/>
              <w:rPr>
                <w:b/>
                <w:lang w:val="bg-BG"/>
              </w:rPr>
            </w:pPr>
            <w:r>
              <w:rPr>
                <w:b/>
                <w:lang w:val="bg-BG"/>
              </w:rPr>
              <w:t>„</w:t>
            </w:r>
            <w:r w:rsidR="00AD69E1" w:rsidRPr="00AD69E1">
              <w:rPr>
                <w:b/>
                <w:lang w:val="bg-BG"/>
              </w:rPr>
              <w:t>Създаване на допълнит</w:t>
            </w:r>
            <w:r w:rsidR="00AD69E1">
              <w:rPr>
                <w:b/>
                <w:lang w:val="bg-BG"/>
              </w:rPr>
              <w:t xml:space="preserve">елни форми на доход в </w:t>
            </w:r>
            <w:proofErr w:type="spellStart"/>
            <w:r w:rsidR="00AD69E1">
              <w:rPr>
                <w:b/>
                <w:lang w:val="bg-BG"/>
              </w:rPr>
              <w:t>Мединвест</w:t>
            </w:r>
            <w:proofErr w:type="spellEnd"/>
            <w:r w:rsidR="00AD69E1">
              <w:rPr>
                <w:b/>
                <w:lang w:val="bg-BG"/>
              </w:rPr>
              <w:t>“</w:t>
            </w:r>
          </w:p>
        </w:tc>
        <w:tc>
          <w:tcPr>
            <w:tcW w:w="7308" w:type="dxa"/>
            <w:shd w:val="clear" w:color="auto" w:fill="auto"/>
          </w:tcPr>
          <w:p w:rsidR="008D1DD1" w:rsidRPr="008D1DD1" w:rsidRDefault="008D1DD1" w:rsidP="008D1DD1">
            <w:pPr>
              <w:ind w:firstLine="720"/>
              <w:jc w:val="both"/>
              <w:rPr>
                <w:lang w:val="bg-BG"/>
              </w:rPr>
            </w:pPr>
            <w:r w:rsidRPr="008D1DD1">
              <w:rPr>
                <w:lang w:val="bg-BG"/>
              </w:rPr>
              <w:t>След извършване на оценка за административно съответствие и допустимост на проектно предложение № BG14MFOP001-4.110-0001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w:t>
            </w:r>
            <w:proofErr w:type="spellStart"/>
            <w:r w:rsidRPr="008D1DD1">
              <w:rPr>
                <w:lang w:val="bg-BG"/>
              </w:rPr>
              <w:t>Обн</w:t>
            </w:r>
            <w:proofErr w:type="spellEnd"/>
            <w:r w:rsidRPr="008D1DD1">
              <w:rPr>
                <w:lang w:val="bg-BG"/>
              </w:rPr>
              <w:t xml:space="preserve">. ДВ, бр. 51 от 2022 г.), е установено следното: </w:t>
            </w:r>
          </w:p>
          <w:p w:rsidR="008D1DD1" w:rsidRPr="008D1DD1" w:rsidRDefault="008D1DD1" w:rsidP="008D1DD1">
            <w:pPr>
              <w:ind w:firstLine="720"/>
              <w:jc w:val="both"/>
              <w:rPr>
                <w:lang w:val="bg-BG"/>
              </w:rPr>
            </w:pPr>
            <w:r w:rsidRPr="008D1DD1">
              <w:rPr>
                <w:lang w:val="bg-BG"/>
              </w:rPr>
              <w:lastRenderedPageBreak/>
              <w:t xml:space="preserve">Проектното предложение не отговаря на Критерий № 3 „Налице са всички изискуеми документи и са попълнени съгласно изискванията, посочени в т. 26 от Условията за кандидатстване по настоящата процедура.“ от Приложение № 4а „Критерии и методология за оценка на проектните предложения по процедура за подбор на проекти № BG14MFOP001-4.110 „Диверсификация и нови форми на доход на територията на МИРГ Бургас – Камено“. </w:t>
            </w:r>
          </w:p>
          <w:p w:rsidR="008D1DD1" w:rsidRPr="008D1DD1" w:rsidRDefault="008D1DD1" w:rsidP="008D1DD1">
            <w:pPr>
              <w:ind w:firstLine="720"/>
              <w:jc w:val="both"/>
              <w:rPr>
                <w:lang w:val="bg-BG"/>
              </w:rPr>
            </w:pPr>
            <w:r w:rsidRPr="008D1DD1">
              <w:rPr>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8D1DD1">
              <w:rPr>
                <w:lang w:val="bg-BG"/>
              </w:rPr>
              <w:t>нередовности</w:t>
            </w:r>
            <w:proofErr w:type="spellEnd"/>
            <w:r w:rsidRPr="008D1DD1">
              <w:rPr>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 отстраняването на </w:t>
            </w:r>
            <w:proofErr w:type="spellStart"/>
            <w:r w:rsidRPr="008D1DD1">
              <w:rPr>
                <w:lang w:val="bg-BG"/>
              </w:rPr>
              <w:t>нередовностите</w:t>
            </w:r>
            <w:proofErr w:type="spellEnd"/>
            <w:r w:rsidRPr="008D1DD1">
              <w:rPr>
                <w:lang w:val="bg-BG"/>
              </w:rPr>
              <w:t xml:space="preserve"> в срок може да доведе до прекратяване на производството по отношение на кандидата. Отстраняването на </w:t>
            </w:r>
            <w:proofErr w:type="spellStart"/>
            <w:r w:rsidRPr="008D1DD1">
              <w:rPr>
                <w:lang w:val="bg-BG"/>
              </w:rPr>
              <w:t>нередовностите</w:t>
            </w:r>
            <w:proofErr w:type="spellEnd"/>
            <w:r w:rsidRPr="008D1DD1">
              <w:rPr>
                <w:lang w:val="bg-BG"/>
              </w:rPr>
              <w:t xml:space="preserve"> не може да води до подобряване на качеството на проектното предложение.“, във връзка с точка 26. „Списък на документите, които се подават на етап кандидатстване“ от Условия за кандидатстване, на 31.08.2022 г. чрез Модул „Комуникация“ в ИСУН 2020 е изпратено уведомление с регистрационен номер BG14MFOP001-4.110-0001-M002, с което е поискана допълнителна информация от кандидата. Указан е срок до 10.09.2022 г., в който да бъдат предоставени долуописаните липсващи документи и информация, а именно: </w:t>
            </w:r>
          </w:p>
          <w:p w:rsidR="008D1DD1" w:rsidRPr="008D1DD1" w:rsidRDefault="008D1DD1" w:rsidP="008D1DD1">
            <w:pPr>
              <w:ind w:firstLine="720"/>
              <w:jc w:val="both"/>
              <w:rPr>
                <w:lang w:val="bg-BG"/>
              </w:rPr>
            </w:pPr>
            <w:r w:rsidRPr="008D1DD1">
              <w:rPr>
                <w:lang w:val="bg-BG"/>
              </w:rPr>
              <w:t xml:space="preserve">1. </w:t>
            </w:r>
            <w:r w:rsidRPr="008D1DD1">
              <w:rPr>
                <w:lang w:val="bg-BG"/>
              </w:rPr>
              <w:tab/>
              <w:t xml:space="preserve">Обяснителна записка, от която да става ясно  какво включва предвидената „иновативна и атрактивна туристическа услуга“, както и допълнителна информация по поставените въпроси: </w:t>
            </w:r>
          </w:p>
          <w:p w:rsidR="008D1DD1" w:rsidRPr="008D1DD1" w:rsidRDefault="008D1DD1" w:rsidP="008D1DD1">
            <w:pPr>
              <w:ind w:firstLine="720"/>
              <w:jc w:val="both"/>
              <w:rPr>
                <w:lang w:val="bg-BG"/>
              </w:rPr>
            </w:pPr>
            <w:r w:rsidRPr="008D1DD1">
              <w:rPr>
                <w:lang w:val="bg-BG"/>
              </w:rPr>
              <w:t>-</w:t>
            </w:r>
            <w:r w:rsidRPr="008D1DD1">
              <w:rPr>
                <w:lang w:val="bg-BG"/>
              </w:rPr>
              <w:tab/>
              <w:t>как и къде ще бъде разположен предвиденият „Плаващ док“ и „5 бр. плаващи барбекюта“;</w:t>
            </w:r>
          </w:p>
          <w:p w:rsidR="008D1DD1" w:rsidRPr="008D1DD1" w:rsidRDefault="008D1DD1" w:rsidP="008D1DD1">
            <w:pPr>
              <w:ind w:firstLine="720"/>
              <w:jc w:val="both"/>
              <w:rPr>
                <w:lang w:val="bg-BG"/>
              </w:rPr>
            </w:pPr>
            <w:r w:rsidRPr="008D1DD1">
              <w:rPr>
                <w:lang w:val="bg-BG"/>
              </w:rPr>
              <w:t>-</w:t>
            </w:r>
            <w:r w:rsidRPr="008D1DD1">
              <w:rPr>
                <w:lang w:val="bg-BG"/>
              </w:rPr>
              <w:tab/>
              <w:t>предвидени ли са обособени места за сядане, колко броя, схема на разположение на местата;</w:t>
            </w:r>
          </w:p>
          <w:p w:rsidR="008D1DD1" w:rsidRPr="008D1DD1" w:rsidRDefault="008D1DD1" w:rsidP="008D1DD1">
            <w:pPr>
              <w:ind w:firstLine="720"/>
              <w:jc w:val="both"/>
              <w:rPr>
                <w:lang w:val="bg-BG"/>
              </w:rPr>
            </w:pPr>
            <w:r w:rsidRPr="008D1DD1">
              <w:rPr>
                <w:lang w:val="bg-BG"/>
              </w:rPr>
              <w:t>-</w:t>
            </w:r>
            <w:r w:rsidRPr="008D1DD1">
              <w:rPr>
                <w:lang w:val="bg-BG"/>
              </w:rPr>
              <w:tab/>
              <w:t xml:space="preserve">каква храна ще се предлага, кой ще я предлага, предвиден ли е обслужващ персонал, предвид заложената </w:t>
            </w:r>
            <w:r w:rsidRPr="008D1DD1">
              <w:rPr>
                <w:lang w:val="bg-BG"/>
              </w:rPr>
              <w:lastRenderedPageBreak/>
              <w:t>възможност за закупуване на риба от собствен улов.</w:t>
            </w:r>
          </w:p>
          <w:p w:rsidR="008D1DD1" w:rsidRPr="008D1DD1" w:rsidRDefault="008D1DD1" w:rsidP="008D1DD1">
            <w:pPr>
              <w:ind w:firstLine="720"/>
              <w:jc w:val="both"/>
              <w:rPr>
                <w:lang w:val="bg-BG"/>
              </w:rPr>
            </w:pPr>
            <w:r w:rsidRPr="008D1DD1">
              <w:rPr>
                <w:lang w:val="bg-BG"/>
              </w:rPr>
              <w:t>2.</w:t>
            </w:r>
            <w:r w:rsidRPr="008D1DD1">
              <w:rPr>
                <w:lang w:val="bg-BG"/>
              </w:rPr>
              <w:tab/>
              <w:t xml:space="preserve">Пояснение относно </w:t>
            </w:r>
            <w:proofErr w:type="spellStart"/>
            <w:r w:rsidRPr="008D1DD1">
              <w:rPr>
                <w:lang w:val="bg-BG"/>
              </w:rPr>
              <w:t>местодомуването</w:t>
            </w:r>
            <w:proofErr w:type="spellEnd"/>
            <w:r w:rsidRPr="008D1DD1">
              <w:rPr>
                <w:lang w:val="bg-BG"/>
              </w:rPr>
              <w:t xml:space="preserve"> на предвидената за закупуване сервизна лодка и съпътстващи документи. </w:t>
            </w:r>
          </w:p>
          <w:p w:rsidR="008D1DD1" w:rsidRPr="008D1DD1" w:rsidRDefault="008D1DD1" w:rsidP="008D1DD1">
            <w:pPr>
              <w:ind w:firstLine="720"/>
              <w:jc w:val="both"/>
              <w:rPr>
                <w:lang w:val="bg-BG"/>
              </w:rPr>
            </w:pPr>
            <w:r w:rsidRPr="008D1DD1">
              <w:rPr>
                <w:lang w:val="bg-BG"/>
              </w:rPr>
              <w:t>3.</w:t>
            </w:r>
            <w:r w:rsidRPr="008D1DD1">
              <w:rPr>
                <w:lang w:val="bg-BG"/>
              </w:rPr>
              <w:tab/>
              <w:t xml:space="preserve">Принципно изрично съгласие или анекс към представения договор от наемодателя ОП “Общински имоти“ относно промяната на предназначението на наетия обект за „4 броя корабни места и право на престой на плавателни съдове“ във връзка с инвестицията – „Доставка и пускане в </w:t>
            </w:r>
            <w:proofErr w:type="spellStart"/>
            <w:r w:rsidRPr="008D1DD1">
              <w:rPr>
                <w:lang w:val="bg-BG"/>
              </w:rPr>
              <w:t>експолатация</w:t>
            </w:r>
            <w:proofErr w:type="spellEnd"/>
            <w:r w:rsidRPr="008D1DD1">
              <w:rPr>
                <w:lang w:val="bg-BG"/>
              </w:rPr>
              <w:t xml:space="preserve"> на 5 броя плаващи барбекюта, сервизна лодка и понтон“.</w:t>
            </w:r>
          </w:p>
          <w:p w:rsidR="008D1DD1" w:rsidRPr="008D1DD1" w:rsidRDefault="008D1DD1" w:rsidP="008D1DD1">
            <w:pPr>
              <w:ind w:firstLine="720"/>
              <w:jc w:val="both"/>
              <w:rPr>
                <w:lang w:val="bg-BG"/>
              </w:rPr>
            </w:pPr>
            <w:r w:rsidRPr="008D1DD1">
              <w:rPr>
                <w:lang w:val="bg-BG"/>
              </w:rPr>
              <w:t xml:space="preserve">- </w:t>
            </w:r>
            <w:r w:rsidRPr="008D1DD1">
              <w:rPr>
                <w:lang w:val="bg-BG"/>
              </w:rPr>
              <w:tab/>
              <w:t>Схема на съхранение на 5 броя плаващи барбекюта, сервизна лодка и понтон на наетите 4 броя корабни места, отчитайки и наличната рибарска лодка Вероника.</w:t>
            </w:r>
          </w:p>
          <w:p w:rsidR="008D1DD1" w:rsidRPr="008D1DD1" w:rsidRDefault="008D1DD1" w:rsidP="008D1DD1">
            <w:pPr>
              <w:ind w:firstLine="720"/>
              <w:jc w:val="both"/>
              <w:rPr>
                <w:lang w:val="bg-BG"/>
              </w:rPr>
            </w:pPr>
            <w:r w:rsidRPr="008D1DD1">
              <w:rPr>
                <w:lang w:val="bg-BG"/>
              </w:rPr>
              <w:t>4.</w:t>
            </w:r>
            <w:r w:rsidRPr="008D1DD1">
              <w:rPr>
                <w:lang w:val="bg-BG"/>
              </w:rPr>
              <w:tab/>
              <w:t>Разрешително за реализиране на инвестициите - плаващи понтони и плаващи барбекюта, свързани с ползване на воден обект, съгласно изискванията на чл. 46, ал. 1 т. 1 от Закона за водите и в съответствие с Наредбата за ползване на повърхностни води, приета с ПМС № 352/2016 г.</w:t>
            </w:r>
          </w:p>
          <w:p w:rsidR="008D1DD1" w:rsidRPr="008D1DD1" w:rsidRDefault="008D1DD1" w:rsidP="008D1DD1">
            <w:pPr>
              <w:ind w:firstLine="720"/>
              <w:jc w:val="both"/>
              <w:rPr>
                <w:lang w:val="bg-BG"/>
              </w:rPr>
            </w:pPr>
            <w:r w:rsidRPr="008D1DD1">
              <w:rPr>
                <w:lang w:val="bg-BG"/>
              </w:rPr>
              <w:t>5.</w:t>
            </w:r>
            <w:r w:rsidRPr="008D1DD1">
              <w:rPr>
                <w:lang w:val="bg-BG"/>
              </w:rPr>
              <w:tab/>
              <w:t xml:space="preserve">Валиден документ, в изпълнение на т. 5. и т. 6 от Раздел 26. Списък на документите, които се подават на етап кандидатстване от ФК „Решение за преценяване на необходимостта от извършване на оценка на въздействието върху околната среда или решение по оценка на въздействие върху околната среда или документ, издаден от компетентен орган, че инвестицията, обект на проектното предложение не попада в обхвата на преценяване на необходимостта от извършване на ОВОС, предвид това, че представеното становище от РИОСВ – Бургас с изх.№ ПД-1695-(1) от 08.06.2022 г. не включва всички планирани за изпълнение разходи, съгласно т. 5  Бюджет от ФК. </w:t>
            </w:r>
          </w:p>
          <w:p w:rsidR="008D1DD1" w:rsidRPr="008D1DD1" w:rsidRDefault="008D1DD1" w:rsidP="008D1DD1">
            <w:pPr>
              <w:ind w:firstLine="720"/>
              <w:jc w:val="both"/>
              <w:rPr>
                <w:lang w:val="bg-BG"/>
              </w:rPr>
            </w:pPr>
            <w:r w:rsidRPr="008D1DD1">
              <w:rPr>
                <w:lang w:val="bg-BG"/>
              </w:rPr>
              <w:t>6.</w:t>
            </w:r>
            <w:r w:rsidRPr="008D1DD1">
              <w:rPr>
                <w:lang w:val="bg-BG"/>
              </w:rPr>
              <w:tab/>
              <w:t>Свидетелство за съдимост на ГЕОРГИ СИМЕОНОВ АГАФОНОВ, управител на „</w:t>
            </w:r>
            <w:proofErr w:type="spellStart"/>
            <w:r w:rsidRPr="008D1DD1">
              <w:rPr>
                <w:lang w:val="bg-BG"/>
              </w:rPr>
              <w:t>Мединвест</w:t>
            </w:r>
            <w:proofErr w:type="spellEnd"/>
            <w:r w:rsidRPr="008D1DD1">
              <w:rPr>
                <w:lang w:val="bg-BG"/>
              </w:rPr>
              <w:t>“ ЕООД, поради невъзможност за извършване на проверка по служебен път от УО на ПМДР.</w:t>
            </w:r>
          </w:p>
          <w:p w:rsidR="008D1DD1" w:rsidRPr="008D1DD1" w:rsidRDefault="008D1DD1" w:rsidP="008D1DD1">
            <w:pPr>
              <w:ind w:firstLine="720"/>
              <w:jc w:val="both"/>
              <w:rPr>
                <w:lang w:val="bg-BG"/>
              </w:rPr>
            </w:pPr>
            <w:r w:rsidRPr="008D1DD1">
              <w:rPr>
                <w:lang w:val="bg-BG"/>
              </w:rPr>
              <w:t>7.</w:t>
            </w:r>
            <w:r w:rsidRPr="008D1DD1">
              <w:rPr>
                <w:lang w:val="bg-BG"/>
              </w:rPr>
              <w:tab/>
              <w:t xml:space="preserve">Удостоверение от Националната агенция за приходите за липса на задължения на кандидат-оригинал или копие, заверено </w:t>
            </w:r>
            <w:r w:rsidRPr="008D1DD1">
              <w:rPr>
                <w:lang w:val="bg-BG"/>
              </w:rPr>
              <w:lastRenderedPageBreak/>
              <w:t xml:space="preserve">от кандидата;  </w:t>
            </w:r>
          </w:p>
          <w:p w:rsidR="008D1DD1" w:rsidRPr="008D1DD1" w:rsidRDefault="008D1DD1" w:rsidP="008D1DD1">
            <w:pPr>
              <w:ind w:firstLine="720"/>
              <w:jc w:val="both"/>
              <w:rPr>
                <w:lang w:val="bg-BG"/>
              </w:rPr>
            </w:pPr>
            <w:r w:rsidRPr="008D1DD1">
              <w:rPr>
                <w:lang w:val="bg-BG"/>
              </w:rPr>
              <w:t xml:space="preserve">или 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кандидата за последната приключена финансова година, но не повече от 50 000 лв.  - оригинал или копие, заверено от кандидата;  </w:t>
            </w:r>
          </w:p>
          <w:p w:rsidR="008D1DD1" w:rsidRPr="008D1DD1" w:rsidRDefault="008D1DD1" w:rsidP="008D1DD1">
            <w:pPr>
              <w:ind w:firstLine="720"/>
              <w:jc w:val="both"/>
              <w:rPr>
                <w:lang w:val="bg-BG"/>
              </w:rPr>
            </w:pPr>
            <w:r w:rsidRPr="008D1DD1">
              <w:rPr>
                <w:lang w:val="bg-BG"/>
              </w:rPr>
              <w:t>или  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8D1DD1" w:rsidRPr="008D1DD1" w:rsidRDefault="008D1DD1" w:rsidP="008D1DD1">
            <w:pPr>
              <w:ind w:firstLine="720"/>
              <w:jc w:val="both"/>
              <w:rPr>
                <w:lang w:val="bg-BG"/>
              </w:rPr>
            </w:pPr>
            <w:r w:rsidRPr="008D1DD1">
              <w:rPr>
                <w:lang w:val="bg-BG"/>
              </w:rPr>
              <w:t>8.</w:t>
            </w:r>
            <w:r w:rsidRPr="008D1DD1">
              <w:rPr>
                <w:lang w:val="bg-BG"/>
              </w:rPr>
              <w:tab/>
              <w:t xml:space="preserve">Съгласно т. 11. Допустими кандидати от УК „За получаване на безвъзмездна финансова помощ могат да кандидатстват еднолични търговци (ЕТ) или юридически лица, регистрирани по Търговския закон, които развиват дейност в сектор „Рибарство“ и: </w:t>
            </w:r>
          </w:p>
          <w:p w:rsidR="008D1DD1" w:rsidRPr="008D1DD1" w:rsidRDefault="008D1DD1" w:rsidP="008D1DD1">
            <w:pPr>
              <w:ind w:firstLine="720"/>
              <w:jc w:val="both"/>
              <w:rPr>
                <w:lang w:val="bg-BG"/>
              </w:rPr>
            </w:pPr>
            <w:r w:rsidRPr="008D1DD1">
              <w:rPr>
                <w:lang w:val="bg-BG"/>
              </w:rPr>
              <w:t xml:space="preserve">3. притежават подходящи професионални умения, които могат да бъдат придобити чрез операции, финансирани съгласно чл. 29, параграф 1, буква „а“ от Регламент (ЕС) 508/2014, както следва: професионалното обучение, ученето през целия живот, съвместните проекти, разпространението на знания в икономическата, техническата, регулаторната и научната област и иновативни практики, както и придобиването на нови професионални умения, хигиената, здравето, безопасността, иновациите и предприемачеството.“ </w:t>
            </w:r>
          </w:p>
          <w:p w:rsidR="008D1DD1" w:rsidRPr="008D1DD1" w:rsidRDefault="008D1DD1" w:rsidP="008D1DD1">
            <w:pPr>
              <w:ind w:firstLine="720"/>
              <w:jc w:val="both"/>
              <w:rPr>
                <w:lang w:val="bg-BG"/>
              </w:rPr>
            </w:pPr>
            <w:r w:rsidRPr="008D1DD1">
              <w:rPr>
                <w:lang w:val="bg-BG"/>
              </w:rPr>
              <w:t>Във връзка с гореизложеното, е изискан документ, доказващ притежаваните професионални умения към момента на кандидатстването или декларация, че кандидатът е запознат с изисквания по т. 11 от УК и поема ангажимент за предоставянето му на етап окончателно плащане.</w:t>
            </w:r>
          </w:p>
          <w:p w:rsidR="008D1DD1" w:rsidRPr="008D1DD1" w:rsidRDefault="008D1DD1" w:rsidP="008D1DD1">
            <w:pPr>
              <w:ind w:firstLine="720"/>
              <w:jc w:val="both"/>
              <w:rPr>
                <w:lang w:val="bg-BG"/>
              </w:rPr>
            </w:pPr>
            <w:r w:rsidRPr="008D1DD1">
              <w:rPr>
                <w:lang w:val="bg-BG"/>
              </w:rPr>
              <w:t>9.</w:t>
            </w:r>
            <w:r w:rsidRPr="008D1DD1">
              <w:rPr>
                <w:lang w:val="bg-BG"/>
              </w:rPr>
              <w:tab/>
            </w:r>
            <w:r w:rsidR="00743682" w:rsidRPr="00743682">
              <w:rPr>
                <w:lang w:val="bg-BG"/>
              </w:rPr>
              <w:t>Обяснителна записка, от която да става ясно от кого е изготвена представената схема на понтон, както и как съответства на представената оферта от „Синхрон“ ООД.</w:t>
            </w:r>
            <w:bookmarkStart w:id="0" w:name="_GoBack"/>
            <w:bookmarkEnd w:id="0"/>
          </w:p>
          <w:p w:rsidR="008D1DD1" w:rsidRPr="008D1DD1" w:rsidRDefault="008D1DD1" w:rsidP="008D1DD1">
            <w:pPr>
              <w:ind w:firstLine="720"/>
              <w:jc w:val="both"/>
              <w:rPr>
                <w:lang w:val="bg-BG"/>
              </w:rPr>
            </w:pPr>
            <w:r w:rsidRPr="008D1DD1">
              <w:rPr>
                <w:lang w:val="bg-BG"/>
              </w:rPr>
              <w:lastRenderedPageBreak/>
              <w:t>10.</w:t>
            </w:r>
            <w:r w:rsidRPr="008D1DD1">
              <w:rPr>
                <w:lang w:val="bg-BG"/>
              </w:rPr>
              <w:tab/>
              <w:t>В изпълнение на изискванията на т. 11 от Раздел  26. Списък на документите, които се подават на етап кандидатстване от УК, е изискан „Одобрен инвестиционен проект, изработен във фаза „Технически проект” или „Работен проект” в съответствие със Закона за устройство на територията /ЗУТ/ и Наредба № 4 от 2001 г. за обхвата и съдържанието на инвестиционните проекти (</w:t>
            </w:r>
            <w:proofErr w:type="spellStart"/>
            <w:r w:rsidRPr="008D1DD1">
              <w:rPr>
                <w:lang w:val="bg-BG"/>
              </w:rPr>
              <w:t>обн</w:t>
            </w:r>
            <w:proofErr w:type="spellEnd"/>
            <w:r w:rsidRPr="008D1DD1">
              <w:rPr>
                <w:lang w:val="bg-BG"/>
              </w:rPr>
              <w:t xml:space="preserve">., ДВ., бр. 51 от 2001 г.).  </w:t>
            </w:r>
          </w:p>
          <w:p w:rsidR="008D1DD1" w:rsidRPr="008D1DD1" w:rsidRDefault="008D1DD1" w:rsidP="008D1DD1">
            <w:pPr>
              <w:ind w:firstLine="720"/>
              <w:jc w:val="both"/>
              <w:rPr>
                <w:lang w:val="bg-BG"/>
              </w:rPr>
            </w:pPr>
            <w:r w:rsidRPr="008D1DD1">
              <w:rPr>
                <w:lang w:val="bg-BG"/>
              </w:rPr>
              <w:t>11.</w:t>
            </w:r>
            <w:r w:rsidRPr="008D1DD1">
              <w:rPr>
                <w:lang w:val="bg-BG"/>
              </w:rPr>
              <w:tab/>
              <w:t xml:space="preserve">Допълнение към представената оферта от „Синхрон“ ООД, с подробно описание, посочена марка, модел, тип и др. характеристики за предвидените за закупуване плаващи барбекюта. </w:t>
            </w:r>
          </w:p>
          <w:p w:rsidR="008D1DD1" w:rsidRPr="008D1DD1" w:rsidRDefault="008D1DD1" w:rsidP="008D1DD1">
            <w:pPr>
              <w:ind w:firstLine="720"/>
              <w:jc w:val="both"/>
              <w:rPr>
                <w:lang w:val="bg-BG"/>
              </w:rPr>
            </w:pPr>
            <w:r w:rsidRPr="008D1DD1">
              <w:rPr>
                <w:lang w:val="bg-BG"/>
              </w:rPr>
              <w:t>12.</w:t>
            </w:r>
            <w:r w:rsidRPr="008D1DD1">
              <w:rPr>
                <w:lang w:val="bg-BG"/>
              </w:rPr>
              <w:tab/>
              <w:t xml:space="preserve">Допълнение към представената оферта от „Синхрон“ ООД с подробно описание, технически параметри, материал и др. характеристики за предвидения за изграждане „Плаващ док (по проект на възложителя)“ на стойност 49 167.00 лв. без ДДС. </w:t>
            </w:r>
          </w:p>
          <w:p w:rsidR="008D1DD1" w:rsidRPr="008D1DD1" w:rsidRDefault="008D1DD1" w:rsidP="008D1DD1">
            <w:pPr>
              <w:ind w:firstLine="720"/>
              <w:jc w:val="both"/>
              <w:rPr>
                <w:lang w:val="bg-BG"/>
              </w:rPr>
            </w:pPr>
            <w:r w:rsidRPr="008D1DD1">
              <w:rPr>
                <w:lang w:val="bg-BG"/>
              </w:rPr>
              <w:t>13.</w:t>
            </w:r>
            <w:r w:rsidRPr="008D1DD1">
              <w:rPr>
                <w:lang w:val="bg-BG"/>
              </w:rPr>
              <w:tab/>
              <w:t xml:space="preserve">Съгласно представени данни в декларации за специфичен оборот, „Синхрон“ ООД е генерирало специфичен оборот, съответно за 2019 г.- 353 500 </w:t>
            </w:r>
            <w:proofErr w:type="spellStart"/>
            <w:r w:rsidRPr="008D1DD1">
              <w:rPr>
                <w:lang w:val="bg-BG"/>
              </w:rPr>
              <w:t>лв</w:t>
            </w:r>
            <w:proofErr w:type="spellEnd"/>
            <w:r w:rsidR="00B26C20">
              <w:rPr>
                <w:lang w:val="en-US"/>
              </w:rPr>
              <w:t>.</w:t>
            </w:r>
            <w:r w:rsidRPr="008D1DD1">
              <w:rPr>
                <w:lang w:val="bg-BG"/>
              </w:rPr>
              <w:t>, 2020 г.- 351 900 лв. и 2021 – 414 700 лв., като е представен само Отчет за приходите и разходите за 2021 г., а съгласно УК „- годишният оборот, който се отнася до предложения в офертата разход/разходи (специфичен оборот) през някоя от или общо от предходните три приключили финансови години, в зависимост от датата на която оферентът е учреден или започнал дейността си, да е равен или по-голям от стойността на предложения в офертата разход/и. Изискването за специфичен оборот се доказва от оферента със справка – декларация, подписана от счетоводителя и лицето представляващо по закон оферента. Справката трябва да е придружена от Отчет за приходите и разходите за последните три приключили финансови години, в зависимост от датата на която оферентът е учреден или е започнал дейността си, и годишни финансови отчети“.</w:t>
            </w:r>
          </w:p>
          <w:p w:rsidR="008D1DD1" w:rsidRPr="008D1DD1" w:rsidRDefault="008D1DD1" w:rsidP="008D1DD1">
            <w:pPr>
              <w:ind w:firstLine="720"/>
              <w:jc w:val="both"/>
              <w:rPr>
                <w:lang w:val="bg-BG"/>
              </w:rPr>
            </w:pPr>
            <w:r w:rsidRPr="008D1DD1">
              <w:rPr>
                <w:lang w:val="bg-BG"/>
              </w:rPr>
              <w:t xml:space="preserve">След извършена служебна справка на сайта на оферента https://synchronsport.bg/, е установено, че същият предлага „риболовни принадлежности, лодки и двигатели, водолазна, </w:t>
            </w:r>
            <w:proofErr w:type="spellStart"/>
            <w:r w:rsidRPr="008D1DD1">
              <w:rPr>
                <w:lang w:val="bg-BG"/>
              </w:rPr>
              <w:t>харпунджийска</w:t>
            </w:r>
            <w:proofErr w:type="spellEnd"/>
            <w:r w:rsidRPr="008D1DD1">
              <w:rPr>
                <w:lang w:val="bg-BG"/>
              </w:rPr>
              <w:t xml:space="preserve"> екипировка, средства за техническо гмуркане, </w:t>
            </w:r>
            <w:proofErr w:type="spellStart"/>
            <w:r w:rsidRPr="008D1DD1">
              <w:rPr>
                <w:lang w:val="bg-BG"/>
              </w:rPr>
              <w:lastRenderedPageBreak/>
              <w:t>фридайвинг</w:t>
            </w:r>
            <w:proofErr w:type="spellEnd"/>
            <w:r w:rsidRPr="008D1DD1">
              <w:rPr>
                <w:lang w:val="bg-BG"/>
              </w:rPr>
              <w:t xml:space="preserve"> и други стоки свързани с водните спортове и риболова.“, но не и плаващи барбекюта и понтони. </w:t>
            </w:r>
          </w:p>
          <w:p w:rsidR="008D1DD1" w:rsidRPr="008D1DD1" w:rsidRDefault="008D1DD1" w:rsidP="008D1DD1">
            <w:pPr>
              <w:ind w:firstLine="720"/>
              <w:jc w:val="both"/>
              <w:rPr>
                <w:lang w:val="bg-BG"/>
              </w:rPr>
            </w:pPr>
            <w:r w:rsidRPr="008D1DD1">
              <w:rPr>
                <w:lang w:val="bg-BG"/>
              </w:rPr>
              <w:t>Във връзка</w:t>
            </w:r>
            <w:r w:rsidR="00D15540">
              <w:rPr>
                <w:lang w:val="bg-BG"/>
              </w:rPr>
              <w:t xml:space="preserve"> с горепосоченото, на кандидата</w:t>
            </w:r>
            <w:r w:rsidRPr="008D1DD1">
              <w:rPr>
                <w:lang w:val="bg-BG"/>
              </w:rPr>
              <w:t xml:space="preserve"> са изискани копия на финансови и счетоводни документи, които се прилагат към справката</w:t>
            </w:r>
            <w:r w:rsidR="00D15540">
              <w:rPr>
                <w:lang w:val="bg-BG"/>
              </w:rPr>
              <w:t xml:space="preserve"> </w:t>
            </w:r>
            <w:r w:rsidRPr="008D1DD1">
              <w:rPr>
                <w:lang w:val="bg-BG"/>
              </w:rPr>
              <w:t xml:space="preserve">- декларация, като доказателство за декларираният в справката-декларация оборот. </w:t>
            </w:r>
          </w:p>
          <w:p w:rsidR="008D1DD1" w:rsidRPr="008D1DD1" w:rsidRDefault="008D1DD1" w:rsidP="008D1DD1">
            <w:pPr>
              <w:ind w:firstLine="720"/>
              <w:jc w:val="both"/>
              <w:rPr>
                <w:lang w:val="bg-BG"/>
              </w:rPr>
            </w:pPr>
            <w:r w:rsidRPr="008D1DD1">
              <w:rPr>
                <w:lang w:val="bg-BG"/>
              </w:rPr>
              <w:t>14.</w:t>
            </w:r>
            <w:r w:rsidRPr="008D1DD1">
              <w:rPr>
                <w:lang w:val="bg-BG"/>
              </w:rPr>
              <w:tab/>
              <w:t>Съгласно данни от представен Отчет за приходите и разходите за 2021 г. на „</w:t>
            </w:r>
            <w:proofErr w:type="spellStart"/>
            <w:r w:rsidRPr="008D1DD1">
              <w:rPr>
                <w:lang w:val="bg-BG"/>
              </w:rPr>
              <w:t>Мединвест</w:t>
            </w:r>
            <w:proofErr w:type="spellEnd"/>
            <w:r w:rsidRPr="008D1DD1">
              <w:rPr>
                <w:lang w:val="bg-BG"/>
              </w:rPr>
              <w:t xml:space="preserve">“ ЕООД, дружеството е генерирало приходи в размер на 10 000 лв. от услуги от код от КИД-2008 (74) „Други професионални дейности“. Съгласно данни от ФК „Основната услуга ще включва и продажба на собствен улов на клиентите, което също ще помогне за увеличаване на добавената стойност на улова.“ </w:t>
            </w:r>
          </w:p>
          <w:p w:rsidR="008D1DD1" w:rsidRPr="008D1DD1" w:rsidRDefault="008D1DD1" w:rsidP="008D1DD1">
            <w:pPr>
              <w:ind w:firstLine="720"/>
              <w:jc w:val="both"/>
              <w:rPr>
                <w:lang w:val="bg-BG"/>
              </w:rPr>
            </w:pPr>
            <w:r w:rsidRPr="008D1DD1">
              <w:rPr>
                <w:lang w:val="bg-BG"/>
              </w:rPr>
              <w:t xml:space="preserve">Изискана е обяснителна записка и подробна информация ведно с допълнителни документи, от които да е видно коя е основната, извършвана дейност на фирмата, която ще се </w:t>
            </w:r>
            <w:proofErr w:type="spellStart"/>
            <w:r w:rsidRPr="008D1DD1">
              <w:rPr>
                <w:lang w:val="bg-BG"/>
              </w:rPr>
              <w:t>диверсифицира</w:t>
            </w:r>
            <w:proofErr w:type="spellEnd"/>
            <w:r w:rsidRPr="008D1DD1">
              <w:rPr>
                <w:lang w:val="bg-BG"/>
              </w:rPr>
              <w:t xml:space="preserve"> с предвидената нова услуга, предмет на настоящето проектното предложение, ведно с надлежни финансово-счетоводни документи, доказващи основната риболовна дейност на съответния рибар, във връзка </w:t>
            </w:r>
            <w:proofErr w:type="spellStart"/>
            <w:r w:rsidRPr="008D1DD1">
              <w:rPr>
                <w:lang w:val="bg-BG"/>
              </w:rPr>
              <w:t>съследният</w:t>
            </w:r>
            <w:proofErr w:type="spellEnd"/>
            <w:r w:rsidRPr="008D1DD1">
              <w:rPr>
                <w:lang w:val="bg-BG"/>
              </w:rPr>
              <w:t xml:space="preserve"> текст в раздел 14 от УК: „Важно: Безвъзмездната финансова помощ се предоставя само при условие, че допълващите дейности са свързани с основната риболовна дейност на съответния рибар.“</w:t>
            </w:r>
          </w:p>
          <w:p w:rsidR="008D1DD1" w:rsidRPr="008D1DD1" w:rsidRDefault="008D1DD1" w:rsidP="008D1DD1">
            <w:pPr>
              <w:ind w:firstLine="720"/>
              <w:jc w:val="both"/>
              <w:rPr>
                <w:lang w:val="bg-BG"/>
              </w:rPr>
            </w:pPr>
            <w:r w:rsidRPr="008D1DD1">
              <w:rPr>
                <w:lang w:val="bg-BG"/>
              </w:rPr>
              <w:t>Във връзка с гореизложеното,</w:t>
            </w:r>
            <w:r w:rsidR="00F154B3">
              <w:rPr>
                <w:lang w:val="en-US"/>
              </w:rPr>
              <w:t xml:space="preserve"> </w:t>
            </w:r>
            <w:r w:rsidRPr="008D1DD1">
              <w:rPr>
                <w:lang w:val="bg-BG"/>
              </w:rPr>
              <w:t xml:space="preserve">също са изискани доказателства за извършване на основната дейност на дружеството, като представители на </w:t>
            </w:r>
            <w:proofErr w:type="spellStart"/>
            <w:r w:rsidRPr="008D1DD1">
              <w:rPr>
                <w:lang w:val="bg-BG"/>
              </w:rPr>
              <w:t>дребномащабния</w:t>
            </w:r>
            <w:proofErr w:type="spellEnd"/>
            <w:r w:rsidRPr="008D1DD1">
              <w:rPr>
                <w:lang w:val="bg-BG"/>
              </w:rPr>
              <w:t xml:space="preserve"> крайбрежен риболов (риболовни дейности и др.) и обяснителна записка за заложените в т. 8  Индикатори от ФК:</w:t>
            </w:r>
          </w:p>
          <w:p w:rsidR="008D1DD1" w:rsidRPr="008D1DD1" w:rsidRDefault="008D1DD1" w:rsidP="008D1DD1">
            <w:pPr>
              <w:ind w:firstLine="720"/>
              <w:jc w:val="both"/>
              <w:rPr>
                <w:lang w:val="bg-BG"/>
              </w:rPr>
            </w:pPr>
            <w:r w:rsidRPr="008D1DD1">
              <w:rPr>
                <w:lang w:val="bg-BG"/>
              </w:rPr>
              <w:t>-</w:t>
            </w:r>
            <w:r w:rsidRPr="008D1DD1">
              <w:rPr>
                <w:lang w:val="bg-BG"/>
              </w:rPr>
              <w:tab/>
              <w:t xml:space="preserve">(7) Подпомогнати представители на </w:t>
            </w:r>
            <w:proofErr w:type="spellStart"/>
            <w:r w:rsidRPr="008D1DD1">
              <w:rPr>
                <w:lang w:val="bg-BG"/>
              </w:rPr>
              <w:t>дребномащабния</w:t>
            </w:r>
            <w:proofErr w:type="spellEnd"/>
            <w:r w:rsidRPr="008D1DD1">
              <w:rPr>
                <w:lang w:val="bg-BG"/>
              </w:rPr>
              <w:t xml:space="preserve"> крайбрежен риболов;</w:t>
            </w:r>
          </w:p>
          <w:p w:rsidR="008D1DD1" w:rsidRPr="008D1DD1" w:rsidRDefault="008D1DD1" w:rsidP="008D1DD1">
            <w:pPr>
              <w:ind w:firstLine="720"/>
              <w:jc w:val="both"/>
              <w:rPr>
                <w:lang w:val="bg-BG"/>
              </w:rPr>
            </w:pPr>
            <w:r w:rsidRPr="008D1DD1">
              <w:rPr>
                <w:lang w:val="bg-BG"/>
              </w:rPr>
              <w:t>-</w:t>
            </w:r>
            <w:r w:rsidRPr="008D1DD1">
              <w:rPr>
                <w:lang w:val="bg-BG"/>
              </w:rPr>
              <w:tab/>
              <w:t>(8) Проекти, допринасящи за добавена стойност на собствения улов на рибаря;</w:t>
            </w:r>
          </w:p>
          <w:p w:rsidR="008D1DD1" w:rsidRPr="008D1DD1" w:rsidRDefault="008D1DD1" w:rsidP="008D1DD1">
            <w:pPr>
              <w:ind w:firstLine="720"/>
              <w:jc w:val="both"/>
              <w:rPr>
                <w:lang w:val="bg-BG"/>
              </w:rPr>
            </w:pPr>
            <w:r w:rsidRPr="008D1DD1">
              <w:rPr>
                <w:lang w:val="bg-BG"/>
              </w:rPr>
              <w:t>15.</w:t>
            </w:r>
            <w:r w:rsidRPr="008D1DD1">
              <w:rPr>
                <w:lang w:val="bg-BG"/>
              </w:rPr>
              <w:tab/>
              <w:t xml:space="preserve">Обяснителна записка относно спазването на принципите на икономичност, ефикасност и ефективност, във </w:t>
            </w:r>
            <w:r w:rsidRPr="008D1DD1">
              <w:rPr>
                <w:lang w:val="bg-BG"/>
              </w:rPr>
              <w:lastRenderedPageBreak/>
              <w:t xml:space="preserve">връзка с предвидената инвестиция, както и съобразно текста в раздел 16, точка 20 от УК, че не са допустими за финансиране от ЕФМДР: „закупуване на луксозни плавателни съдове, задвижвани с помощта на платна или двигател, с цел спорт, туризъм, развлечение и </w:t>
            </w:r>
            <w:proofErr w:type="spellStart"/>
            <w:r w:rsidRPr="008D1DD1">
              <w:rPr>
                <w:lang w:val="bg-BG"/>
              </w:rPr>
              <w:t>водноатракционни</w:t>
            </w:r>
            <w:proofErr w:type="spellEnd"/>
            <w:r w:rsidRPr="008D1DD1">
              <w:rPr>
                <w:lang w:val="bg-BG"/>
              </w:rPr>
              <w:t xml:space="preserve"> услуги.“</w:t>
            </w:r>
          </w:p>
          <w:p w:rsidR="008D1DD1" w:rsidRPr="008D1DD1" w:rsidRDefault="008D1DD1" w:rsidP="008D1DD1">
            <w:pPr>
              <w:ind w:firstLine="720"/>
              <w:jc w:val="both"/>
              <w:rPr>
                <w:lang w:val="bg-BG"/>
              </w:rPr>
            </w:pPr>
            <w:r w:rsidRPr="008D1DD1">
              <w:rPr>
                <w:lang w:val="bg-BG"/>
              </w:rPr>
              <w:t>Като насока на кандидата е дадена препратка към изискванията на чл. 2, т. 59 от Финансовия регламент „добро финансово управление“ означава изпълнение на бюджета в съответствие с принципите на икономичност, ефикасност и ефективност. Съгласно чл. 33, параграф 1, букви а), б) и в) на Финансовия регламент: а) принципът икономичност се отнасят за ресурсите, използвани от съответната инвестиция за осъществяване на нейните дейности, в подходящо количество и качество и на най-добрата цена; б) ефикасността се отнася до най-доброто съотношение между използваните ресурси, предприетите дейности и постигането на целите; в) принципът на ефективност е свързан с най-доброто съотношение между използваните ресурси, предприетите дейности и постигането на целите.</w:t>
            </w:r>
          </w:p>
          <w:p w:rsidR="008D1DD1" w:rsidRPr="008D1DD1" w:rsidRDefault="008D1DD1" w:rsidP="008D1DD1">
            <w:pPr>
              <w:ind w:firstLine="720"/>
              <w:jc w:val="both"/>
              <w:rPr>
                <w:lang w:val="bg-BG"/>
              </w:rPr>
            </w:pPr>
            <w:r w:rsidRPr="008D1DD1">
              <w:rPr>
                <w:lang w:val="bg-BG"/>
              </w:rPr>
              <w:t>16.</w:t>
            </w:r>
            <w:r w:rsidRPr="008D1DD1">
              <w:rPr>
                <w:lang w:val="bg-BG"/>
              </w:rPr>
              <w:tab/>
              <w:t>Приложение № 1 Декларация за обстоятелствата по чл. 3 и чл. 4 от Закона за малките и средните предприятия, представена в цялост, с попълнени данни за свързаните с „</w:t>
            </w:r>
            <w:proofErr w:type="spellStart"/>
            <w:r w:rsidRPr="008D1DD1">
              <w:rPr>
                <w:lang w:val="bg-BG"/>
              </w:rPr>
              <w:t>Мединвест</w:t>
            </w:r>
            <w:proofErr w:type="spellEnd"/>
            <w:r w:rsidRPr="008D1DD1">
              <w:rPr>
                <w:lang w:val="bg-BG"/>
              </w:rPr>
              <w:t xml:space="preserve">“ ЕООД предприятия и предприятия – партньори, тъй като същата е представена непълна. </w:t>
            </w:r>
          </w:p>
          <w:p w:rsidR="008D1DD1" w:rsidRPr="008D1DD1" w:rsidRDefault="008D1DD1" w:rsidP="008D1DD1">
            <w:pPr>
              <w:ind w:firstLine="720"/>
              <w:jc w:val="both"/>
              <w:rPr>
                <w:lang w:val="bg-BG"/>
              </w:rPr>
            </w:pPr>
            <w:r w:rsidRPr="008D1DD1">
              <w:rPr>
                <w:lang w:val="bg-BG"/>
              </w:rPr>
              <w:t>17.</w:t>
            </w:r>
            <w:r w:rsidRPr="008D1DD1">
              <w:rPr>
                <w:lang w:val="bg-BG"/>
              </w:rPr>
              <w:tab/>
              <w:t xml:space="preserve">Обяснителна записка от кандидата, с посочен начин за осигуряване на </w:t>
            </w:r>
            <w:proofErr w:type="spellStart"/>
            <w:r w:rsidRPr="008D1DD1">
              <w:rPr>
                <w:lang w:val="bg-BG"/>
              </w:rPr>
              <w:t>обезопасителни</w:t>
            </w:r>
            <w:proofErr w:type="spellEnd"/>
            <w:r w:rsidRPr="008D1DD1">
              <w:rPr>
                <w:lang w:val="bg-BG"/>
              </w:rPr>
              <w:t xml:space="preserve"> жилетки и котва, предвид данни от представена инвентарна книга към 13.06.2022 г., че </w:t>
            </w:r>
            <w:proofErr w:type="spellStart"/>
            <w:r w:rsidRPr="008D1DD1">
              <w:rPr>
                <w:lang w:val="bg-BG"/>
              </w:rPr>
              <w:t>Мединвест</w:t>
            </w:r>
            <w:proofErr w:type="spellEnd"/>
            <w:r w:rsidRPr="008D1DD1">
              <w:rPr>
                <w:lang w:val="bg-BG"/>
              </w:rPr>
              <w:t xml:space="preserve">“ ЕООД не притежава такива, а същевременно съгласно т. 7. План за изпълнение / Дейности по проекта от ФК, предлаганата услуга включва „наем на барбекю с електрически мотор, </w:t>
            </w:r>
            <w:proofErr w:type="spellStart"/>
            <w:r w:rsidRPr="008D1DD1">
              <w:rPr>
                <w:lang w:val="bg-BG"/>
              </w:rPr>
              <w:t>обезопасителни</w:t>
            </w:r>
            <w:proofErr w:type="spellEnd"/>
            <w:r w:rsidRPr="008D1DD1">
              <w:rPr>
                <w:lang w:val="bg-BG"/>
              </w:rPr>
              <w:t xml:space="preserve"> жилетки и котва“. </w:t>
            </w:r>
          </w:p>
          <w:p w:rsidR="008D1DD1" w:rsidRPr="008D1DD1" w:rsidRDefault="008D1DD1" w:rsidP="008D1DD1">
            <w:pPr>
              <w:ind w:firstLine="720"/>
              <w:jc w:val="both"/>
              <w:rPr>
                <w:lang w:val="bg-BG"/>
              </w:rPr>
            </w:pPr>
            <w:r w:rsidRPr="008D1DD1">
              <w:rPr>
                <w:lang w:val="bg-BG"/>
              </w:rPr>
              <w:t>18.</w:t>
            </w:r>
            <w:r w:rsidRPr="008D1DD1">
              <w:rPr>
                <w:lang w:val="bg-BG"/>
              </w:rPr>
              <w:tab/>
              <w:t>Обяснителна записка, във връзка с участието на „Морско дело и рибарство“ ЕООД, ЕИК: 204819547 в МИРГ Бургас-Камено и възникнали съмнения за конфликт на интереси съгласно буква „о“ от раздел 12 на УК.</w:t>
            </w:r>
          </w:p>
          <w:p w:rsidR="008D1DD1" w:rsidRPr="008D1DD1" w:rsidRDefault="008D1DD1" w:rsidP="008D1DD1">
            <w:pPr>
              <w:ind w:firstLine="720"/>
              <w:jc w:val="both"/>
              <w:rPr>
                <w:lang w:val="bg-BG"/>
              </w:rPr>
            </w:pPr>
            <w:r w:rsidRPr="008D1DD1">
              <w:rPr>
                <w:lang w:val="bg-BG"/>
              </w:rPr>
              <w:lastRenderedPageBreak/>
              <w:t xml:space="preserve">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w:t>
            </w:r>
            <w:proofErr w:type="spellStart"/>
            <w:r w:rsidRPr="008D1DD1">
              <w:rPr>
                <w:lang w:val="bg-BG"/>
              </w:rPr>
              <w:t>Евратом</w:t>
            </w:r>
            <w:proofErr w:type="spellEnd"/>
            <w:r w:rsidRPr="008D1DD1">
              <w:rPr>
                <w:lang w:val="bg-BG"/>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8D1DD1">
              <w:rPr>
                <w:lang w:val="bg-BG"/>
              </w:rPr>
              <w:t>Евратом</w:t>
            </w:r>
            <w:proofErr w:type="spellEnd"/>
            <w:r w:rsidRPr="008D1DD1">
              <w:rPr>
                <w:lang w:val="bg-BG"/>
              </w:rPr>
              <w:t>) № 966/2012,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rsidR="008D1DD1" w:rsidRPr="008D1DD1" w:rsidRDefault="008D1DD1" w:rsidP="008D1DD1">
            <w:pPr>
              <w:ind w:firstLine="720"/>
              <w:jc w:val="both"/>
              <w:rPr>
                <w:lang w:val="bg-BG"/>
              </w:rPr>
            </w:pPr>
            <w:r w:rsidRPr="008D1DD1">
              <w:rPr>
                <w:lang w:val="bg-BG"/>
              </w:rPr>
              <w:t>19.</w:t>
            </w:r>
            <w:r w:rsidRPr="008D1DD1">
              <w:rPr>
                <w:lang w:val="bg-BG"/>
              </w:rPr>
              <w:tab/>
              <w:t>Отчет за заетите лица, средствата за работна заплата и други разходи за труд за последната финансова година на „</w:t>
            </w:r>
            <w:proofErr w:type="spellStart"/>
            <w:r w:rsidRPr="008D1DD1">
              <w:rPr>
                <w:lang w:val="bg-BG"/>
              </w:rPr>
              <w:t>Мединвест</w:t>
            </w:r>
            <w:proofErr w:type="spellEnd"/>
            <w:r w:rsidRPr="008D1DD1">
              <w:rPr>
                <w:lang w:val="bg-BG"/>
              </w:rPr>
              <w:t>“ ЕООД.</w:t>
            </w:r>
          </w:p>
          <w:p w:rsidR="008D1DD1" w:rsidRPr="008D1DD1" w:rsidRDefault="008D1DD1" w:rsidP="008D1DD1">
            <w:pPr>
              <w:ind w:firstLine="720"/>
              <w:jc w:val="both"/>
              <w:rPr>
                <w:lang w:val="bg-BG"/>
              </w:rPr>
            </w:pPr>
            <w:r w:rsidRPr="008D1DD1">
              <w:rPr>
                <w:lang w:val="bg-BG"/>
              </w:rPr>
              <w:t>Кандидатът не е отговорил на комуникацията в регламентирания срок, не е предоставил изисканите допълнително информация и документи, с което прави невъзможно извършването на оценката на проектното предложение. Съгласно изискванията, посочени в Условията за кандидатстване на процедурата, раздел 26: „</w:t>
            </w:r>
            <w:proofErr w:type="spellStart"/>
            <w:r w:rsidRPr="008D1DD1">
              <w:rPr>
                <w:lang w:val="bg-BG"/>
              </w:rPr>
              <w:t>Неотстраняването</w:t>
            </w:r>
            <w:proofErr w:type="spellEnd"/>
            <w:r w:rsidRPr="008D1DD1">
              <w:rPr>
                <w:lang w:val="bg-BG"/>
              </w:rPr>
              <w:t xml:space="preserve"> на </w:t>
            </w:r>
            <w:proofErr w:type="spellStart"/>
            <w:r w:rsidRPr="008D1DD1">
              <w:rPr>
                <w:lang w:val="bg-BG"/>
              </w:rPr>
              <w:t>нередовностите</w:t>
            </w:r>
            <w:proofErr w:type="spellEnd"/>
            <w:r w:rsidRPr="008D1DD1">
              <w:rPr>
                <w:lang w:val="bg-BG"/>
              </w:rPr>
              <w:t xml:space="preserve"> в срок може да доведе до прекратяване на производството по отношение на кандидата, до получаване на по-малък брой точки от проектното предложение или до редуциране на разходи в бюджета на проекта.“</w:t>
            </w:r>
          </w:p>
          <w:p w:rsidR="008D1DD1" w:rsidRPr="008D1DD1" w:rsidRDefault="008D1DD1" w:rsidP="008D1DD1">
            <w:pPr>
              <w:ind w:firstLine="720"/>
              <w:jc w:val="both"/>
              <w:rPr>
                <w:lang w:val="bg-BG"/>
              </w:rPr>
            </w:pPr>
            <w:r w:rsidRPr="008D1DD1">
              <w:rPr>
                <w:lang w:val="bg-BG"/>
              </w:rPr>
              <w:t>В изпълнение на разпоредбата на чл. 34, ал. 2 на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rsidR="008D1DD1" w:rsidRPr="008D1DD1" w:rsidRDefault="008D1DD1" w:rsidP="008D1DD1">
            <w:pPr>
              <w:ind w:firstLine="720"/>
              <w:jc w:val="both"/>
              <w:rPr>
                <w:lang w:val="bg-BG"/>
              </w:rPr>
            </w:pPr>
            <w:r w:rsidRPr="008D1DD1">
              <w:rPr>
                <w:lang w:val="bg-BG"/>
              </w:rPr>
              <w:t xml:space="preserve">В допълнение, липсата на представени надлежни финансово-счетоводни документи, доказващи основната риболовна дейност на </w:t>
            </w:r>
            <w:r w:rsidRPr="008D1DD1">
              <w:rPr>
                <w:lang w:val="bg-BG"/>
              </w:rPr>
              <w:lastRenderedPageBreak/>
              <w:t>„</w:t>
            </w:r>
            <w:proofErr w:type="spellStart"/>
            <w:r w:rsidRPr="008D1DD1">
              <w:rPr>
                <w:lang w:val="bg-BG"/>
              </w:rPr>
              <w:t>Мединвест</w:t>
            </w:r>
            <w:proofErr w:type="spellEnd"/>
            <w:r w:rsidRPr="008D1DD1">
              <w:rPr>
                <w:lang w:val="bg-BG"/>
              </w:rPr>
              <w:t xml:space="preserve">“ ЕООД, която ще се </w:t>
            </w:r>
            <w:proofErr w:type="spellStart"/>
            <w:r w:rsidRPr="008D1DD1">
              <w:rPr>
                <w:lang w:val="bg-BG"/>
              </w:rPr>
              <w:t>диверсифицира</w:t>
            </w:r>
            <w:proofErr w:type="spellEnd"/>
            <w:r w:rsidRPr="008D1DD1">
              <w:rPr>
                <w:lang w:val="bg-BG"/>
              </w:rPr>
              <w:t xml:space="preserve"> с предвидената нова услуга, във връзка следният текст в раздел 14 от УК: „Важно: Безвъзмездната финансова помощ се предоставя само при условие, че допълващите дейности са свързани с основната риболовна дейност на съответния рибар.“, не може да бъде направено заключение, че „</w:t>
            </w:r>
            <w:proofErr w:type="spellStart"/>
            <w:r w:rsidRPr="008D1DD1">
              <w:rPr>
                <w:lang w:val="bg-BG"/>
              </w:rPr>
              <w:t>Мединвест</w:t>
            </w:r>
            <w:proofErr w:type="spellEnd"/>
            <w:r w:rsidRPr="008D1DD1">
              <w:rPr>
                <w:lang w:val="bg-BG"/>
              </w:rPr>
              <w:t>“ ЕООД отговаря на Критерий № 4 „Кандидатът е допустим съгласно изискванията в т. 11 от Условия за кандидатстване по настоящата процедура“ и на Критерий № 5 „Включените в проекта дейности са допустими за финансиране съгласно изискванията в т. 14 от Условия за кандидатстване по настоящата процедура“ от Приложение № 4а към УК.</w:t>
            </w:r>
          </w:p>
          <w:p w:rsidR="008D1DD1" w:rsidRPr="008D1DD1" w:rsidRDefault="008D1DD1" w:rsidP="008D1DD1">
            <w:pPr>
              <w:ind w:firstLine="720"/>
              <w:jc w:val="both"/>
              <w:rPr>
                <w:lang w:val="bg-BG"/>
              </w:rPr>
            </w:pPr>
            <w:r w:rsidRPr="008D1DD1">
              <w:rPr>
                <w:lang w:val="bg-BG"/>
              </w:rPr>
              <w:t>Съгласно Приложение № 4а към Условията за кандидатстване при несъответствие с някое от посочените изисквания проектното предложение се отхвърля.</w:t>
            </w:r>
          </w:p>
          <w:p w:rsidR="006748B6" w:rsidRPr="00EC44C2" w:rsidRDefault="008D1DD1" w:rsidP="008D1DD1">
            <w:pPr>
              <w:ind w:firstLine="720"/>
              <w:jc w:val="both"/>
              <w:rPr>
                <w:lang w:val="bg-BG"/>
              </w:rPr>
            </w:pPr>
            <w:r w:rsidRPr="008D1DD1">
              <w:rPr>
                <w:lang w:val="bg-BG"/>
              </w:rPr>
              <w:t>Поради изложените по-горе аргументи, проектно предложение с рег. № BG14MFOP001-4.110-0001  е включено в Списъка на проектните предложения, които не се допускат до етап Техническа и финансова оценка, по настоящата процедура.</w:t>
            </w:r>
          </w:p>
        </w:tc>
      </w:tr>
    </w:tbl>
    <w:p w:rsidR="00025E58" w:rsidRPr="00EC44C2" w:rsidRDefault="00025E58">
      <w:pPr>
        <w:rPr>
          <w:lang w:val="bg-BG"/>
        </w:rPr>
      </w:pPr>
    </w:p>
    <w:p w:rsidR="00CD2ADF" w:rsidRPr="00EC44C2" w:rsidRDefault="00CD2ADF" w:rsidP="000215B4">
      <w:pPr>
        <w:jc w:val="both"/>
        <w:rPr>
          <w:lang w:val="bg-BG"/>
        </w:rPr>
      </w:pPr>
      <w:r w:rsidRPr="00EC44C2">
        <w:rPr>
          <w:lang w:val="bg-BG"/>
        </w:rPr>
        <w:t xml:space="preserve">ЗАБЕЛЕЖКА: </w:t>
      </w:r>
    </w:p>
    <w:p w:rsidR="00CD2ADF" w:rsidRPr="00EC44C2" w:rsidRDefault="00CD2ADF" w:rsidP="000215B4">
      <w:pPr>
        <w:jc w:val="both"/>
        <w:rPr>
          <w:lang w:val="bg-BG"/>
        </w:rPr>
      </w:pPr>
      <w:r w:rsidRPr="00EC44C2">
        <w:rPr>
          <w:lang w:val="bg-BG"/>
        </w:rPr>
        <w:t>Съгласно р</w:t>
      </w:r>
      <w:r w:rsidR="000E48E5" w:rsidRPr="00EC44C2">
        <w:rPr>
          <w:lang w:val="bg-BG"/>
        </w:rPr>
        <w:t xml:space="preserve">азпоредбите на чл. 34, ал. 3 от Закона за управление на средствата от Европейските фондове при споделено управление (Загл. изм. - ДВ, бр. 51 от 2022 г., в сила от 01.07.2022 г.) (ЗУСЕФСУ) </w:t>
      </w:r>
      <w:r w:rsidR="000E48E5" w:rsidRPr="00EC44C2">
        <w:rPr>
          <w:color w:val="222222"/>
          <w:shd w:val="clear" w:color="auto" w:fill="FFFFFF"/>
          <w:lang w:val="bg-BG"/>
        </w:rPr>
        <w:t xml:space="preserve">и </w:t>
      </w:r>
      <w:r w:rsidR="000E48E5" w:rsidRPr="00EC44C2">
        <w:rPr>
          <w:lang w:val="bg-BG"/>
        </w:rPr>
        <w:t>§ 70 от Преходните и заключителни разпоредби към ЗИД на ЗУСЕСИФ</w:t>
      </w:r>
      <w:r w:rsidRPr="00EC44C2">
        <w:rPr>
          <w:lang w:val="bg-BG"/>
        </w:rPr>
        <w:t>,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p>
    <w:p w:rsidR="00CD2ADF" w:rsidRPr="00EC44C2" w:rsidRDefault="00CD2ADF" w:rsidP="000215B4">
      <w:pPr>
        <w:jc w:val="both"/>
        <w:rPr>
          <w:lang w:val="bg-BG"/>
        </w:rPr>
      </w:pPr>
    </w:p>
    <w:sectPr w:rsidR="00CD2ADF" w:rsidRPr="00EC44C2" w:rsidSect="00025E58">
      <w:pgSz w:w="15840" w:h="12240" w:orient="landscape"/>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0CB1"/>
    <w:multiLevelType w:val="hybridMultilevel"/>
    <w:tmpl w:val="37D40732"/>
    <w:lvl w:ilvl="0" w:tplc="63B23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B2DCF"/>
    <w:multiLevelType w:val="hybridMultilevel"/>
    <w:tmpl w:val="78D04B20"/>
    <w:lvl w:ilvl="0" w:tplc="64463166">
      <w:start w:val="1"/>
      <w:numFmt w:val="low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42B60EDE"/>
    <w:multiLevelType w:val="hybridMultilevel"/>
    <w:tmpl w:val="F866EC32"/>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 w15:restartNumberingAfterBreak="0">
    <w:nsid w:val="6A4813D3"/>
    <w:multiLevelType w:val="hybridMultilevel"/>
    <w:tmpl w:val="5F64F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ED02C9"/>
    <w:multiLevelType w:val="hybridMultilevel"/>
    <w:tmpl w:val="30CC7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58"/>
    <w:rsid w:val="000104BA"/>
    <w:rsid w:val="000215B4"/>
    <w:rsid w:val="00025E58"/>
    <w:rsid w:val="000412AC"/>
    <w:rsid w:val="00044408"/>
    <w:rsid w:val="00044CEB"/>
    <w:rsid w:val="000475CA"/>
    <w:rsid w:val="00091EBF"/>
    <w:rsid w:val="000D61E5"/>
    <w:rsid w:val="000E48E5"/>
    <w:rsid w:val="001232EE"/>
    <w:rsid w:val="00143FAE"/>
    <w:rsid w:val="00183F60"/>
    <w:rsid w:val="00186777"/>
    <w:rsid w:val="00197FB7"/>
    <w:rsid w:val="001B1825"/>
    <w:rsid w:val="001C62E9"/>
    <w:rsid w:val="001F6238"/>
    <w:rsid w:val="002703C2"/>
    <w:rsid w:val="00270654"/>
    <w:rsid w:val="002A06B5"/>
    <w:rsid w:val="002D114A"/>
    <w:rsid w:val="00397201"/>
    <w:rsid w:val="003A7AD2"/>
    <w:rsid w:val="003D4F06"/>
    <w:rsid w:val="00404143"/>
    <w:rsid w:val="00411C10"/>
    <w:rsid w:val="004131A2"/>
    <w:rsid w:val="004157D7"/>
    <w:rsid w:val="0042523E"/>
    <w:rsid w:val="00426586"/>
    <w:rsid w:val="0044041A"/>
    <w:rsid w:val="004922E7"/>
    <w:rsid w:val="004A21CC"/>
    <w:rsid w:val="004B5779"/>
    <w:rsid w:val="004D73A0"/>
    <w:rsid w:val="004F1BAD"/>
    <w:rsid w:val="004F649E"/>
    <w:rsid w:val="005056A5"/>
    <w:rsid w:val="005262FB"/>
    <w:rsid w:val="00546D12"/>
    <w:rsid w:val="0055645E"/>
    <w:rsid w:val="005758B9"/>
    <w:rsid w:val="006309F8"/>
    <w:rsid w:val="006424C1"/>
    <w:rsid w:val="00664021"/>
    <w:rsid w:val="006717FC"/>
    <w:rsid w:val="006748B6"/>
    <w:rsid w:val="00723FE7"/>
    <w:rsid w:val="00743682"/>
    <w:rsid w:val="00745E5F"/>
    <w:rsid w:val="007509A4"/>
    <w:rsid w:val="007656FF"/>
    <w:rsid w:val="00767302"/>
    <w:rsid w:val="007873B7"/>
    <w:rsid w:val="0079197B"/>
    <w:rsid w:val="007F25F6"/>
    <w:rsid w:val="008246D7"/>
    <w:rsid w:val="00860617"/>
    <w:rsid w:val="008B3EA1"/>
    <w:rsid w:val="008D1DD1"/>
    <w:rsid w:val="00906609"/>
    <w:rsid w:val="009266D4"/>
    <w:rsid w:val="0093084A"/>
    <w:rsid w:val="0093219F"/>
    <w:rsid w:val="00971D91"/>
    <w:rsid w:val="009C7362"/>
    <w:rsid w:val="009F10FC"/>
    <w:rsid w:val="00A042AD"/>
    <w:rsid w:val="00A55D3F"/>
    <w:rsid w:val="00A60CE6"/>
    <w:rsid w:val="00A86FEC"/>
    <w:rsid w:val="00AA1B6A"/>
    <w:rsid w:val="00AB07F6"/>
    <w:rsid w:val="00AB7FE1"/>
    <w:rsid w:val="00AC19D5"/>
    <w:rsid w:val="00AD69E1"/>
    <w:rsid w:val="00B222B0"/>
    <w:rsid w:val="00B26C20"/>
    <w:rsid w:val="00B45446"/>
    <w:rsid w:val="00B632F4"/>
    <w:rsid w:val="00B72251"/>
    <w:rsid w:val="00C51A19"/>
    <w:rsid w:val="00C51EE9"/>
    <w:rsid w:val="00C74F44"/>
    <w:rsid w:val="00C875E9"/>
    <w:rsid w:val="00C97A10"/>
    <w:rsid w:val="00CD2ADF"/>
    <w:rsid w:val="00D15540"/>
    <w:rsid w:val="00D166C0"/>
    <w:rsid w:val="00D53E0C"/>
    <w:rsid w:val="00D60119"/>
    <w:rsid w:val="00D81A6C"/>
    <w:rsid w:val="00D9025C"/>
    <w:rsid w:val="00DC0198"/>
    <w:rsid w:val="00DE4F11"/>
    <w:rsid w:val="00E11693"/>
    <w:rsid w:val="00EA53E3"/>
    <w:rsid w:val="00EB1641"/>
    <w:rsid w:val="00EC44C2"/>
    <w:rsid w:val="00F154B3"/>
    <w:rsid w:val="00F33632"/>
    <w:rsid w:val="00F5302D"/>
    <w:rsid w:val="00F73A86"/>
    <w:rsid w:val="00F84B18"/>
    <w:rsid w:val="00FB4447"/>
    <w:rsid w:val="00FB6462"/>
    <w:rsid w:val="00FB6BC2"/>
    <w:rsid w:val="00FD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A216"/>
  <w15:docId w15:val="{1CFF7BD0-1C79-413E-87C9-4252C2FB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paragraph" w:styleId="BalloonText">
    <w:name w:val="Balloon Text"/>
    <w:basedOn w:val="Normal"/>
    <w:link w:val="BalloonTextChar"/>
    <w:uiPriority w:val="99"/>
    <w:semiHidden/>
    <w:unhideWhenUsed/>
    <w:rsid w:val="00183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60"/>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B72251"/>
    <w:rPr>
      <w:sz w:val="16"/>
      <w:szCs w:val="16"/>
    </w:rPr>
  </w:style>
  <w:style w:type="paragraph" w:styleId="CommentText">
    <w:name w:val="annotation text"/>
    <w:basedOn w:val="Normal"/>
    <w:link w:val="CommentTextChar"/>
    <w:uiPriority w:val="99"/>
    <w:semiHidden/>
    <w:unhideWhenUsed/>
    <w:rsid w:val="00B72251"/>
    <w:rPr>
      <w:sz w:val="20"/>
      <w:szCs w:val="20"/>
    </w:rPr>
  </w:style>
  <w:style w:type="character" w:customStyle="1" w:styleId="CommentTextChar">
    <w:name w:val="Comment Text Char"/>
    <w:basedOn w:val="DefaultParagraphFont"/>
    <w:link w:val="CommentText"/>
    <w:uiPriority w:val="99"/>
    <w:semiHidden/>
    <w:rsid w:val="00B7225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72251"/>
    <w:rPr>
      <w:b/>
      <w:bCs/>
    </w:rPr>
  </w:style>
  <w:style w:type="character" w:customStyle="1" w:styleId="CommentSubjectChar">
    <w:name w:val="Comment Subject Char"/>
    <w:basedOn w:val="CommentTextChar"/>
    <w:link w:val="CommentSubject"/>
    <w:uiPriority w:val="99"/>
    <w:semiHidden/>
    <w:rsid w:val="00B72251"/>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8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Boyanova</dc:creator>
  <cp:lastModifiedBy>Mariana Halacheva</cp:lastModifiedBy>
  <cp:revision>13</cp:revision>
  <dcterms:created xsi:type="dcterms:W3CDTF">2022-09-26T13:16:00Z</dcterms:created>
  <dcterms:modified xsi:type="dcterms:W3CDTF">2022-09-28T07:49:00Z</dcterms:modified>
</cp:coreProperties>
</file>