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0F" w:rsidRPr="00FF2A9A" w:rsidRDefault="003C150F" w:rsidP="00D40A1D">
      <w:pPr>
        <w:tabs>
          <w:tab w:val="left" w:pos="-180"/>
        </w:tabs>
        <w:spacing w:before="120" w:after="120" w:line="240" w:lineRule="auto"/>
        <w:ind w:left="6300"/>
        <w:jc w:val="both"/>
        <w:rPr>
          <w:rFonts w:ascii="Arial" w:eastAsia="Calibri" w:hAnsi="Arial" w:cs="Arial"/>
          <w:b/>
          <w:bCs/>
          <w:noProof w:val="0"/>
        </w:rPr>
      </w:pPr>
      <w:r w:rsidRPr="00FF2A9A">
        <w:rPr>
          <w:rFonts w:ascii="Arial" w:eastAsia="Calibri" w:hAnsi="Arial" w:cs="Arial"/>
          <w:b/>
          <w:bCs/>
          <w:noProof w:val="0"/>
        </w:rPr>
        <w:t>Приложение № 1</w:t>
      </w:r>
    </w:p>
    <w:p w:rsidR="00295FCA" w:rsidRPr="00D40A1D" w:rsidRDefault="003C150F" w:rsidP="00D40A1D">
      <w:pPr>
        <w:tabs>
          <w:tab w:val="left" w:pos="-180"/>
        </w:tabs>
        <w:spacing w:before="120" w:after="120" w:line="240" w:lineRule="auto"/>
        <w:ind w:left="6300"/>
        <w:jc w:val="both"/>
        <w:rPr>
          <w:rFonts w:ascii="Arial" w:eastAsia="Calibri" w:hAnsi="Arial" w:cs="Arial"/>
          <w:b/>
          <w:bCs/>
          <w:noProof w:val="0"/>
        </w:rPr>
      </w:pPr>
      <w:r w:rsidRPr="00FF2A9A">
        <w:rPr>
          <w:rFonts w:ascii="Arial" w:eastAsia="Calibri" w:hAnsi="Arial" w:cs="Arial"/>
          <w:b/>
          <w:bCs/>
          <w:noProof w:val="0"/>
        </w:rPr>
        <w:t>към Заповед №</w:t>
      </w:r>
      <w:r w:rsidR="001E058B" w:rsidRPr="00FF2A9A">
        <w:rPr>
          <w:rFonts w:ascii="Arial" w:eastAsia="Calibri" w:hAnsi="Arial" w:cs="Arial"/>
          <w:b/>
          <w:bCs/>
          <w:noProof w:val="0"/>
        </w:rPr>
        <w:t xml:space="preserve"> </w:t>
      </w:r>
      <w:r w:rsidR="00D40A1D" w:rsidRPr="00D40A1D">
        <w:rPr>
          <w:rFonts w:ascii="Arial" w:eastAsia="Calibri" w:hAnsi="Arial" w:cs="Arial"/>
          <w:b/>
          <w:bCs/>
          <w:noProof w:val="0"/>
          <w:lang w:val="en-US"/>
        </w:rPr>
        <w:t>МДР-ПП-09-</w:t>
      </w:r>
      <w:r w:rsidR="00452BF2">
        <w:rPr>
          <w:rFonts w:ascii="Arial" w:eastAsia="Calibri" w:hAnsi="Arial" w:cs="Arial"/>
          <w:b/>
          <w:bCs/>
          <w:noProof w:val="0"/>
          <w:lang w:val="en-US"/>
        </w:rPr>
        <w:t>141</w:t>
      </w:r>
      <w:r w:rsidR="00D40A1D">
        <w:rPr>
          <w:rFonts w:ascii="Arial" w:eastAsia="Calibri" w:hAnsi="Arial" w:cs="Arial"/>
          <w:b/>
          <w:bCs/>
          <w:noProof w:val="0"/>
          <w:lang w:val="en-US"/>
        </w:rPr>
        <w:t xml:space="preserve"> </w:t>
      </w:r>
      <w:r w:rsidR="00452BF2">
        <w:rPr>
          <w:rFonts w:ascii="Arial" w:eastAsia="Calibri" w:hAnsi="Arial" w:cs="Arial"/>
          <w:b/>
          <w:bCs/>
          <w:noProof w:val="0"/>
          <w:lang w:val="en-US"/>
        </w:rPr>
        <w:t>/ 29.09</w:t>
      </w:r>
      <w:bookmarkStart w:id="0" w:name="_GoBack"/>
      <w:bookmarkEnd w:id="0"/>
      <w:r w:rsidR="00D40A1D" w:rsidRPr="00D40A1D">
        <w:rPr>
          <w:rFonts w:ascii="Arial" w:eastAsia="Calibri" w:hAnsi="Arial" w:cs="Arial"/>
          <w:b/>
          <w:bCs/>
          <w:noProof w:val="0"/>
          <w:lang w:val="en-US"/>
        </w:rPr>
        <w:t>.2022</w:t>
      </w:r>
      <w:r w:rsidR="00D40A1D">
        <w:rPr>
          <w:rFonts w:ascii="Arial" w:eastAsia="Calibri" w:hAnsi="Arial" w:cs="Arial"/>
          <w:b/>
          <w:bCs/>
          <w:noProof w:val="0"/>
        </w:rPr>
        <w:t xml:space="preserve"> г.</w:t>
      </w:r>
    </w:p>
    <w:p w:rsidR="00295FCA" w:rsidRPr="00FF2A9A" w:rsidRDefault="00295FCA" w:rsidP="00FF2A9A">
      <w:pPr>
        <w:tabs>
          <w:tab w:val="left" w:pos="-180"/>
        </w:tabs>
        <w:spacing w:before="120" w:after="120" w:line="240" w:lineRule="auto"/>
        <w:jc w:val="both"/>
        <w:rPr>
          <w:rFonts w:ascii="Arial" w:eastAsia="Calibri" w:hAnsi="Arial" w:cs="Arial"/>
          <w:b/>
          <w:bCs/>
          <w:noProof w:val="0"/>
        </w:rPr>
      </w:pPr>
    </w:p>
    <w:p w:rsidR="00295FCA" w:rsidRPr="00FF2A9A" w:rsidRDefault="00295FCA"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BE1440" w:rsidRPr="00F647D0" w:rsidRDefault="00BE1440" w:rsidP="00F647D0">
      <w:pPr>
        <w:tabs>
          <w:tab w:val="left" w:pos="-180"/>
        </w:tabs>
        <w:spacing w:before="120" w:after="120" w:line="240" w:lineRule="auto"/>
        <w:jc w:val="center"/>
        <w:rPr>
          <w:rFonts w:ascii="Arial" w:eastAsia="Calibri" w:hAnsi="Arial" w:cs="Arial"/>
          <w:b/>
          <w:bCs/>
          <w:noProof w:val="0"/>
          <w:sz w:val="44"/>
          <w:szCs w:val="44"/>
        </w:rPr>
      </w:pPr>
      <w:r w:rsidRPr="00F647D0">
        <w:rPr>
          <w:rFonts w:ascii="Arial" w:eastAsia="Calibri" w:hAnsi="Arial" w:cs="Arial"/>
          <w:b/>
          <w:bCs/>
          <w:noProof w:val="0"/>
          <w:sz w:val="44"/>
          <w:szCs w:val="44"/>
        </w:rPr>
        <w:t>Условия за кандидатстване</w:t>
      </w:r>
    </w:p>
    <w:p w:rsidR="00BE1440" w:rsidRPr="00FF2A9A" w:rsidRDefault="00BE1440"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с проектни предложения за предоставяне на безвъзмездна финансова помощ по Програма за морско дело и рибарство 2014-2020, финансирана  от Европейския фонд за морско дело и рибарство</w:t>
      </w: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p>
    <w:p w:rsidR="00401AAF" w:rsidRPr="00FF2A9A" w:rsidRDefault="00401AAF" w:rsidP="00F647D0">
      <w:pPr>
        <w:tabs>
          <w:tab w:val="left" w:pos="-180"/>
        </w:tabs>
        <w:spacing w:before="120" w:after="120" w:line="240" w:lineRule="auto"/>
        <w:jc w:val="center"/>
        <w:rPr>
          <w:rFonts w:ascii="Arial" w:eastAsia="Calibri" w:hAnsi="Arial" w:cs="Arial"/>
          <w:b/>
          <w:bCs/>
          <w:noProof w:val="0"/>
          <w:lang w:val="ru-RU"/>
        </w:rPr>
      </w:pPr>
    </w:p>
    <w:p w:rsidR="00BE1440" w:rsidRPr="00FF2A9A" w:rsidRDefault="00BE1440"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Процедура чрез подбор на проекти</w:t>
      </w:r>
    </w:p>
    <w:p w:rsidR="00BE1440" w:rsidRPr="00FF2A9A" w:rsidRDefault="003F22CF"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BG14MFOP001-1.</w:t>
      </w:r>
      <w:r w:rsidR="00B93235" w:rsidRPr="00FF2A9A">
        <w:rPr>
          <w:rFonts w:ascii="Arial" w:eastAsia="Calibri" w:hAnsi="Arial" w:cs="Arial"/>
          <w:b/>
          <w:bCs/>
          <w:noProof w:val="0"/>
          <w:lang w:val="en-US"/>
        </w:rPr>
        <w:t>024</w:t>
      </w:r>
      <w:r w:rsidR="00BE1440" w:rsidRPr="00FF2A9A">
        <w:rPr>
          <w:rFonts w:ascii="Arial" w:eastAsia="Calibri" w:hAnsi="Arial" w:cs="Arial"/>
          <w:b/>
          <w:bCs/>
          <w:noProof w:val="0"/>
        </w:rPr>
        <w:t xml:space="preserve"> „Рибарски пристанища, кейове за разт</w:t>
      </w:r>
      <w:r w:rsidR="008D6473" w:rsidRPr="00FF2A9A">
        <w:rPr>
          <w:rFonts w:ascii="Arial" w:eastAsia="Calibri" w:hAnsi="Arial" w:cs="Arial"/>
          <w:b/>
          <w:bCs/>
          <w:noProof w:val="0"/>
        </w:rPr>
        <w:t xml:space="preserve">оварване, рибни борси и </w:t>
      </w:r>
      <w:proofErr w:type="spellStart"/>
      <w:r w:rsidR="00BE1440" w:rsidRPr="00FF2A9A">
        <w:rPr>
          <w:rFonts w:ascii="Arial" w:eastAsia="Calibri" w:hAnsi="Arial" w:cs="Arial"/>
          <w:b/>
          <w:bCs/>
          <w:noProof w:val="0"/>
        </w:rPr>
        <w:t>лодкостоянки</w:t>
      </w:r>
      <w:proofErr w:type="spellEnd"/>
      <w:r w:rsidR="00BE1440" w:rsidRPr="00FF2A9A">
        <w:rPr>
          <w:rFonts w:ascii="Arial" w:eastAsia="Calibri" w:hAnsi="Arial" w:cs="Arial"/>
          <w:b/>
          <w:bCs/>
          <w:noProof w:val="0"/>
        </w:rPr>
        <w:t>“</w:t>
      </w:r>
      <w:r w:rsidR="00823030" w:rsidRPr="00FF2A9A">
        <w:rPr>
          <w:rFonts w:ascii="Arial" w:eastAsia="Calibri" w:hAnsi="Arial" w:cs="Arial"/>
          <w:b/>
          <w:bCs/>
          <w:noProof w:val="0"/>
        </w:rPr>
        <w:t>,</w:t>
      </w:r>
    </w:p>
    <w:p w:rsidR="00823030" w:rsidRPr="00FF2A9A" w:rsidRDefault="00823030" w:rsidP="00F647D0">
      <w:pPr>
        <w:tabs>
          <w:tab w:val="left" w:pos="-180"/>
        </w:tabs>
        <w:spacing w:before="120" w:after="120" w:line="240" w:lineRule="auto"/>
        <w:jc w:val="center"/>
        <w:rPr>
          <w:rFonts w:ascii="Arial" w:eastAsia="Calibri" w:hAnsi="Arial" w:cs="Arial"/>
          <w:b/>
          <w:bCs/>
          <w:noProof w:val="0"/>
        </w:rPr>
      </w:pPr>
    </w:p>
    <w:p w:rsidR="00823030" w:rsidRPr="00FF2A9A" w:rsidRDefault="00823030" w:rsidP="00F647D0">
      <w:pPr>
        <w:tabs>
          <w:tab w:val="left" w:pos="-180"/>
        </w:tabs>
        <w:spacing w:before="120" w:after="120" w:line="240" w:lineRule="auto"/>
        <w:jc w:val="center"/>
        <w:rPr>
          <w:rFonts w:ascii="Arial" w:eastAsia="Calibri" w:hAnsi="Arial" w:cs="Arial"/>
          <w:b/>
          <w:bCs/>
          <w:noProof w:val="0"/>
          <w:lang w:val="en-US"/>
        </w:rPr>
      </w:pPr>
      <w:r w:rsidRPr="00FF2A9A">
        <w:rPr>
          <w:rFonts w:ascii="Arial" w:eastAsia="Calibri" w:hAnsi="Arial" w:cs="Arial"/>
          <w:b/>
          <w:bCs/>
          <w:noProof w:val="0"/>
        </w:rPr>
        <w:t>Мярка 1.8</w:t>
      </w:r>
      <w:r w:rsidR="001669A6" w:rsidRPr="00FF2A9A">
        <w:rPr>
          <w:rFonts w:ascii="Arial" w:eastAsia="Calibri" w:hAnsi="Arial" w:cs="Arial"/>
          <w:b/>
          <w:bCs/>
          <w:noProof w:val="0"/>
        </w:rPr>
        <w:t>.</w:t>
      </w:r>
      <w:r w:rsidRPr="00FF2A9A">
        <w:rPr>
          <w:rFonts w:ascii="Arial" w:eastAsia="Calibri" w:hAnsi="Arial" w:cs="Arial"/>
          <w:b/>
          <w:bCs/>
          <w:noProof w:val="0"/>
        </w:rPr>
        <w:t xml:space="preserve"> „Рибарски пристанища, кейове за разтоварване, рибни борси и </w:t>
      </w:r>
      <w:proofErr w:type="spellStart"/>
      <w:r w:rsidRPr="00FF2A9A">
        <w:rPr>
          <w:rFonts w:ascii="Arial" w:eastAsia="Calibri" w:hAnsi="Arial" w:cs="Arial"/>
          <w:b/>
          <w:bCs/>
          <w:noProof w:val="0"/>
        </w:rPr>
        <w:t>лодкостоянки</w:t>
      </w:r>
      <w:proofErr w:type="spellEnd"/>
      <w:r w:rsidRPr="00FF2A9A">
        <w:rPr>
          <w:rFonts w:ascii="Arial" w:eastAsia="Calibri" w:hAnsi="Arial" w:cs="Arial"/>
          <w:b/>
          <w:bCs/>
          <w:noProof w:val="0"/>
        </w:rPr>
        <w:t>”</w:t>
      </w:r>
      <w:r w:rsidR="00F44E5A" w:rsidRPr="00FF2A9A">
        <w:rPr>
          <w:rFonts w:ascii="Arial" w:eastAsia="Calibri" w:hAnsi="Arial" w:cs="Arial"/>
          <w:b/>
          <w:bCs/>
          <w:noProof w:val="0"/>
          <w:lang w:val="en-US"/>
        </w:rPr>
        <w:t>,</w:t>
      </w: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r w:rsidRPr="00FF2A9A">
        <w:rPr>
          <w:rFonts w:ascii="Arial" w:eastAsia="Calibri" w:hAnsi="Arial" w:cs="Arial"/>
          <w:b/>
          <w:bCs/>
          <w:noProof w:val="0"/>
          <w:lang w:val="ru-RU"/>
        </w:rPr>
        <w:t>Сектор „Инвестиции насочени към изграждане и/или модернизация на лодкостоянки“</w:t>
      </w:r>
    </w:p>
    <w:p w:rsidR="00BE1440" w:rsidRPr="00FF2A9A" w:rsidRDefault="00BE1440" w:rsidP="00FF2A9A">
      <w:pPr>
        <w:tabs>
          <w:tab w:val="left" w:pos="-180"/>
        </w:tabs>
        <w:spacing w:before="120" w:after="120" w:line="240" w:lineRule="auto"/>
        <w:jc w:val="both"/>
        <w:rPr>
          <w:rFonts w:ascii="Arial" w:eastAsia="Calibri" w:hAnsi="Arial" w:cs="Arial"/>
          <w:b/>
          <w:bCs/>
          <w:noProof w:val="0"/>
          <w:lang w:val="ru-RU"/>
        </w:rPr>
      </w:pPr>
    </w:p>
    <w:p w:rsidR="007A06F5" w:rsidRPr="00FF2A9A" w:rsidRDefault="007A06F5" w:rsidP="00FF2A9A">
      <w:pPr>
        <w:spacing w:before="120" w:after="120" w:line="240" w:lineRule="auto"/>
        <w:jc w:val="both"/>
        <w:rPr>
          <w:rFonts w:ascii="Arial" w:eastAsia="Calibri" w:hAnsi="Arial" w:cs="Arial"/>
          <w:b/>
          <w:bCs/>
          <w:noProof w:val="0"/>
          <w:lang w:val="ru-RU"/>
        </w:rPr>
      </w:pPr>
      <w:r w:rsidRPr="00FF2A9A">
        <w:rPr>
          <w:rFonts w:ascii="Arial" w:eastAsia="Calibri" w:hAnsi="Arial" w:cs="Arial"/>
          <w:b/>
          <w:bCs/>
          <w:noProof w:val="0"/>
          <w:lang w:val="ru-RU"/>
        </w:rPr>
        <w:br w:type="page"/>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2E74B5"/>
          <w:lang w:eastAsia="bg-BG"/>
        </w:rPr>
      </w:pPr>
      <w:r w:rsidRPr="00FF2A9A">
        <w:rPr>
          <w:rFonts w:ascii="Arial" w:eastAsia="Times New Roman" w:hAnsi="Arial" w:cs="Arial"/>
          <w:b/>
          <w:bCs/>
          <w:noProof w:val="0"/>
          <w:color w:val="2E74B5"/>
          <w:lang w:eastAsia="bg-BG"/>
        </w:rPr>
        <w:lastRenderedPageBreak/>
        <w:t>Съдържание</w:t>
      </w:r>
    </w:p>
    <w:sdt>
      <w:sdtPr>
        <w:rPr>
          <w:rFonts w:ascii="Arial" w:eastAsia="Calibri" w:hAnsi="Arial" w:cs="Arial"/>
          <w:noProof w:val="0"/>
        </w:rPr>
        <w:id w:val="1078173828"/>
        <w:docPartObj>
          <w:docPartGallery w:val="Table of Contents"/>
          <w:docPartUnique/>
        </w:docPartObj>
      </w:sdtPr>
      <w:sdtEndPr/>
      <w:sdtContent>
        <w:p w:rsidR="00BE1440" w:rsidRPr="00FF2A9A" w:rsidRDefault="00BE1440" w:rsidP="00FF2A9A">
          <w:pPr>
            <w:keepNext/>
            <w:keepLines/>
            <w:spacing w:beforeLines="60" w:before="144" w:afterLines="60" w:after="144" w:line="240" w:lineRule="auto"/>
            <w:jc w:val="both"/>
            <w:rPr>
              <w:rFonts w:ascii="Arial" w:eastAsia="Times New Roman" w:hAnsi="Arial" w:cs="Arial"/>
              <w:b/>
              <w:bCs/>
              <w:noProof w:val="0"/>
              <w:color w:val="2E74B5"/>
              <w:lang w:eastAsia="bg-BG"/>
            </w:rPr>
          </w:pPr>
        </w:p>
        <w:p w:rsidR="003C150F" w:rsidRPr="00FF2A9A" w:rsidRDefault="00BE1440"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r w:rsidRPr="00FF2A9A">
            <w:rPr>
              <w:rFonts w:ascii="Arial" w:hAnsi="Arial" w:cs="Arial"/>
            </w:rPr>
            <w:fldChar w:fldCharType="begin"/>
          </w:r>
          <w:r w:rsidRPr="00FF2A9A">
            <w:rPr>
              <w:rFonts w:ascii="Arial" w:hAnsi="Arial" w:cs="Arial"/>
            </w:rPr>
            <w:instrText xml:space="preserve"> TOC \o "1-3" \h \z \u </w:instrText>
          </w:r>
          <w:r w:rsidRPr="00FF2A9A">
            <w:rPr>
              <w:rFonts w:ascii="Arial" w:hAnsi="Arial" w:cs="Arial"/>
            </w:rPr>
            <w:fldChar w:fldCharType="separate"/>
          </w:r>
          <w:hyperlink w:anchor="_Toc59537553" w:history="1">
            <w:r w:rsidR="003C150F" w:rsidRPr="00FF2A9A">
              <w:rPr>
                <w:rStyle w:val="Hyperlink"/>
                <w:rFonts w:ascii="Arial" w:eastAsia="Times New Roman" w:hAnsi="Arial" w:cs="Arial"/>
                <w:b/>
                <w:bCs/>
                <w:noProof/>
              </w:rPr>
              <w:t>1. Наименование на програмата: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3</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4" w:history="1">
            <w:r w:rsidR="003C150F" w:rsidRPr="00FF2A9A">
              <w:rPr>
                <w:rStyle w:val="Hyperlink"/>
                <w:rFonts w:ascii="Arial" w:eastAsia="Times New Roman" w:hAnsi="Arial" w:cs="Arial"/>
                <w:b/>
                <w:bCs/>
                <w:noProof/>
              </w:rPr>
              <w:t>2. Наименование на приоритетната ос:</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3</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5" w:history="1">
            <w:r w:rsidR="003C150F" w:rsidRPr="00FF2A9A">
              <w:rPr>
                <w:rStyle w:val="Hyperlink"/>
                <w:rFonts w:ascii="Arial" w:eastAsia="Times New Roman" w:hAnsi="Arial" w:cs="Arial"/>
                <w:b/>
                <w:bCs/>
                <w:noProof/>
              </w:rPr>
              <w:t>3. Наименование на процедурата: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6" w:history="1">
            <w:r w:rsidR="003C150F" w:rsidRPr="00FF2A9A">
              <w:rPr>
                <w:rStyle w:val="Hyperlink"/>
                <w:rFonts w:ascii="Arial" w:eastAsia="Times New Roman" w:hAnsi="Arial" w:cs="Arial"/>
                <w:b/>
                <w:bCs/>
                <w:noProof/>
              </w:rPr>
              <w:t>4. Измерения по кодове: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7" w:history="1">
            <w:r w:rsidR="003C150F" w:rsidRPr="00FF2A9A">
              <w:rPr>
                <w:rStyle w:val="Hyperlink"/>
                <w:rFonts w:ascii="Arial" w:eastAsia="Times New Roman" w:hAnsi="Arial" w:cs="Arial"/>
                <w:b/>
                <w:bCs/>
                <w:noProof/>
              </w:rPr>
              <w:t>5. Териториален обхват:</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8" w:history="1">
            <w:r w:rsidR="003C150F" w:rsidRPr="00FF2A9A">
              <w:rPr>
                <w:rStyle w:val="Hyperlink"/>
                <w:rFonts w:ascii="Arial" w:eastAsia="Times New Roman" w:hAnsi="Arial" w:cs="Arial"/>
                <w:b/>
                <w:bCs/>
                <w:noProof/>
              </w:rPr>
              <w:t>6. Цели на предоставяната безвъзмездна финансова помощ по процедурата и очаквани резултати: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9" w:history="1">
            <w:r w:rsidR="003C150F" w:rsidRPr="00FF2A9A">
              <w:rPr>
                <w:rStyle w:val="Hyperlink"/>
                <w:rFonts w:ascii="Arial" w:eastAsia="Times New Roman" w:hAnsi="Arial" w:cs="Arial"/>
                <w:b/>
                <w:bCs/>
                <w:noProof/>
              </w:rPr>
              <w:t>7. Индикатори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0" w:history="1">
            <w:r w:rsidR="003C150F" w:rsidRPr="00FF2A9A">
              <w:rPr>
                <w:rStyle w:val="Hyperlink"/>
                <w:rFonts w:ascii="Arial" w:eastAsia="Times New Roman" w:hAnsi="Arial" w:cs="Arial"/>
                <w:b/>
                <w:bCs/>
                <w:noProof/>
              </w:rPr>
              <w:t>8. Общ размер на безвъзмездната финансова помощ по процедурата: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1" w:history="1">
            <w:r w:rsidR="003C150F" w:rsidRPr="00FF2A9A">
              <w:rPr>
                <w:rStyle w:val="Hyperlink"/>
                <w:rFonts w:ascii="Arial" w:eastAsia="Times New Roman" w:hAnsi="Arial" w:cs="Arial"/>
                <w:b/>
                <w:bCs/>
                <w:noProof/>
              </w:rPr>
              <w:t>9. Минимален (ако е приложимо) и максимален  размер на безвъзмездната финансова помощ за конкретен проект:</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2" w:history="1">
            <w:r w:rsidR="003C150F" w:rsidRPr="00FF2A9A">
              <w:rPr>
                <w:rStyle w:val="Hyperlink"/>
                <w:rFonts w:ascii="Arial" w:eastAsia="Times New Roman" w:hAnsi="Arial" w:cs="Arial"/>
                <w:b/>
                <w:bCs/>
                <w:noProof/>
              </w:rPr>
              <w:t>10. Процент на съфинансиране: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3" w:history="1">
            <w:r w:rsidR="003C150F" w:rsidRPr="00FF2A9A">
              <w:rPr>
                <w:rStyle w:val="Hyperlink"/>
                <w:rFonts w:ascii="Arial" w:eastAsia="Times New Roman" w:hAnsi="Arial" w:cs="Arial"/>
                <w:b/>
                <w:bCs/>
                <w:noProof/>
              </w:rPr>
              <w:t>11. Допустими кандидати: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4" w:history="1">
            <w:r w:rsidR="003C150F" w:rsidRPr="00FF2A9A">
              <w:rPr>
                <w:rStyle w:val="Hyperlink"/>
                <w:rFonts w:ascii="Arial" w:eastAsia="Times New Roman" w:hAnsi="Arial" w:cs="Arial"/>
                <w:b/>
                <w:bCs/>
                <w:noProof/>
              </w:rPr>
              <w:t>11.1 Критерии за допустимост на кандидатите: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5" w:history="1">
            <w:r w:rsidR="003C150F" w:rsidRPr="00FF2A9A">
              <w:rPr>
                <w:rStyle w:val="Hyperlink"/>
                <w:rFonts w:ascii="Arial" w:eastAsia="Times New Roman" w:hAnsi="Arial" w:cs="Arial"/>
                <w:b/>
                <w:bCs/>
                <w:noProof/>
              </w:rPr>
              <w:t>11.2. Критерии за недопустимост на кандидатите: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7</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6" w:history="1">
            <w:r w:rsidR="003C150F" w:rsidRPr="00FF2A9A">
              <w:rPr>
                <w:rStyle w:val="Hyperlink"/>
                <w:rFonts w:ascii="Arial" w:eastAsia="Times New Roman" w:hAnsi="Arial" w:cs="Arial"/>
                <w:b/>
                <w:bCs/>
                <w:noProof/>
              </w:rPr>
              <w:t>12. Допустими партньори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9</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7" w:history="1">
            <w:r w:rsidR="003C150F" w:rsidRPr="00FF2A9A">
              <w:rPr>
                <w:rStyle w:val="Hyperlink"/>
                <w:rFonts w:ascii="Arial" w:hAnsi="Arial" w:cs="Arial"/>
                <w:b/>
                <w:bCs/>
                <w:noProof/>
                <w:lang w:val="en-US"/>
              </w:rPr>
              <w:t>13. Дейности, допустими за 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8" w:history="1">
            <w:r w:rsidR="003C150F" w:rsidRPr="00FF2A9A">
              <w:rPr>
                <w:rStyle w:val="Hyperlink"/>
                <w:rFonts w:ascii="Arial" w:hAnsi="Arial" w:cs="Arial"/>
                <w:b/>
                <w:bCs/>
                <w:noProof/>
              </w:rPr>
              <w:t>13.1. Допустими дейности: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9" w:history="1">
            <w:r w:rsidR="003C150F" w:rsidRPr="00FF2A9A">
              <w:rPr>
                <w:rStyle w:val="Hyperlink"/>
                <w:rFonts w:ascii="Arial" w:hAnsi="Arial" w:cs="Arial"/>
                <w:b/>
                <w:bCs/>
                <w:noProof/>
              </w:rPr>
              <w:t>13.2. Недопустими дейности: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0" w:history="1">
            <w:r w:rsidR="003C150F" w:rsidRPr="00FF2A9A">
              <w:rPr>
                <w:rStyle w:val="Hyperlink"/>
                <w:rFonts w:ascii="Arial" w:hAnsi="Arial" w:cs="Arial"/>
                <w:b/>
                <w:bCs/>
                <w:noProof/>
                <w:lang w:val="en-US"/>
              </w:rPr>
              <w:t>14. Категории разходи, допустими за 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1" w:history="1">
            <w:r w:rsidR="003C150F" w:rsidRPr="00FF2A9A">
              <w:rPr>
                <w:rStyle w:val="Hyperlink"/>
                <w:rFonts w:ascii="Arial" w:eastAsia="Times New Roman" w:hAnsi="Arial" w:cs="Arial"/>
                <w:b/>
                <w:bCs/>
                <w:noProof/>
              </w:rPr>
              <w:t>14.1. Допустими разходи: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2" w:history="1">
            <w:r w:rsidR="003C150F" w:rsidRPr="00FF2A9A">
              <w:rPr>
                <w:rStyle w:val="Hyperlink"/>
                <w:rFonts w:ascii="Arial" w:eastAsia="Times New Roman" w:hAnsi="Arial" w:cs="Arial"/>
                <w:b/>
                <w:bCs/>
                <w:noProof/>
              </w:rPr>
              <w:t>14.</w:t>
            </w:r>
            <w:r w:rsidR="003C150F" w:rsidRPr="00FF2A9A">
              <w:rPr>
                <w:rStyle w:val="Hyperlink"/>
                <w:rFonts w:ascii="Arial" w:eastAsia="Times New Roman" w:hAnsi="Arial" w:cs="Arial"/>
                <w:b/>
                <w:bCs/>
                <w:noProof/>
                <w:lang w:val="ru-RU"/>
              </w:rPr>
              <w:t>2</w:t>
            </w:r>
            <w:r w:rsidR="003C150F" w:rsidRPr="00FF2A9A">
              <w:rPr>
                <w:rStyle w:val="Hyperlink"/>
                <w:rFonts w:ascii="Arial" w:eastAsia="Times New Roman" w:hAnsi="Arial" w:cs="Arial"/>
                <w:b/>
                <w:bCs/>
                <w:noProof/>
              </w:rPr>
              <w:t>. Недопустими разходи: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13</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3" w:history="1">
            <w:r w:rsidR="003C150F" w:rsidRPr="00FF2A9A">
              <w:rPr>
                <w:rStyle w:val="Hyperlink"/>
                <w:rFonts w:ascii="Arial" w:eastAsia="Times New Roman" w:hAnsi="Arial" w:cs="Arial"/>
                <w:b/>
                <w:bCs/>
                <w:noProof/>
              </w:rPr>
              <w:t>15. Допустими целеви групи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4" w:history="1">
            <w:r w:rsidR="003C150F" w:rsidRPr="00FF2A9A">
              <w:rPr>
                <w:rStyle w:val="Hyperlink"/>
                <w:rFonts w:ascii="Arial" w:eastAsia="Times New Roman" w:hAnsi="Arial" w:cs="Arial"/>
                <w:b/>
                <w:bCs/>
                <w:noProof/>
              </w:rPr>
              <w:t>16. Приложим режим на минимални/държавни помощи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5" w:history="1">
            <w:r w:rsidR="003C150F" w:rsidRPr="00FF2A9A">
              <w:rPr>
                <w:rStyle w:val="Hyperlink"/>
                <w:rFonts w:ascii="Arial" w:eastAsia="Times New Roman" w:hAnsi="Arial" w:cs="Arial"/>
                <w:b/>
                <w:bCs/>
                <w:noProof/>
              </w:rPr>
              <w:t>17. Хоризонтални политики: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6" w:history="1">
            <w:r w:rsidR="003C150F" w:rsidRPr="00FF2A9A">
              <w:rPr>
                <w:rStyle w:val="Hyperlink"/>
                <w:rFonts w:ascii="Arial" w:eastAsia="Times New Roman" w:hAnsi="Arial" w:cs="Arial"/>
                <w:b/>
                <w:bCs/>
                <w:noProof/>
              </w:rPr>
              <w:t>18. Минимален и максимален срок за изпълнение на проекта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7" w:history="1">
            <w:r w:rsidR="003C150F" w:rsidRPr="00FF2A9A">
              <w:rPr>
                <w:rStyle w:val="Hyperlink"/>
                <w:rFonts w:ascii="Arial" w:eastAsia="Times New Roman" w:hAnsi="Arial" w:cs="Arial"/>
                <w:b/>
                <w:bCs/>
                <w:noProof/>
              </w:rPr>
              <w:t>19. Ред за оценяване на 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8" w:history="1">
            <w:r w:rsidR="003C150F" w:rsidRPr="00FF2A9A">
              <w:rPr>
                <w:rStyle w:val="Hyperlink"/>
                <w:rFonts w:ascii="Arial" w:eastAsia="Times New Roman" w:hAnsi="Arial" w:cs="Arial"/>
                <w:b/>
                <w:bCs/>
                <w:noProof/>
              </w:rPr>
              <w:t>20. Критерии и методика за оценка на 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9" w:history="1">
            <w:r w:rsidR="003C150F" w:rsidRPr="00FF2A9A">
              <w:rPr>
                <w:rStyle w:val="Hyperlink"/>
                <w:rFonts w:ascii="Arial" w:eastAsia="Times New Roman" w:hAnsi="Arial" w:cs="Arial"/>
                <w:b/>
                <w:bCs/>
                <w:noProof/>
              </w:rPr>
              <w:t>21. Ред за оценяване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0" w:history="1">
            <w:r w:rsidR="003C150F" w:rsidRPr="00FF2A9A">
              <w:rPr>
                <w:rStyle w:val="Hyperlink"/>
                <w:rFonts w:ascii="Arial" w:eastAsia="Times New Roman" w:hAnsi="Arial" w:cs="Arial"/>
                <w:b/>
                <w:bCs/>
                <w:noProof/>
              </w:rPr>
              <w:t>21.1. Оценка на административното съответствие и допустимостта: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16</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1" w:history="1">
            <w:r w:rsidR="003C150F" w:rsidRPr="00FF2A9A">
              <w:rPr>
                <w:rStyle w:val="Hyperlink"/>
                <w:rFonts w:ascii="Arial" w:eastAsia="Times New Roman" w:hAnsi="Arial" w:cs="Arial"/>
                <w:b/>
                <w:bCs/>
                <w:noProof/>
                <w:lang w:val="x-none" w:eastAsia="x-none"/>
              </w:rPr>
              <w:t>21.2. Техническа и финансова оценка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17</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2" w:history="1">
            <w:r w:rsidR="003C150F" w:rsidRPr="00FF2A9A">
              <w:rPr>
                <w:rStyle w:val="Hyperlink"/>
                <w:rFonts w:ascii="Arial" w:eastAsia="Times New Roman" w:hAnsi="Arial" w:cs="Arial"/>
                <w:b/>
                <w:bCs/>
                <w:noProof/>
                <w:lang w:val="x-none" w:eastAsia="x-none"/>
              </w:rPr>
              <w:t>22. Критерии и методика за оценка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18</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3" w:history="1">
            <w:r w:rsidR="003C150F" w:rsidRPr="00FF2A9A">
              <w:rPr>
                <w:rStyle w:val="Hyperlink"/>
                <w:rFonts w:ascii="Arial" w:eastAsia="Times New Roman" w:hAnsi="Arial" w:cs="Arial"/>
                <w:b/>
                <w:bCs/>
                <w:noProof/>
                <w:lang w:val="x-none" w:eastAsia="x-none"/>
              </w:rPr>
              <w:t>23. Начин на подаване на проектните предложения/концепциите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20</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4" w:history="1">
            <w:r w:rsidR="003C150F" w:rsidRPr="00FF2A9A">
              <w:rPr>
                <w:rStyle w:val="Hyperlink"/>
                <w:rFonts w:ascii="Arial" w:eastAsia="Times New Roman" w:hAnsi="Arial" w:cs="Arial"/>
                <w:b/>
                <w:bCs/>
                <w:noProof/>
                <w:lang w:val="x-none" w:eastAsia="x-none"/>
              </w:rPr>
              <w:t>24. Списък на документите, които се подават на етап кандидатстване: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22</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5" w:history="1">
            <w:r w:rsidR="003C150F" w:rsidRPr="00FF2A9A">
              <w:rPr>
                <w:rStyle w:val="Hyperlink"/>
                <w:rFonts w:ascii="Arial" w:eastAsia="Times New Roman" w:hAnsi="Arial" w:cs="Arial"/>
                <w:b/>
                <w:bCs/>
                <w:noProof/>
              </w:rPr>
              <w:t>25. Краен срок за подаване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26</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6" w:history="1">
            <w:r w:rsidR="003C150F" w:rsidRPr="00FF2A9A">
              <w:rPr>
                <w:rStyle w:val="Hyperlink"/>
                <w:rFonts w:ascii="Arial" w:eastAsia="Times New Roman" w:hAnsi="Arial" w:cs="Arial"/>
                <w:b/>
                <w:bCs/>
                <w:noProof/>
              </w:rPr>
              <w:t>26. Адрес за подаване на проектните предложения/концепциите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7" w:history="1">
            <w:r w:rsidR="003C150F" w:rsidRPr="00FF2A9A">
              <w:rPr>
                <w:rStyle w:val="Hyperlink"/>
                <w:rFonts w:ascii="Arial" w:eastAsia="Times New Roman" w:hAnsi="Arial" w:cs="Arial"/>
                <w:b/>
                <w:bCs/>
                <w:noProof/>
              </w:rPr>
              <w:t>27. Допълнителна информация: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FC6ACF"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8" w:history="1">
            <w:r w:rsidR="003C150F" w:rsidRPr="00FF2A9A">
              <w:rPr>
                <w:rStyle w:val="Hyperlink"/>
                <w:rFonts w:ascii="Arial" w:eastAsia="Times New Roman" w:hAnsi="Arial" w:cs="Arial"/>
                <w:b/>
                <w:bCs/>
                <w:noProof/>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FC6ACF"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9" w:history="1">
            <w:r w:rsidR="003C150F" w:rsidRPr="00FF2A9A">
              <w:rPr>
                <w:rStyle w:val="Hyperlink"/>
                <w:rFonts w:ascii="Arial" w:eastAsia="Times New Roman" w:hAnsi="Arial" w:cs="Arial"/>
                <w:b/>
                <w:bCs/>
                <w:noProof/>
              </w:rPr>
              <w:t>28. Приложения към Условията за кандидатстване: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29</w:t>
            </w:r>
            <w:r w:rsidR="003C150F" w:rsidRPr="00FF2A9A">
              <w:rPr>
                <w:rFonts w:ascii="Arial" w:hAnsi="Arial" w:cs="Arial"/>
                <w:noProof/>
                <w:webHidden/>
              </w:rPr>
              <w:fldChar w:fldCharType="end"/>
            </w:r>
          </w:hyperlink>
        </w:p>
        <w:p w:rsidR="00BE1440" w:rsidRPr="00FF2A9A" w:rsidRDefault="00BE1440" w:rsidP="00FF2A9A">
          <w:pPr>
            <w:spacing w:beforeLines="60" w:before="144" w:afterLines="60" w:after="144" w:line="240" w:lineRule="auto"/>
            <w:jc w:val="both"/>
            <w:rPr>
              <w:rFonts w:ascii="Arial" w:eastAsia="Calibri" w:hAnsi="Arial" w:cs="Arial"/>
              <w:noProof w:val="0"/>
            </w:rPr>
          </w:pPr>
          <w:r w:rsidRPr="00FF2A9A">
            <w:rPr>
              <w:rFonts w:ascii="Arial" w:eastAsia="Calibri" w:hAnsi="Arial" w:cs="Arial"/>
              <w:b/>
              <w:bCs/>
            </w:rPr>
            <w:fldChar w:fldCharType="end"/>
          </w:r>
        </w:p>
      </w:sdtContent>
    </w:sdt>
    <w:p w:rsidR="007A06F5" w:rsidRPr="00FF2A9A" w:rsidRDefault="007A06F5" w:rsidP="00FF2A9A">
      <w:pPr>
        <w:spacing w:before="120" w:after="120" w:line="240" w:lineRule="auto"/>
        <w:jc w:val="both"/>
        <w:rPr>
          <w:rFonts w:ascii="Arial" w:eastAsia="Times New Roman" w:hAnsi="Arial" w:cs="Arial"/>
          <w:b/>
          <w:bCs/>
          <w:noProof w:val="0"/>
          <w:color w:val="2E74B5"/>
          <w:lang w:eastAsia="bg-BG"/>
        </w:rPr>
      </w:pPr>
      <w:r w:rsidRPr="00FF2A9A">
        <w:rPr>
          <w:rFonts w:ascii="Arial" w:eastAsia="Times New Roman" w:hAnsi="Arial" w:cs="Arial"/>
          <w:b/>
          <w:bCs/>
          <w:noProof w:val="0"/>
          <w:color w:val="2E74B5"/>
          <w:lang w:eastAsia="bg-BG"/>
        </w:rPr>
        <w:br w:type="page"/>
      </w:r>
    </w:p>
    <w:p w:rsidR="00BE1440" w:rsidRPr="00FF2A9A" w:rsidRDefault="00BE1440" w:rsidP="00FF2A9A">
      <w:pPr>
        <w:keepNext/>
        <w:keepLines/>
        <w:spacing w:before="120" w:after="120" w:line="240" w:lineRule="auto"/>
        <w:jc w:val="both"/>
        <w:rPr>
          <w:rFonts w:ascii="Arial" w:eastAsia="Times New Roman" w:hAnsi="Arial" w:cs="Arial"/>
          <w:noProof w:val="0"/>
          <w:color w:val="5B9BD5"/>
        </w:rPr>
      </w:pPr>
      <w:bookmarkStart w:id="1" w:name="_Toc475538924"/>
      <w:bookmarkStart w:id="2" w:name="_Toc59537553"/>
      <w:r w:rsidRPr="00FF2A9A">
        <w:rPr>
          <w:rFonts w:ascii="Arial" w:eastAsia="Times New Roman" w:hAnsi="Arial" w:cs="Arial"/>
          <w:b/>
          <w:bCs/>
          <w:noProof w:val="0"/>
          <w:color w:val="5B9BD5"/>
        </w:rPr>
        <w:lastRenderedPageBreak/>
        <w:t>1. Наименование на програмата:</w:t>
      </w:r>
      <w:bookmarkEnd w:id="1"/>
      <w:bookmarkEnd w:id="2"/>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Програма за морско дело и рибарство 2014-2020</w:t>
      </w:r>
      <w:r w:rsidR="008C5380" w:rsidRPr="00FF2A9A">
        <w:rPr>
          <w:rFonts w:ascii="Arial" w:eastAsia="Calibri" w:hAnsi="Arial" w:cs="Arial"/>
          <w:noProof w:val="0"/>
        </w:rPr>
        <w:t xml:space="preserve"> (ПМДР).</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3" w:name="_Toc475538925"/>
      <w:bookmarkStart w:id="4" w:name="_Toc59537554"/>
      <w:r w:rsidRPr="00FF2A9A">
        <w:rPr>
          <w:rFonts w:ascii="Arial" w:eastAsia="Times New Roman" w:hAnsi="Arial" w:cs="Arial"/>
          <w:b/>
          <w:bCs/>
          <w:noProof w:val="0"/>
          <w:color w:val="5B9BD5"/>
        </w:rPr>
        <w:t>2. Наименование на приоритетната ос:</w:t>
      </w:r>
      <w:bookmarkEnd w:id="3"/>
      <w:bookmarkEnd w:id="4"/>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5" w:name="_Toc406150199"/>
      <w:r w:rsidRPr="00FF2A9A">
        <w:rPr>
          <w:rFonts w:ascii="Arial" w:eastAsia="Calibri" w:hAnsi="Arial" w:cs="Arial"/>
          <w:noProof w:val="0"/>
        </w:rPr>
        <w:t xml:space="preserve">Приоритет на Съюза </w:t>
      </w:r>
      <w:bookmarkEnd w:id="5"/>
      <w:r w:rsidRPr="00FF2A9A">
        <w:rPr>
          <w:rFonts w:ascii="Arial" w:eastAsia="Calibri" w:hAnsi="Arial" w:cs="Arial"/>
          <w:noProof w:val="0"/>
        </w:rPr>
        <w:t>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008C5380"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6" w:name="_Toc475538926"/>
      <w:bookmarkStart w:id="7" w:name="_Toc59537555"/>
      <w:r w:rsidRPr="00FF2A9A">
        <w:rPr>
          <w:rFonts w:ascii="Arial" w:eastAsia="Times New Roman" w:hAnsi="Arial" w:cs="Arial"/>
          <w:b/>
          <w:bCs/>
          <w:noProof w:val="0"/>
          <w:color w:val="5B9BD5"/>
        </w:rPr>
        <w:t>3. Наименование на процедурата:</w:t>
      </w:r>
      <w:bookmarkEnd w:id="6"/>
      <w:bookmarkEnd w:id="7"/>
    </w:p>
    <w:p w:rsidR="00BE1440" w:rsidRPr="00FF2A9A" w:rsidRDefault="00236F0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Процедура чрез под</w:t>
      </w:r>
      <w:r w:rsidR="00B26B79">
        <w:rPr>
          <w:rFonts w:ascii="Arial" w:eastAsia="Calibri" w:hAnsi="Arial" w:cs="Arial"/>
          <w:noProof w:val="0"/>
        </w:rPr>
        <w:t>бор на проекти BG14MFOP001-1.024</w:t>
      </w:r>
      <w:r w:rsidRPr="00FF2A9A">
        <w:rPr>
          <w:rFonts w:ascii="Arial" w:eastAsia="Calibri" w:hAnsi="Arial" w:cs="Arial"/>
          <w:noProof w:val="0"/>
        </w:rPr>
        <w:t xml:space="preserve"> </w:t>
      </w:r>
      <w:r w:rsidR="00BE1440" w:rsidRPr="00FF2A9A">
        <w:rPr>
          <w:rFonts w:ascii="Arial" w:eastAsia="Calibri" w:hAnsi="Arial" w:cs="Arial"/>
          <w:noProof w:val="0"/>
        </w:rPr>
        <w:t>„Рибарски пристанища, кейове за разтоварване, рибни б</w:t>
      </w:r>
      <w:r w:rsidR="008D6473" w:rsidRPr="00FF2A9A">
        <w:rPr>
          <w:rFonts w:ascii="Arial" w:eastAsia="Calibri" w:hAnsi="Arial" w:cs="Arial"/>
          <w:noProof w:val="0"/>
        </w:rPr>
        <w:t xml:space="preserve">орси и </w:t>
      </w:r>
      <w:proofErr w:type="spellStart"/>
      <w:r w:rsidR="00BE1440" w:rsidRPr="00FF2A9A">
        <w:rPr>
          <w:rFonts w:ascii="Arial" w:eastAsia="Calibri" w:hAnsi="Arial" w:cs="Arial"/>
          <w:noProof w:val="0"/>
        </w:rPr>
        <w:t>лодкостоянки</w:t>
      </w:r>
      <w:proofErr w:type="spellEnd"/>
      <w:r w:rsidR="00BE1440" w:rsidRPr="00FF2A9A">
        <w:rPr>
          <w:rFonts w:ascii="Arial" w:eastAsia="Calibri" w:hAnsi="Arial" w:cs="Arial"/>
          <w:noProof w:val="0"/>
        </w:rPr>
        <w:t>”</w:t>
      </w:r>
      <w:r w:rsidR="007A06F5" w:rsidRPr="00FF2A9A">
        <w:rPr>
          <w:rFonts w:ascii="Arial" w:eastAsia="Calibri" w:hAnsi="Arial" w:cs="Arial"/>
          <w:noProof w:val="0"/>
        </w:rPr>
        <w:t xml:space="preserve">, </w:t>
      </w:r>
      <w:r w:rsidR="00F44E5A" w:rsidRPr="00FF2A9A">
        <w:rPr>
          <w:rFonts w:ascii="Arial" w:eastAsia="Calibri" w:hAnsi="Arial" w:cs="Arial"/>
          <w:noProof w:val="0"/>
        </w:rPr>
        <w:t>с</w:t>
      </w:r>
      <w:r w:rsidR="0041727E" w:rsidRPr="00FF2A9A">
        <w:rPr>
          <w:rFonts w:ascii="Arial" w:eastAsia="Calibri" w:hAnsi="Arial" w:cs="Arial"/>
          <w:noProof w:val="0"/>
        </w:rPr>
        <w:t xml:space="preserve">ектор „Инвестиции насочени към изграждане и/или модернизация на </w:t>
      </w:r>
      <w:proofErr w:type="spellStart"/>
      <w:r w:rsidR="0041727E" w:rsidRPr="00FF2A9A">
        <w:rPr>
          <w:rFonts w:ascii="Arial" w:eastAsia="Calibri" w:hAnsi="Arial" w:cs="Arial"/>
          <w:noProof w:val="0"/>
        </w:rPr>
        <w:t>лодкостоянки</w:t>
      </w:r>
      <w:proofErr w:type="spellEnd"/>
      <w:r w:rsidR="0041727E"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8" w:name="_Toc475538927"/>
      <w:bookmarkStart w:id="9" w:name="_Toc59537556"/>
      <w:r w:rsidRPr="00FF2A9A">
        <w:rPr>
          <w:rFonts w:ascii="Arial" w:eastAsia="Times New Roman" w:hAnsi="Arial" w:cs="Arial"/>
          <w:b/>
          <w:bCs/>
          <w:noProof w:val="0"/>
          <w:color w:val="5B9BD5"/>
        </w:rPr>
        <w:t>4. Измерения по кодове:</w:t>
      </w:r>
      <w:bookmarkEnd w:id="8"/>
      <w:bookmarkEnd w:id="9"/>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2 – Форма на финансиране: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highlight w:val="yellow"/>
        </w:rPr>
      </w:pPr>
      <w:r w:rsidRPr="00FF2A9A">
        <w:rPr>
          <w:rFonts w:ascii="Arial" w:eastAsia="Calibri" w:hAnsi="Arial" w:cs="Arial"/>
          <w:noProof w:val="0"/>
        </w:rPr>
        <w:t xml:space="preserve">01 Безвъзмездни средства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3 – Тип на територията: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07 Не се прилага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4 – Механизми за териториално изпълнение: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07 Не се прилага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7 – Стопанска дейност</w:t>
      </w:r>
    </w:p>
    <w:p w:rsidR="00BE1440"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lang w:val="en-US"/>
        </w:rPr>
      </w:pPr>
      <w:r w:rsidRPr="00FF2A9A">
        <w:rPr>
          <w:rFonts w:ascii="Arial" w:eastAsia="Calibri" w:hAnsi="Arial" w:cs="Arial"/>
          <w:noProof w:val="0"/>
        </w:rPr>
        <w:t>24 Други услуги, некласифицирани другаде</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0" w:name="_Toc475538928"/>
      <w:bookmarkStart w:id="11" w:name="_Toc59537557"/>
      <w:r w:rsidRPr="00FF2A9A">
        <w:rPr>
          <w:rFonts w:ascii="Arial" w:eastAsia="Times New Roman" w:hAnsi="Arial" w:cs="Arial"/>
          <w:b/>
          <w:bCs/>
          <w:noProof w:val="0"/>
          <w:color w:val="5B9BD5"/>
        </w:rPr>
        <w:t>5. Териториален обхват:</w:t>
      </w:r>
      <w:bookmarkEnd w:id="10"/>
      <w:bookmarkEnd w:id="11"/>
    </w:p>
    <w:p w:rsidR="00BE1440" w:rsidRPr="00FF2A9A" w:rsidRDefault="004B3B8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Проектите по процедурата следва да бъдат изпълнени на територията на Република България – по крайбрежието и в акваторията на Черно море и р. Дунав.</w:t>
      </w:r>
    </w:p>
    <w:p w:rsidR="00BE1440" w:rsidRPr="00FF2A9A" w:rsidRDefault="004B3B8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7607F292" wp14:editId="29F1B5F7">
            <wp:extent cx="66675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5837DA" w:rsidRPr="00FF2A9A">
        <w:rPr>
          <w:rFonts w:ascii="Arial" w:eastAsia="Calibri" w:hAnsi="Arial" w:cs="Arial"/>
          <w:noProof w:val="0"/>
        </w:rPr>
        <w:t>Съгласно чл. 111а, ал. 3 от Закона за морските пространства, вътрешните водни пътища и пристанищата на Република България</w:t>
      </w:r>
      <w:r w:rsidR="000A069D" w:rsidRPr="00FF2A9A">
        <w:rPr>
          <w:rFonts w:ascii="Arial" w:eastAsia="Calibri" w:hAnsi="Arial" w:cs="Arial"/>
          <w:noProof w:val="0"/>
        </w:rPr>
        <w:t xml:space="preserve"> (ЗМПВВППРБ)</w:t>
      </w:r>
      <w:r w:rsidR="005837DA" w:rsidRPr="00FF2A9A">
        <w:rPr>
          <w:rFonts w:ascii="Arial" w:eastAsia="Calibri" w:hAnsi="Arial" w:cs="Arial"/>
          <w:noProof w:val="0"/>
        </w:rPr>
        <w:t xml:space="preserve">, </w:t>
      </w:r>
      <w:proofErr w:type="spellStart"/>
      <w:r w:rsidR="005837DA" w:rsidRPr="00FF2A9A">
        <w:rPr>
          <w:rFonts w:ascii="Arial" w:eastAsia="Calibri" w:hAnsi="Arial" w:cs="Arial"/>
          <w:noProof w:val="0"/>
        </w:rPr>
        <w:t>лодкостоянка</w:t>
      </w:r>
      <w:proofErr w:type="spellEnd"/>
      <w:r w:rsidR="005837DA" w:rsidRPr="00FF2A9A">
        <w:rPr>
          <w:rFonts w:ascii="Arial" w:eastAsia="Calibri" w:hAnsi="Arial" w:cs="Arial"/>
          <w:noProof w:val="0"/>
        </w:rPr>
        <w:t xml:space="preserve"> е стационарно или плаващо съоръжение или комплекс от такива съоръжения на брега и/или в акваторията на Черно море, река Дунав или в устията на вливащите се в тях реки, използвани за корабоплаване, което позволява заставането на котва или приставането, престояването, изтеглянето на брега и обслужването, в т.ч. разтоварване на уловите, зареждане с гориво, вода или хранителни продукти, извършване на дребни ремонти, на малки риболовни кораби с дължина до 12 метра за </w:t>
      </w:r>
      <w:proofErr w:type="spellStart"/>
      <w:r w:rsidR="005837DA" w:rsidRPr="00FF2A9A">
        <w:rPr>
          <w:rFonts w:ascii="Arial" w:eastAsia="Calibri" w:hAnsi="Arial" w:cs="Arial"/>
          <w:noProof w:val="0"/>
        </w:rPr>
        <w:t>дребномащабен</w:t>
      </w:r>
      <w:proofErr w:type="spellEnd"/>
      <w:r w:rsidR="005837DA" w:rsidRPr="00FF2A9A">
        <w:rPr>
          <w:rFonts w:ascii="Arial" w:eastAsia="Calibri" w:hAnsi="Arial" w:cs="Arial"/>
          <w:noProof w:val="0"/>
        </w:rPr>
        <w:t xml:space="preserve"> крайбрежен риболов.</w:t>
      </w:r>
    </w:p>
    <w:p w:rsidR="00590FE2" w:rsidRPr="00FF2A9A" w:rsidRDefault="00590FE2"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u w:val="single"/>
        </w:rPr>
        <w:t>Забележка:</w:t>
      </w:r>
      <w:r w:rsidRPr="00FF2A9A">
        <w:rPr>
          <w:rFonts w:ascii="Arial" w:eastAsia="Calibri" w:hAnsi="Arial" w:cs="Arial"/>
          <w:noProof w:val="0"/>
        </w:rPr>
        <w:t xml:space="preserve"> С измененията и допълненията в ЗМПВВППРБ от 8 декември 2020 г. (</w:t>
      </w:r>
      <w:proofErr w:type="spellStart"/>
      <w:r w:rsidRPr="00FF2A9A">
        <w:rPr>
          <w:rFonts w:ascii="Arial" w:eastAsia="Calibri" w:hAnsi="Arial" w:cs="Arial"/>
          <w:noProof w:val="0"/>
        </w:rPr>
        <w:t>публ</w:t>
      </w:r>
      <w:proofErr w:type="spellEnd"/>
      <w:r w:rsidRPr="00FF2A9A">
        <w:rPr>
          <w:rFonts w:ascii="Arial" w:eastAsia="Calibri" w:hAnsi="Arial" w:cs="Arial"/>
          <w:noProof w:val="0"/>
        </w:rPr>
        <w:t xml:space="preserve">. В ДВ. бр.104) термина „покрита </w:t>
      </w:r>
      <w:proofErr w:type="spellStart"/>
      <w:r w:rsidRPr="00FF2A9A">
        <w:rPr>
          <w:rFonts w:ascii="Arial" w:eastAsia="Calibri" w:hAnsi="Arial" w:cs="Arial"/>
          <w:noProof w:val="0"/>
        </w:rPr>
        <w:t>лодкостоянка</w:t>
      </w:r>
      <w:proofErr w:type="spellEnd"/>
      <w:r w:rsidRPr="00FF2A9A">
        <w:rPr>
          <w:rFonts w:ascii="Arial" w:eastAsia="Calibri" w:hAnsi="Arial" w:cs="Arial"/>
          <w:noProof w:val="0"/>
        </w:rPr>
        <w:t>“ се заменя с „</w:t>
      </w:r>
      <w:proofErr w:type="spellStart"/>
      <w:r w:rsidRPr="00FF2A9A">
        <w:rPr>
          <w:rFonts w:ascii="Arial" w:eastAsia="Calibri" w:hAnsi="Arial" w:cs="Arial"/>
          <w:noProof w:val="0"/>
        </w:rPr>
        <w:t>лодкостоянка</w:t>
      </w:r>
      <w:proofErr w:type="spellEnd"/>
      <w:r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2" w:name="_Toc475538929"/>
      <w:bookmarkStart w:id="13" w:name="_Toc59537558"/>
      <w:r w:rsidRPr="00FF2A9A">
        <w:rPr>
          <w:rFonts w:ascii="Arial" w:eastAsia="Times New Roman" w:hAnsi="Arial" w:cs="Arial"/>
          <w:b/>
          <w:bCs/>
          <w:noProof w:val="0"/>
          <w:color w:val="5B9BD5"/>
        </w:rPr>
        <w:t>6. Цели на предоставяната безвъзмездна финансова помощ по процедурата и очаквани резултати:</w:t>
      </w:r>
      <w:bookmarkEnd w:id="12"/>
      <w:bookmarkEnd w:id="13"/>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Прилагането на мярка 1.8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ще допр</w:t>
      </w:r>
      <w:r w:rsidR="008C5380" w:rsidRPr="00FF2A9A">
        <w:rPr>
          <w:rFonts w:ascii="Arial" w:eastAsia="Calibri" w:hAnsi="Arial" w:cs="Arial"/>
          <w:noProof w:val="0"/>
        </w:rPr>
        <w:t>инесе за постигане на специфични</w:t>
      </w:r>
      <w:r w:rsidRPr="00FF2A9A">
        <w:rPr>
          <w:rFonts w:ascii="Arial" w:eastAsia="Calibri" w:hAnsi="Arial" w:cs="Arial"/>
          <w:noProof w:val="0"/>
        </w:rPr>
        <w:t xml:space="preserve"> цел</w:t>
      </w:r>
      <w:r w:rsidR="008C5380" w:rsidRPr="00FF2A9A">
        <w:rPr>
          <w:rFonts w:ascii="Arial" w:eastAsia="Calibri" w:hAnsi="Arial" w:cs="Arial"/>
          <w:noProof w:val="0"/>
        </w:rPr>
        <w:t>и</w:t>
      </w:r>
      <w:r w:rsidRPr="00FF2A9A">
        <w:rPr>
          <w:rFonts w:ascii="Arial" w:eastAsia="Calibri" w:hAnsi="Arial" w:cs="Arial"/>
          <w:noProof w:val="0"/>
        </w:rPr>
        <w:t xml:space="preserve"> </w:t>
      </w:r>
      <w:r w:rsidR="004B3B8D" w:rsidRPr="00FF2A9A">
        <w:rPr>
          <w:rFonts w:ascii="Arial" w:eastAsia="Calibri" w:hAnsi="Arial" w:cs="Arial"/>
          <w:noProof w:val="0"/>
        </w:rPr>
        <w:t xml:space="preserve">по приоритета на Съюза, предвиден в член 6, параграф 1, </w:t>
      </w:r>
      <w:r w:rsidR="008C5380" w:rsidRPr="00FF2A9A">
        <w:rPr>
          <w:rFonts w:ascii="Arial" w:eastAsia="Calibri" w:hAnsi="Arial" w:cs="Arial"/>
          <w:noProof w:val="0"/>
        </w:rPr>
        <w:t xml:space="preserve">буква „а“ „намаляване на въздействието на рибарството върху морската среда, включително избягване и намаляване, доколкото е възможно, на нежелания </w:t>
      </w:r>
      <w:proofErr w:type="spellStart"/>
      <w:r w:rsidR="008C5380" w:rsidRPr="00FF2A9A">
        <w:rPr>
          <w:rFonts w:ascii="Arial" w:eastAsia="Calibri" w:hAnsi="Arial" w:cs="Arial"/>
          <w:noProof w:val="0"/>
        </w:rPr>
        <w:t>улов</w:t>
      </w:r>
      <w:proofErr w:type="spellEnd"/>
      <w:r w:rsidR="008C5380" w:rsidRPr="00FF2A9A">
        <w:rPr>
          <w:rFonts w:ascii="Arial" w:eastAsia="Calibri" w:hAnsi="Arial" w:cs="Arial"/>
          <w:noProof w:val="0"/>
        </w:rPr>
        <w:t xml:space="preserve">“ и </w:t>
      </w:r>
      <w:r w:rsidR="004B3B8D" w:rsidRPr="00FF2A9A">
        <w:rPr>
          <w:rFonts w:ascii="Arial" w:eastAsia="Calibri" w:hAnsi="Arial" w:cs="Arial"/>
          <w:noProof w:val="0"/>
        </w:rPr>
        <w:t xml:space="preserve">буква </w:t>
      </w:r>
      <w:r w:rsidR="008C5380" w:rsidRPr="00FF2A9A">
        <w:rPr>
          <w:rFonts w:ascii="Arial" w:eastAsia="Calibri" w:hAnsi="Arial" w:cs="Arial"/>
          <w:noProof w:val="0"/>
        </w:rPr>
        <w:t>„</w:t>
      </w:r>
      <w:r w:rsidR="004B3B8D" w:rsidRPr="00FF2A9A">
        <w:rPr>
          <w:rFonts w:ascii="Arial" w:eastAsia="Calibri" w:hAnsi="Arial" w:cs="Arial"/>
          <w:noProof w:val="0"/>
        </w:rPr>
        <w:t>г</w:t>
      </w:r>
      <w:r w:rsidR="008C5380" w:rsidRPr="00FF2A9A">
        <w:rPr>
          <w:rFonts w:ascii="Arial" w:eastAsia="Calibri" w:hAnsi="Arial" w:cs="Arial"/>
          <w:noProof w:val="0"/>
        </w:rPr>
        <w:t>“</w:t>
      </w:r>
      <w:r w:rsidR="004B3B8D" w:rsidRPr="00FF2A9A">
        <w:rPr>
          <w:rFonts w:ascii="Arial" w:eastAsia="Calibri" w:hAnsi="Arial" w:cs="Arial"/>
          <w:noProof w:val="0"/>
        </w:rPr>
        <w:t xml:space="preserve"> </w:t>
      </w:r>
      <w:r w:rsidR="008C5380" w:rsidRPr="00FF2A9A">
        <w:rPr>
          <w:rFonts w:ascii="Arial" w:eastAsia="Calibri" w:hAnsi="Arial" w:cs="Arial"/>
          <w:noProof w:val="0"/>
        </w:rPr>
        <w:t>„п</w:t>
      </w:r>
      <w:r w:rsidRPr="00FF2A9A">
        <w:rPr>
          <w:rFonts w:ascii="Arial" w:eastAsia="Calibri" w:hAnsi="Arial" w:cs="Arial"/>
          <w:noProof w:val="0"/>
        </w:rPr>
        <w:t>одобряване на конкурентоспособността и жизнеспособн</w:t>
      </w:r>
      <w:r w:rsidR="005C7EE4" w:rsidRPr="00FF2A9A">
        <w:rPr>
          <w:rFonts w:ascii="Arial" w:eastAsia="Calibri" w:hAnsi="Arial" w:cs="Arial"/>
          <w:noProof w:val="0"/>
        </w:rPr>
        <w:t>остта на предприятията в сектор Р</w:t>
      </w:r>
      <w:r w:rsidRPr="00FF2A9A">
        <w:rPr>
          <w:rFonts w:ascii="Arial" w:eastAsia="Calibri" w:hAnsi="Arial" w:cs="Arial"/>
          <w:noProof w:val="0"/>
        </w:rPr>
        <w:t xml:space="preserve">ибарството, включително на </w:t>
      </w:r>
      <w:proofErr w:type="spellStart"/>
      <w:r w:rsidRPr="00FF2A9A">
        <w:rPr>
          <w:rFonts w:ascii="Arial" w:eastAsia="Calibri" w:hAnsi="Arial" w:cs="Arial"/>
          <w:noProof w:val="0"/>
        </w:rPr>
        <w:t>дребномащабния</w:t>
      </w:r>
      <w:proofErr w:type="spellEnd"/>
      <w:r w:rsidRPr="00FF2A9A">
        <w:rPr>
          <w:rFonts w:ascii="Arial" w:eastAsia="Calibri" w:hAnsi="Arial" w:cs="Arial"/>
          <w:noProof w:val="0"/>
        </w:rPr>
        <w:t xml:space="preserve"> крайбрежен флот, и подобряване на безопасността и условията на труд ”</w:t>
      </w:r>
      <w:r w:rsidR="008C5380" w:rsidRPr="00FF2A9A">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w:t>
      </w:r>
      <w:r w:rsidR="008C5380" w:rsidRPr="00FF2A9A">
        <w:rPr>
          <w:rFonts w:ascii="Arial" w:eastAsia="Calibri" w:hAnsi="Arial" w:cs="Arial"/>
          <w:noProof w:val="0"/>
        </w:rPr>
        <w:lastRenderedPageBreak/>
        <w:t>дело и рибарство и за отмяна на регламенти (ЕО) № 2328/2003, (ЕО) № 861/2006, (ЕО) № 1198/2006 и (ЕО) № 791/2007 на Съвета и Регламент (ЕС) № 1255/2011 на Европейския парламент и на Съвета (Р</w:t>
      </w:r>
      <w:r w:rsidR="00AE028C" w:rsidRPr="00FF2A9A">
        <w:rPr>
          <w:rFonts w:ascii="Arial" w:eastAsia="Calibri" w:hAnsi="Arial" w:cs="Arial"/>
          <w:noProof w:val="0"/>
        </w:rPr>
        <w:t>егламент</w:t>
      </w:r>
      <w:r w:rsidR="008C5380" w:rsidRPr="00FF2A9A">
        <w:rPr>
          <w:rFonts w:ascii="Arial" w:eastAsia="Calibri" w:hAnsi="Arial" w:cs="Arial"/>
          <w:noProof w:val="0"/>
        </w:rPr>
        <w:t xml:space="preserve"> 508/2014)</w:t>
      </w:r>
      <w:r w:rsidRPr="00FF2A9A">
        <w:rPr>
          <w:rFonts w:ascii="Arial" w:eastAsia="Calibri" w:hAnsi="Arial" w:cs="Arial"/>
          <w:noProof w:val="0"/>
        </w:rPr>
        <w:t>.</w:t>
      </w:r>
    </w:p>
    <w:p w:rsidR="00BE1440" w:rsidRPr="00FF2A9A" w:rsidRDefault="005C7EE4"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Целта на настоящата процедура е да се осигури възможност за изграждане на нови и осъвременяване на инфраструктурата на съществуващи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да се повиши тяхната енергийната ефективност, да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4" w:name="_Toc475538930"/>
      <w:bookmarkStart w:id="15" w:name="_Toc59537559"/>
      <w:r w:rsidRPr="00FF2A9A">
        <w:rPr>
          <w:rFonts w:ascii="Arial" w:eastAsia="Times New Roman" w:hAnsi="Arial" w:cs="Arial"/>
          <w:b/>
          <w:bCs/>
          <w:noProof w:val="0"/>
          <w:color w:val="5B9BD5"/>
        </w:rPr>
        <w:t>7. Индикатори</w:t>
      </w:r>
      <w:bookmarkEnd w:id="14"/>
      <w:bookmarkEnd w:id="15"/>
    </w:p>
    <w:p w:rsidR="00B83EF6" w:rsidRPr="00FF2A9A" w:rsidRDefault="00B83EF6"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Управляващият орган (УО) на Програмата за морско дело и рибарство (ПМДР) ще следи за изпълнението и отчитането на следните индикатори за изпълнение:</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1. Увеличение на количеството на разтоварения нежелан </w:t>
      </w:r>
      <w:proofErr w:type="spellStart"/>
      <w:r w:rsidRPr="00FF2A9A">
        <w:rPr>
          <w:rFonts w:ascii="Arial" w:eastAsia="Calibri" w:hAnsi="Arial" w:cs="Arial"/>
          <w:noProof w:val="0"/>
        </w:rPr>
        <w:t>улов</w:t>
      </w:r>
      <w:proofErr w:type="spellEnd"/>
      <w:r w:rsidRPr="00FF2A9A">
        <w:rPr>
          <w:rFonts w:ascii="Arial" w:eastAsia="Calibri" w:hAnsi="Arial" w:cs="Arial"/>
          <w:noProof w:val="0"/>
        </w:rPr>
        <w:t xml:space="preserve"> в тонове на рибарските пристанища, кейовете за разтоварване, рибните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в тонове, код на индикатора RI_UP1.4 (a) – индикаторът е </w:t>
      </w:r>
      <w:r w:rsidR="00750592" w:rsidRPr="00FF2A9A">
        <w:rPr>
          <w:rFonts w:ascii="Arial" w:eastAsia="Calibri" w:hAnsi="Arial" w:cs="Arial"/>
          <w:noProof w:val="0"/>
        </w:rPr>
        <w:t>препоръчителен</w:t>
      </w:r>
      <w:r w:rsidRPr="00FF2A9A">
        <w:rPr>
          <w:rFonts w:ascii="Arial" w:eastAsia="Calibri" w:hAnsi="Arial" w:cs="Arial"/>
          <w:noProof w:val="0"/>
        </w:rPr>
        <w:t>;</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2. Увеличение на количеството на разтоварения нежелан </w:t>
      </w:r>
      <w:proofErr w:type="spellStart"/>
      <w:r w:rsidRPr="00FF2A9A">
        <w:rPr>
          <w:rFonts w:ascii="Arial" w:eastAsia="Calibri" w:hAnsi="Arial" w:cs="Arial"/>
          <w:noProof w:val="0"/>
        </w:rPr>
        <w:t>улов</w:t>
      </w:r>
      <w:proofErr w:type="spellEnd"/>
      <w:r w:rsidRPr="00FF2A9A">
        <w:rPr>
          <w:rFonts w:ascii="Arial" w:eastAsia="Calibri" w:hAnsi="Arial" w:cs="Arial"/>
          <w:noProof w:val="0"/>
        </w:rPr>
        <w:t xml:space="preserve"> в проценти на рибарските пристанища, кейовете за разтоварване, рибните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в проценти, код на индикатора RI_UP1.4 (b) – индикаторът е </w:t>
      </w:r>
      <w:r w:rsidR="00750592" w:rsidRPr="00FF2A9A">
        <w:rPr>
          <w:rFonts w:ascii="Arial" w:eastAsia="Calibri" w:hAnsi="Arial" w:cs="Arial"/>
          <w:noProof w:val="0"/>
        </w:rPr>
        <w:t>препоръчителен</w:t>
      </w:r>
      <w:r w:rsidRPr="00FF2A9A">
        <w:rPr>
          <w:rFonts w:ascii="Arial" w:eastAsia="Calibri" w:hAnsi="Arial" w:cs="Arial"/>
          <w:noProof w:val="0"/>
        </w:rPr>
        <w:t>;</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3. Промяна в стойността на продукцията код на индикатора RI_UP1.1;</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4. Промяна в нетната печал</w:t>
      </w:r>
      <w:r w:rsidR="00750592" w:rsidRPr="00FF2A9A">
        <w:rPr>
          <w:rFonts w:ascii="Arial" w:eastAsia="Calibri" w:hAnsi="Arial" w:cs="Arial"/>
          <w:noProof w:val="0"/>
        </w:rPr>
        <w:t>ба, код на индикатора RI_UP1.3;</w:t>
      </w:r>
    </w:p>
    <w:p w:rsidR="00CA5A22" w:rsidRPr="00FF2A9A" w:rsidRDefault="0075059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5. </w:t>
      </w:r>
      <w:r w:rsidR="00CA5A22" w:rsidRPr="00FF2A9A">
        <w:rPr>
          <w:rFonts w:ascii="Arial" w:eastAsia="Calibri" w:hAnsi="Arial" w:cs="Arial"/>
          <w:noProof w:val="0"/>
        </w:rPr>
        <w:t xml:space="preserve">Създадена заетост (ЕПРВ) в сектора на рибарството или допълнителните дейности, код на индикатора RI_UP1.7 </w:t>
      </w:r>
      <w:r w:rsidRPr="00FF2A9A">
        <w:rPr>
          <w:rFonts w:ascii="Arial" w:eastAsia="Calibri" w:hAnsi="Arial" w:cs="Arial"/>
          <w:noProof w:val="0"/>
        </w:rPr>
        <w:t>– индикаторът е препоръчителен;</w:t>
      </w:r>
    </w:p>
    <w:p w:rsidR="00CA5A22" w:rsidRPr="00FF2A9A" w:rsidRDefault="0075059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6. </w:t>
      </w:r>
      <w:r w:rsidR="00CA5A22" w:rsidRPr="00FF2A9A">
        <w:rPr>
          <w:rFonts w:ascii="Arial" w:eastAsia="Calibri" w:hAnsi="Arial" w:cs="Arial"/>
          <w:noProof w:val="0"/>
        </w:rPr>
        <w:t>Запазена заетост (ЕПРВ) в сектора на рибарството или допълнителните дейности, код на индикатора RI_UP1.8 – индикаторът е препоръчителен;</w:t>
      </w:r>
    </w:p>
    <w:p w:rsidR="004872FC" w:rsidRPr="00FF2A9A" w:rsidRDefault="00BC35C1"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38DE8000" wp14:editId="4AE14D7A">
            <wp:extent cx="664210" cy="353695"/>
            <wp:effectExtent l="0" t="0" r="254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4872FC" w:rsidRPr="00FF2A9A">
        <w:rPr>
          <w:rFonts w:ascii="Arial" w:eastAsia="Calibri" w:hAnsi="Arial" w:cs="Arial"/>
          <w:noProof w:val="0"/>
        </w:rPr>
        <w:t>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w:t>
      </w:r>
      <w:r w:rsidR="00C16B34" w:rsidRPr="00FF2A9A">
        <w:rPr>
          <w:rFonts w:ascii="Arial" w:eastAsia="Calibri" w:hAnsi="Arial" w:cs="Arial"/>
          <w:noProof w:val="0"/>
        </w:rPr>
        <w:t xml:space="preserve">а на рибарството и </w:t>
      </w:r>
      <w:proofErr w:type="spellStart"/>
      <w:r w:rsidR="00C16B34" w:rsidRPr="00FF2A9A">
        <w:rPr>
          <w:rFonts w:ascii="Arial" w:eastAsia="Calibri" w:hAnsi="Arial" w:cs="Arial"/>
          <w:noProof w:val="0"/>
        </w:rPr>
        <w:t>аквакултурите</w:t>
      </w:r>
      <w:proofErr w:type="spellEnd"/>
      <w:r w:rsidR="004872FC" w:rsidRPr="00FF2A9A">
        <w:rPr>
          <w:rFonts w:ascii="Arial" w:eastAsia="Calibri" w:hAnsi="Arial" w:cs="Arial"/>
          <w:noProof w:val="0"/>
        </w:rPr>
        <w:t xml:space="preserve"> – FAME към Европейската комисия, които кандидатите могат да прочетат тук: </w:t>
      </w:r>
      <w:hyperlink r:id="rId11" w:history="1">
        <w:r w:rsidR="00F44E5A" w:rsidRPr="00FF2A9A">
          <w:rPr>
            <w:rStyle w:val="Hyperlink"/>
            <w:rFonts w:ascii="Arial" w:eastAsia="Calibri" w:hAnsi="Arial" w:cs="Arial"/>
            <w:i/>
            <w:noProof w:val="0"/>
          </w:rPr>
          <w:t>https://www.eufunds.bg/bg/pmdr/node/2581</w:t>
        </w:r>
      </w:hyperlink>
      <w:r w:rsidR="00F44E5A" w:rsidRPr="00FF2A9A">
        <w:rPr>
          <w:rFonts w:ascii="Arial" w:eastAsia="Calibri" w:hAnsi="Arial" w:cs="Arial"/>
          <w:i/>
          <w:noProof w:val="0"/>
        </w:rPr>
        <w:t>.</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Кандидатите следва да попълнят индикаторите, които са приложими за конкретното проектно предложение и ще бъдат проследени на етап мониторинг. Индикаторите се представят без натрупване, т.е. те следва да обхваща</w:t>
      </w:r>
      <w:r w:rsidR="00B72F73">
        <w:rPr>
          <w:rFonts w:ascii="Arial" w:eastAsia="Calibri" w:hAnsi="Arial" w:cs="Arial"/>
          <w:noProof w:val="0"/>
        </w:rPr>
        <w:t>т</w:t>
      </w:r>
      <w:r w:rsidRPr="00BC35C1">
        <w:rPr>
          <w:rFonts w:ascii="Arial" w:eastAsia="Calibri" w:hAnsi="Arial" w:cs="Arial"/>
          <w:noProof w:val="0"/>
        </w:rPr>
        <w:t xml:space="preserve"> период от една година и се проследяват ежегодно.</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Попълнените индикатори следва стриктно да кореспондират със заложените в Бизнес плана на проектното предложение, като се спазват мерните единици, посочени във Формуляра за кандидатстване.</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 xml:space="preserve">Изпълнението на </w:t>
      </w:r>
      <w:proofErr w:type="spellStart"/>
      <w:r w:rsidRPr="00BC35C1">
        <w:rPr>
          <w:rFonts w:ascii="Arial" w:eastAsia="Calibri" w:hAnsi="Arial" w:cs="Arial"/>
          <w:noProof w:val="0"/>
        </w:rPr>
        <w:t>иди</w:t>
      </w:r>
      <w:r w:rsidR="00B72F73">
        <w:rPr>
          <w:rFonts w:ascii="Arial" w:eastAsia="Calibri" w:hAnsi="Arial" w:cs="Arial"/>
          <w:noProof w:val="0"/>
        </w:rPr>
        <w:t>каторите</w:t>
      </w:r>
      <w:proofErr w:type="spellEnd"/>
      <w:r w:rsidR="00B72F73">
        <w:rPr>
          <w:rFonts w:ascii="Arial" w:eastAsia="Calibri" w:hAnsi="Arial" w:cs="Arial"/>
          <w:noProof w:val="0"/>
        </w:rPr>
        <w:t xml:space="preserve"> се проследява</w:t>
      </w:r>
      <w:r w:rsidRPr="00BC35C1">
        <w:rPr>
          <w:rFonts w:ascii="Arial" w:eastAsia="Calibri" w:hAnsi="Arial" w:cs="Arial"/>
          <w:noProof w:val="0"/>
        </w:rPr>
        <w:t xml:space="preserve"> ежегодно на годишна база при извършване на мониторинг до края на изтичане срока на договора по проекта.</w:t>
      </w:r>
    </w:p>
    <w:p w:rsidR="00FF2A9A" w:rsidRPr="00B26B79" w:rsidRDefault="00FF2A9A"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4066141E" wp14:editId="271E91BA">
            <wp:extent cx="6667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В случай на неизпълнение на индикаторите за резултат, заложени в проектното предложение на </w:t>
      </w:r>
      <w:proofErr w:type="spellStart"/>
      <w:r w:rsidRPr="00FF2A9A">
        <w:rPr>
          <w:rFonts w:ascii="Arial" w:eastAsia="Calibri" w:hAnsi="Arial" w:cs="Arial"/>
          <w:noProof w:val="0"/>
        </w:rPr>
        <w:t>бенефициера</w:t>
      </w:r>
      <w:proofErr w:type="spellEnd"/>
      <w:r w:rsidRPr="00FF2A9A">
        <w:rPr>
          <w:rFonts w:ascii="Arial" w:eastAsia="Calibri" w:hAnsi="Arial" w:cs="Arial"/>
          <w:noProof w:val="0"/>
        </w:rPr>
        <w:t xml:space="preserve"> ще бъдат наложени финансови корекции съгласно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w:t>
      </w:r>
      <w:r w:rsidR="00B72F73">
        <w:rPr>
          <w:rFonts w:ascii="Arial" w:eastAsia="Calibri" w:hAnsi="Arial" w:cs="Arial"/>
          <w:noProof w:val="0"/>
        </w:rPr>
        <w:t xml:space="preserve"> 28 март 2017г. (</w:t>
      </w:r>
      <w:proofErr w:type="spellStart"/>
      <w:r w:rsidR="00B72F73">
        <w:rPr>
          <w:rFonts w:ascii="Arial" w:eastAsia="Calibri" w:hAnsi="Arial" w:cs="Arial"/>
          <w:noProof w:val="0"/>
        </w:rPr>
        <w:t>обн</w:t>
      </w:r>
      <w:proofErr w:type="spellEnd"/>
      <w:r w:rsidR="00B72F73">
        <w:rPr>
          <w:rFonts w:ascii="Arial" w:eastAsia="Calibri" w:hAnsi="Arial" w:cs="Arial"/>
          <w:noProof w:val="0"/>
        </w:rPr>
        <w:t>., ДВ, бр. 2</w:t>
      </w:r>
      <w:r w:rsidRPr="00FF2A9A">
        <w:rPr>
          <w:rFonts w:ascii="Arial" w:eastAsia="Calibri" w:hAnsi="Arial" w:cs="Arial"/>
          <w:noProof w:val="0"/>
        </w:rPr>
        <w:t>7 от 2017 г.).</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6" w:name="_Toc475538931"/>
      <w:bookmarkStart w:id="17" w:name="_Toc59537560"/>
      <w:r w:rsidRPr="00FF2A9A">
        <w:rPr>
          <w:rFonts w:ascii="Arial" w:eastAsia="Times New Roman" w:hAnsi="Arial" w:cs="Arial"/>
          <w:b/>
          <w:bCs/>
          <w:noProof w:val="0"/>
          <w:color w:val="5B9BD5"/>
        </w:rPr>
        <w:lastRenderedPageBreak/>
        <w:t>8. Общ размер на безвъзмездната финансова помощ по процедурата:</w:t>
      </w:r>
      <w:bookmarkEnd w:id="16"/>
      <w:bookmarkEnd w:id="17"/>
    </w:p>
    <w:p w:rsidR="00BE1440" w:rsidRDefault="00BE1440" w:rsidP="00BC35C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s>
        <w:spacing w:before="120" w:after="120" w:line="240" w:lineRule="auto"/>
        <w:jc w:val="both"/>
        <w:rPr>
          <w:rFonts w:ascii="Arial" w:eastAsia="Calibri" w:hAnsi="Arial" w:cs="Arial"/>
          <w:noProof w:val="0"/>
          <w:lang w:val="en-US"/>
        </w:rPr>
      </w:pPr>
      <w:r w:rsidRPr="00FF2A9A">
        <w:rPr>
          <w:rFonts w:ascii="Arial" w:eastAsia="Calibri" w:hAnsi="Arial" w:cs="Arial"/>
          <w:noProof w:val="0"/>
        </w:rPr>
        <w:t>Общият размер на безвъзмездната финансова помощ за проекти по мярка 1.8</w:t>
      </w:r>
      <w:r w:rsidR="001669A6" w:rsidRPr="00FF2A9A">
        <w:rPr>
          <w:rFonts w:ascii="Arial" w:eastAsia="Calibri" w:hAnsi="Arial" w:cs="Arial"/>
          <w:noProof w:val="0"/>
        </w:rPr>
        <w:t>.</w:t>
      </w:r>
      <w:r w:rsidRPr="00FF2A9A">
        <w:rPr>
          <w:rFonts w:ascii="Arial" w:eastAsia="Calibri" w:hAnsi="Arial" w:cs="Arial"/>
          <w:noProof w:val="0"/>
        </w:rPr>
        <w:t xml:space="preserve">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е както следва:</w:t>
      </w:r>
    </w:p>
    <w:tbl>
      <w:tblPr>
        <w:tblW w:w="999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544"/>
        <w:gridCol w:w="3237"/>
      </w:tblGrid>
      <w:tr w:rsidR="00BC35C1" w:rsidRPr="00FF2A9A" w:rsidTr="00BC35C1">
        <w:trPr>
          <w:jc w:val="center"/>
        </w:trPr>
        <w:tc>
          <w:tcPr>
            <w:tcW w:w="32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Общ размер на безвъзмездната финансова помощ</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Средства от Европейския фонд за морско дело и рибарство</w:t>
            </w:r>
          </w:p>
        </w:tc>
        <w:tc>
          <w:tcPr>
            <w:tcW w:w="3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 xml:space="preserve">Национално </w:t>
            </w:r>
            <w:proofErr w:type="spellStart"/>
            <w:r w:rsidRPr="00FF2A9A">
              <w:rPr>
                <w:rFonts w:ascii="Arial" w:eastAsia="Calibri" w:hAnsi="Arial" w:cs="Arial"/>
                <w:b/>
                <w:bCs/>
                <w:noProof w:val="0"/>
                <w:lang w:eastAsia="bg-BG"/>
              </w:rPr>
              <w:t>съфинансиране</w:t>
            </w:r>
            <w:proofErr w:type="spellEnd"/>
          </w:p>
        </w:tc>
      </w:tr>
      <w:tr w:rsidR="00BC35C1" w:rsidRPr="00FF2A9A" w:rsidTr="00BC35C1">
        <w:trPr>
          <w:jc w:val="center"/>
        </w:trPr>
        <w:tc>
          <w:tcPr>
            <w:tcW w:w="3209"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1 898 071,47</w:t>
            </w:r>
            <w:r w:rsidR="00BC35C1" w:rsidRPr="00906979">
              <w:rPr>
                <w:rFonts w:ascii="Arial" w:eastAsia="Calibri" w:hAnsi="Arial" w:cs="Arial"/>
                <w:noProof w:val="0"/>
                <w:lang w:eastAsia="bg-BG"/>
              </w:rPr>
              <w:t xml:space="preserve"> лв.</w:t>
            </w:r>
          </w:p>
        </w:tc>
        <w:tc>
          <w:tcPr>
            <w:tcW w:w="3544"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1 390 527,16</w:t>
            </w:r>
            <w:r w:rsidR="00BC35C1" w:rsidRPr="00906979">
              <w:rPr>
                <w:rFonts w:ascii="Arial" w:eastAsia="Calibri" w:hAnsi="Arial" w:cs="Arial"/>
                <w:noProof w:val="0"/>
                <w:lang w:eastAsia="bg-BG"/>
              </w:rPr>
              <w:t xml:space="preserve"> лв.</w:t>
            </w:r>
          </w:p>
        </w:tc>
        <w:tc>
          <w:tcPr>
            <w:tcW w:w="3237"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507 544,31</w:t>
            </w:r>
            <w:r w:rsidR="00BC35C1" w:rsidRPr="00906979">
              <w:rPr>
                <w:rFonts w:ascii="Arial" w:eastAsia="Calibri" w:hAnsi="Arial" w:cs="Arial"/>
                <w:noProof w:val="0"/>
                <w:lang w:eastAsia="bg-BG"/>
              </w:rPr>
              <w:t xml:space="preserve"> лв.</w:t>
            </w:r>
          </w:p>
        </w:tc>
      </w:tr>
    </w:tbl>
    <w:p w:rsidR="00BC35C1" w:rsidRPr="00BC35C1" w:rsidRDefault="00BC35C1" w:rsidP="00BC35C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УО на ПМДР 2014-2020 си запазва правото да увеличи бюджета по процедурата след приключване на оценката на проектите по предходен прием, прекратени проекти и др., както и във връзка с чл. 26, ал. 7 от ЗУСЕСИФ.</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8" w:name="_Toc475538932"/>
      <w:bookmarkStart w:id="19" w:name="_Toc59537561"/>
      <w:r w:rsidRPr="00FF2A9A">
        <w:rPr>
          <w:rFonts w:ascii="Arial" w:eastAsia="Times New Roman" w:hAnsi="Arial" w:cs="Arial"/>
          <w:b/>
          <w:bCs/>
          <w:noProof w:val="0"/>
          <w:color w:val="5B9BD5"/>
        </w:rPr>
        <w:t xml:space="preserve">9. Минимален </w:t>
      </w:r>
      <w:r w:rsidR="00C8194A" w:rsidRPr="00FF2A9A">
        <w:rPr>
          <w:rFonts w:ascii="Arial" w:eastAsia="Times New Roman" w:hAnsi="Arial" w:cs="Arial"/>
          <w:b/>
          <w:bCs/>
          <w:noProof w:val="0"/>
          <w:color w:val="5B9BD5"/>
        </w:rPr>
        <w:t xml:space="preserve">(ако е приложимо) и максимален </w:t>
      </w:r>
      <w:r w:rsidRPr="00FF2A9A">
        <w:rPr>
          <w:rFonts w:ascii="Arial" w:eastAsia="Times New Roman" w:hAnsi="Arial" w:cs="Arial"/>
          <w:b/>
          <w:bCs/>
          <w:noProof w:val="0"/>
          <w:color w:val="5B9BD5"/>
        </w:rPr>
        <w:t>размер на безвъзмезднат</w:t>
      </w:r>
      <w:r w:rsidR="00C8194A" w:rsidRPr="00FF2A9A">
        <w:rPr>
          <w:rFonts w:ascii="Arial" w:eastAsia="Times New Roman" w:hAnsi="Arial" w:cs="Arial"/>
          <w:b/>
          <w:bCs/>
          <w:noProof w:val="0"/>
          <w:color w:val="5B9BD5"/>
        </w:rPr>
        <w:t xml:space="preserve">а финансова помощ за конкретен </w:t>
      </w:r>
      <w:r w:rsidRPr="00FF2A9A">
        <w:rPr>
          <w:rFonts w:ascii="Arial" w:eastAsia="Times New Roman" w:hAnsi="Arial" w:cs="Arial"/>
          <w:b/>
          <w:bCs/>
          <w:noProof w:val="0"/>
          <w:color w:val="5B9BD5"/>
        </w:rPr>
        <w:t>проект:</w:t>
      </w:r>
      <w:bookmarkEnd w:id="18"/>
      <w:bookmarkEnd w:id="19"/>
    </w:p>
    <w:p w:rsidR="00BE1440" w:rsidRPr="00FF2A9A" w:rsidRDefault="00BE1440" w:rsidP="00FF2A9A">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Минималният размер на допустимата безвъзмездна финансова помощ е 80 000 лева</w:t>
      </w:r>
      <w:r w:rsidR="00B42F2F" w:rsidRPr="00FF2A9A">
        <w:rPr>
          <w:rFonts w:ascii="Arial" w:eastAsia="Calibri" w:hAnsi="Arial" w:cs="Arial"/>
          <w:noProof w:val="0"/>
        </w:rPr>
        <w:t>.</w:t>
      </w:r>
    </w:p>
    <w:p w:rsidR="00BE1440" w:rsidRPr="00FF2A9A" w:rsidRDefault="00BE1440" w:rsidP="00FF2A9A">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Максималният размер на допустимата безвъзмездна финансова помощ е </w:t>
      </w:r>
      <w:r w:rsidR="00BC35C1">
        <w:rPr>
          <w:rFonts w:ascii="Arial" w:eastAsia="Calibri" w:hAnsi="Arial" w:cs="Arial"/>
          <w:noProof w:val="0"/>
          <w:lang w:val="en-US"/>
        </w:rPr>
        <w:t>1</w:t>
      </w:r>
      <w:r w:rsidR="00BC35C1" w:rsidRPr="00FF2A9A">
        <w:rPr>
          <w:rFonts w:ascii="Arial" w:eastAsia="Calibri" w:hAnsi="Arial" w:cs="Arial"/>
          <w:noProof w:val="0"/>
          <w:lang w:eastAsia="bg-BG"/>
        </w:rPr>
        <w:t> </w:t>
      </w:r>
      <w:r w:rsidR="00BC35C1">
        <w:rPr>
          <w:rFonts w:ascii="Arial" w:eastAsia="Calibri" w:hAnsi="Arial" w:cs="Arial"/>
          <w:noProof w:val="0"/>
          <w:lang w:val="en-US"/>
        </w:rPr>
        <w:t>0</w:t>
      </w:r>
      <w:r w:rsidRPr="00FF2A9A">
        <w:rPr>
          <w:rFonts w:ascii="Arial" w:eastAsia="Calibri" w:hAnsi="Arial" w:cs="Arial"/>
          <w:noProof w:val="0"/>
        </w:rPr>
        <w:t>00</w:t>
      </w:r>
      <w:r w:rsidR="00BC35C1" w:rsidRPr="00FF2A9A">
        <w:rPr>
          <w:rFonts w:ascii="Arial" w:eastAsia="Calibri" w:hAnsi="Arial" w:cs="Arial"/>
          <w:noProof w:val="0"/>
          <w:lang w:eastAsia="bg-BG"/>
        </w:rPr>
        <w:t> </w:t>
      </w:r>
      <w:r w:rsidRPr="00FF2A9A">
        <w:rPr>
          <w:rFonts w:ascii="Arial" w:eastAsia="Calibri" w:hAnsi="Arial" w:cs="Arial"/>
          <w:noProof w:val="0"/>
        </w:rPr>
        <w:t>000 лева.</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20" w:name="_Toc475538933"/>
      <w:bookmarkStart w:id="21" w:name="_Toc59537562"/>
      <w:r w:rsidRPr="00FF2A9A">
        <w:rPr>
          <w:rFonts w:ascii="Arial" w:eastAsia="Times New Roman" w:hAnsi="Arial" w:cs="Arial"/>
          <w:b/>
          <w:bCs/>
          <w:noProof w:val="0"/>
          <w:color w:val="5B9BD5"/>
        </w:rPr>
        <w:t xml:space="preserve">10. Процент на </w:t>
      </w:r>
      <w:proofErr w:type="spellStart"/>
      <w:r w:rsidRPr="00FF2A9A">
        <w:rPr>
          <w:rFonts w:ascii="Arial" w:eastAsia="Times New Roman" w:hAnsi="Arial" w:cs="Arial"/>
          <w:b/>
          <w:bCs/>
          <w:noProof w:val="0"/>
          <w:color w:val="5B9BD5"/>
        </w:rPr>
        <w:t>съфинансиране</w:t>
      </w:r>
      <w:proofErr w:type="spellEnd"/>
      <w:r w:rsidRPr="00FF2A9A">
        <w:rPr>
          <w:rFonts w:ascii="Arial" w:eastAsia="Times New Roman" w:hAnsi="Arial" w:cs="Arial"/>
          <w:b/>
          <w:bCs/>
          <w:noProof w:val="0"/>
          <w:color w:val="5B9BD5"/>
        </w:rPr>
        <w:t>:</w:t>
      </w:r>
      <w:bookmarkEnd w:id="20"/>
      <w:bookmarkEnd w:id="21"/>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Безвъзмездната финансова помощ е в размер до 100 на сто от размера на одобрените и реално</w:t>
      </w:r>
      <w:r w:rsidR="00F56CCF" w:rsidRPr="00FF2A9A">
        <w:rPr>
          <w:rFonts w:ascii="Arial" w:eastAsia="Calibri" w:hAnsi="Arial" w:cs="Arial"/>
          <w:noProof w:val="0"/>
        </w:rPr>
        <w:t xml:space="preserve"> извършени инвестиционни </w:t>
      </w:r>
      <w:r w:rsidRPr="00FF2A9A">
        <w:rPr>
          <w:rFonts w:ascii="Arial" w:eastAsia="Calibri" w:hAnsi="Arial" w:cs="Arial"/>
          <w:noProof w:val="0"/>
        </w:rPr>
        <w:t xml:space="preserve">разходи. </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2" w:name="_Toc475538934"/>
      <w:bookmarkStart w:id="23" w:name="_Toc475537079"/>
      <w:r w:rsidRPr="00FF2A9A">
        <w:rPr>
          <w:rFonts w:ascii="Arial" w:eastAsia="Calibri" w:hAnsi="Arial" w:cs="Arial"/>
          <w:noProof w:val="0"/>
        </w:rPr>
        <w:t xml:space="preserve">Максимален процент на </w:t>
      </w:r>
      <w:proofErr w:type="spellStart"/>
      <w:r w:rsidRPr="00FF2A9A">
        <w:rPr>
          <w:rFonts w:ascii="Arial" w:eastAsia="Calibri" w:hAnsi="Arial" w:cs="Arial"/>
          <w:noProof w:val="0"/>
        </w:rPr>
        <w:t>съфинансиране</w:t>
      </w:r>
      <w:proofErr w:type="spellEnd"/>
      <w:r w:rsidRPr="00FF2A9A">
        <w:rPr>
          <w:rFonts w:ascii="Arial" w:eastAsia="Calibri" w:hAnsi="Arial" w:cs="Arial"/>
          <w:noProof w:val="0"/>
        </w:rPr>
        <w:t>:</w:t>
      </w:r>
      <w:bookmarkEnd w:id="22"/>
      <w:bookmarkEnd w:id="23"/>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w:t>
      </w:r>
      <w:bookmarkStart w:id="24" w:name="_Toc475538935"/>
      <w:bookmarkStart w:id="25" w:name="_Toc475537080"/>
      <w:r w:rsidR="008F36AA" w:rsidRPr="00FF2A9A">
        <w:rPr>
          <w:rFonts w:ascii="Arial" w:eastAsia="Calibri" w:hAnsi="Arial" w:cs="Arial"/>
          <w:noProof w:val="0"/>
        </w:rPr>
        <w:t xml:space="preserve">– до 100 % </w:t>
      </w:r>
      <w:r w:rsidRPr="00FF2A9A">
        <w:rPr>
          <w:rFonts w:ascii="Arial" w:eastAsia="Calibri" w:hAnsi="Arial" w:cs="Arial"/>
          <w:noProof w:val="0"/>
        </w:rPr>
        <w:t>за публични организации;</w:t>
      </w:r>
      <w:bookmarkEnd w:id="24"/>
      <w:bookmarkEnd w:id="25"/>
    </w:p>
    <w:p w:rsidR="00B83EF6"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w:t>
      </w:r>
      <w:bookmarkStart w:id="26" w:name="_Toc475538936"/>
      <w:bookmarkStart w:id="27" w:name="_Toc475537081"/>
      <w:r w:rsidR="001669A6" w:rsidRPr="00FF2A9A">
        <w:rPr>
          <w:rFonts w:ascii="Arial" w:eastAsia="Calibri" w:hAnsi="Arial" w:cs="Arial"/>
          <w:noProof w:val="0"/>
        </w:rPr>
        <w:t xml:space="preserve">– </w:t>
      </w:r>
      <w:r w:rsidRPr="00FF2A9A">
        <w:rPr>
          <w:rFonts w:ascii="Arial" w:eastAsia="Calibri" w:hAnsi="Arial" w:cs="Arial"/>
          <w:noProof w:val="0"/>
        </w:rPr>
        <w:t>до 50 % за юридически лица или еднолични търговци (ЕТ), регистрирани по Търговския за</w:t>
      </w:r>
      <w:r w:rsidR="00B83EF6" w:rsidRPr="00FF2A9A">
        <w:rPr>
          <w:rFonts w:ascii="Arial" w:eastAsia="Calibri" w:hAnsi="Arial" w:cs="Arial"/>
          <w:noProof w:val="0"/>
        </w:rPr>
        <w:t>кон или Закона за кооперациите.</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Интензитетът на финансирането на операции, осъществявани от предприятия, които попадат извън определението за </w:t>
      </w:r>
      <w:r w:rsidR="00583D2C" w:rsidRPr="00FF2A9A">
        <w:rPr>
          <w:rFonts w:ascii="Arial" w:eastAsia="Calibri" w:hAnsi="Arial" w:cs="Arial"/>
          <w:noProof w:val="0"/>
        </w:rPr>
        <w:t>малко и средно предприятие, съгласно чл. 3 и чл. 4 от Закона за малките и средните предприятия (ЗМСП)</w:t>
      </w:r>
      <w:r w:rsidRPr="00FF2A9A">
        <w:rPr>
          <w:rFonts w:ascii="Arial" w:eastAsia="Calibri" w:hAnsi="Arial" w:cs="Arial"/>
          <w:noProof w:val="0"/>
        </w:rPr>
        <w:t>, се намалява с 20 процентни пункта.</w:t>
      </w:r>
      <w:bookmarkEnd w:id="26"/>
      <w:bookmarkEnd w:id="27"/>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8" w:name="_Toc475538937"/>
      <w:bookmarkStart w:id="29" w:name="_Toc475537082"/>
      <w:r w:rsidRPr="00FF2A9A">
        <w:rPr>
          <w:rFonts w:ascii="Arial" w:eastAsia="Calibri" w:hAnsi="Arial" w:cs="Arial"/>
          <w:noProof w:val="0"/>
        </w:rPr>
        <w:t>Процен</w:t>
      </w:r>
      <w:r w:rsidR="00E73210" w:rsidRPr="00FF2A9A">
        <w:rPr>
          <w:rFonts w:ascii="Arial" w:eastAsia="Calibri" w:hAnsi="Arial" w:cs="Arial"/>
          <w:noProof w:val="0"/>
        </w:rPr>
        <w:t xml:space="preserve">т на </w:t>
      </w:r>
      <w:proofErr w:type="spellStart"/>
      <w:r w:rsidR="00E73210" w:rsidRPr="00FF2A9A">
        <w:rPr>
          <w:rFonts w:ascii="Arial" w:eastAsia="Calibri" w:hAnsi="Arial" w:cs="Arial"/>
          <w:noProof w:val="0"/>
        </w:rPr>
        <w:t>съфинансиране</w:t>
      </w:r>
      <w:proofErr w:type="spellEnd"/>
      <w:r w:rsidR="00E73210" w:rsidRPr="00FF2A9A">
        <w:rPr>
          <w:rFonts w:ascii="Arial" w:eastAsia="Calibri" w:hAnsi="Arial" w:cs="Arial"/>
          <w:noProof w:val="0"/>
        </w:rPr>
        <w:t xml:space="preserve"> от ЕФМДР – 73,26</w:t>
      </w:r>
      <w:r w:rsidRPr="00FF2A9A">
        <w:rPr>
          <w:rFonts w:ascii="Arial" w:eastAsia="Calibri" w:hAnsi="Arial" w:cs="Arial"/>
          <w:noProof w:val="0"/>
        </w:rPr>
        <w:t xml:space="preserve"> %</w:t>
      </w:r>
      <w:bookmarkEnd w:id="28"/>
      <w:bookmarkEnd w:id="29"/>
      <w:r w:rsidR="001669A6" w:rsidRPr="00FF2A9A">
        <w:rPr>
          <w:rFonts w:ascii="Arial" w:eastAsia="Calibri" w:hAnsi="Arial" w:cs="Arial"/>
          <w:noProof w:val="0"/>
        </w:rPr>
        <w:t>.</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30" w:name="_Toc475538938"/>
      <w:bookmarkStart w:id="31" w:name="_Toc475537083"/>
      <w:r w:rsidRPr="00FF2A9A">
        <w:rPr>
          <w:rFonts w:ascii="Arial" w:eastAsia="Calibri" w:hAnsi="Arial" w:cs="Arial"/>
          <w:noProof w:val="0"/>
        </w:rPr>
        <w:t xml:space="preserve">Процент на </w:t>
      </w:r>
      <w:proofErr w:type="spellStart"/>
      <w:r w:rsidRPr="00FF2A9A">
        <w:rPr>
          <w:rFonts w:ascii="Arial" w:eastAsia="Calibri" w:hAnsi="Arial" w:cs="Arial"/>
          <w:noProof w:val="0"/>
        </w:rPr>
        <w:t>съфинансиране</w:t>
      </w:r>
      <w:proofErr w:type="spellEnd"/>
      <w:r w:rsidRPr="00FF2A9A">
        <w:rPr>
          <w:rFonts w:ascii="Arial" w:eastAsia="Calibri" w:hAnsi="Arial" w:cs="Arial"/>
          <w:noProof w:val="0"/>
        </w:rPr>
        <w:t xml:space="preserve"> от нацио</w:t>
      </w:r>
      <w:r w:rsidR="00E73210" w:rsidRPr="00FF2A9A">
        <w:rPr>
          <w:rFonts w:ascii="Arial" w:eastAsia="Calibri" w:hAnsi="Arial" w:cs="Arial"/>
          <w:noProof w:val="0"/>
        </w:rPr>
        <w:t>налния бюджет – 26,74</w:t>
      </w:r>
      <w:r w:rsidRPr="00FF2A9A">
        <w:rPr>
          <w:rFonts w:ascii="Arial" w:eastAsia="Calibri" w:hAnsi="Arial" w:cs="Arial"/>
          <w:noProof w:val="0"/>
        </w:rPr>
        <w:t>%</w:t>
      </w:r>
      <w:bookmarkEnd w:id="30"/>
      <w:bookmarkEnd w:id="31"/>
      <w:r w:rsidR="001669A6" w:rsidRPr="00FF2A9A">
        <w:rPr>
          <w:rFonts w:ascii="Arial" w:eastAsia="Calibri" w:hAnsi="Arial" w:cs="Arial"/>
          <w:noProof w:val="0"/>
        </w:rPr>
        <w:t>.</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За „проекти, които след приключване генерират нетни приходи” по смисъла на чл. 61 от Регламент (ЕС) № 1303/2013 на Европейския парламент и на Съвета от 17 декември 2013 г.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и за отмяна на Регламент (ЕО) № 1083/2006 на Съвета (OB, L 347/320 от 20.12.2013 г.) (Регламент № 1303/2013), когато в резултат от финансовия анализ по проекта се установи финансов дефицит, безвъзмездната финансова помощ (100%) е до размера на сумата по решението съгласно представения финансов а</w:t>
      </w:r>
      <w:r w:rsidR="00895422" w:rsidRPr="00FF2A9A">
        <w:rPr>
          <w:rFonts w:ascii="Arial" w:eastAsia="Calibri" w:hAnsi="Arial" w:cs="Arial"/>
          <w:noProof w:val="0"/>
        </w:rPr>
        <w:t xml:space="preserve">нализ. В този случай </w:t>
      </w:r>
      <w:proofErr w:type="spellStart"/>
      <w:r w:rsidR="00895422"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следва да осигури собствен принос в размер на разликата между общата стойност на проекта и размера на БФП по ПМДР (100%).</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Всяко проектно предложение, което има потенциал да генерира приходи, и тези приходи могат да бъдат оценени към момента на кандидатстване, следва да бъде придружено от </w:t>
      </w:r>
      <w:r w:rsidRPr="00FF2A9A">
        <w:rPr>
          <w:rFonts w:ascii="Arial" w:eastAsia="Calibri" w:hAnsi="Arial" w:cs="Arial"/>
          <w:noProof w:val="0"/>
        </w:rPr>
        <w:lastRenderedPageBreak/>
        <w:t>финансов анализ. За проекти, генериращи нетни приходи, безвъзмездната финансова помощ по ПМДР (100%) е до размера на сумата по решението съгласно представения финансов анализ, но не повече от общия индикативен размер на средстват</w:t>
      </w:r>
      <w:r w:rsidR="00895422" w:rsidRPr="00FF2A9A">
        <w:rPr>
          <w:rFonts w:ascii="Arial" w:eastAsia="Calibri" w:hAnsi="Arial" w:cs="Arial"/>
          <w:noProof w:val="0"/>
        </w:rPr>
        <w:t xml:space="preserve">а за всеки конкретен </w:t>
      </w:r>
      <w:proofErr w:type="spellStart"/>
      <w:r w:rsidR="00895422" w:rsidRPr="00FF2A9A">
        <w:rPr>
          <w:rFonts w:ascii="Arial" w:eastAsia="Calibri" w:hAnsi="Arial" w:cs="Arial"/>
          <w:noProof w:val="0"/>
        </w:rPr>
        <w:t>бенефициер</w:t>
      </w:r>
      <w:proofErr w:type="spellEnd"/>
      <w:r w:rsidR="00895422" w:rsidRPr="00FF2A9A">
        <w:rPr>
          <w:rFonts w:ascii="Arial" w:eastAsia="Calibri" w:hAnsi="Arial" w:cs="Arial"/>
          <w:noProof w:val="0"/>
        </w:rPr>
        <w:t xml:space="preserve">. В този случай </w:t>
      </w:r>
      <w:proofErr w:type="spellStart"/>
      <w:r w:rsidR="00895422"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следва да осигури собствен принос в размер на разликата между общата стойност на проекта и размера на безвъзмездната финансова помощ по ПМДР (100%).</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 че след приключване на проекта се генерират приходи, които обективно не е било възможно да се определят въз основа на някой от методите, посочени в чл. 61 от Регламент (ЕС) № 1303/ 2013 г.</w:t>
      </w:r>
      <w:r w:rsidR="00895422" w:rsidRPr="00FF2A9A">
        <w:rPr>
          <w:rFonts w:ascii="Arial" w:eastAsia="Calibri" w:hAnsi="Arial" w:cs="Arial"/>
          <w:noProof w:val="0"/>
        </w:rPr>
        <w:t xml:space="preserve"> при неговото представяне пред У</w:t>
      </w:r>
      <w:r w:rsidRPr="00FF2A9A">
        <w:rPr>
          <w:rFonts w:ascii="Arial" w:eastAsia="Calibri" w:hAnsi="Arial" w:cs="Arial"/>
          <w:noProof w:val="0"/>
        </w:rPr>
        <w:t xml:space="preserve">правляващия орган, то нетните приходи, генерирани в рамките на 3 години от приключването на проекта или до крайния срок за представяне на документи за приключването на ПМДР, в зависимост от това коя дата е по-ранна, се приспадат  от предоставената безвъзмездна финансова помощ по проекта. Съгласно чл. 61 от Регламент (ЕС) № 1303/ 2013 г., „нетни приходи“ означава паричните потоци, заплащани директно от потребителите за стоки и услуги, предоставени с операцията, 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 компенсирани от равностойно намаляване на субсидиите за дейността. Финансовият анализ се изготвя в съответствие с правилата в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(OB, L 138/5 от 13.05.2014 г.), и насоките на Европейската комисия от декември 2014 г. за изготвяне на Анализ разходи-ползи на инвестиционни проекти, публикувани на следната интернет страница:</w:t>
      </w:r>
    </w:p>
    <w:p w:rsidR="0068418C" w:rsidRPr="00FF2A9A" w:rsidRDefault="00FC6ACF"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hyperlink r:id="rId12" w:history="1">
        <w:r w:rsidR="0068418C" w:rsidRPr="00FF2A9A">
          <w:rPr>
            <w:rStyle w:val="Hyperlink"/>
            <w:rFonts w:ascii="Arial" w:eastAsia="Calibri" w:hAnsi="Arial" w:cs="Arial"/>
            <w:i/>
            <w:noProof w:val="0"/>
          </w:rPr>
          <w:t>http://ec.europa.eu/regional_policy/sources/docgener/studies/pdf/cba_guide.pdf</w:t>
        </w:r>
      </w:hyperlink>
      <w:r w:rsidR="0068418C" w:rsidRPr="00FF2A9A">
        <w:rPr>
          <w:rFonts w:ascii="Arial" w:eastAsia="Calibri" w:hAnsi="Arial" w:cs="Arial"/>
          <w:noProof w:val="0"/>
        </w:rPr>
        <w:t xml:space="preserve">. </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Стойността на допустимите разходи не следва да надвишава разликата между текущата стойност на инвестиционните разходи и текущата стойност на нетните приходи от инвестицията през референтния период на проекта. Референтният период е период в години, за който се отнасят прогнозите, включени в анализа на разходите и ползите. Референтният времеви хоризонт по сектори, основан на международната практика и препоръчан от Комисията в ПРИЛОЖЕНИЕ I „Референтни периоди по член 15, параграф 2“ от Делегиран регламент (ЕС) № 480/2014 е, както следва:</w:t>
      </w:r>
    </w:p>
    <w:p w:rsidR="00895422" w:rsidRPr="00FF2A9A" w:rsidRDefault="00895422" w:rsidP="00D33A30">
      <w:pPr>
        <w:pBdr>
          <w:top w:val="single" w:sz="4" w:space="1" w:color="auto"/>
          <w:left w:val="single" w:sz="4" w:space="0" w:color="auto"/>
          <w:bottom w:val="single" w:sz="4" w:space="1" w:color="auto"/>
          <w:right w:val="single" w:sz="4" w:space="1" w:color="auto"/>
        </w:pBdr>
        <w:tabs>
          <w:tab w:val="left" w:pos="-180"/>
        </w:tabs>
        <w:spacing w:before="120" w:after="120" w:line="240" w:lineRule="auto"/>
        <w:jc w:val="center"/>
        <w:rPr>
          <w:rFonts w:ascii="Arial" w:eastAsia="Calibri" w:hAnsi="Arial" w:cs="Arial"/>
          <w:noProof w:val="0"/>
        </w:rPr>
      </w:pPr>
      <w:r w:rsidRPr="00FF2A9A">
        <w:rPr>
          <w:rFonts w:ascii="Arial" w:hAnsi="Arial" w:cs="Arial"/>
          <w:lang w:val="en-US"/>
        </w:rPr>
        <w:lastRenderedPageBreak/>
        <w:drawing>
          <wp:inline distT="0" distB="0" distL="0" distR="0" wp14:anchorId="5AC94357" wp14:editId="76295857">
            <wp:extent cx="5596437" cy="2933396"/>
            <wp:effectExtent l="0" t="0" r="444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441" cy="2932874"/>
                    </a:xfrm>
                    <a:prstGeom prst="rect">
                      <a:avLst/>
                    </a:prstGeom>
                    <a:noFill/>
                  </pic:spPr>
                </pic:pic>
              </a:graphicData>
            </a:graphic>
          </wp:inline>
        </w:drawing>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 нетните приходи се намалява сумата на финансиране от оперативната програма, като същите се приспадат от размера на допустимите разходи по операцията. 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случаите на проекти, които генерират нетни приходи след тяхното завършване, допустимите разходи за проекта се намаляват предварително (на етапа на кандидатстване) при отчитане потенциала да генерира нетни приходи през определен референтен период, който обхваща както периода на изпълнение на проекта, така и периода след приключване на неговото изпълнение. Финансовият анализ следва да се предостави в електронен формат (Excel) с отключени формули, което да позволи неговото разглеждане и оценка, включително проверка на получените финансови резултати.</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32" w:name="_Toc475538939"/>
      <w:bookmarkStart w:id="33" w:name="_Toc59537563"/>
      <w:r w:rsidRPr="00FF2A9A">
        <w:rPr>
          <w:rFonts w:ascii="Arial" w:eastAsia="Times New Roman" w:hAnsi="Arial" w:cs="Arial"/>
          <w:b/>
          <w:bCs/>
          <w:noProof w:val="0"/>
          <w:color w:val="5B9BD5"/>
        </w:rPr>
        <w:t>11. Допустими кандидати:</w:t>
      </w:r>
      <w:bookmarkEnd w:id="32"/>
      <w:bookmarkEnd w:id="33"/>
      <w:r w:rsidRPr="00FF2A9A">
        <w:rPr>
          <w:rFonts w:ascii="Arial" w:eastAsia="Times New Roman" w:hAnsi="Arial" w:cs="Arial"/>
          <w:b/>
          <w:bCs/>
          <w:noProof w:val="0"/>
          <w:color w:val="5B9BD5"/>
        </w:rPr>
        <w:t xml:space="preserve"> </w:t>
      </w:r>
    </w:p>
    <w:p w:rsidR="00BE1440" w:rsidRPr="00FF2A9A" w:rsidRDefault="00BE1440" w:rsidP="00FF2A9A">
      <w:pPr>
        <w:keepNext/>
        <w:spacing w:before="120" w:after="120" w:line="240" w:lineRule="auto"/>
        <w:jc w:val="both"/>
        <w:rPr>
          <w:rFonts w:ascii="Arial" w:eastAsia="Times New Roman" w:hAnsi="Arial" w:cs="Arial"/>
          <w:noProof w:val="0"/>
          <w:color w:val="548DD4" w:themeColor="text2" w:themeTint="99"/>
        </w:rPr>
      </w:pPr>
      <w:bookmarkStart w:id="34" w:name="_Toc59537564"/>
      <w:r w:rsidRPr="00FF2A9A">
        <w:rPr>
          <w:rFonts w:ascii="Arial" w:eastAsia="Times New Roman" w:hAnsi="Arial" w:cs="Arial"/>
          <w:b/>
          <w:bCs/>
          <w:noProof w:val="0"/>
          <w:color w:val="548DD4" w:themeColor="text2" w:themeTint="99"/>
        </w:rPr>
        <w:t>11.1 Критерии за допустимост на кандидатите:</w:t>
      </w:r>
      <w:bookmarkEnd w:id="34"/>
    </w:p>
    <w:p w:rsidR="00BE1440"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За безвъзмездна финансова помощ могат да кандидатстват: </w:t>
      </w:r>
    </w:p>
    <w:p w:rsidR="00BE1440" w:rsidRPr="00FF2A9A" w:rsidRDefault="00BC188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1. Ю</w:t>
      </w:r>
      <w:r w:rsidR="00BE1440" w:rsidRPr="00FF2A9A">
        <w:rPr>
          <w:rFonts w:ascii="Arial" w:eastAsia="Calibri" w:hAnsi="Arial" w:cs="Arial"/>
          <w:noProof w:val="0"/>
          <w:color w:val="000000"/>
          <w:lang w:eastAsia="bg-BG"/>
        </w:rPr>
        <w:t>ридически лица или еднолични търговци (ЕТ), регистрирани по Търговския за</w:t>
      </w:r>
      <w:r w:rsidR="00AE028C" w:rsidRPr="00FF2A9A">
        <w:rPr>
          <w:rFonts w:ascii="Arial" w:eastAsia="Calibri" w:hAnsi="Arial" w:cs="Arial"/>
          <w:noProof w:val="0"/>
          <w:color w:val="000000"/>
          <w:lang w:eastAsia="bg-BG"/>
        </w:rPr>
        <w:t>кон или Закона за кооперациите;</w:t>
      </w:r>
    </w:p>
    <w:p w:rsidR="009E3C67"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Клонове на юридически лица, регистрирани в България, не могат да участват в процедурата чрез подбор на проекти поради липсата на</w:t>
      </w:r>
      <w:r w:rsidR="009E3C67" w:rsidRPr="00FF2A9A">
        <w:rPr>
          <w:rFonts w:ascii="Arial" w:eastAsia="Calibri" w:hAnsi="Arial" w:cs="Arial"/>
          <w:noProof w:val="0"/>
          <w:color w:val="000000"/>
          <w:lang w:eastAsia="bg-BG"/>
        </w:rPr>
        <w:t xml:space="preserve"> самостоятелна </w:t>
      </w:r>
      <w:proofErr w:type="spellStart"/>
      <w:r w:rsidR="009E3C67" w:rsidRPr="00FF2A9A">
        <w:rPr>
          <w:rFonts w:ascii="Arial" w:eastAsia="Calibri" w:hAnsi="Arial" w:cs="Arial"/>
          <w:noProof w:val="0"/>
          <w:color w:val="000000"/>
          <w:lang w:eastAsia="bg-BG"/>
        </w:rPr>
        <w:t>правосубектност</w:t>
      </w:r>
      <w:proofErr w:type="spellEnd"/>
      <w:r w:rsidR="009E3C67" w:rsidRPr="00FF2A9A">
        <w:rPr>
          <w:rFonts w:ascii="Arial" w:eastAsia="Calibri" w:hAnsi="Arial" w:cs="Arial"/>
          <w:noProof w:val="0"/>
          <w:color w:val="000000"/>
          <w:lang w:eastAsia="bg-BG"/>
        </w:rPr>
        <w:t>.</w:t>
      </w:r>
    </w:p>
    <w:p w:rsidR="00BE1440" w:rsidRPr="00FF2A9A" w:rsidRDefault="009E3C6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w:t>
      </w:r>
      <w:r w:rsidR="00BE1440" w:rsidRPr="00FF2A9A">
        <w:rPr>
          <w:rFonts w:ascii="Arial" w:eastAsia="Calibri" w:hAnsi="Arial" w:cs="Arial"/>
          <w:noProof w:val="0"/>
          <w:color w:val="000000"/>
          <w:lang w:eastAsia="bg-BG"/>
        </w:rPr>
        <w:t xml:space="preserve">андидатът следва да е регистриран по реда на </w:t>
      </w:r>
      <w:r w:rsidRPr="00FF2A9A">
        <w:rPr>
          <w:rFonts w:ascii="Arial" w:eastAsia="Calibri" w:hAnsi="Arial" w:cs="Arial"/>
          <w:noProof w:val="0"/>
          <w:color w:val="000000"/>
          <w:lang w:eastAsia="bg-BG"/>
        </w:rPr>
        <w:t xml:space="preserve">Закона за търговския регистър и регистъра на юридическите лица с нестопанска цел </w:t>
      </w:r>
      <w:r w:rsidR="00BE1440" w:rsidRPr="00FF2A9A">
        <w:rPr>
          <w:rFonts w:ascii="Arial" w:eastAsia="Calibri" w:hAnsi="Arial" w:cs="Arial"/>
          <w:noProof w:val="0"/>
          <w:color w:val="000000"/>
          <w:lang w:eastAsia="bg-BG"/>
        </w:rPr>
        <w:t>или съответно Закона за кооперациите.</w:t>
      </w:r>
    </w:p>
    <w:p w:rsidR="00BE1440" w:rsidRPr="00FF2A9A" w:rsidRDefault="00BC188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2. О</w:t>
      </w:r>
      <w:r w:rsidR="0068418C" w:rsidRPr="00FF2A9A">
        <w:rPr>
          <w:rFonts w:ascii="Arial" w:eastAsia="Calibri" w:hAnsi="Arial" w:cs="Arial"/>
          <w:noProof w:val="0"/>
          <w:color w:val="000000"/>
          <w:lang w:eastAsia="bg-BG"/>
        </w:rPr>
        <w:t xml:space="preserve">бщини или държавни </w:t>
      </w:r>
      <w:proofErr w:type="spellStart"/>
      <w:r w:rsidR="0068418C" w:rsidRPr="00FF2A9A">
        <w:rPr>
          <w:rFonts w:ascii="Arial" w:eastAsia="Calibri" w:hAnsi="Arial" w:cs="Arial"/>
          <w:noProof w:val="0"/>
          <w:color w:val="000000"/>
          <w:lang w:eastAsia="bg-BG"/>
        </w:rPr>
        <w:t>учреждения</w:t>
      </w:r>
      <w:proofErr w:type="spellEnd"/>
      <w:r w:rsidR="0068418C" w:rsidRPr="00FF2A9A">
        <w:rPr>
          <w:rFonts w:ascii="Arial" w:eastAsia="Calibri" w:hAnsi="Arial" w:cs="Arial"/>
          <w:noProof w:val="0"/>
          <w:color w:val="000000"/>
          <w:lang w:eastAsia="bg-BG"/>
        </w:rPr>
        <w:t>.</w:t>
      </w:r>
    </w:p>
    <w:p w:rsidR="00BE1440"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Кандидатите по т. 1 и т. 2 трябва да отговарят на следните изисквания:</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да бъдат собственици или да имат учредени права на ползване за обекти</w:t>
      </w:r>
      <w:r w:rsidR="00A27EE7" w:rsidRPr="00FF2A9A">
        <w:rPr>
          <w:rFonts w:ascii="Arial" w:eastAsia="Calibri" w:hAnsi="Arial" w:cs="Arial"/>
          <w:noProof w:val="0"/>
          <w:color w:val="000000"/>
          <w:lang w:eastAsia="bg-BG"/>
        </w:rPr>
        <w:t>те</w:t>
      </w:r>
      <w:r w:rsidR="00BE1440" w:rsidRPr="00FF2A9A">
        <w:rPr>
          <w:rFonts w:ascii="Arial" w:eastAsia="Calibri" w:hAnsi="Arial" w:cs="Arial"/>
          <w:noProof w:val="0"/>
          <w:color w:val="000000"/>
          <w:lang w:eastAsia="bg-BG"/>
        </w:rPr>
        <w:t>,</w:t>
      </w:r>
      <w:r w:rsidR="00A27EE7" w:rsidRPr="00FF2A9A">
        <w:rPr>
          <w:rFonts w:ascii="Arial" w:eastAsia="Calibri" w:hAnsi="Arial" w:cs="Arial"/>
          <w:noProof w:val="0"/>
          <w:color w:val="000000"/>
          <w:lang w:eastAsia="bg-BG"/>
        </w:rPr>
        <w:t xml:space="preserve"> където ще бъдат изградени </w:t>
      </w:r>
      <w:proofErr w:type="spellStart"/>
      <w:r w:rsidR="00A27EE7" w:rsidRPr="00FF2A9A">
        <w:rPr>
          <w:rFonts w:ascii="Arial" w:eastAsia="Calibri" w:hAnsi="Arial" w:cs="Arial"/>
          <w:noProof w:val="0"/>
          <w:color w:val="000000"/>
          <w:lang w:eastAsia="bg-BG"/>
        </w:rPr>
        <w:t>лодкостоянки</w:t>
      </w:r>
      <w:proofErr w:type="spellEnd"/>
      <w:r w:rsidR="00A27EE7" w:rsidRPr="00FF2A9A">
        <w:rPr>
          <w:rFonts w:ascii="Arial" w:eastAsia="Calibri" w:hAnsi="Arial" w:cs="Arial"/>
          <w:noProof w:val="0"/>
          <w:color w:val="000000"/>
          <w:lang w:eastAsia="bg-BG"/>
        </w:rPr>
        <w:t xml:space="preserve"> или</w:t>
      </w:r>
      <w:r w:rsidR="00BE1440" w:rsidRPr="00FF2A9A">
        <w:rPr>
          <w:rFonts w:ascii="Arial" w:eastAsia="Calibri" w:hAnsi="Arial" w:cs="Arial"/>
          <w:noProof w:val="0"/>
          <w:color w:val="000000"/>
          <w:lang w:eastAsia="bg-BG"/>
        </w:rPr>
        <w:t xml:space="preserve"> регистрирани като </w:t>
      </w:r>
      <w:proofErr w:type="spellStart"/>
      <w:r w:rsidR="00A27EE7" w:rsidRPr="00FF2A9A">
        <w:rPr>
          <w:rFonts w:ascii="Arial" w:eastAsia="Calibri" w:hAnsi="Arial" w:cs="Arial"/>
          <w:noProof w:val="0"/>
          <w:color w:val="000000"/>
          <w:lang w:eastAsia="bg-BG"/>
        </w:rPr>
        <w:t>лодкос</w:t>
      </w:r>
      <w:r w:rsidR="00AE028C" w:rsidRPr="00FF2A9A">
        <w:rPr>
          <w:rFonts w:ascii="Arial" w:eastAsia="Calibri" w:hAnsi="Arial" w:cs="Arial"/>
          <w:noProof w:val="0"/>
          <w:color w:val="000000"/>
          <w:lang w:eastAsia="bg-BG"/>
        </w:rPr>
        <w:t>тоянки</w:t>
      </w:r>
      <w:proofErr w:type="spellEnd"/>
      <w:r w:rsidR="00BE1440" w:rsidRPr="00FF2A9A">
        <w:rPr>
          <w:rFonts w:ascii="Arial" w:eastAsia="Calibri" w:hAnsi="Arial" w:cs="Arial"/>
          <w:noProof w:val="0"/>
          <w:color w:val="000000"/>
          <w:lang w:eastAsia="bg-BG"/>
        </w:rPr>
        <w:t xml:space="preserve"> с валидно Удостоверение за експлоатационна годност, издадено от Изпълнителна агенци</w:t>
      </w:r>
      <w:r w:rsidRPr="00FF2A9A">
        <w:rPr>
          <w:rFonts w:ascii="Arial" w:eastAsia="Calibri" w:hAnsi="Arial" w:cs="Arial"/>
          <w:noProof w:val="0"/>
          <w:color w:val="000000"/>
          <w:lang w:eastAsia="bg-BG"/>
        </w:rPr>
        <w:t>я "Морска администрация" (ИАМА);</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lastRenderedPageBreak/>
        <w:t xml:space="preserve">- </w:t>
      </w:r>
      <w:r w:rsidR="00BE1440" w:rsidRPr="00FF2A9A">
        <w:rPr>
          <w:rFonts w:ascii="Arial" w:eastAsia="Calibri" w:hAnsi="Arial" w:cs="Arial"/>
          <w:noProof w:val="0"/>
          <w:color w:val="000000"/>
          <w:lang w:eastAsia="bg-BG"/>
        </w:rPr>
        <w:t>да нямат изискуеми публични задължения към държавата;</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 xml:space="preserve">да не са вписани в централната база данни за отстраняванията съгласно Регламент (ЕO, </w:t>
      </w:r>
      <w:proofErr w:type="spellStart"/>
      <w:r w:rsidR="00BE1440" w:rsidRPr="00FF2A9A">
        <w:rPr>
          <w:rFonts w:ascii="Arial" w:eastAsia="Calibri" w:hAnsi="Arial" w:cs="Arial"/>
          <w:noProof w:val="0"/>
          <w:color w:val="000000"/>
          <w:lang w:eastAsia="bg-BG"/>
        </w:rPr>
        <w:t>Евратом</w:t>
      </w:r>
      <w:proofErr w:type="spellEnd"/>
      <w:r w:rsidR="00BE1440" w:rsidRPr="00FF2A9A">
        <w:rPr>
          <w:rFonts w:ascii="Arial" w:eastAsia="Calibri" w:hAnsi="Arial" w:cs="Arial"/>
          <w:noProof w:val="0"/>
          <w:color w:val="000000"/>
          <w:lang w:eastAsia="bg-BG"/>
        </w:rPr>
        <w:t>) № 1302/2008 г. на Комисията от 17 декември 2008 г. относно централната база данни за отстраняванията (</w:t>
      </w:r>
      <w:r w:rsidR="00AE028C" w:rsidRPr="00FF2A9A">
        <w:rPr>
          <w:rFonts w:ascii="Arial" w:eastAsia="Calibri" w:hAnsi="Arial" w:cs="Arial"/>
          <w:noProof w:val="0"/>
          <w:color w:val="000000"/>
          <w:lang w:eastAsia="bg-BG"/>
        </w:rPr>
        <w:t>Регламент 1302/2008</w:t>
      </w:r>
      <w:r w:rsidR="00BE1440" w:rsidRPr="00FF2A9A">
        <w:rPr>
          <w:rFonts w:ascii="Arial" w:eastAsia="Calibri" w:hAnsi="Arial" w:cs="Arial"/>
          <w:noProof w:val="0"/>
          <w:color w:val="000000"/>
          <w:lang w:eastAsia="bg-BG"/>
        </w:rPr>
        <w:t>);</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едноличните търговци (ЕТ) и членовете на управителните органи на юридическите лица да не са осъждани с влязла в сила присъда за престъпления против собствеността, стопанството, освен ако не са реабилитирани, и не са лишавани от правото да упражняват търговска дейност или да заемат ръководна, отчетна или материалноотговорна длъжност.</w:t>
      </w:r>
    </w:p>
    <w:p w:rsidR="004872FC" w:rsidRPr="00FF2A9A" w:rsidRDefault="004872FC"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Кандидатите по настоящата процедура са длъжни да удостоверят на етап кандидатстване по смисъла на Закона за малките и средните предприятия като попълнят и представят към проектните предложения Декларация за обстоятелствата по чл. 3 и чл. 4 от ЗМСП (</w:t>
      </w:r>
      <w:r w:rsidR="00FA4C54">
        <w:rPr>
          <w:rFonts w:ascii="Arial" w:eastAsia="Calibri" w:hAnsi="Arial" w:cs="Arial"/>
          <w:noProof w:val="0"/>
          <w:color w:val="000000"/>
          <w:lang w:eastAsia="bg-BG"/>
        </w:rPr>
        <w:t>Приложение</w:t>
      </w:r>
      <w:r w:rsidR="00FA4C54" w:rsidRPr="00FF2A9A">
        <w:rPr>
          <w:rFonts w:ascii="Arial" w:eastAsia="Calibri" w:hAnsi="Arial" w:cs="Arial"/>
          <w:noProof w:val="0"/>
          <w:color w:val="000000"/>
          <w:lang w:eastAsia="bg-BG"/>
        </w:rPr>
        <w:t xml:space="preserve"> </w:t>
      </w:r>
      <w:r w:rsidRPr="00FF2A9A">
        <w:rPr>
          <w:rFonts w:ascii="Arial" w:eastAsia="Calibri" w:hAnsi="Arial" w:cs="Arial"/>
          <w:noProof w:val="0"/>
          <w:color w:val="000000"/>
          <w:lang w:eastAsia="bg-BG"/>
        </w:rPr>
        <w:t>№ 1</w:t>
      </w:r>
      <w:r w:rsidR="00FA4C54">
        <w:rPr>
          <w:rFonts w:ascii="Arial" w:eastAsia="Calibri" w:hAnsi="Arial" w:cs="Arial"/>
          <w:noProof w:val="0"/>
          <w:color w:val="000000"/>
          <w:lang w:eastAsia="bg-BG"/>
        </w:rPr>
        <w:t>0</w:t>
      </w:r>
      <w:r w:rsidRPr="00FF2A9A">
        <w:rPr>
          <w:rFonts w:ascii="Arial" w:eastAsia="Calibri" w:hAnsi="Arial" w:cs="Arial"/>
          <w:noProof w:val="0"/>
          <w:color w:val="000000"/>
          <w:lang w:eastAsia="bg-BG"/>
        </w:rPr>
        <w:t xml:space="preserve"> към Условията за кандидатстване), какъв тип предприятие са.</w:t>
      </w:r>
    </w:p>
    <w:p w:rsidR="006F1CD0" w:rsidRPr="00FF2A9A" w:rsidRDefault="006F1CD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hAnsi="Arial" w:cs="Arial"/>
          <w:lang w:val="en-US"/>
        </w:rPr>
        <w:drawing>
          <wp:inline distT="0" distB="0" distL="0" distR="0" wp14:anchorId="2B2EE57D" wp14:editId="4126A4D5">
            <wp:extent cx="66675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color w:val="000000"/>
          <w:lang w:eastAsia="bg-BG"/>
        </w:rPr>
        <w:t xml:space="preserve">Потенциалните </w:t>
      </w:r>
      <w:proofErr w:type="spellStart"/>
      <w:r w:rsidRPr="00FF2A9A">
        <w:rPr>
          <w:rFonts w:ascii="Arial" w:eastAsia="Calibri" w:hAnsi="Arial" w:cs="Arial"/>
          <w:noProof w:val="0"/>
          <w:color w:val="000000"/>
          <w:lang w:eastAsia="bg-BG"/>
        </w:rPr>
        <w:t>бенефициери</w:t>
      </w:r>
      <w:proofErr w:type="spellEnd"/>
      <w:r w:rsidRPr="00FF2A9A">
        <w:rPr>
          <w:rFonts w:ascii="Arial" w:eastAsia="Calibri" w:hAnsi="Arial" w:cs="Arial"/>
          <w:noProof w:val="0"/>
          <w:color w:val="000000"/>
          <w:lang w:eastAsia="bg-BG"/>
        </w:rPr>
        <w:t xml:space="preserve"> могат да кандидатстват по настоящата процедура само с едно проектно предложение.</w:t>
      </w:r>
    </w:p>
    <w:p w:rsidR="00895422"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hAnsi="Arial" w:cs="Arial"/>
          <w:lang w:val="en-US"/>
        </w:rPr>
        <w:drawing>
          <wp:inline distT="0" distB="0" distL="0" distR="0" wp14:anchorId="028E509B" wp14:editId="28B6F9E4">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color w:val="000000"/>
          <w:lang w:eastAsia="bg-BG"/>
        </w:rPr>
        <w:t>Във връзка с разпоредбите на чл. 4, т.</w:t>
      </w:r>
      <w:r w:rsidR="00A27EE7" w:rsidRPr="00FF2A9A">
        <w:rPr>
          <w:rFonts w:ascii="Arial" w:eastAsia="Calibri" w:hAnsi="Arial" w:cs="Arial"/>
          <w:noProof w:val="0"/>
          <w:color w:val="000000"/>
          <w:lang w:eastAsia="bg-BG"/>
        </w:rPr>
        <w:t xml:space="preserve"> 3 от Регламент (ЕО, ЕВРАТОМ) №</w:t>
      </w:r>
      <w:r w:rsidRPr="00FF2A9A">
        <w:rPr>
          <w:rFonts w:ascii="Arial" w:eastAsia="Calibri" w:hAnsi="Arial" w:cs="Arial"/>
          <w:noProof w:val="0"/>
          <w:color w:val="000000"/>
          <w:lang w:eastAsia="bg-BG"/>
        </w:rPr>
        <w:t xml:space="preserve"> 2988/95 на Съвета от 18 декември 1995 година относно защитата на финансовите интереси на Европейските общности, безвъзмездната финансов</w:t>
      </w:r>
      <w:r w:rsidR="002413EB" w:rsidRPr="00FF2A9A">
        <w:rPr>
          <w:rFonts w:ascii="Arial" w:eastAsia="Calibri" w:hAnsi="Arial" w:cs="Arial"/>
          <w:noProof w:val="0"/>
          <w:color w:val="000000"/>
          <w:lang w:eastAsia="bg-BG"/>
        </w:rPr>
        <w:t>а</w:t>
      </w:r>
      <w:r w:rsidRPr="00FF2A9A">
        <w:rPr>
          <w:rFonts w:ascii="Arial" w:eastAsia="Calibri" w:hAnsi="Arial" w:cs="Arial"/>
          <w:noProof w:val="0"/>
          <w:color w:val="000000"/>
          <w:lang w:eastAsia="bg-BG"/>
        </w:rPr>
        <w:t xml:space="preserve"> помощ не се изплаща, а изплатената финансова помощ подлежи </w:t>
      </w:r>
      <w:r w:rsidR="00EE4E38" w:rsidRPr="00FF2A9A">
        <w:rPr>
          <w:rFonts w:ascii="Arial" w:eastAsia="Calibri" w:hAnsi="Arial" w:cs="Arial"/>
          <w:noProof w:val="0"/>
          <w:color w:val="000000"/>
          <w:lang w:eastAsia="bg-BG"/>
        </w:rPr>
        <w:t xml:space="preserve">на възстановяване от </w:t>
      </w:r>
      <w:proofErr w:type="spellStart"/>
      <w:r w:rsidR="00EE4E38" w:rsidRPr="00FF2A9A">
        <w:rPr>
          <w:rFonts w:ascii="Arial" w:eastAsia="Calibri" w:hAnsi="Arial" w:cs="Arial"/>
          <w:noProof w:val="0"/>
          <w:color w:val="000000"/>
          <w:lang w:eastAsia="bg-BG"/>
        </w:rPr>
        <w:t>бенефициер</w:t>
      </w:r>
      <w:proofErr w:type="spellEnd"/>
      <w:r w:rsidRPr="00FF2A9A">
        <w:rPr>
          <w:rFonts w:ascii="Arial" w:eastAsia="Calibri" w:hAnsi="Arial" w:cs="Arial"/>
          <w:noProof w:val="0"/>
          <w:color w:val="000000"/>
          <w:lang w:eastAsia="bg-BG"/>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rsidR="004872FC" w:rsidRPr="00FF2A9A" w:rsidRDefault="004872FC"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След подаване на Формуляра за кандидатстване, кандидатът</w:t>
      </w:r>
      <w:r w:rsidR="00DA1EE5" w:rsidRPr="00FF2A9A">
        <w:rPr>
          <w:rFonts w:ascii="Arial" w:eastAsia="Calibri" w:hAnsi="Arial" w:cs="Arial"/>
          <w:noProof w:val="0"/>
          <w:color w:val="000000"/>
          <w:lang w:eastAsia="bg-BG"/>
        </w:rPr>
        <w:t>/</w:t>
      </w:r>
      <w:proofErr w:type="spellStart"/>
      <w:r w:rsidR="00DA1EE5" w:rsidRPr="00FF2A9A">
        <w:rPr>
          <w:rFonts w:ascii="Arial" w:eastAsia="Calibri" w:hAnsi="Arial" w:cs="Arial"/>
          <w:noProof w:val="0"/>
          <w:color w:val="000000"/>
          <w:lang w:eastAsia="bg-BG"/>
        </w:rPr>
        <w:t>бенефициер</w:t>
      </w:r>
      <w:r w:rsidRPr="00FF2A9A">
        <w:rPr>
          <w:rFonts w:ascii="Arial" w:eastAsia="Calibri" w:hAnsi="Arial" w:cs="Arial"/>
          <w:noProof w:val="0"/>
          <w:color w:val="000000"/>
          <w:lang w:eastAsia="bg-BG"/>
        </w:rPr>
        <w:t>ът</w:t>
      </w:r>
      <w:proofErr w:type="spellEnd"/>
      <w:r w:rsidRPr="00FF2A9A">
        <w:rPr>
          <w:rFonts w:ascii="Arial" w:eastAsia="Calibri" w:hAnsi="Arial" w:cs="Arial"/>
          <w:noProof w:val="0"/>
          <w:color w:val="000000"/>
          <w:lang w:eastAsia="bg-BG"/>
        </w:rPr>
        <w:t xml:space="preserve"> трябва да продължава да спазва условията, посочен</w:t>
      </w:r>
      <w:r w:rsidR="00B26B79">
        <w:rPr>
          <w:rFonts w:ascii="Arial" w:eastAsia="Calibri" w:hAnsi="Arial" w:cs="Arial"/>
          <w:noProof w:val="0"/>
          <w:color w:val="000000"/>
          <w:lang w:eastAsia="bg-BG"/>
        </w:rPr>
        <w:t>и в чл. 10 параграф 1, букви а)</w:t>
      </w:r>
      <w:r w:rsidRPr="00FF2A9A">
        <w:rPr>
          <w:rFonts w:ascii="Arial" w:eastAsia="Calibri" w:hAnsi="Arial" w:cs="Arial"/>
          <w:noProof w:val="0"/>
          <w:color w:val="000000"/>
          <w:lang w:eastAsia="bg-BG"/>
        </w:rPr>
        <w:t>-г)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w:t>
      </w:r>
      <w:r w:rsidR="00DA1EE5" w:rsidRPr="00FF2A9A">
        <w:rPr>
          <w:rFonts w:ascii="Arial" w:eastAsia="Calibri" w:hAnsi="Arial" w:cs="Arial"/>
          <w:noProof w:val="0"/>
          <w:color w:val="000000"/>
          <w:lang w:eastAsia="bg-BG"/>
        </w:rPr>
        <w:t xml:space="preserve">щане в полза на този </w:t>
      </w:r>
      <w:proofErr w:type="spellStart"/>
      <w:r w:rsidR="00DA1EE5" w:rsidRPr="00FF2A9A">
        <w:rPr>
          <w:rFonts w:ascii="Arial" w:eastAsia="Calibri" w:hAnsi="Arial" w:cs="Arial"/>
          <w:noProof w:val="0"/>
          <w:color w:val="000000"/>
          <w:lang w:eastAsia="bg-BG"/>
        </w:rPr>
        <w:t>бенефициер</w:t>
      </w:r>
      <w:proofErr w:type="spellEnd"/>
      <w:r w:rsidR="00DA1EE5" w:rsidRPr="00FF2A9A">
        <w:rPr>
          <w:rFonts w:ascii="Arial" w:eastAsia="Calibri" w:hAnsi="Arial" w:cs="Arial"/>
          <w:noProof w:val="0"/>
          <w:color w:val="000000"/>
          <w:lang w:eastAsia="bg-BG"/>
        </w:rPr>
        <w:t>.</w:t>
      </w:r>
    </w:p>
    <w:p w:rsidR="00BE1440" w:rsidRPr="00FF2A9A" w:rsidRDefault="00BE1440" w:rsidP="00FF2A9A">
      <w:pPr>
        <w:keepNext/>
        <w:spacing w:before="120" w:after="120" w:line="240" w:lineRule="auto"/>
        <w:jc w:val="both"/>
        <w:rPr>
          <w:rFonts w:ascii="Arial" w:eastAsia="Times New Roman" w:hAnsi="Arial" w:cs="Arial"/>
          <w:b/>
          <w:bCs/>
          <w:noProof w:val="0"/>
          <w:color w:val="548DD4" w:themeColor="text2" w:themeTint="99"/>
        </w:rPr>
      </w:pPr>
      <w:bookmarkStart w:id="35" w:name="_Toc475538940"/>
      <w:bookmarkStart w:id="36" w:name="_Toc59537565"/>
      <w:r w:rsidRPr="00FF2A9A">
        <w:rPr>
          <w:rFonts w:ascii="Arial" w:eastAsia="Times New Roman" w:hAnsi="Arial" w:cs="Arial"/>
          <w:b/>
          <w:bCs/>
          <w:noProof w:val="0"/>
          <w:color w:val="548DD4" w:themeColor="text2" w:themeTint="99"/>
        </w:rPr>
        <w:t>11.2. Критерии за недопустимост на кандидатите</w:t>
      </w:r>
      <w:bookmarkEnd w:id="35"/>
      <w:r w:rsidRPr="00FF2A9A">
        <w:rPr>
          <w:rFonts w:ascii="Arial" w:eastAsia="Times New Roman" w:hAnsi="Arial" w:cs="Arial"/>
          <w:b/>
          <w:bCs/>
          <w:noProof w:val="0"/>
          <w:color w:val="548DD4" w:themeColor="text2" w:themeTint="99"/>
        </w:rPr>
        <w:t>:</w:t>
      </w:r>
      <w:bookmarkEnd w:id="36"/>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7" w:name="_Toc475538941"/>
      <w:bookmarkStart w:id="38" w:name="_Toc59537566"/>
      <w:r w:rsidRPr="00FF2A9A">
        <w:rPr>
          <w:rFonts w:ascii="Arial" w:eastAsia="Calibri" w:hAnsi="Arial" w:cs="Arial"/>
          <w:noProof w:val="0"/>
        </w:rPr>
        <w:t>Потенциалните кандидати не могат да участват в процедурата за подбор на проекти и да получат БФП от ЕФМДР, ако не отговарят на изискванията от точка 11.1, както и в случай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1. В определен срок, съгласно Делегиран Регламент (ЕС) № 2015/288 на Комисията от 17 декември 2014 година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2</w:t>
      </w:r>
      <w:r w:rsidRPr="00FF2A9A">
        <w:rPr>
          <w:rFonts w:ascii="Arial" w:eastAsia="Calibri" w:hAnsi="Arial" w:cs="Arial"/>
          <w:noProof w:val="0"/>
        </w:rPr>
        <w:t xml:space="preserve">. Собственици на риболовни кораби/рибари, които са включени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w:t>
      </w:r>
      <w:r w:rsidRPr="00FF2A9A">
        <w:rPr>
          <w:rFonts w:ascii="Arial" w:eastAsia="Calibri" w:hAnsi="Arial" w:cs="Arial"/>
          <w:noProof w:val="0"/>
        </w:rPr>
        <w:lastRenderedPageBreak/>
        <w:t>2847/93, (ЕО) № 1936/2001 и (ЕО) № 601/2004 и за отмяна на Регламенти (ЕО) № 1093/94 и (ЕО) № 1447/1999, за период от 3 години преди датата на кандидатстване по настоящата процедура.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3</w:t>
      </w:r>
      <w:r w:rsidRPr="00FF2A9A">
        <w:rPr>
          <w:rFonts w:ascii="Arial" w:eastAsia="Calibri" w:hAnsi="Arial" w:cs="Arial"/>
          <w:noProof w:val="0"/>
        </w:rPr>
        <w:t>. Компетентният орган е установил, че съответният кандидат: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а) е извършил тежко нарушение по чл. 42 от Регламент (ЕО) № 1005/2008 на Съвета или член 90, параграф 1 от Регламент (ЕО) № 1224/2009;</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в) е извършил тежко нарушение на правилата на ОПОР, определено като такова в други законодателни актове, приети от Европейския парламент и Съвета;</w:t>
      </w:r>
    </w:p>
    <w:p w:rsidR="00BC1887" w:rsidRPr="00FF2A9A" w:rsidRDefault="00BC1887" w:rsidP="00B72F73">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г) е извършил някое от престъпленията, посочени в членове 3 и 4 от Директива 2008/99/ЕО на Европейския парламент и на Съвета</w:t>
      </w:r>
      <w:r w:rsidR="00B72F73" w:rsidRPr="00B72F73">
        <w:t xml:space="preserve"> </w:t>
      </w:r>
      <w:r w:rsidR="00B72F73">
        <w:rPr>
          <w:rFonts w:ascii="Arial" w:eastAsia="Calibri" w:hAnsi="Arial" w:cs="Arial"/>
          <w:noProof w:val="0"/>
        </w:rPr>
        <w:t xml:space="preserve">от 19 ноември 2008 година </w:t>
      </w:r>
      <w:r w:rsidR="00B72F73" w:rsidRPr="00B72F73">
        <w:rPr>
          <w:rFonts w:ascii="Arial" w:eastAsia="Calibri" w:hAnsi="Arial" w:cs="Arial"/>
          <w:noProof w:val="0"/>
        </w:rPr>
        <w:t>относно защитата на околната среда чрез наказателно право</w:t>
      </w:r>
      <w:r w:rsidRPr="00FF2A9A">
        <w:rPr>
          <w:rFonts w:ascii="Arial" w:eastAsia="Calibri" w:hAnsi="Arial" w:cs="Arial"/>
          <w:noProof w:val="0"/>
        </w:rPr>
        <w:t>, когато заявлението е за подпомагане по дял V, глава II от настоящия регламент;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д) подлежи на отстраняване по смисъла на чл. 136, б. „г“ от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е)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 След подаване на ФК, кандидатът/</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трябва да продължава да спазва условията, посочени в чл. 10 параграф 1, букви а)-</w:t>
      </w:r>
      <w:r w:rsidR="009E3C67" w:rsidRPr="00FF2A9A">
        <w:rPr>
          <w:rFonts w:ascii="Arial" w:eastAsia="Calibri" w:hAnsi="Arial" w:cs="Arial"/>
          <w:noProof w:val="0"/>
        </w:rPr>
        <w:t xml:space="preserve">г) от Регламент </w:t>
      </w:r>
      <w:r w:rsidRPr="00FF2A9A">
        <w:rPr>
          <w:rFonts w:ascii="Arial" w:eastAsia="Calibri" w:hAnsi="Arial" w:cs="Arial"/>
          <w:noProof w:val="0"/>
        </w:rPr>
        <w:t>(ЕС) № 508/2014, през целия период на изпълнение на операцията, както и за срок от пет години след извършване на окончателното плащане в полза на този кандидат.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4</w:t>
      </w:r>
      <w:r w:rsidRPr="00FF2A9A">
        <w:rPr>
          <w:rFonts w:ascii="Arial" w:eastAsia="Calibri" w:hAnsi="Arial" w:cs="Arial"/>
          <w:noProof w:val="0"/>
        </w:rPr>
        <w:t>. Имат изискуеми и ликвидни задължения по ОПРСР 2007-2013 и ПМДР 2014-2020, освен ако е допуснато разсрочване, отсрочване или обезпечение на задълженията.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5</w:t>
      </w:r>
      <w:r w:rsidRPr="00FF2A9A">
        <w:rPr>
          <w:rFonts w:ascii="Arial" w:eastAsia="Calibri" w:hAnsi="Arial" w:cs="Arial"/>
          <w:noProof w:val="0"/>
        </w:rPr>
        <w:t xml:space="preserve">. </w:t>
      </w:r>
      <w:r w:rsidR="00DA1EE5" w:rsidRPr="00FF2A9A">
        <w:rPr>
          <w:rFonts w:ascii="Arial" w:eastAsia="Calibri" w:hAnsi="Arial" w:cs="Arial"/>
          <w:noProof w:val="0"/>
        </w:rPr>
        <w:t xml:space="preserve">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w:t>
      </w:r>
      <w:proofErr w:type="spellStart"/>
      <w:r w:rsidR="00DA1EE5" w:rsidRPr="00FF2A9A">
        <w:rPr>
          <w:rFonts w:ascii="Arial" w:eastAsia="Calibri" w:hAnsi="Arial" w:cs="Arial"/>
          <w:noProof w:val="0"/>
        </w:rPr>
        <w:t>съфинансиране</w:t>
      </w:r>
      <w:proofErr w:type="spellEnd"/>
      <w:r w:rsidR="00DA1EE5" w:rsidRPr="00FF2A9A">
        <w:rPr>
          <w:rFonts w:ascii="Arial" w:eastAsia="Calibri" w:hAnsi="Arial" w:cs="Arial"/>
          <w:noProof w:val="0"/>
        </w:rPr>
        <w:t>,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6</w:t>
      </w:r>
      <w:r w:rsidRPr="00FF2A9A">
        <w:rPr>
          <w:rFonts w:ascii="Arial" w:eastAsia="Calibri" w:hAnsi="Arial" w:cs="Arial"/>
          <w:noProof w:val="0"/>
        </w:rPr>
        <w:t xml:space="preserve">. Съгласно чл. 25, ал. 2 от Закона за управление на средствата от Европейските структурни и инвестиционни фондове не могат да участват и БФП не се предоставя на лица, за които са налице обстоятелства за отстраняване от участие в процедура за възлагане на обществена поръчка съгласно </w:t>
      </w:r>
      <w:r w:rsidR="00A27EE7" w:rsidRPr="00FF2A9A">
        <w:rPr>
          <w:rFonts w:ascii="Arial" w:eastAsia="Calibri" w:hAnsi="Arial" w:cs="Arial"/>
          <w:noProof w:val="0"/>
        </w:rPr>
        <w:t>Закона</w:t>
      </w:r>
      <w:r w:rsidRPr="00FF2A9A">
        <w:rPr>
          <w:rFonts w:ascii="Arial" w:eastAsia="Calibri" w:hAnsi="Arial" w:cs="Arial"/>
          <w:noProof w:val="0"/>
        </w:rPr>
        <w:t xml:space="preserve"> за обществените поръчки (ЗОП) или които не са изпълнили разпореждане на Европейската комисия за възстановяване на предоставената им </w:t>
      </w:r>
      <w:r w:rsidRPr="00FF2A9A">
        <w:rPr>
          <w:rFonts w:ascii="Arial" w:eastAsia="Calibri" w:hAnsi="Arial" w:cs="Arial"/>
          <w:noProof w:val="0"/>
        </w:rPr>
        <w:lastRenderedPageBreak/>
        <w:t>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ПМС № 162/2016 г. за определяне на детайлни правила за предоставяне на БФП по програмите, финансирани от Европейските структурни и инвестиционни фондове за периода 2014-2020 г. (ПМС № 162/2016 г.) (съгласно декларация по образец).</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7</w:t>
      </w:r>
      <w:r w:rsidRPr="00FF2A9A">
        <w:rPr>
          <w:rFonts w:ascii="Arial" w:eastAsia="Calibri" w:hAnsi="Arial" w:cs="Arial"/>
          <w:noProof w:val="0"/>
        </w:rPr>
        <w:t>. Потенциалните кандидати не могат да участват в процедурата за подбор на проекти и да получат БФП, в случай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a) са обявени в несъстоятелност;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б) са в производство по несъстоятелност;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в) са в процедура по ликвидация;</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г) са сключили извънсъдебно споразумение с кредиторите си по смисъла на чл. 740 от Търговския закон;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д) са преустановили дейността си;</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ж)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е установен;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з) са лишени от правото да упражняват определена професия или дейност съгласно законодателството на държавата, в която е извършено деянието;</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и) са сключили споразумение с други лица с цел нарушаване на конкуренцията, когато нарушението е установено с акт на компетентен орган;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к)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л) лицата, които представляват кандидата са правили опит да: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 xml:space="preserve">i) повлияят на вземането на решение от страна на УО на ПМДР </w:t>
      </w:r>
      <w:r w:rsidRPr="00FF2A9A">
        <w:rPr>
          <w:rFonts w:ascii="Arial" w:eastAsia="Calibri" w:hAnsi="Arial" w:cs="Arial"/>
          <w:bCs/>
          <w:noProof w:val="0"/>
        </w:rPr>
        <w:t>2014-2020 г.</w:t>
      </w:r>
      <w:r w:rsidRPr="00FF2A9A">
        <w:rPr>
          <w:rFonts w:ascii="Arial" w:eastAsia="Calibri" w:hAnsi="Arial" w:cs="Arial"/>
          <w:noProof w:val="0"/>
        </w:rPr>
        <w:t xml:space="preserve">, свързано с отстраняването, подбора или възлагането, включително чрез предоставяне на невярна или заблуждаваща информация, или </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получат информация, която може да им даде неоснователно предимство в процедурата за предоставяне на БФП.</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м) лицата, които представляват кандидата са осъждани с влязла в сила присъда и не са реабилитирани за: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 престъпление по чл. 108а, чл. 159а-159г, чл. 172, чл. 192а, чл. 194-217, чл. 219-252, чл. 253-260, чл. 301-307, чл. 321, 321а и чл. 352-353е от Наказателния кодекс;</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престъпление, аналогично на тези по горната хипотеза, в друга държава членка или трета страна;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lastRenderedPageBreak/>
        <w:t>н) по отношение на лицата, които представляват кандидата е налице конфликт на интереси във връзка с процедурата за предоставяне на БФП, който не може да бъде отстранен;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о) е налице неравнопоставеност в случаите по чл. 44, ал. 5 от Закона за обществени поръчки (ЗОП);</w:t>
      </w:r>
    </w:p>
    <w:p w:rsidR="00BC1887" w:rsidRPr="00FF2A9A" w:rsidRDefault="00CA7CA0"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п</w:t>
      </w:r>
      <w:r w:rsidR="00BC1887" w:rsidRPr="00FF2A9A">
        <w:rPr>
          <w:rFonts w:ascii="Arial" w:eastAsia="Calibri" w:hAnsi="Arial" w:cs="Arial"/>
          <w:noProof w:val="0"/>
        </w:rPr>
        <w:t>) е установено,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BC1887" w:rsidRPr="00FF2A9A" w:rsidRDefault="00CA7CA0" w:rsidP="00FF2A9A">
      <w:pPr>
        <w:pBdr>
          <w:top w:val="single" w:sz="4" w:space="1" w:color="auto"/>
          <w:left w:val="single" w:sz="4" w:space="4" w:color="auto"/>
          <w:bottom w:val="single" w:sz="4" w:space="1" w:color="auto"/>
          <w:right w:val="single" w:sz="4" w:space="4" w:color="auto"/>
        </w:pBdr>
        <w:spacing w:before="120" w:after="120" w:line="240" w:lineRule="auto"/>
        <w:ind w:firstLine="270"/>
        <w:jc w:val="both"/>
        <w:rPr>
          <w:rFonts w:ascii="Arial" w:eastAsia="Calibri" w:hAnsi="Arial" w:cs="Arial"/>
          <w:noProof w:val="0"/>
        </w:rPr>
      </w:pPr>
      <w:r w:rsidRPr="00FF2A9A">
        <w:rPr>
          <w:rFonts w:ascii="Arial" w:eastAsia="Calibri" w:hAnsi="Arial" w:cs="Arial"/>
          <w:noProof w:val="0"/>
        </w:rPr>
        <w:t>р</w:t>
      </w:r>
      <w:r w:rsidR="00BC1887" w:rsidRPr="00FF2A9A">
        <w:rPr>
          <w:rFonts w:ascii="Arial" w:eastAsia="Calibri" w:hAnsi="Arial" w:cs="Arial"/>
          <w:noProof w:val="0"/>
        </w:rPr>
        <w:t xml:space="preserve">)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w:t>
      </w:r>
      <w:r w:rsidR="00BC1887" w:rsidRPr="00FF2A9A">
        <w:rPr>
          <w:rFonts w:ascii="Arial" w:eastAsia="Calibri" w:hAnsi="Arial" w:cs="Arial"/>
          <w:bCs/>
          <w:noProof w:val="0"/>
        </w:rPr>
        <w:t>2014-2020 г.</w:t>
      </w:r>
      <w:r w:rsidR="00BC1887" w:rsidRPr="00FF2A9A">
        <w:rPr>
          <w:rFonts w:ascii="Arial" w:eastAsia="Calibri" w:hAnsi="Arial" w:cs="Arial"/>
          <w:noProof w:val="0"/>
        </w:rPr>
        <w:t xml:space="preserve">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8. Потенциалните кандидати не могат да участват в процедурата чрез подбор на проекти и да получат БФП, в случай че са: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а) лице или се представляват от лице, което е на трудово или служебно правоотношение в УО на ПМДР </w:t>
      </w:r>
      <w:r w:rsidRPr="00FF2A9A">
        <w:rPr>
          <w:rFonts w:ascii="Arial" w:eastAsia="Calibri" w:hAnsi="Arial" w:cs="Arial"/>
          <w:bCs/>
          <w:noProof w:val="0"/>
        </w:rPr>
        <w:t>2014-2020 г.</w:t>
      </w:r>
      <w:r w:rsidRPr="00FF2A9A">
        <w:rPr>
          <w:rFonts w:ascii="Arial" w:eastAsia="Calibri" w:hAnsi="Arial" w:cs="Arial"/>
          <w:noProof w:val="0"/>
        </w:rPr>
        <w:t>, Междинното звено и Сертифициращия орган до една година от прекратяване на правоотношението;</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б) лице, което е било на трудово или служебно правоотношение в УО на ПМДР 2014-2020 г., Междинното звено и Сертифициращия орган до една година от прекратяване на правоотношението, </w:t>
      </w:r>
      <w:r w:rsidR="005F16AB" w:rsidRPr="00FF2A9A">
        <w:rPr>
          <w:rFonts w:ascii="Arial" w:eastAsia="Calibri" w:hAnsi="Arial" w:cs="Arial"/>
          <w:noProof w:val="0"/>
        </w:rPr>
        <w:t xml:space="preserve">или </w:t>
      </w:r>
      <w:r w:rsidRPr="00FF2A9A">
        <w:rPr>
          <w:rFonts w:ascii="Arial" w:eastAsia="Calibri" w:hAnsi="Arial" w:cs="Arial"/>
          <w:noProof w:val="0"/>
        </w:rPr>
        <w:t>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lang w:val="en-US"/>
        </w:rPr>
        <w:drawing>
          <wp:inline distT="0" distB="0" distL="0" distR="0" wp14:anchorId="0E9D606C" wp14:editId="4688C961">
            <wp:extent cx="666750" cy="35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Ограниченията по т. 8, б. а) и б) се прилагат и за кандидатите, които са свързани с дружества, за които са налице обстоятелствата по предходната точка.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8, б. а) и б).</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08A26648" wp14:editId="593A9C0A">
            <wp:extent cx="666750" cy="352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УО на ПМДР 2014-2020 г. може по всяко време да извършва проверка на декларираните от кандидатите обстоятелства и в случай че след проверката се установи, че кандидатът не отговаря на изискванията на Условията за кандидатстване и изпълнение, </w:t>
      </w:r>
      <w:r w:rsidRPr="00FF2A9A">
        <w:rPr>
          <w:rFonts w:ascii="Arial" w:eastAsia="Calibri" w:hAnsi="Arial" w:cs="Arial"/>
          <w:noProof w:val="0"/>
        </w:rPr>
        <w:lastRenderedPageBreak/>
        <w:t>получената безвъзмездна помощ подлежи на възстановяване, вкл. начислената законна лихва.</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r w:rsidRPr="00FF2A9A">
        <w:rPr>
          <w:rFonts w:ascii="Arial" w:eastAsia="Times New Roman" w:hAnsi="Arial" w:cs="Arial"/>
          <w:b/>
          <w:bCs/>
          <w:noProof w:val="0"/>
          <w:color w:val="5B9BD5"/>
        </w:rPr>
        <w:t>12. Допустими партньори (ако е приложимо):</w:t>
      </w:r>
      <w:bookmarkEnd w:id="37"/>
      <w:bookmarkEnd w:id="38"/>
    </w:p>
    <w:p w:rsidR="00BE1440" w:rsidRPr="00FF2A9A" w:rsidRDefault="00BE1440" w:rsidP="00FF2A9A">
      <w:pPr>
        <w:pBdr>
          <w:top w:val="single" w:sz="4" w:space="1" w:color="auto"/>
          <w:left w:val="single" w:sz="4" w:space="0"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 се прилага.</w:t>
      </w:r>
    </w:p>
    <w:p w:rsidR="00BC1887" w:rsidRPr="00FF2A9A" w:rsidRDefault="00BC1887" w:rsidP="00FF2A9A">
      <w:pPr>
        <w:keepNext/>
        <w:keepLines/>
        <w:spacing w:before="120" w:after="120" w:line="240" w:lineRule="auto"/>
        <w:jc w:val="both"/>
        <w:rPr>
          <w:rFonts w:ascii="Arial" w:eastAsia="Calibri" w:hAnsi="Arial" w:cs="Arial"/>
          <w:b/>
          <w:bCs/>
          <w:noProof w:val="0"/>
          <w:color w:val="5B9BD5"/>
        </w:rPr>
      </w:pPr>
      <w:bookmarkStart w:id="39" w:name="_Toc475095655"/>
      <w:bookmarkStart w:id="40" w:name="_Toc475538942"/>
      <w:bookmarkStart w:id="41" w:name="_Toc59537568"/>
      <w:r w:rsidRPr="00FF2A9A">
        <w:rPr>
          <w:rFonts w:ascii="Arial" w:eastAsia="Calibri" w:hAnsi="Arial" w:cs="Arial"/>
          <w:b/>
          <w:bCs/>
          <w:noProof w:val="0"/>
          <w:color w:val="5B9BD5"/>
        </w:rPr>
        <w:t>13. Дейности, допустими за финансиране:</w:t>
      </w:r>
    </w:p>
    <w:p w:rsidR="00BE1440" w:rsidRPr="00FF2A9A" w:rsidRDefault="00BE1440" w:rsidP="00FF2A9A">
      <w:pPr>
        <w:keepNext/>
        <w:keepLines/>
        <w:spacing w:before="120" w:after="120" w:line="240" w:lineRule="auto"/>
        <w:jc w:val="both"/>
        <w:rPr>
          <w:rFonts w:ascii="Arial" w:eastAsia="Calibri" w:hAnsi="Arial" w:cs="Arial"/>
          <w:noProof w:val="0"/>
        </w:rPr>
      </w:pPr>
      <w:r w:rsidRPr="00FF2A9A">
        <w:rPr>
          <w:rFonts w:ascii="Arial" w:eastAsia="Calibri" w:hAnsi="Arial" w:cs="Arial"/>
          <w:b/>
          <w:bCs/>
          <w:noProof w:val="0"/>
          <w:color w:val="5B9BD5"/>
        </w:rPr>
        <w:t>13.1. Допустими дейности</w:t>
      </w:r>
      <w:bookmarkEnd w:id="39"/>
      <w:r w:rsidRPr="00FF2A9A">
        <w:rPr>
          <w:rFonts w:ascii="Arial" w:eastAsia="Calibri" w:hAnsi="Arial" w:cs="Arial"/>
          <w:b/>
          <w:bCs/>
          <w:noProof w:val="0"/>
          <w:color w:val="5B9BD5"/>
        </w:rPr>
        <w:t>:</w:t>
      </w:r>
      <w:bookmarkEnd w:id="40"/>
      <w:bookmarkEnd w:id="41"/>
    </w:p>
    <w:p w:rsidR="002413EB" w:rsidRPr="00FF2A9A" w:rsidRDefault="002413EB"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 предвиден в чл. 43, параграфи 1 и 3 на Регламент (ЕС) № 508/2014 на европейския Регламент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149/1 от 20.05.2014 г.) (Регламент (ЕС) № 508/2014).</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Безвъзмездна финансова помощ се предоставя за дейности в съответствие с чл. 43, параграф 1</w:t>
      </w:r>
      <w:r w:rsidR="009E3C67" w:rsidRPr="00FF2A9A">
        <w:rPr>
          <w:rFonts w:ascii="Arial" w:eastAsia="Calibri" w:hAnsi="Arial" w:cs="Arial"/>
          <w:noProof w:val="0"/>
        </w:rPr>
        <w:t>, 2</w:t>
      </w:r>
      <w:r w:rsidRPr="00FF2A9A">
        <w:rPr>
          <w:rFonts w:ascii="Arial" w:eastAsia="Calibri" w:hAnsi="Arial" w:cs="Arial"/>
          <w:noProof w:val="0"/>
        </w:rPr>
        <w:t xml:space="preserve"> и 3 от Регламе</w:t>
      </w:r>
      <w:r w:rsidR="00BC1887" w:rsidRPr="00FF2A9A">
        <w:rPr>
          <w:rFonts w:ascii="Arial" w:eastAsia="Calibri" w:hAnsi="Arial" w:cs="Arial"/>
          <w:noProof w:val="0"/>
        </w:rPr>
        <w:t>нт (ЕС) № 508/2014</w:t>
      </w:r>
      <w:r w:rsidR="00916E20" w:rsidRPr="00FF2A9A">
        <w:rPr>
          <w:rFonts w:ascii="Arial" w:eastAsia="Calibri" w:hAnsi="Arial" w:cs="Arial"/>
          <w:noProof w:val="0"/>
        </w:rPr>
        <w:t>, свързани с</w:t>
      </w:r>
      <w:r w:rsidRPr="00FF2A9A">
        <w:rPr>
          <w:rFonts w:ascii="Arial" w:eastAsia="Calibri" w:hAnsi="Arial" w:cs="Arial"/>
          <w:noProof w:val="0"/>
        </w:rPr>
        <w:t>:</w:t>
      </w:r>
    </w:p>
    <w:p w:rsidR="00BE1440" w:rsidRPr="00FF2A9A" w:rsidRDefault="00404AAD"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lang w:val="en-US"/>
        </w:rPr>
      </w:pPr>
      <w:r w:rsidRPr="00FF2A9A">
        <w:rPr>
          <w:rFonts w:ascii="Arial" w:eastAsia="Calibri" w:hAnsi="Arial" w:cs="Arial"/>
          <w:noProof w:val="0"/>
        </w:rPr>
        <w:t xml:space="preserve">1. </w:t>
      </w:r>
      <w:r w:rsidR="00916E20" w:rsidRPr="00FF2A9A">
        <w:rPr>
          <w:rFonts w:ascii="Arial" w:eastAsia="Calibri" w:hAnsi="Arial" w:cs="Arial"/>
          <w:noProof w:val="0"/>
        </w:rPr>
        <w:t>И</w:t>
      </w:r>
      <w:r w:rsidR="006D6675" w:rsidRPr="00FF2A9A">
        <w:rPr>
          <w:rFonts w:ascii="Arial" w:eastAsia="Calibri" w:hAnsi="Arial" w:cs="Arial"/>
          <w:noProof w:val="0"/>
        </w:rPr>
        <w:t>зграждане</w:t>
      </w:r>
      <w:r w:rsidR="00BE1440" w:rsidRPr="00FF2A9A">
        <w:rPr>
          <w:rFonts w:ascii="Arial" w:eastAsia="Calibri" w:hAnsi="Arial" w:cs="Arial"/>
          <w:noProof w:val="0"/>
        </w:rPr>
        <w:t xml:space="preserve"> </w:t>
      </w:r>
      <w:r w:rsidR="00DC7DCD" w:rsidRPr="00FF2A9A">
        <w:rPr>
          <w:rFonts w:ascii="Arial" w:eastAsia="Calibri" w:hAnsi="Arial" w:cs="Arial"/>
          <w:noProof w:val="0"/>
        </w:rPr>
        <w:t>и</w:t>
      </w:r>
      <w:r w:rsidR="00EE4E38" w:rsidRPr="00FF2A9A">
        <w:rPr>
          <w:rFonts w:ascii="Arial" w:eastAsia="Calibri" w:hAnsi="Arial" w:cs="Arial"/>
          <w:noProof w:val="0"/>
        </w:rPr>
        <w:t xml:space="preserve"> модернизация</w:t>
      </w:r>
      <w:r w:rsidR="00DC7DCD" w:rsidRPr="00FF2A9A">
        <w:rPr>
          <w:rFonts w:ascii="Arial" w:eastAsia="Calibri" w:hAnsi="Arial" w:cs="Arial"/>
          <w:noProof w:val="0"/>
        </w:rPr>
        <w:t xml:space="preserve"> (осъвременяване)</w:t>
      </w:r>
      <w:r w:rsidR="00BE1440" w:rsidRPr="00FF2A9A">
        <w:rPr>
          <w:rFonts w:ascii="Arial" w:eastAsia="Calibri" w:hAnsi="Arial" w:cs="Arial"/>
          <w:noProof w:val="0"/>
        </w:rPr>
        <w:t xml:space="preserve"> на </w:t>
      </w:r>
      <w:proofErr w:type="spellStart"/>
      <w:r w:rsidR="00BE1440" w:rsidRPr="00FF2A9A">
        <w:rPr>
          <w:rFonts w:ascii="Arial" w:eastAsia="Calibri" w:hAnsi="Arial" w:cs="Arial"/>
          <w:noProof w:val="0"/>
        </w:rPr>
        <w:t>лодкостоянки</w:t>
      </w:r>
      <w:proofErr w:type="spellEnd"/>
      <w:r w:rsidR="0054361C" w:rsidRPr="00FF2A9A">
        <w:rPr>
          <w:rFonts w:ascii="Arial" w:eastAsia="Calibri" w:hAnsi="Arial" w:cs="Arial"/>
          <w:noProof w:val="0"/>
        </w:rPr>
        <w:t>.</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 xml:space="preserve">2. </w:t>
      </w:r>
      <w:r w:rsidR="00916E20" w:rsidRPr="00FF2A9A">
        <w:rPr>
          <w:rFonts w:ascii="Arial" w:eastAsia="Calibri" w:hAnsi="Arial" w:cs="Arial"/>
          <w:noProof w:val="0"/>
        </w:rPr>
        <w:t>П</w:t>
      </w:r>
      <w:r w:rsidRPr="00FF2A9A">
        <w:rPr>
          <w:rFonts w:ascii="Arial" w:eastAsia="Calibri" w:hAnsi="Arial" w:cs="Arial"/>
          <w:noProof w:val="0"/>
        </w:rPr>
        <w:t xml:space="preserve">овишаване качеството, контрола и </w:t>
      </w:r>
      <w:proofErr w:type="spellStart"/>
      <w:r w:rsidRPr="00FF2A9A">
        <w:rPr>
          <w:rFonts w:ascii="Arial" w:eastAsia="Calibri" w:hAnsi="Arial" w:cs="Arial"/>
          <w:noProof w:val="0"/>
        </w:rPr>
        <w:t>проследяемостта</w:t>
      </w:r>
      <w:proofErr w:type="spellEnd"/>
      <w:r w:rsidRPr="00FF2A9A">
        <w:rPr>
          <w:rFonts w:ascii="Arial" w:eastAsia="Calibri" w:hAnsi="Arial" w:cs="Arial"/>
          <w:noProof w:val="0"/>
        </w:rPr>
        <w:t xml:space="preserve"> на </w:t>
      </w:r>
      <w:r w:rsidR="009F4A51" w:rsidRPr="00FF2A9A">
        <w:rPr>
          <w:rFonts w:ascii="Arial" w:eastAsia="Calibri" w:hAnsi="Arial" w:cs="Arial"/>
          <w:noProof w:val="0"/>
        </w:rPr>
        <w:t>улови</w:t>
      </w:r>
      <w:r w:rsidR="009F4A51">
        <w:rPr>
          <w:rFonts w:ascii="Arial" w:eastAsia="Calibri" w:hAnsi="Arial" w:cs="Arial"/>
          <w:noProof w:val="0"/>
        </w:rPr>
        <w:t>те</w:t>
      </w:r>
      <w:r w:rsidR="009F4A51" w:rsidRPr="00FF2A9A">
        <w:rPr>
          <w:rFonts w:ascii="Arial" w:eastAsia="Calibri" w:hAnsi="Arial" w:cs="Arial"/>
          <w:noProof w:val="0"/>
        </w:rPr>
        <w:t xml:space="preserve"> </w:t>
      </w:r>
      <w:r w:rsidRPr="00FF2A9A">
        <w:rPr>
          <w:rFonts w:ascii="Arial" w:eastAsia="Calibri" w:hAnsi="Arial" w:cs="Arial"/>
          <w:noProof w:val="0"/>
        </w:rPr>
        <w:t>разтоварвани на сушата.</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3. </w:t>
      </w:r>
      <w:r w:rsidR="00AD212E" w:rsidRPr="00FF2A9A">
        <w:rPr>
          <w:rFonts w:ascii="Arial" w:eastAsia="Calibri" w:hAnsi="Arial" w:cs="Arial"/>
          <w:noProof w:val="0"/>
        </w:rPr>
        <w:t>П</w:t>
      </w:r>
      <w:r w:rsidRPr="00FF2A9A">
        <w:rPr>
          <w:rFonts w:ascii="Arial" w:eastAsia="Calibri" w:hAnsi="Arial" w:cs="Arial"/>
          <w:noProof w:val="0"/>
        </w:rPr>
        <w:t>одобряване на енергийната ефективност.</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4. </w:t>
      </w:r>
      <w:r w:rsidR="00AD212E" w:rsidRPr="00FF2A9A">
        <w:rPr>
          <w:rFonts w:ascii="Arial" w:eastAsia="Calibri" w:hAnsi="Arial" w:cs="Arial"/>
          <w:noProof w:val="0"/>
        </w:rPr>
        <w:t>О</w:t>
      </w:r>
      <w:r w:rsidRPr="00FF2A9A">
        <w:rPr>
          <w:rFonts w:ascii="Arial" w:eastAsia="Calibri" w:hAnsi="Arial" w:cs="Arial"/>
          <w:noProof w:val="0"/>
        </w:rPr>
        <w:t>пазване на околната среда, включително инвестиции в съоръжения за събиране на отпадъци и на морски отпадъци.</w:t>
      </w:r>
    </w:p>
    <w:p w:rsidR="0054361C"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5. </w:t>
      </w:r>
      <w:r w:rsidR="00AD212E" w:rsidRPr="00FF2A9A">
        <w:rPr>
          <w:rFonts w:ascii="Arial" w:eastAsia="Calibri" w:hAnsi="Arial" w:cs="Arial"/>
          <w:noProof w:val="0"/>
        </w:rPr>
        <w:t>П</w:t>
      </w:r>
      <w:r w:rsidRPr="00FF2A9A">
        <w:rPr>
          <w:rFonts w:ascii="Arial" w:eastAsia="Calibri" w:hAnsi="Arial" w:cs="Arial"/>
          <w:noProof w:val="0"/>
        </w:rPr>
        <w:t>одобряване на безопасността и условията на труд.</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38811B34" wp14:editId="4BFD5F20">
            <wp:extent cx="666750" cy="35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9F4A51">
        <w:rPr>
          <w:rFonts w:ascii="Arial" w:eastAsia="Calibri" w:hAnsi="Arial" w:cs="Arial"/>
          <w:noProof w:val="0"/>
        </w:rPr>
        <w:t>Дейностите по проекта следва да са обвързани с постигане на целите на мярката  и съответно на конкретни резултати.</w:t>
      </w:r>
    </w:p>
    <w:p w:rsid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В проектното предложение (ПП) следва да е налице логична връзка и съответствие между цели и нужди, както и между цели и дейности.</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5237222B" wp14:editId="2826B9C4">
            <wp:extent cx="664210" cy="353695"/>
            <wp:effectExtent l="0" t="0" r="254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9F4A51">
        <w:rPr>
          <w:rFonts w:ascii="Arial" w:eastAsia="Calibri" w:hAnsi="Arial" w:cs="Arial"/>
          <w:noProof w:val="0"/>
        </w:rPr>
        <w:t>При изпълнението на ПП трябва да са спазени поетите ангажименти от</w:t>
      </w:r>
      <w:r>
        <w:rPr>
          <w:rFonts w:ascii="Arial" w:eastAsia="Calibri" w:hAnsi="Arial" w:cs="Arial"/>
          <w:noProof w:val="0"/>
        </w:rPr>
        <w:t xml:space="preserve"> страна на кандидата/</w:t>
      </w:r>
      <w:proofErr w:type="spellStart"/>
      <w:r>
        <w:rPr>
          <w:rFonts w:ascii="Arial" w:eastAsia="Calibri" w:hAnsi="Arial" w:cs="Arial"/>
          <w:noProof w:val="0"/>
        </w:rPr>
        <w:t>бенефициер</w:t>
      </w:r>
      <w:r w:rsidRPr="009F4A51">
        <w:rPr>
          <w:rFonts w:ascii="Arial" w:eastAsia="Calibri" w:hAnsi="Arial" w:cs="Arial"/>
          <w:noProof w:val="0"/>
        </w:rPr>
        <w:t>а</w:t>
      </w:r>
      <w:proofErr w:type="spellEnd"/>
      <w:r w:rsidRPr="009F4A51">
        <w:rPr>
          <w:rFonts w:ascii="Arial" w:eastAsia="Calibri" w:hAnsi="Arial" w:cs="Arial"/>
          <w:noProof w:val="0"/>
        </w:rPr>
        <w:t xml:space="preserve"> за постигане на целите, резултатите и да е видим и измерим ефектът от изпълнението на ПП. При неизпълнение или несъответствие УО на ПМДР ще редуцира финансирането по ПП и/или ще налага финансови корекции на основание член 4, параграф 8 от Регламент (ЕС) №1303/2013 в съответствие с изискванията на член 33, член 36, параграф 1 и член 63 от Регламент (ЕС, </w:t>
      </w:r>
      <w:proofErr w:type="spellStart"/>
      <w:r w:rsidRPr="009F4A51">
        <w:rPr>
          <w:rFonts w:ascii="Arial" w:eastAsia="Calibri" w:hAnsi="Arial" w:cs="Arial"/>
          <w:noProof w:val="0"/>
        </w:rPr>
        <w:t>Евратом</w:t>
      </w:r>
      <w:proofErr w:type="spellEnd"/>
      <w:r w:rsidRPr="009F4A51">
        <w:rPr>
          <w:rFonts w:ascii="Arial" w:eastAsia="Calibri" w:hAnsi="Arial" w:cs="Arial"/>
          <w:noProof w:val="0"/>
        </w:rPr>
        <w:t>) 2018/1046 (Финансовия регламент).</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rsidR="009F4A51" w:rsidRPr="009F4A51" w:rsidRDefault="007A37B9"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Проектното предложение следва да отговаря на разпоредбите на </w:t>
      </w:r>
      <w:r w:rsidR="009F4A51" w:rsidRPr="009F4A51">
        <w:rPr>
          <w:rFonts w:ascii="Arial" w:eastAsia="Calibri" w:hAnsi="Arial" w:cs="Arial"/>
          <w:noProof w:val="0"/>
        </w:rPr>
        <w:t>чл. 33, параграф 1, букви а), б) и в) на Финансовия регламент:</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lastRenderedPageBreak/>
        <w:t>б) ефикасността се отнася до най-доброто съотношение между използваните ресурси, предприетите дейности и постигането на целите;</w:t>
      </w:r>
    </w:p>
    <w:p w:rsidR="009F4A51" w:rsidRPr="00FF2A9A"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в) принципът на ефективност е свързан с най-доброто съотношение между използваните ресурси, предприетите дейности и постигането на целите.</w:t>
      </w:r>
    </w:p>
    <w:p w:rsidR="00BE1440" w:rsidRPr="00FF2A9A" w:rsidRDefault="00BE1440" w:rsidP="00FF2A9A">
      <w:pPr>
        <w:keepNext/>
        <w:keepLines/>
        <w:spacing w:before="120" w:after="120" w:line="240" w:lineRule="auto"/>
        <w:jc w:val="both"/>
        <w:rPr>
          <w:rFonts w:ascii="Arial" w:eastAsia="Calibri" w:hAnsi="Arial" w:cs="Arial"/>
          <w:b/>
          <w:bCs/>
          <w:noProof w:val="0"/>
          <w:color w:val="5B9BD5"/>
        </w:rPr>
      </w:pPr>
      <w:bookmarkStart w:id="42" w:name="_Toc475538943"/>
      <w:bookmarkStart w:id="43" w:name="_Toc451334639"/>
      <w:bookmarkStart w:id="44" w:name="_Toc59537569"/>
      <w:r w:rsidRPr="00FF2A9A">
        <w:rPr>
          <w:rFonts w:ascii="Arial" w:eastAsia="Calibri" w:hAnsi="Arial" w:cs="Arial"/>
          <w:b/>
          <w:bCs/>
          <w:noProof w:val="0"/>
          <w:color w:val="5B9BD5"/>
        </w:rPr>
        <w:t>13.2. Недопустими дейности</w:t>
      </w:r>
      <w:bookmarkEnd w:id="42"/>
      <w:bookmarkEnd w:id="43"/>
      <w:r w:rsidRPr="00FF2A9A">
        <w:rPr>
          <w:rFonts w:ascii="Arial" w:eastAsia="Calibri" w:hAnsi="Arial" w:cs="Arial"/>
          <w:b/>
          <w:bCs/>
          <w:noProof w:val="0"/>
          <w:color w:val="5B9BD5"/>
        </w:rPr>
        <w:t>:</w:t>
      </w:r>
      <w:bookmarkEnd w:id="44"/>
    </w:p>
    <w:p w:rsidR="00404AAD" w:rsidRPr="00FF2A9A" w:rsidRDefault="002A35E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45" w:name="_Toc59537570"/>
      <w:r w:rsidRPr="00FF2A9A">
        <w:rPr>
          <w:rFonts w:ascii="Arial" w:eastAsia="Calibri" w:hAnsi="Arial" w:cs="Arial"/>
          <w:noProof w:val="0"/>
        </w:rPr>
        <w:t>Дейности, които не допринасят за изпълнение на целите, заложени в т. 6 от настоящата процедура</w:t>
      </w:r>
      <w:r w:rsidR="00404AAD" w:rsidRPr="00FF2A9A">
        <w:rPr>
          <w:rFonts w:ascii="Arial" w:eastAsia="Calibri" w:hAnsi="Arial" w:cs="Arial"/>
          <w:noProof w:val="0"/>
        </w:rPr>
        <w:t>.</w:t>
      </w:r>
    </w:p>
    <w:p w:rsidR="00CA7CA0" w:rsidRPr="00FF2A9A" w:rsidRDefault="00AD212E"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Подпомагането по настоящата мярка не покрива изграждането/модернизацията на пристанища, кейове за разтоварване или рибни борси</w:t>
      </w:r>
      <w:r w:rsidR="00CA7CA0" w:rsidRPr="00FF2A9A">
        <w:rPr>
          <w:rFonts w:ascii="Arial" w:eastAsia="Calibri" w:hAnsi="Arial" w:cs="Arial"/>
          <w:noProof w:val="0"/>
        </w:rPr>
        <w:t>.</w:t>
      </w:r>
    </w:p>
    <w:p w:rsidR="00404AAD" w:rsidRPr="00FF2A9A" w:rsidRDefault="00404AAD" w:rsidP="00FF2A9A">
      <w:pPr>
        <w:keepNext/>
        <w:tabs>
          <w:tab w:val="left" w:pos="-180"/>
        </w:tabs>
        <w:spacing w:before="120" w:after="120" w:line="240" w:lineRule="auto"/>
        <w:jc w:val="both"/>
        <w:rPr>
          <w:rFonts w:ascii="Arial" w:eastAsia="Times New Roman" w:hAnsi="Arial" w:cs="Arial"/>
          <w:b/>
          <w:bCs/>
          <w:noProof w:val="0"/>
          <w:color w:val="5B9BD5"/>
        </w:rPr>
      </w:pPr>
      <w:bookmarkStart w:id="46" w:name="_Toc475538944"/>
      <w:bookmarkStart w:id="47" w:name="_Toc59537571"/>
      <w:bookmarkEnd w:id="45"/>
      <w:r w:rsidRPr="00FF2A9A">
        <w:rPr>
          <w:rFonts w:ascii="Arial" w:eastAsia="Times New Roman" w:hAnsi="Arial" w:cs="Arial"/>
          <w:b/>
          <w:bCs/>
          <w:noProof w:val="0"/>
          <w:color w:val="5B9BD5"/>
        </w:rPr>
        <w:t>14. Категории разходи, допустими за финансиране:</w:t>
      </w:r>
    </w:p>
    <w:p w:rsidR="00BE1440" w:rsidRPr="00FF2A9A" w:rsidRDefault="00BE1440" w:rsidP="00FF2A9A">
      <w:pPr>
        <w:keepNext/>
        <w:tabs>
          <w:tab w:val="left" w:pos="-180"/>
        </w:tabs>
        <w:spacing w:before="120" w:after="120" w:line="240" w:lineRule="auto"/>
        <w:jc w:val="both"/>
        <w:rPr>
          <w:rFonts w:ascii="Arial" w:eastAsia="Times New Roman" w:hAnsi="Arial" w:cs="Arial"/>
          <w:b/>
          <w:bCs/>
          <w:noProof w:val="0"/>
          <w:color w:val="5B9BD5"/>
        </w:rPr>
      </w:pPr>
      <w:r w:rsidRPr="00FF2A9A">
        <w:rPr>
          <w:rFonts w:ascii="Arial" w:eastAsia="Times New Roman" w:hAnsi="Arial" w:cs="Arial"/>
          <w:b/>
          <w:bCs/>
          <w:noProof w:val="0"/>
          <w:color w:val="5B9BD5"/>
        </w:rPr>
        <w:t>14.1. Допустими разходи</w:t>
      </w:r>
      <w:bookmarkEnd w:id="46"/>
      <w:r w:rsidRPr="00FF2A9A">
        <w:rPr>
          <w:rFonts w:ascii="Arial" w:eastAsia="Times New Roman" w:hAnsi="Arial" w:cs="Arial"/>
          <w:b/>
          <w:bCs/>
          <w:noProof w:val="0"/>
          <w:color w:val="5B9BD5"/>
        </w:rPr>
        <w:t>:</w:t>
      </w:r>
      <w:bookmarkEnd w:id="47"/>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w:t>
      </w:r>
      <w:proofErr w:type="spellStart"/>
      <w:r w:rsidRPr="00FF2A9A">
        <w:rPr>
          <w:rFonts w:ascii="Arial" w:eastAsia="Calibri" w:hAnsi="Arial" w:cs="Arial"/>
          <w:b/>
          <w:noProof w:val="0"/>
        </w:rPr>
        <w:t>1</w:t>
      </w:r>
      <w:proofErr w:type="spellEnd"/>
      <w:r w:rsidRPr="00FF2A9A">
        <w:rPr>
          <w:rFonts w:ascii="Arial" w:eastAsia="Calibri" w:hAnsi="Arial" w:cs="Arial"/>
          <w:b/>
          <w:noProof w:val="0"/>
        </w:rPr>
        <w:t>.</w:t>
      </w:r>
      <w:r w:rsidRPr="00FF2A9A">
        <w:rPr>
          <w:rFonts w:ascii="Arial" w:eastAsia="Calibri" w:hAnsi="Arial" w:cs="Arial"/>
          <w:noProof w:val="0"/>
        </w:rPr>
        <w:t xml:space="preserve"> Допустимите разходи трябва да са в съответствие с правилата и изискванията на: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Регламент (ЕС) № 508/2014 г. на Европейския парламент и на Съвета за Европейския фонд за морско дело и рибарство;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Регламент (ЕС) № 1303/2013 на Европейския парламент и на Съвета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и за отмяна на Регламент (ЕО) № 1083/2006 на Съвета (Регламент (ЕС) № 1303/2013);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Закона за управление на средствата от Европейските структурни и инвестиционни фондове (ЗУСЕСИФ);</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ПМС № 189/2016 на МС от 28.07.2016 г. за определяне на национални правила за допустимост на разходите по програмите, </w:t>
      </w:r>
      <w:proofErr w:type="spellStart"/>
      <w:r w:rsidRPr="00FF2A9A">
        <w:rPr>
          <w:rFonts w:ascii="Arial" w:eastAsia="Calibri" w:hAnsi="Arial" w:cs="Arial"/>
          <w:noProof w:val="0"/>
        </w:rPr>
        <w:t>съфинансирани</w:t>
      </w:r>
      <w:proofErr w:type="spellEnd"/>
      <w:r w:rsidRPr="00FF2A9A">
        <w:rPr>
          <w:rFonts w:ascii="Arial" w:eastAsia="Calibri" w:hAnsi="Arial" w:cs="Arial"/>
          <w:noProof w:val="0"/>
        </w:rPr>
        <w:t xml:space="preserve"> от Европейските структурни и инвестиционни фонд</w:t>
      </w:r>
      <w:r w:rsidR="00DC7DCD" w:rsidRPr="00FF2A9A">
        <w:rPr>
          <w:rFonts w:ascii="Arial" w:eastAsia="Calibri" w:hAnsi="Arial" w:cs="Arial"/>
          <w:noProof w:val="0"/>
        </w:rPr>
        <w:t>ове, за програмен период 2014-</w:t>
      </w:r>
      <w:r w:rsidRPr="00FF2A9A">
        <w:rPr>
          <w:rFonts w:ascii="Arial" w:eastAsia="Calibri" w:hAnsi="Arial" w:cs="Arial"/>
          <w:noProof w:val="0"/>
        </w:rPr>
        <w:t>2020 г.</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14.1.2.</w:t>
      </w:r>
      <w:r w:rsidRPr="00FF2A9A">
        <w:rPr>
          <w:rFonts w:ascii="Arial" w:eastAsia="Calibri" w:hAnsi="Arial" w:cs="Arial"/>
          <w:noProof w:val="0"/>
        </w:rPr>
        <w:t xml:space="preserve"> Разходите следва: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14.1.2.1. Да са извъ</w:t>
      </w:r>
      <w:r w:rsidR="00DC7DCD" w:rsidRPr="00FF2A9A">
        <w:rPr>
          <w:rFonts w:ascii="Arial" w:eastAsia="Calibri" w:hAnsi="Arial" w:cs="Arial"/>
          <w:noProof w:val="0"/>
        </w:rPr>
        <w:t xml:space="preserve">ршени от допустими </w:t>
      </w:r>
      <w:proofErr w:type="spellStart"/>
      <w:r w:rsidR="00DC7DCD" w:rsidRPr="00FF2A9A">
        <w:rPr>
          <w:rFonts w:ascii="Arial" w:eastAsia="Calibri" w:hAnsi="Arial" w:cs="Arial"/>
          <w:noProof w:val="0"/>
        </w:rPr>
        <w:t>бенефициер</w:t>
      </w:r>
      <w:r w:rsidR="00CA7CA0" w:rsidRPr="00FF2A9A">
        <w:rPr>
          <w:rFonts w:ascii="Arial" w:eastAsia="Calibri" w:hAnsi="Arial" w:cs="Arial"/>
          <w:noProof w:val="0"/>
        </w:rPr>
        <w:t>и</w:t>
      </w:r>
      <w:proofErr w:type="spellEnd"/>
      <w:r w:rsidR="00CA7CA0" w:rsidRPr="00FF2A9A">
        <w:rPr>
          <w:rFonts w:ascii="Arial" w:eastAsia="Calibri" w:hAnsi="Arial" w:cs="Arial"/>
          <w:noProof w:val="0"/>
        </w:rPr>
        <w:t>.</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w:t>
      </w:r>
      <w:proofErr w:type="spellStart"/>
      <w:r w:rsidRPr="00FF2A9A">
        <w:rPr>
          <w:rFonts w:ascii="Arial" w:eastAsia="Calibri" w:hAnsi="Arial" w:cs="Arial"/>
          <w:noProof w:val="0"/>
        </w:rPr>
        <w:t>2</w:t>
      </w:r>
      <w:proofErr w:type="spellEnd"/>
      <w:r w:rsidRPr="00FF2A9A">
        <w:rPr>
          <w:rFonts w:ascii="Arial" w:eastAsia="Calibri" w:hAnsi="Arial" w:cs="Arial"/>
          <w:noProof w:val="0"/>
        </w:rPr>
        <w:t>.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w:t>
      </w:r>
      <w:r w:rsidR="00CA7CA0" w:rsidRPr="00FF2A9A">
        <w:rPr>
          <w:rFonts w:ascii="Arial" w:eastAsia="Calibri" w:hAnsi="Arial" w:cs="Arial"/>
          <w:noProof w:val="0"/>
        </w:rPr>
        <w:t>з и българското законодателство.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14.1.2.3. За тях да е налична адекватна </w:t>
      </w:r>
      <w:proofErr w:type="spellStart"/>
      <w:r w:rsidRPr="00FF2A9A">
        <w:rPr>
          <w:rFonts w:ascii="Arial" w:eastAsia="Calibri" w:hAnsi="Arial" w:cs="Arial"/>
          <w:noProof w:val="0"/>
        </w:rPr>
        <w:t>одитна</w:t>
      </w:r>
      <w:proofErr w:type="spellEnd"/>
      <w:r w:rsidRPr="00FF2A9A">
        <w:rPr>
          <w:rFonts w:ascii="Arial" w:eastAsia="Calibri" w:hAnsi="Arial" w:cs="Arial"/>
          <w:noProof w:val="0"/>
        </w:rPr>
        <w:t xml:space="preserve"> следа, включително да са спазени разпоредбите за наличност на документите по чл. 14</w:t>
      </w:r>
      <w:r w:rsidR="00CA7CA0" w:rsidRPr="00FF2A9A">
        <w:rPr>
          <w:rFonts w:ascii="Arial" w:eastAsia="Calibri" w:hAnsi="Arial" w:cs="Arial"/>
          <w:noProof w:val="0"/>
        </w:rPr>
        <w:t>0 от Регламент (ЕС) № 1303/2013.</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14.1.2.4. Да са отразени в счетовод</w:t>
      </w:r>
      <w:r w:rsidR="00DC7DCD" w:rsidRPr="00FF2A9A">
        <w:rPr>
          <w:rFonts w:ascii="Arial" w:eastAsia="Calibri" w:hAnsi="Arial" w:cs="Arial"/>
          <w:noProof w:val="0"/>
        </w:rPr>
        <w:t xml:space="preserve">ната документация на </w:t>
      </w:r>
      <w:proofErr w:type="spellStart"/>
      <w:r w:rsidR="00DC7DCD" w:rsidRPr="00FF2A9A">
        <w:rPr>
          <w:rFonts w:ascii="Arial" w:eastAsia="Calibri" w:hAnsi="Arial" w:cs="Arial"/>
          <w:noProof w:val="0"/>
        </w:rPr>
        <w:t>бенефициер</w:t>
      </w:r>
      <w:r w:rsidRPr="00FF2A9A">
        <w:rPr>
          <w:rFonts w:ascii="Arial" w:eastAsia="Calibri" w:hAnsi="Arial" w:cs="Arial"/>
          <w:noProof w:val="0"/>
        </w:rPr>
        <w:t>а</w:t>
      </w:r>
      <w:proofErr w:type="spellEnd"/>
      <w:r w:rsidRPr="00FF2A9A">
        <w:rPr>
          <w:rFonts w:ascii="Arial" w:eastAsia="Calibri" w:hAnsi="Arial" w:cs="Arial"/>
          <w:noProof w:val="0"/>
        </w:rPr>
        <w:t xml:space="preserve"> чрез отделни счетоводни аналитични сметки и</w:t>
      </w:r>
      <w:r w:rsidR="00CA7CA0" w:rsidRPr="00FF2A9A">
        <w:rPr>
          <w:rFonts w:ascii="Arial" w:eastAsia="Calibri" w:hAnsi="Arial" w:cs="Arial"/>
          <w:noProof w:val="0"/>
        </w:rPr>
        <w:t>ли в отделна счетоводна система.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14.1.2.5. 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r w:rsidR="00CA7CA0" w:rsidRPr="00FF2A9A">
        <w:rPr>
          <w:rFonts w:ascii="Arial" w:eastAsia="Calibri" w:hAnsi="Arial" w:cs="Arial"/>
          <w:noProof w:val="0"/>
        </w:rPr>
        <w:t>.</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14.1.2.6. Да не са финансирани със средства от ЕСИФ или чрез други инструменти на ЕС в съответствие с чл. 65, параграф 11 от Регламент № (ЕС) 1303/2013, както и с други публични средства.</w:t>
      </w: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70B16E7D" wp14:editId="61E8ACE4">
            <wp:extent cx="666750" cy="352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Всички разходи по т. 14.1.2 са допустими единствено в случаите, когато кандидатът е спазил реда, определен в Условията за изпълнение.</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14.1.3</w:t>
      </w:r>
      <w:r w:rsidR="00BE1440" w:rsidRPr="00FF2A9A">
        <w:rPr>
          <w:rFonts w:ascii="Arial" w:eastAsia="Calibri" w:hAnsi="Arial" w:cs="Arial"/>
          <w:b/>
          <w:noProof w:val="0"/>
        </w:rPr>
        <w:t>.</w:t>
      </w:r>
      <w:r w:rsidRPr="00FF2A9A">
        <w:rPr>
          <w:rFonts w:ascii="Arial" w:eastAsia="Calibri" w:hAnsi="Arial" w:cs="Arial"/>
          <w:noProof w:val="0"/>
        </w:rPr>
        <w:t xml:space="preserve"> </w:t>
      </w:r>
      <w:r w:rsidR="00BE1440" w:rsidRPr="00FF2A9A">
        <w:rPr>
          <w:rFonts w:ascii="Arial" w:eastAsia="Calibri" w:hAnsi="Arial" w:cs="Arial"/>
          <w:noProof w:val="0"/>
        </w:rPr>
        <w:t>Допустими за финансиране са разходи, извършени от кандидата преди подаването на формуляра за кандидатстване по програмата, но не по-рано от 01.</w:t>
      </w:r>
      <w:proofErr w:type="spellStart"/>
      <w:r w:rsidR="00BE1440" w:rsidRPr="00FF2A9A">
        <w:rPr>
          <w:rFonts w:ascii="Arial" w:eastAsia="Calibri" w:hAnsi="Arial" w:cs="Arial"/>
          <w:noProof w:val="0"/>
        </w:rPr>
        <w:t>01</w:t>
      </w:r>
      <w:proofErr w:type="spellEnd"/>
      <w:r w:rsidR="00BE1440" w:rsidRPr="00FF2A9A">
        <w:rPr>
          <w:rFonts w:ascii="Arial" w:eastAsia="Calibri" w:hAnsi="Arial" w:cs="Arial"/>
          <w:noProof w:val="0"/>
        </w:rPr>
        <w:t>.2014 г. за: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1. закупуване на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патентни права и лицензи, необходими за изготвяне и изпълнение на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2. разходи за консултантски услуги, свързани с подготовката на проекта, инженерни проучвания, оценки и анализи, изготвя</w:t>
      </w:r>
      <w:r w:rsidR="00E40087" w:rsidRPr="00FF2A9A">
        <w:rPr>
          <w:rFonts w:ascii="Arial" w:eastAsia="Calibri" w:hAnsi="Arial" w:cs="Arial"/>
          <w:noProof w:val="0"/>
        </w:rPr>
        <w:t>не на технически/работен проект.</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363D8DDB" wp14:editId="7277DB07">
            <wp:extent cx="66675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За всички предварителни разходи по т. 2,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w:t>
      </w:r>
    </w:p>
    <w:p w:rsidR="00E40087" w:rsidRPr="00FF2A9A" w:rsidRDefault="00306C19"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Офертите трябва да са независими, съпоставими и конкурентни, да са предоставени от квалифицирани доставчици и следва да съдържат минимум името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Цената трябва да бъде определена в лева или евро с и без ДДС.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трябва да са вписани в Търговския регистър към Агенцията по вписванията или в Регистър БУЛСТАТ, в случаите, в които е приложимо, а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 чуждестранни лица, трябва да представят документ за регистрация съгласно националното си законодателство.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следва да отговарят на следните две кумулативни условия:</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предметът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да е идентичен или сходен с посочен</w:t>
      </w:r>
      <w:r w:rsidR="009F4A51">
        <w:rPr>
          <w:rFonts w:ascii="Arial" w:eastAsia="Calibri" w:hAnsi="Arial" w:cs="Arial"/>
          <w:noProof w:val="0"/>
        </w:rPr>
        <w:t>ият/</w:t>
      </w:r>
      <w:r w:rsidRPr="00FF2A9A">
        <w:rPr>
          <w:rFonts w:ascii="Arial" w:eastAsia="Calibri" w:hAnsi="Arial" w:cs="Arial"/>
          <w:noProof w:val="0"/>
        </w:rPr>
        <w:t xml:space="preserve">ата в офертата </w:t>
      </w:r>
      <w:r w:rsidR="009F4A51" w:rsidRPr="009F4A51">
        <w:rPr>
          <w:rFonts w:ascii="Arial" w:eastAsia="Calibri" w:hAnsi="Arial" w:cs="Arial"/>
          <w:noProof w:val="0"/>
        </w:rPr>
        <w:t>разход/и</w:t>
      </w:r>
      <w:r w:rsidRPr="00FF2A9A">
        <w:rPr>
          <w:rFonts w:ascii="Arial" w:eastAsia="Calibri" w:hAnsi="Arial" w:cs="Arial"/>
          <w:noProof w:val="0"/>
        </w:rPr>
        <w:t xml:space="preserve">. Това изискване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списък на договорите с предмет идентичен или сходен с посочен</w:t>
      </w:r>
      <w:r w:rsidR="009F4A51">
        <w:rPr>
          <w:rFonts w:ascii="Arial" w:eastAsia="Calibri" w:hAnsi="Arial" w:cs="Arial"/>
          <w:noProof w:val="0"/>
        </w:rPr>
        <w:t>ият/</w:t>
      </w:r>
      <w:proofErr w:type="spellStart"/>
      <w:r w:rsidR="009F4A51">
        <w:rPr>
          <w:rFonts w:ascii="Arial" w:eastAsia="Calibri" w:hAnsi="Arial" w:cs="Arial"/>
          <w:noProof w:val="0"/>
        </w:rPr>
        <w:t>ите</w:t>
      </w:r>
      <w:proofErr w:type="spellEnd"/>
      <w:r w:rsidRPr="00FF2A9A">
        <w:rPr>
          <w:rFonts w:ascii="Arial" w:eastAsia="Calibri" w:hAnsi="Arial" w:cs="Arial"/>
          <w:noProof w:val="0"/>
        </w:rPr>
        <w:t xml:space="preserve"> в офертата </w:t>
      </w:r>
      <w:r w:rsidR="009F4A51" w:rsidRPr="009F4A51">
        <w:rPr>
          <w:rFonts w:ascii="Arial" w:eastAsia="Calibri" w:hAnsi="Arial" w:cs="Arial"/>
          <w:noProof w:val="0"/>
        </w:rPr>
        <w:t>разход/и</w:t>
      </w:r>
      <w:r w:rsidRPr="00FF2A9A">
        <w:rPr>
          <w:rFonts w:ascii="Arial" w:eastAsia="Calibri" w:hAnsi="Arial" w:cs="Arial"/>
          <w:noProof w:val="0"/>
        </w:rPr>
        <w:t>, съдържащ минимум следната информация: дата, страни, предмет, стойност на договора/</w:t>
      </w:r>
      <w:proofErr w:type="spellStart"/>
      <w:r w:rsidRPr="00FF2A9A">
        <w:rPr>
          <w:rFonts w:ascii="Arial" w:eastAsia="Calibri" w:hAnsi="Arial" w:cs="Arial"/>
          <w:noProof w:val="0"/>
        </w:rPr>
        <w:t>ите</w:t>
      </w:r>
      <w:proofErr w:type="spellEnd"/>
      <w:r w:rsidRPr="00FF2A9A">
        <w:rPr>
          <w:rFonts w:ascii="Arial" w:eastAsia="Calibri" w:hAnsi="Arial" w:cs="Arial"/>
          <w:noProof w:val="0"/>
        </w:rPr>
        <w:t xml:space="preserve">. Списъкът следва да е подписан от лицето, представляващо по закон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и да е придружен с препоръки/референции за добро изпълнение;</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годишният оборот, който се отнася </w:t>
      </w:r>
      <w:r w:rsidR="0056269E" w:rsidRPr="0056269E">
        <w:rPr>
          <w:rFonts w:ascii="Arial" w:eastAsia="Calibri" w:hAnsi="Arial" w:cs="Arial"/>
          <w:noProof w:val="0"/>
        </w:rPr>
        <w:t>до предложения</w:t>
      </w:r>
      <w:r w:rsidR="0056269E">
        <w:rPr>
          <w:rFonts w:ascii="Arial" w:eastAsia="Calibri" w:hAnsi="Arial" w:cs="Arial"/>
          <w:noProof w:val="0"/>
        </w:rPr>
        <w:t>/</w:t>
      </w:r>
      <w:proofErr w:type="spellStart"/>
      <w:r w:rsidR="0056269E">
        <w:rPr>
          <w:rFonts w:ascii="Arial" w:eastAsia="Calibri" w:hAnsi="Arial" w:cs="Arial"/>
          <w:noProof w:val="0"/>
        </w:rPr>
        <w:t>ите</w:t>
      </w:r>
      <w:proofErr w:type="spellEnd"/>
      <w:r w:rsidR="0056269E" w:rsidRPr="0056269E">
        <w:rPr>
          <w:rFonts w:ascii="Arial" w:eastAsia="Calibri" w:hAnsi="Arial" w:cs="Arial"/>
          <w:noProof w:val="0"/>
        </w:rPr>
        <w:t xml:space="preserve"> в офертата разход/разходи </w:t>
      </w:r>
      <w:r w:rsidRPr="00FF2A9A">
        <w:rPr>
          <w:rFonts w:ascii="Arial" w:eastAsia="Calibri" w:hAnsi="Arial" w:cs="Arial"/>
          <w:noProof w:val="0"/>
        </w:rPr>
        <w:t>(специфичен оборот) през някоя от или общо от предходните три приключили финансови години, в зависимост от датата</w:t>
      </w:r>
      <w:r w:rsidR="0056269E">
        <w:rPr>
          <w:rFonts w:ascii="Arial" w:eastAsia="Calibri" w:hAnsi="Arial" w:cs="Arial"/>
          <w:noProof w:val="0"/>
        </w:rPr>
        <w:t>,</w:t>
      </w:r>
      <w:r w:rsidRPr="00FF2A9A">
        <w:rPr>
          <w:rFonts w:ascii="Arial" w:eastAsia="Calibri" w:hAnsi="Arial" w:cs="Arial"/>
          <w:noProof w:val="0"/>
        </w:rPr>
        <w:t xml:space="preserve"> на която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учреден или започнал дейността си, да е равен или по-голям </w:t>
      </w:r>
      <w:r w:rsidR="0056269E" w:rsidRPr="0056269E">
        <w:rPr>
          <w:rFonts w:ascii="Arial" w:eastAsia="Calibri" w:hAnsi="Arial" w:cs="Arial"/>
          <w:noProof w:val="0"/>
        </w:rPr>
        <w:t>от стойността на предложения</w:t>
      </w:r>
      <w:r w:rsidR="0056269E">
        <w:rPr>
          <w:rFonts w:ascii="Arial" w:eastAsia="Calibri" w:hAnsi="Arial" w:cs="Arial"/>
          <w:noProof w:val="0"/>
        </w:rPr>
        <w:t>/те</w:t>
      </w:r>
      <w:r w:rsidR="0056269E" w:rsidRPr="0056269E">
        <w:rPr>
          <w:rFonts w:ascii="Arial" w:eastAsia="Calibri" w:hAnsi="Arial" w:cs="Arial"/>
          <w:noProof w:val="0"/>
        </w:rPr>
        <w:t xml:space="preserve"> в офертата разход/и</w:t>
      </w:r>
      <w:r w:rsidRPr="00FF2A9A">
        <w:rPr>
          <w:rFonts w:ascii="Arial" w:eastAsia="Calibri" w:hAnsi="Arial" w:cs="Arial"/>
          <w:noProof w:val="0"/>
        </w:rPr>
        <w:t xml:space="preserve">. Изискването за специфичен оборот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справка-декларация, подписана от счетоводителя и лицето представляващо по закон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Справката трябва да е </w:t>
      </w:r>
      <w:r w:rsidRPr="00FF2A9A">
        <w:rPr>
          <w:rFonts w:ascii="Arial" w:eastAsia="Calibri" w:hAnsi="Arial" w:cs="Arial"/>
          <w:noProof w:val="0"/>
        </w:rPr>
        <w:lastRenderedPageBreak/>
        <w:t xml:space="preserve">придружена от Отчет за приходите и разходите за последните три приключили финансови години, в зависимост от датата на която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учреден или е започнал дейността си. Ако отчетите за приходите и разходите са публично обявени, се извършва справка в съответния регистър.</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Допустимо е и придобиването на посочените активи чрез договор за краткосрочен финансов лизинг, в който се </w:t>
      </w:r>
      <w:r w:rsidR="00277E3B" w:rsidRPr="00FF2A9A">
        <w:rPr>
          <w:rFonts w:ascii="Arial" w:eastAsia="Calibri" w:hAnsi="Arial" w:cs="Arial"/>
          <w:noProof w:val="0"/>
        </w:rPr>
        <w:t xml:space="preserve">съдържа задължението </w:t>
      </w:r>
      <w:proofErr w:type="spellStart"/>
      <w:r w:rsidR="00277E3B"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w:t>
      </w:r>
      <w:r w:rsidR="00277E3B" w:rsidRPr="00FF2A9A">
        <w:rPr>
          <w:rFonts w:ascii="Arial" w:eastAsia="Calibri" w:hAnsi="Arial" w:cs="Arial"/>
          <w:noProof w:val="0"/>
        </w:rPr>
        <w:t xml:space="preserve">ПМС № 189 от 2016 г. </w:t>
      </w:r>
      <w:proofErr w:type="spellStart"/>
      <w:r w:rsidR="00277E3B"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може да придобие собствеността върху даден актив или чрез договор за финансов лизинг или чрез договор за покупка.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hAnsi="Arial" w:cs="Arial"/>
          <w:b/>
          <w:lang w:val="en-US"/>
        </w:rPr>
        <w:drawing>
          <wp:inline distT="0" distB="0" distL="0" distR="0" wp14:anchorId="7B1A9EE4" wp14:editId="474E7AB4">
            <wp:extent cx="6667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Следва да се има пр</w:t>
      </w:r>
      <w:r w:rsidR="00DA5150" w:rsidRPr="00FF2A9A">
        <w:rPr>
          <w:rFonts w:ascii="Arial" w:eastAsia="Calibri" w:hAnsi="Arial" w:cs="Arial"/>
          <w:noProof w:val="0"/>
        </w:rPr>
        <w:t>едвид, в случаите по т. 14.1.3</w:t>
      </w:r>
      <w:r w:rsidRPr="00FF2A9A">
        <w:rPr>
          <w:rFonts w:ascii="Arial" w:eastAsia="Calibri" w:hAnsi="Arial" w:cs="Arial"/>
          <w:noProof w:val="0"/>
        </w:rPr>
        <w:t>, подточка 1,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патент за изобретение,</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 или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 свидетелство за регистрация на полезен модел за иновацията, внедрявана по проекта.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случаите, когато се придобива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също се представят доказателства за притежаваният производствен опит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w:t>
      </w:r>
      <w:r w:rsidR="002413EB" w:rsidRPr="00FF2A9A">
        <w:rPr>
          <w:rFonts w:ascii="Arial" w:eastAsia="Calibri" w:hAnsi="Arial" w:cs="Arial"/>
          <w:noProof w:val="0"/>
        </w:rPr>
        <w:t>а</w:t>
      </w:r>
      <w:r w:rsidRPr="00FF2A9A">
        <w:rPr>
          <w:rFonts w:ascii="Arial" w:eastAsia="Calibri" w:hAnsi="Arial" w:cs="Arial"/>
          <w:noProof w:val="0"/>
        </w:rPr>
        <w:t>ктер, а да съдържат оценка за иновативния продукт/процес/съоръжения и да доказват неговата иновативност.</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За удостоверяване на разходите по закупуване на патент, полезен модел или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xml:space="preserve"> се представя лицензионен договор, с който се разрешава използването на съответния обект на интелектуална собственост и съответните </w:t>
      </w:r>
      <w:proofErr w:type="spellStart"/>
      <w:r w:rsidRPr="00FF2A9A">
        <w:rPr>
          <w:rFonts w:ascii="Arial" w:eastAsia="Calibri" w:hAnsi="Arial" w:cs="Arial"/>
          <w:noProof w:val="0"/>
        </w:rPr>
        <w:t>разходо-оправдателни</w:t>
      </w:r>
      <w:proofErr w:type="spellEnd"/>
      <w:r w:rsidRPr="00FF2A9A">
        <w:rPr>
          <w:rFonts w:ascii="Arial" w:eastAsia="Calibri" w:hAnsi="Arial" w:cs="Arial"/>
          <w:noProof w:val="0"/>
        </w:rPr>
        <w:t xml:space="preserve"> документи. Представя се документ (уведомление/удостоверение) от Патентното ведомство, че договора е вписан в техният регистър.</w:t>
      </w: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r w:rsidRPr="00FF2A9A">
        <w:rPr>
          <w:rFonts w:ascii="Arial" w:eastAsia="Calibri" w:hAnsi="Arial" w:cs="Arial"/>
          <w:noProof w:val="0"/>
        </w:rPr>
        <w:t>Следва да се има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w:t>
      </w:r>
      <w:proofErr w:type="spellStart"/>
      <w:r w:rsidRPr="00FF2A9A">
        <w:rPr>
          <w:rFonts w:ascii="Arial" w:eastAsia="Calibri" w:hAnsi="Arial" w:cs="Arial"/>
          <w:noProof w:val="0"/>
        </w:rPr>
        <w:t>1</w:t>
      </w:r>
      <w:proofErr w:type="spellEnd"/>
      <w:r w:rsidRPr="00FF2A9A">
        <w:rPr>
          <w:rFonts w:ascii="Arial" w:eastAsia="Calibri" w:hAnsi="Arial" w:cs="Arial"/>
          <w:noProof w:val="0"/>
        </w:rPr>
        <w:t>. Процедури за избор на изпълнител от Условията за изпълнение на проекти по настоящата процедура</w:t>
      </w:r>
      <w:r w:rsidR="00DA515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случаите, когато кандидатът </w:t>
      </w:r>
      <w:r w:rsidR="00BB4482" w:rsidRPr="00FF2A9A">
        <w:rPr>
          <w:rFonts w:ascii="Arial" w:eastAsia="Calibri" w:hAnsi="Arial" w:cs="Arial"/>
          <w:noProof w:val="0"/>
        </w:rPr>
        <w:t xml:space="preserve">се явява възложител по ЗОП (общини и държавни </w:t>
      </w:r>
      <w:proofErr w:type="spellStart"/>
      <w:r w:rsidR="00BB4482" w:rsidRPr="00FF2A9A">
        <w:rPr>
          <w:rFonts w:ascii="Arial" w:eastAsia="Calibri" w:hAnsi="Arial" w:cs="Arial"/>
          <w:noProof w:val="0"/>
        </w:rPr>
        <w:t>учреждения</w:t>
      </w:r>
      <w:proofErr w:type="spellEnd"/>
      <w:r w:rsidR="00BB4482" w:rsidRPr="00FF2A9A">
        <w:rPr>
          <w:rFonts w:ascii="Arial" w:eastAsia="Calibri" w:hAnsi="Arial" w:cs="Arial"/>
          <w:noProof w:val="0"/>
        </w:rPr>
        <w:t>)</w:t>
      </w:r>
      <w:r w:rsidRPr="00FF2A9A">
        <w:rPr>
          <w:rFonts w:ascii="Arial" w:eastAsia="Calibri" w:hAnsi="Arial" w:cs="Arial"/>
          <w:noProof w:val="0"/>
        </w:rPr>
        <w:t>, представя</w:t>
      </w:r>
      <w:r w:rsidR="00BB4482" w:rsidRPr="00FF2A9A">
        <w:rPr>
          <w:rFonts w:ascii="Arial" w:eastAsia="Calibri" w:hAnsi="Arial" w:cs="Arial"/>
          <w:noProof w:val="0"/>
        </w:rPr>
        <w:t xml:space="preserve"> документите от проведената, съгласно изискванията на ЗОП процедура за избор на изпълнител/и</w:t>
      </w:r>
      <w:r w:rsidRPr="00FF2A9A">
        <w:rPr>
          <w:rFonts w:ascii="Arial" w:eastAsia="Calibri" w:hAnsi="Arial" w:cs="Arial"/>
          <w:noProof w:val="0"/>
        </w:rPr>
        <w:t xml:space="preserve"> </w:t>
      </w:r>
      <w:r w:rsidR="00BB4482" w:rsidRPr="00FF2A9A">
        <w:rPr>
          <w:rFonts w:ascii="Arial" w:eastAsia="Calibri" w:hAnsi="Arial" w:cs="Arial"/>
          <w:noProof w:val="0"/>
        </w:rPr>
        <w:t xml:space="preserve">и </w:t>
      </w:r>
      <w:r w:rsidRPr="00FF2A9A">
        <w:rPr>
          <w:rFonts w:ascii="Arial" w:eastAsia="Calibri" w:hAnsi="Arial" w:cs="Arial"/>
          <w:noProof w:val="0"/>
        </w:rPr>
        <w:t>договор с избра</w:t>
      </w:r>
      <w:r w:rsidR="00DA5150" w:rsidRPr="00FF2A9A">
        <w:rPr>
          <w:rFonts w:ascii="Arial" w:eastAsia="Calibri" w:hAnsi="Arial" w:cs="Arial"/>
          <w:noProof w:val="0"/>
        </w:rPr>
        <w:t>ния по реда на ЗОП изпълнител.</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14.1.4</w:t>
      </w:r>
      <w:r w:rsidR="00BE1440" w:rsidRPr="00FF2A9A">
        <w:rPr>
          <w:rFonts w:ascii="Arial" w:eastAsia="Calibri" w:hAnsi="Arial" w:cs="Arial"/>
          <w:b/>
          <w:noProof w:val="0"/>
        </w:rPr>
        <w:t>.</w:t>
      </w:r>
      <w:r w:rsidR="00BE1440" w:rsidRPr="00FF2A9A">
        <w:rPr>
          <w:rFonts w:ascii="Arial" w:eastAsia="Calibri" w:hAnsi="Arial" w:cs="Arial"/>
          <w:noProof w:val="0"/>
        </w:rPr>
        <w:t xml:space="preserve"> Допустими за финансиране по настоящата процедура са следните разходи за:</w:t>
      </w:r>
    </w:p>
    <w:p w:rsidR="00BE1440"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 С</w:t>
      </w:r>
      <w:r w:rsidR="00BE1440" w:rsidRPr="00FF2A9A">
        <w:rPr>
          <w:rFonts w:ascii="Arial" w:eastAsia="Calibri" w:hAnsi="Arial" w:cs="Arial"/>
          <w:noProof w:val="0"/>
        </w:rPr>
        <w:t xml:space="preserve">троително-монтажни работи за </w:t>
      </w:r>
      <w:r w:rsidR="00AB1386" w:rsidRPr="00FF2A9A">
        <w:rPr>
          <w:rFonts w:ascii="Arial" w:eastAsia="Calibri" w:hAnsi="Arial" w:cs="Arial"/>
          <w:noProof w:val="0"/>
        </w:rPr>
        <w:t xml:space="preserve">изграждане и/или </w:t>
      </w:r>
      <w:r w:rsidR="00921927" w:rsidRPr="00FF2A9A">
        <w:rPr>
          <w:rFonts w:ascii="Arial" w:eastAsia="Calibri" w:hAnsi="Arial" w:cs="Arial"/>
          <w:noProof w:val="0"/>
        </w:rPr>
        <w:t>модернизиране</w:t>
      </w:r>
      <w:r w:rsidRPr="00FF2A9A">
        <w:rPr>
          <w:rFonts w:ascii="Arial" w:eastAsia="Calibri" w:hAnsi="Arial" w:cs="Arial"/>
          <w:noProof w:val="0"/>
        </w:rPr>
        <w:t xml:space="preserve"> на </w:t>
      </w:r>
      <w:proofErr w:type="spellStart"/>
      <w:r w:rsidR="00921927" w:rsidRPr="00FF2A9A">
        <w:rPr>
          <w:rFonts w:ascii="Arial" w:eastAsia="Calibri" w:hAnsi="Arial" w:cs="Arial"/>
          <w:noProof w:val="0"/>
        </w:rPr>
        <w:t>лодкостоянки</w:t>
      </w:r>
      <w:proofErr w:type="spellEnd"/>
      <w:r w:rsidR="008F36AA" w:rsidRPr="00FF2A9A">
        <w:rPr>
          <w:rFonts w:ascii="Arial" w:eastAsia="Calibri" w:hAnsi="Arial" w:cs="Arial"/>
          <w:noProof w:val="0"/>
        </w:rPr>
        <w:t>.</w:t>
      </w:r>
    </w:p>
    <w:p w:rsidR="00BF3F1D"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2. </w:t>
      </w:r>
      <w:r w:rsidR="00BF3F1D" w:rsidRPr="00FF2A9A">
        <w:rPr>
          <w:rFonts w:ascii="Arial" w:eastAsia="Calibri" w:hAnsi="Arial" w:cs="Arial"/>
          <w:noProof w:val="0"/>
        </w:rPr>
        <w:t>Разходи за независим строителен и авторски надзор и инвеститорски контрол до 2% от СМР.</w:t>
      </w:r>
    </w:p>
    <w:p w:rsidR="008F36AA"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3</w:t>
      </w:r>
      <w:r w:rsidR="00921927" w:rsidRPr="00FF2A9A">
        <w:rPr>
          <w:rFonts w:ascii="Arial" w:eastAsia="Calibri" w:hAnsi="Arial" w:cs="Arial"/>
          <w:noProof w:val="0"/>
        </w:rPr>
        <w:t xml:space="preserve">. </w:t>
      </w:r>
      <w:r w:rsidR="008F36AA" w:rsidRPr="00FF2A9A">
        <w:rPr>
          <w:rFonts w:ascii="Arial" w:eastAsia="Calibri" w:hAnsi="Arial" w:cs="Arial"/>
          <w:noProof w:val="0"/>
        </w:rPr>
        <w:t xml:space="preserve">Разходи свързани с инвестиции в съоръжения за приставане, </w:t>
      </w:r>
      <w:proofErr w:type="spellStart"/>
      <w:r w:rsidR="008F36AA" w:rsidRPr="00FF2A9A">
        <w:rPr>
          <w:rFonts w:ascii="Arial" w:eastAsia="Calibri" w:hAnsi="Arial" w:cs="Arial"/>
          <w:noProof w:val="0"/>
        </w:rPr>
        <w:t>домуване</w:t>
      </w:r>
      <w:proofErr w:type="spellEnd"/>
      <w:r w:rsidR="008F36AA" w:rsidRPr="00FF2A9A">
        <w:rPr>
          <w:rFonts w:ascii="Arial" w:eastAsia="Calibri" w:hAnsi="Arial" w:cs="Arial"/>
          <w:noProof w:val="0"/>
        </w:rPr>
        <w:t>, зареждане, поддръжка и текущи ремонти на риболовни плавателни съдове</w:t>
      </w:r>
      <w:r w:rsidR="00306C19" w:rsidRPr="00FF2A9A">
        <w:rPr>
          <w:rFonts w:ascii="Arial" w:eastAsia="Calibri" w:hAnsi="Arial" w:cs="Arial"/>
          <w:noProof w:val="0"/>
        </w:rPr>
        <w:t xml:space="preserve"> под 12 метра</w:t>
      </w:r>
      <w:r w:rsidR="008F36AA" w:rsidRPr="00FF2A9A">
        <w:rPr>
          <w:rFonts w:ascii="Arial" w:eastAsia="Calibri" w:hAnsi="Arial" w:cs="Arial"/>
          <w:noProof w:val="0"/>
        </w:rPr>
        <w:t>, включително и изтеглянето им на брега.</w:t>
      </w:r>
    </w:p>
    <w:p w:rsidR="00921927"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4</w:t>
      </w:r>
      <w:r w:rsidR="008F36AA" w:rsidRPr="00FF2A9A">
        <w:rPr>
          <w:rFonts w:ascii="Arial" w:eastAsia="Calibri" w:hAnsi="Arial" w:cs="Arial"/>
          <w:noProof w:val="0"/>
        </w:rPr>
        <w:t>. Закупуване на специализирана техника и оборудване, пряко свързани със съхранението, разтоварването и обработката на рибните продукти, включително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5</w:t>
      </w:r>
      <w:r w:rsidR="00DA5150" w:rsidRPr="00FF2A9A">
        <w:rPr>
          <w:rFonts w:ascii="Arial" w:eastAsia="Calibri" w:hAnsi="Arial" w:cs="Arial"/>
          <w:noProof w:val="0"/>
        </w:rPr>
        <w:t>. З</w:t>
      </w:r>
      <w:r w:rsidR="00BE1440" w:rsidRPr="00FF2A9A">
        <w:rPr>
          <w:rFonts w:ascii="Arial" w:eastAsia="Calibri" w:hAnsi="Arial" w:cs="Arial"/>
          <w:noProof w:val="0"/>
        </w:rPr>
        <w:t>акупуване и инсталиране на нови машини и оборудване (вкл. компютърно), съоръжения и други, пряко свързани с предвидената инвестиция, включително разходи, включени в продажната цена за осъществяване на доставка, инсталиране, изпитване и въвеждане в експлоатация на оборудването/машините/съоръженията, включително</w:t>
      </w:r>
      <w:r w:rsidR="008F36AA" w:rsidRPr="00FF2A9A">
        <w:rPr>
          <w:rFonts w:ascii="Arial" w:eastAsia="Calibri" w:hAnsi="Arial" w:cs="Arial"/>
          <w:noProof w:val="0"/>
        </w:rPr>
        <w:t xml:space="preserve">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6</w:t>
      </w:r>
      <w:r w:rsidR="00DA5150" w:rsidRPr="00FF2A9A">
        <w:rPr>
          <w:rFonts w:ascii="Arial" w:eastAsia="Calibri" w:hAnsi="Arial" w:cs="Arial"/>
          <w:noProof w:val="0"/>
        </w:rPr>
        <w:t>. З</w:t>
      </w:r>
      <w:r w:rsidR="00BE1440" w:rsidRPr="00FF2A9A">
        <w:rPr>
          <w:rFonts w:ascii="Arial" w:eastAsia="Calibri" w:hAnsi="Arial" w:cs="Arial"/>
          <w:noProof w:val="0"/>
        </w:rPr>
        <w:t>акупуване на софтуер, включително разходите за доставка, инсталиране, тестване и въвеждане в експлоатация, включително</w:t>
      </w:r>
      <w:r w:rsidR="008F36AA" w:rsidRPr="00FF2A9A">
        <w:rPr>
          <w:rFonts w:ascii="Arial" w:eastAsia="Calibri" w:hAnsi="Arial" w:cs="Arial"/>
          <w:noProof w:val="0"/>
        </w:rPr>
        <w:t xml:space="preserve">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7</w:t>
      </w:r>
      <w:r w:rsidR="00DA5150" w:rsidRPr="00FF2A9A">
        <w:rPr>
          <w:rFonts w:ascii="Arial" w:eastAsia="Calibri" w:hAnsi="Arial" w:cs="Arial"/>
          <w:noProof w:val="0"/>
        </w:rPr>
        <w:t>. Д</w:t>
      </w:r>
      <w:r w:rsidR="00BE1440" w:rsidRPr="00FF2A9A">
        <w:rPr>
          <w:rFonts w:ascii="Arial" w:eastAsia="Calibri" w:hAnsi="Arial" w:cs="Arial"/>
          <w:noProof w:val="0"/>
        </w:rPr>
        <w:t>оставка, инсталация, тестване и въвеждане в експлоатация на: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 xml:space="preserve">а) оборудване за подобряване качеството на </w:t>
      </w:r>
      <w:proofErr w:type="spellStart"/>
      <w:r w:rsidRPr="00FF2A9A">
        <w:rPr>
          <w:rFonts w:ascii="Arial" w:eastAsia="Calibri" w:hAnsi="Arial" w:cs="Arial"/>
          <w:noProof w:val="0"/>
        </w:rPr>
        <w:t>улова</w:t>
      </w:r>
      <w:proofErr w:type="spellEnd"/>
      <w:r w:rsidRPr="00FF2A9A">
        <w:rPr>
          <w:rFonts w:ascii="Arial" w:eastAsia="Calibri" w:hAnsi="Arial" w:cs="Arial"/>
          <w:noProof w:val="0"/>
        </w:rPr>
        <w:t xml:space="preserve">, капацитета за съхранение и </w:t>
      </w:r>
      <w:proofErr w:type="spellStart"/>
      <w:r w:rsidRPr="00FF2A9A">
        <w:rPr>
          <w:rFonts w:ascii="Arial" w:eastAsia="Calibri" w:hAnsi="Arial" w:cs="Arial"/>
          <w:noProof w:val="0"/>
        </w:rPr>
        <w:t>проследяемостта</w:t>
      </w:r>
      <w:proofErr w:type="spellEnd"/>
      <w:r w:rsidRPr="00FF2A9A">
        <w:rPr>
          <w:rFonts w:ascii="Arial" w:eastAsia="Calibri" w:hAnsi="Arial" w:cs="Arial"/>
          <w:noProof w:val="0"/>
        </w:rPr>
        <w:t xml:space="preserve"> на продуктите;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б) съоръжения и/или оборудване за подобряване на безопасността;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в) съоръжения за сигурност и контрол;</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г) съоръжения и/или оборудване за</w:t>
      </w:r>
      <w:r w:rsidR="00306C19" w:rsidRPr="00FF2A9A">
        <w:rPr>
          <w:rFonts w:ascii="Arial" w:eastAsia="Calibri" w:hAnsi="Arial" w:cs="Arial"/>
          <w:noProof w:val="0"/>
        </w:rPr>
        <w:t xml:space="preserve"> </w:t>
      </w:r>
      <w:r w:rsidRPr="00FF2A9A">
        <w:rPr>
          <w:rFonts w:ascii="Arial" w:eastAsia="Calibri" w:hAnsi="Arial" w:cs="Arial"/>
          <w:noProof w:val="0"/>
        </w:rPr>
        <w:t>подобряване условията на труд</w:t>
      </w:r>
      <w:r w:rsidR="007E3B1A" w:rsidRPr="00FF2A9A">
        <w:rPr>
          <w:rFonts w:ascii="Arial" w:eastAsia="Calibri" w:hAnsi="Arial" w:cs="Arial"/>
          <w:noProof w:val="0"/>
        </w:rPr>
        <w:t>.</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8</w:t>
      </w:r>
      <w:r w:rsidR="00DA5150" w:rsidRPr="00FF2A9A">
        <w:rPr>
          <w:rFonts w:ascii="Arial" w:eastAsia="Calibri" w:hAnsi="Arial" w:cs="Arial"/>
          <w:noProof w:val="0"/>
        </w:rPr>
        <w:t>.</w:t>
      </w:r>
      <w:r w:rsidR="00BE1440" w:rsidRPr="00FF2A9A">
        <w:rPr>
          <w:rFonts w:ascii="Arial" w:eastAsia="Calibri" w:hAnsi="Arial" w:cs="Arial"/>
          <w:noProof w:val="0"/>
        </w:rPr>
        <w:t xml:space="preserve"> </w:t>
      </w:r>
      <w:r w:rsidR="00DA5150" w:rsidRPr="00FF2A9A">
        <w:rPr>
          <w:rFonts w:ascii="Arial" w:eastAsia="Calibri" w:hAnsi="Arial" w:cs="Arial"/>
          <w:noProof w:val="0"/>
        </w:rPr>
        <w:t>Р</w:t>
      </w:r>
      <w:r w:rsidR="00BE1440" w:rsidRPr="00FF2A9A">
        <w:rPr>
          <w:rFonts w:ascii="Arial" w:eastAsia="Calibri" w:hAnsi="Arial" w:cs="Arial"/>
          <w:noProof w:val="0"/>
        </w:rPr>
        <w:t>азходи, свързани с приемане и обработване на отпадъци:</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а) съоръжения и/или оборудване за съхранение на отпадъците, включително придобити чрез финансов лизинг;</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б) пречиствателни съоръжени</w:t>
      </w:r>
      <w:r w:rsidR="007E3B1A" w:rsidRPr="00FF2A9A">
        <w:rPr>
          <w:rFonts w:ascii="Arial" w:eastAsia="Calibri" w:hAnsi="Arial" w:cs="Arial"/>
          <w:noProof w:val="0"/>
        </w:rPr>
        <w:t xml:space="preserve">я за отпадни води </w:t>
      </w:r>
      <w:r w:rsidR="00277E3B" w:rsidRPr="00FF2A9A">
        <w:rPr>
          <w:rFonts w:ascii="Arial" w:eastAsia="Calibri" w:hAnsi="Arial" w:cs="Arial"/>
          <w:noProof w:val="0"/>
        </w:rPr>
        <w:t xml:space="preserve">(съответстващи на капацитета на </w:t>
      </w:r>
      <w:proofErr w:type="spellStart"/>
      <w:r w:rsidR="00277E3B" w:rsidRPr="00FF2A9A">
        <w:rPr>
          <w:rFonts w:ascii="Arial" w:eastAsia="Calibri" w:hAnsi="Arial" w:cs="Arial"/>
          <w:noProof w:val="0"/>
        </w:rPr>
        <w:t>лодкостоянката</w:t>
      </w:r>
      <w:proofErr w:type="spellEnd"/>
      <w:r w:rsidR="00277E3B" w:rsidRPr="00FF2A9A">
        <w:rPr>
          <w:rFonts w:ascii="Arial" w:eastAsia="Calibri" w:hAnsi="Arial" w:cs="Arial"/>
          <w:noProof w:val="0"/>
        </w:rPr>
        <w:t xml:space="preserve">) </w:t>
      </w:r>
      <w:r w:rsidR="007E3B1A" w:rsidRPr="00FF2A9A">
        <w:rPr>
          <w:rFonts w:ascii="Arial" w:eastAsia="Calibri" w:hAnsi="Arial" w:cs="Arial"/>
          <w:noProof w:val="0"/>
        </w:rPr>
        <w:t xml:space="preserve">и оборудване, </w:t>
      </w:r>
      <w:r w:rsidRPr="00FF2A9A">
        <w:rPr>
          <w:rFonts w:ascii="Arial" w:eastAsia="Calibri" w:hAnsi="Arial" w:cs="Arial"/>
          <w:noProof w:val="0"/>
        </w:rPr>
        <w:t>свързано с опазването на околната среда, включително придобити чрез финансов лизинг.</w:t>
      </w:r>
    </w:p>
    <w:p w:rsidR="008F36AA" w:rsidRPr="00FF2A9A" w:rsidRDefault="00AB1386"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9</w:t>
      </w:r>
      <w:r w:rsidR="008F36AA" w:rsidRPr="00FF2A9A">
        <w:rPr>
          <w:rFonts w:ascii="Arial" w:eastAsia="Calibri" w:hAnsi="Arial" w:cs="Arial"/>
          <w:noProof w:val="0"/>
        </w:rPr>
        <w:t>. Разходи</w:t>
      </w:r>
      <w:r w:rsidR="00E73210" w:rsidRPr="00FF2A9A">
        <w:rPr>
          <w:rFonts w:ascii="Arial" w:eastAsia="Calibri" w:hAnsi="Arial" w:cs="Arial"/>
          <w:noProof w:val="0"/>
        </w:rPr>
        <w:t xml:space="preserve"> </w:t>
      </w:r>
      <w:r w:rsidR="008F36AA" w:rsidRPr="00FF2A9A">
        <w:rPr>
          <w:rFonts w:ascii="Arial" w:eastAsia="Calibri" w:hAnsi="Arial" w:cs="Arial"/>
          <w:noProof w:val="0"/>
        </w:rPr>
        <w:t>за подобряване на енергийната ефективност.</w:t>
      </w:r>
    </w:p>
    <w:p w:rsidR="00217993" w:rsidRDefault="00AB1386"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10</w:t>
      </w:r>
      <w:r w:rsidR="00217993" w:rsidRPr="00FF2A9A">
        <w:rPr>
          <w:rFonts w:ascii="Arial" w:eastAsia="Calibri" w:hAnsi="Arial" w:cs="Arial"/>
          <w:noProof w:val="0"/>
        </w:rPr>
        <w:t>.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rsidR="000B6DA3" w:rsidRPr="00F647D0" w:rsidRDefault="000B6DA3"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28C61832" wp14:editId="529AF09B">
            <wp:extent cx="664210" cy="353695"/>
            <wp:effectExtent l="0" t="0" r="254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647D0">
        <w:rPr>
          <w:rFonts w:ascii="Arial" w:eastAsia="Calibri" w:hAnsi="Arial" w:cs="Arial"/>
          <w:noProof w:val="0"/>
        </w:rPr>
        <w:t>Разходът</w:t>
      </w:r>
      <w:r w:rsidRPr="000B6DA3">
        <w:rPr>
          <w:rFonts w:ascii="Arial" w:eastAsia="Calibri" w:hAnsi="Arial" w:cs="Arial"/>
          <w:noProof w:val="0"/>
        </w:rPr>
        <w:t xml:space="preserve"> по т. 10</w:t>
      </w:r>
      <w:r w:rsidRPr="00F647D0">
        <w:rPr>
          <w:rFonts w:ascii="Arial" w:eastAsia="Calibri" w:hAnsi="Arial" w:cs="Arial"/>
          <w:noProof w:val="0"/>
        </w:rPr>
        <w:t xml:space="preserve"> е допустим при наличие на приложена ясна обосновка, доказваща необходимостта му в конкретния проект. Разходът е допустим единствено като съпътстващ разход на разходите от т. </w:t>
      </w:r>
      <w:r w:rsidRPr="000B6DA3">
        <w:rPr>
          <w:rFonts w:ascii="Arial" w:eastAsia="Calibri" w:hAnsi="Arial" w:cs="Arial"/>
          <w:noProof w:val="0"/>
        </w:rPr>
        <w:t>1</w:t>
      </w:r>
      <w:r w:rsidRPr="00F647D0">
        <w:rPr>
          <w:rFonts w:ascii="Arial" w:eastAsia="Calibri" w:hAnsi="Arial" w:cs="Arial"/>
          <w:noProof w:val="0"/>
        </w:rPr>
        <w:t xml:space="preserve"> до т.</w:t>
      </w:r>
      <w:r w:rsidRPr="000B6DA3">
        <w:rPr>
          <w:rFonts w:ascii="Arial" w:eastAsia="Calibri" w:hAnsi="Arial" w:cs="Arial"/>
          <w:noProof w:val="0"/>
        </w:rPr>
        <w:t xml:space="preserve"> 9.</w:t>
      </w:r>
    </w:p>
    <w:p w:rsidR="0056269E" w:rsidRDefault="007855E9"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Пълният набор от мерки за информиране и комуникация, които конкретният </w:t>
      </w:r>
      <w:proofErr w:type="spellStart"/>
      <w:r w:rsidRPr="00FF2A9A">
        <w:rPr>
          <w:rFonts w:ascii="Arial" w:eastAsia="Calibri" w:hAnsi="Arial" w:cs="Arial"/>
          <w:noProof w:val="0"/>
        </w:rPr>
        <w:t>бенефициер</w:t>
      </w:r>
      <w:proofErr w:type="spellEnd"/>
      <w:r w:rsidRPr="00FF2A9A">
        <w:rPr>
          <w:rFonts w:ascii="Arial" w:eastAsia="Calibri" w:hAnsi="Arial" w:cs="Arial"/>
          <w:noProof w:val="0"/>
        </w:rPr>
        <w:t xml:space="preserve"> трябва да прилага при изпълнение на проекти, финансирани от ЕСИФ се съдържа в „Единния наръчник на </w:t>
      </w:r>
      <w:proofErr w:type="spellStart"/>
      <w:r w:rsidRPr="00FF2A9A">
        <w:rPr>
          <w:rFonts w:ascii="Arial" w:eastAsia="Calibri" w:hAnsi="Arial" w:cs="Arial"/>
          <w:noProof w:val="0"/>
        </w:rPr>
        <w:t>бенефицие</w:t>
      </w:r>
      <w:r w:rsidR="0056269E">
        <w:rPr>
          <w:rFonts w:ascii="Arial" w:eastAsia="Calibri" w:hAnsi="Arial" w:cs="Arial"/>
          <w:noProof w:val="0"/>
        </w:rPr>
        <w:t>р</w:t>
      </w:r>
      <w:r w:rsidRPr="00FF2A9A">
        <w:rPr>
          <w:rFonts w:ascii="Arial" w:eastAsia="Calibri" w:hAnsi="Arial" w:cs="Arial"/>
          <w:noProof w:val="0"/>
        </w:rPr>
        <w:t>а</w:t>
      </w:r>
      <w:proofErr w:type="spellEnd"/>
      <w:r w:rsidRPr="00FF2A9A">
        <w:rPr>
          <w:rFonts w:ascii="Arial" w:eastAsia="Calibri" w:hAnsi="Arial" w:cs="Arial"/>
          <w:noProof w:val="0"/>
        </w:rPr>
        <w:t xml:space="preserve"> за прилагане на правилата за информация и комуникация" 2014-2020, който може да бъде намерен на интернет страницата:</w:t>
      </w:r>
    </w:p>
    <w:p w:rsidR="007855E9" w:rsidRPr="00FF2A9A" w:rsidRDefault="00FC6ACF"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hyperlink r:id="rId14" w:history="1">
        <w:r w:rsidR="007855E9" w:rsidRPr="00FF2A9A">
          <w:rPr>
            <w:rStyle w:val="Hyperlink"/>
            <w:rFonts w:ascii="Arial" w:hAnsi="Arial" w:cs="Arial"/>
            <w:i/>
          </w:rPr>
          <w:t>https://www.eufunds.bg/bg/taxonomy/term/609</w:t>
        </w:r>
      </w:hyperlink>
      <w:r w:rsidR="007855E9" w:rsidRPr="00FF2A9A">
        <w:rPr>
          <w:rFonts w:ascii="Arial" w:hAnsi="Arial" w:cs="Arial"/>
          <w:i/>
        </w:rPr>
        <w:t>.</w:t>
      </w:r>
    </w:p>
    <w:p w:rsidR="00BE1440" w:rsidRPr="00FF2A9A" w:rsidRDefault="00BF3F1D"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1D0D5E3A" wp14:editId="24E48A79">
            <wp:extent cx="666750" cy="352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Разходите по т. 14.1.3 и разходите по т. 14.1.4, </w:t>
      </w:r>
      <w:proofErr w:type="spellStart"/>
      <w:r w:rsidRPr="00FF2A9A">
        <w:rPr>
          <w:rFonts w:ascii="Arial" w:eastAsia="Calibri" w:hAnsi="Arial" w:cs="Arial"/>
          <w:noProof w:val="0"/>
        </w:rPr>
        <w:t>подт</w:t>
      </w:r>
      <w:proofErr w:type="spellEnd"/>
      <w:r w:rsidRPr="00FF2A9A">
        <w:rPr>
          <w:rFonts w:ascii="Arial" w:eastAsia="Calibri" w:hAnsi="Arial" w:cs="Arial"/>
          <w:noProof w:val="0"/>
        </w:rPr>
        <w:t xml:space="preserve">. </w:t>
      </w:r>
      <w:r w:rsidR="00AB1386" w:rsidRPr="00FF2A9A">
        <w:rPr>
          <w:rFonts w:ascii="Arial" w:eastAsia="Calibri" w:hAnsi="Arial" w:cs="Arial"/>
          <w:noProof w:val="0"/>
        </w:rPr>
        <w:t>2</w:t>
      </w:r>
      <w:r w:rsidRPr="00FF2A9A">
        <w:rPr>
          <w:rFonts w:ascii="Arial" w:eastAsia="Calibri" w:hAnsi="Arial" w:cs="Arial"/>
          <w:noProof w:val="0"/>
        </w:rPr>
        <w:t xml:space="preserve"> за независим строителен и авторски надзор и инвеститорски контрол (в съответствие с чл. 39 от ПМС № 189 от 2016 г.) и разходите за организация и управление на проектите (съгласно чл. 7, ал. 2, т. 4 от ПМС № 189 от 2016 г.) следва да бъдат общо до 5 на сто от общата стойност на допустимите разходи по проекта</w:t>
      </w:r>
      <w:r w:rsidR="007E3B1A" w:rsidRPr="00FF2A9A">
        <w:rPr>
          <w:rFonts w:ascii="Arial" w:eastAsia="Calibri" w:hAnsi="Arial" w:cs="Arial"/>
          <w:noProof w:val="0"/>
        </w:rPr>
        <w:t>.</w:t>
      </w:r>
    </w:p>
    <w:p w:rsidR="00AA22E4" w:rsidRPr="00FF2A9A" w:rsidRDefault="00AA22E4"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lang w:val="en-US"/>
        </w:rPr>
        <w:lastRenderedPageBreak/>
        <w:drawing>
          <wp:inline distT="0" distB="0" distL="0" distR="0" wp14:anchorId="6EA10EA8" wp14:editId="33BC46E8">
            <wp:extent cx="6667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Закупуването на активите по точки </w:t>
      </w:r>
      <w:r w:rsidR="00AB1386" w:rsidRPr="00FF2A9A">
        <w:rPr>
          <w:rFonts w:ascii="Arial" w:eastAsia="Calibri" w:hAnsi="Arial" w:cs="Arial"/>
          <w:noProof w:val="0"/>
        </w:rPr>
        <w:t xml:space="preserve">14.1.4, </w:t>
      </w:r>
      <w:proofErr w:type="spellStart"/>
      <w:r w:rsidR="00AB1386" w:rsidRPr="00FF2A9A">
        <w:rPr>
          <w:rFonts w:ascii="Arial" w:eastAsia="Calibri" w:hAnsi="Arial" w:cs="Arial"/>
          <w:noProof w:val="0"/>
        </w:rPr>
        <w:t>подт</w:t>
      </w:r>
      <w:proofErr w:type="spellEnd"/>
      <w:r w:rsidR="00AB1386" w:rsidRPr="00FF2A9A">
        <w:rPr>
          <w:rFonts w:ascii="Arial" w:eastAsia="Calibri" w:hAnsi="Arial" w:cs="Arial"/>
          <w:noProof w:val="0"/>
        </w:rPr>
        <w:t>. 3-9</w:t>
      </w:r>
      <w:r w:rsidRPr="00FF2A9A">
        <w:rPr>
          <w:rFonts w:ascii="Arial" w:eastAsia="Calibri" w:hAnsi="Arial" w:cs="Arial"/>
          <w:noProof w:val="0"/>
        </w:rPr>
        <w:t xml:space="preserve"> може да бъде осъществено и чрез финансов лизинг.</w:t>
      </w:r>
    </w:p>
    <w:p w:rsidR="00AA22E4" w:rsidRPr="00FF2A9A" w:rsidRDefault="00AA22E4"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w:t>
      </w:r>
      <w:r w:rsidR="00134A2F">
        <w:rPr>
          <w:rFonts w:ascii="Arial" w:eastAsia="Calibri" w:hAnsi="Arial" w:cs="Arial"/>
          <w:noProof w:val="0"/>
        </w:rPr>
        <w:t>акто и с избраните изпълнители</w:t>
      </w:r>
      <w:r w:rsidRPr="00FF2A9A">
        <w:rPr>
          <w:rFonts w:ascii="Arial" w:eastAsia="Calibri" w:hAnsi="Arial" w:cs="Arial"/>
          <w:noProof w:val="0"/>
        </w:rPr>
        <w:t xml:space="preserve">, с които са сключени договори след проведени процедури за избор на изпълнител след сключване на административния договор с Управляващия орган на ПМДР.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w:t>
      </w:r>
      <w:proofErr w:type="spellStart"/>
      <w:r w:rsidRPr="00FF2A9A">
        <w:rPr>
          <w:rFonts w:ascii="Arial" w:eastAsia="Calibri" w:hAnsi="Arial" w:cs="Arial"/>
          <w:noProof w:val="0"/>
        </w:rPr>
        <w:t>последващ</w:t>
      </w:r>
      <w:proofErr w:type="spellEnd"/>
      <w:r w:rsidRPr="00FF2A9A">
        <w:rPr>
          <w:rFonts w:ascii="Arial" w:eastAsia="Calibri" w:hAnsi="Arial" w:cs="Arial"/>
          <w:noProof w:val="0"/>
        </w:rPr>
        <w:t xml:space="preserve"> контрол и при подаване на искане за плащане, Декларация за свързаност по образец.</w:t>
      </w:r>
    </w:p>
    <w:p w:rsidR="00BE1440" w:rsidRPr="00FF2A9A" w:rsidRDefault="00BF3F1D"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58F90021" wp14:editId="6386E7A0">
            <wp:extent cx="666750" cy="352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 xml:space="preserve">Дълготрайните материални и нематериални активи, придобити със средства по проекта, следва да бъдат използвани единствено в обекта на инвестицията, който получава помощта, да бъдат </w:t>
      </w:r>
      <w:proofErr w:type="spellStart"/>
      <w:r w:rsidR="00BE1440" w:rsidRPr="00FF2A9A">
        <w:rPr>
          <w:rFonts w:ascii="Arial" w:eastAsia="Calibri" w:hAnsi="Arial" w:cs="Arial"/>
          <w:noProof w:val="0"/>
        </w:rPr>
        <w:t>амортизируеми</w:t>
      </w:r>
      <w:proofErr w:type="spellEnd"/>
      <w:r w:rsidR="00BE1440" w:rsidRPr="00FF2A9A">
        <w:rPr>
          <w:rFonts w:ascii="Arial" w:eastAsia="Calibri" w:hAnsi="Arial" w:cs="Arial"/>
          <w:noProof w:val="0"/>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w:t>
      </w:r>
      <w:proofErr w:type="spellStart"/>
      <w:r w:rsidR="00BE1440" w:rsidRPr="00FF2A9A">
        <w:rPr>
          <w:rFonts w:ascii="Arial" w:eastAsia="Calibri" w:hAnsi="Arial" w:cs="Arial"/>
          <w:noProof w:val="0"/>
        </w:rPr>
        <w:t>бенефициер</w:t>
      </w:r>
      <w:proofErr w:type="spellEnd"/>
      <w:r w:rsidR="00BE1440" w:rsidRPr="00FF2A9A">
        <w:rPr>
          <w:rFonts w:ascii="Arial" w:eastAsia="Calibri" w:hAnsi="Arial" w:cs="Arial"/>
          <w:noProof w:val="0"/>
        </w:rPr>
        <w:t>. Придобитите активи следва да са нови (неупотребявани) и да са заведени за първи път от получателя на помощта.</w:t>
      </w:r>
    </w:p>
    <w:p w:rsidR="00605FC7" w:rsidRDefault="00605FC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14.1.5.</w:t>
      </w:r>
      <w:r w:rsidRPr="00FF2A9A">
        <w:rPr>
          <w:rFonts w:ascii="Arial" w:eastAsia="Calibri" w:hAnsi="Arial" w:cs="Arial"/>
          <w:noProof w:val="0"/>
        </w:rPr>
        <w:t xml:space="preserve"> Разходи, станали допустими в резултат на изменение в ПМДР, са допустими от датата на влизане в сила на решението на Комисията за изменение на програмата.</w:t>
      </w:r>
    </w:p>
    <w:p w:rsidR="008D5B00" w:rsidRPr="00FF2A9A" w:rsidRDefault="008D5B00" w:rsidP="008D5B00">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4970C5B5" wp14:editId="065D8FC4">
            <wp:extent cx="664210" cy="3536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proofErr w:type="spellStart"/>
      <w:r>
        <w:rPr>
          <w:rFonts w:ascii="Arial" w:eastAsia="Calibri" w:hAnsi="Arial" w:cs="Arial"/>
          <w:noProof w:val="0"/>
        </w:rPr>
        <w:t>Бенефициерите-</w:t>
      </w:r>
      <w:r w:rsidRPr="008D5B00">
        <w:rPr>
          <w:rFonts w:ascii="Arial" w:eastAsia="Calibri" w:hAnsi="Arial" w:cs="Arial"/>
          <w:noProof w:val="0"/>
        </w:rPr>
        <w:t>общини</w:t>
      </w:r>
      <w:proofErr w:type="spellEnd"/>
      <w:r w:rsidRPr="008D5B00">
        <w:rPr>
          <w:rFonts w:ascii="Arial" w:eastAsia="Calibri" w:hAnsi="Arial" w:cs="Arial"/>
          <w:noProof w:val="0"/>
        </w:rPr>
        <w:t xml:space="preserve"> имат право да им бъдат възстановени разходи за данък добавена стойност </w:t>
      </w:r>
      <w:r>
        <w:rPr>
          <w:rFonts w:ascii="Arial" w:eastAsia="Calibri" w:hAnsi="Arial" w:cs="Arial"/>
          <w:noProof w:val="0"/>
        </w:rPr>
        <w:t>(</w:t>
      </w:r>
      <w:r w:rsidRPr="008D5B00">
        <w:rPr>
          <w:rFonts w:ascii="Arial" w:eastAsia="Calibri" w:hAnsi="Arial" w:cs="Arial"/>
          <w:noProof w:val="0"/>
        </w:rPr>
        <w:t>ДДС</w:t>
      </w:r>
      <w:r>
        <w:rPr>
          <w:rFonts w:ascii="Arial" w:eastAsia="Calibri" w:hAnsi="Arial" w:cs="Arial"/>
          <w:noProof w:val="0"/>
        </w:rPr>
        <w:t>)</w:t>
      </w:r>
      <w:r w:rsidRPr="008D5B00">
        <w:rPr>
          <w:rFonts w:ascii="Arial" w:eastAsia="Calibri" w:hAnsi="Arial" w:cs="Arial"/>
          <w:noProof w:val="0"/>
        </w:rPr>
        <w:t xml:space="preserve"> съгласно разпоредбите на националното законодателство за изпълнението на държавния бюджет на Република България за съответната година по реда, описан в Ука</w:t>
      </w:r>
      <w:r>
        <w:rPr>
          <w:rFonts w:ascii="Arial" w:eastAsia="Calibri" w:hAnsi="Arial" w:cs="Arial"/>
          <w:noProof w:val="0"/>
        </w:rPr>
        <w:t>зания от Управляващия орган</w:t>
      </w:r>
      <w:r w:rsidRPr="008D5B00">
        <w:rPr>
          <w:rFonts w:ascii="Arial" w:eastAsia="Calibri" w:hAnsi="Arial" w:cs="Arial"/>
          <w:noProof w:val="0"/>
        </w:rPr>
        <w:t xml:space="preserve"> на Програмата за морско дело и рибарс</w:t>
      </w:r>
      <w:r>
        <w:rPr>
          <w:rFonts w:ascii="Arial" w:eastAsia="Calibri" w:hAnsi="Arial" w:cs="Arial"/>
          <w:noProof w:val="0"/>
        </w:rPr>
        <w:t>тво 2014-2020</w:t>
      </w:r>
      <w:r w:rsidRPr="008D5B00">
        <w:rPr>
          <w:rFonts w:ascii="Arial" w:eastAsia="Calibri" w:hAnsi="Arial" w:cs="Arial"/>
          <w:noProof w:val="0"/>
        </w:rPr>
        <w:t xml:space="preserve"> във връзка с финансиране на разходи за </w:t>
      </w:r>
      <w:r>
        <w:rPr>
          <w:rFonts w:ascii="Arial" w:eastAsia="Calibri" w:hAnsi="Arial" w:cs="Arial"/>
          <w:noProof w:val="0"/>
        </w:rPr>
        <w:t xml:space="preserve">ДДС на </w:t>
      </w:r>
      <w:proofErr w:type="spellStart"/>
      <w:r>
        <w:rPr>
          <w:rFonts w:ascii="Arial" w:eastAsia="Calibri" w:hAnsi="Arial" w:cs="Arial"/>
          <w:noProof w:val="0"/>
        </w:rPr>
        <w:t>бенефициер</w:t>
      </w:r>
      <w:r w:rsidRPr="008D5B00">
        <w:rPr>
          <w:rFonts w:ascii="Arial" w:eastAsia="Calibri" w:hAnsi="Arial" w:cs="Arial"/>
          <w:noProof w:val="0"/>
        </w:rPr>
        <w:t>и</w:t>
      </w:r>
      <w:proofErr w:type="spellEnd"/>
      <w:r w:rsidRPr="008D5B00">
        <w:rPr>
          <w:rFonts w:ascii="Arial" w:eastAsia="Calibri" w:hAnsi="Arial" w:cs="Arial"/>
          <w:noProof w:val="0"/>
        </w:rPr>
        <w:t xml:space="preserve"> по одобрени з</w:t>
      </w:r>
      <w:r>
        <w:rPr>
          <w:rFonts w:ascii="Arial" w:eastAsia="Calibri" w:hAnsi="Arial" w:cs="Arial"/>
          <w:noProof w:val="0"/>
        </w:rPr>
        <w:t xml:space="preserve">а подпомагане проекти по ПМДР. </w:t>
      </w:r>
      <w:r w:rsidRPr="008D5B00">
        <w:rPr>
          <w:rFonts w:ascii="Arial" w:eastAsia="Calibri" w:hAnsi="Arial" w:cs="Arial"/>
          <w:noProof w:val="0"/>
        </w:rPr>
        <w:t xml:space="preserve">Указанията са публикувани на следния адрес </w:t>
      </w:r>
      <w:hyperlink r:id="rId15" w:history="1">
        <w:r w:rsidRPr="008D5B00">
          <w:rPr>
            <w:rStyle w:val="Hyperlink"/>
            <w:rFonts w:ascii="Arial" w:eastAsia="Calibri" w:hAnsi="Arial" w:cs="Arial"/>
            <w:i/>
            <w:noProof w:val="0"/>
          </w:rPr>
          <w:t>https://www.eufunds.bg/bg/pmdr/node/2683</w:t>
        </w:r>
      </w:hyperlink>
      <w:r w:rsidRPr="008D5B00">
        <w:rPr>
          <w:rFonts w:ascii="Arial" w:eastAsia="Calibri" w:hAnsi="Arial" w:cs="Arial"/>
          <w:noProof w:val="0"/>
        </w:rPr>
        <w:t>.</w:t>
      </w:r>
    </w:p>
    <w:p w:rsidR="00BE1440" w:rsidRPr="00FF2A9A" w:rsidRDefault="00BE1440" w:rsidP="00FF2A9A">
      <w:pPr>
        <w:keepNext/>
        <w:spacing w:before="120" w:after="120" w:line="240" w:lineRule="auto"/>
        <w:jc w:val="both"/>
        <w:rPr>
          <w:rFonts w:ascii="Arial" w:eastAsia="Times New Roman" w:hAnsi="Arial" w:cs="Arial"/>
          <w:noProof w:val="0"/>
          <w:color w:val="5B9BD5"/>
        </w:rPr>
      </w:pPr>
      <w:bookmarkStart w:id="48" w:name="_Toc475538945"/>
      <w:bookmarkStart w:id="49" w:name="_Toc59537572"/>
      <w:r w:rsidRPr="00FF2A9A">
        <w:rPr>
          <w:rFonts w:ascii="Arial" w:eastAsia="Times New Roman" w:hAnsi="Arial" w:cs="Arial"/>
          <w:b/>
          <w:bCs/>
          <w:noProof w:val="0"/>
          <w:color w:val="5B9BD5"/>
        </w:rPr>
        <w:t>14.2. Недопустими разходи</w:t>
      </w:r>
      <w:bookmarkEnd w:id="48"/>
      <w:r w:rsidRPr="00FF2A9A">
        <w:rPr>
          <w:rFonts w:ascii="Arial" w:eastAsia="Times New Roman" w:hAnsi="Arial" w:cs="Arial"/>
          <w:b/>
          <w:bCs/>
          <w:noProof w:val="0"/>
          <w:color w:val="5B9BD5"/>
        </w:rPr>
        <w:t>:</w:t>
      </w:r>
      <w:bookmarkEnd w:id="49"/>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w:t>
      </w:r>
      <w:proofErr w:type="spellStart"/>
      <w:r w:rsidRPr="00FF2A9A">
        <w:rPr>
          <w:rFonts w:ascii="Arial" w:eastAsia="Calibri" w:hAnsi="Arial" w:cs="Arial"/>
          <w:noProof w:val="0"/>
          <w:shd w:val="clear" w:color="auto" w:fill="FEFEFE"/>
        </w:rPr>
        <w:t>бенефицие</w:t>
      </w:r>
      <w:r w:rsidR="00FC1EA0">
        <w:rPr>
          <w:rFonts w:ascii="Arial" w:eastAsia="Calibri" w:hAnsi="Arial" w:cs="Arial"/>
          <w:noProof w:val="0"/>
          <w:shd w:val="clear" w:color="auto" w:fill="FEFEFE"/>
        </w:rPr>
        <w:t>р</w:t>
      </w:r>
      <w:r w:rsidRPr="00FF2A9A">
        <w:rPr>
          <w:rFonts w:ascii="Arial" w:eastAsia="Calibri" w:hAnsi="Arial" w:cs="Arial"/>
          <w:noProof w:val="0"/>
          <w:shd w:val="clear" w:color="auto" w:fill="FEFEFE"/>
        </w:rPr>
        <w:t>а</w:t>
      </w:r>
      <w:proofErr w:type="spellEnd"/>
      <w:r w:rsidRPr="00FF2A9A">
        <w:rPr>
          <w:rFonts w:ascii="Arial" w:eastAsia="Calibri" w:hAnsi="Arial" w:cs="Arial"/>
          <w:noProof w:val="0"/>
          <w:shd w:val="clear" w:color="auto" w:fill="FEFEFE"/>
        </w:rPr>
        <w:t>.</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14.2.1 Не са допустими за финансиране от ЕФМДР:</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2. глоби, финансови санкции и разходи за разрешаване на спорове;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3. комисионите и загубите от курсови разлики при обмяна на чужда валута;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4. данък върху добавената стойност, освен когато не е възстановим;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lastRenderedPageBreak/>
        <w:t>5. закупуване на дълготрайни материални активи - втора употреба;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6. разходите по финансови инструменти;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7. лихви по дългове;</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8. субсидиране на лихва по одобрени схеми за държавни помощи и разноските за финансови трансакции;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9. разходи, които нямат пряка връзка с изпълнението на проекта;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10. лихви по заеми и лихви по лизинг;</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12. оперативни разходи, включително разходи по поддръжка и наеми;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13. банкови такси и разходи, свързани с гаранции;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14. плащане в натура;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15. прехвърляне на участия в търговски дружества;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16. закупуване на съществуващи сгради и прилежаща инфраструктура;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17. 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18. закупуване на плавателни съдове;</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19. закупуване на земя;</w:t>
      </w:r>
    </w:p>
    <w:p w:rsidR="00217993" w:rsidRPr="00FF2A9A" w:rsidRDefault="0021799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20. изграждане на нови места за настаняване, дефинирани съгласно чл. 3 ал. 2, т. 1 от Закона за туризма;</w:t>
      </w:r>
    </w:p>
    <w:p w:rsidR="00BE1440" w:rsidRPr="00FF2A9A" w:rsidRDefault="0021799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21</w:t>
      </w:r>
      <w:r w:rsidR="00BE1440" w:rsidRPr="00FF2A9A">
        <w:rPr>
          <w:rFonts w:ascii="Arial" w:eastAsia="Calibri" w:hAnsi="Arial" w:cs="Arial"/>
          <w:noProof w:val="0"/>
          <w:shd w:val="clear" w:color="auto" w:fill="FEFEFE"/>
        </w:rPr>
        <w:t>.</w:t>
      </w:r>
      <w:r w:rsidR="00DA5963" w:rsidRPr="00FF2A9A">
        <w:rPr>
          <w:rFonts w:ascii="Arial" w:eastAsia="Calibri" w:hAnsi="Arial" w:cs="Arial"/>
          <w:noProof w:val="0"/>
          <w:shd w:val="clear" w:color="auto" w:fill="FEFEFE"/>
        </w:rPr>
        <w:t xml:space="preserve"> разходи за юридически услуги.</w:t>
      </w:r>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b/>
          <w:lang w:val="en-US"/>
        </w:rPr>
        <w:drawing>
          <wp:inline distT="0" distB="0" distL="0" distR="0" wp14:anchorId="4E6111F7" wp14:editId="7CFB20AC">
            <wp:extent cx="66675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highlight w:val="white"/>
          <w:shd w:val="clear" w:color="auto" w:fill="FEFEFE"/>
        </w:rPr>
        <w:t>Не е допустимо по линия на ЕФМДР да се прехвърля собствеността върху предприятие.</w:t>
      </w:r>
    </w:p>
    <w:p w:rsidR="00605FC7" w:rsidRPr="00FF2A9A"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b/>
          <w:lang w:val="en-US"/>
        </w:rPr>
        <w:drawing>
          <wp:inline distT="0" distB="0" distL="0" distR="0" wp14:anchorId="49214E8F" wp14:editId="1DCFA954">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Недопустимо е финансирането по ПМДР на луксозни стоки.</w:t>
      </w:r>
    </w:p>
    <w:p w:rsidR="00605FC7" w:rsidRPr="00FF2A9A"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noProof w:val="0"/>
        </w:rPr>
        <w:t>При оценката на разходите от Формуляра за кандидатстване УО на ПМДР спазва принципът на икономичност, ефикасност и ефективност.</w:t>
      </w:r>
    </w:p>
    <w:p w:rsidR="00605FC7"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noProof w:val="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0" w:name="_Toc475538946"/>
      <w:bookmarkStart w:id="51" w:name="_Toc59537573"/>
      <w:r w:rsidRPr="00FF2A9A">
        <w:rPr>
          <w:rFonts w:ascii="Arial" w:eastAsia="Times New Roman" w:hAnsi="Arial" w:cs="Arial"/>
          <w:b/>
          <w:bCs/>
          <w:noProof w:val="0"/>
          <w:color w:val="5B9BD5"/>
        </w:rPr>
        <w:t>15. Допустими целеви групи (ако е приложимо):</w:t>
      </w:r>
      <w:bookmarkEnd w:id="50"/>
      <w:bookmarkEnd w:id="51"/>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 е 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2" w:name="_Toc475538947"/>
      <w:bookmarkStart w:id="53" w:name="_Toc59537574"/>
      <w:r w:rsidRPr="00FF2A9A">
        <w:rPr>
          <w:rFonts w:ascii="Arial" w:eastAsia="Times New Roman" w:hAnsi="Arial" w:cs="Arial"/>
          <w:b/>
          <w:bCs/>
          <w:noProof w:val="0"/>
          <w:color w:val="5B9BD5"/>
        </w:rPr>
        <w:lastRenderedPageBreak/>
        <w:t>16. Приложим режим на минимални/държавни помощи (ако е приложимо):</w:t>
      </w:r>
      <w:bookmarkEnd w:id="52"/>
      <w:bookmarkEnd w:id="53"/>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Подпомагането по настоящата мярка не представлява държавна помощ. </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Съгласно чл. 8, параграф 2 от Регламент (ЕС) № 508/2014 за Европейския фонд за морско дело и рибарство, членове 107, 108 и 109 от Договора за функционирането на Европейския съюз (ДФЕС) не се прилагат към плащания, извършени от държави-членки съгласно и в съответствие с посочения регламент, които попадат в обхвата на член 42 от ДФЕС.  Член 42 от ДФЕС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Това включва продукти от сектора на рибарството и </w:t>
      </w:r>
      <w:proofErr w:type="spellStart"/>
      <w:r w:rsidRPr="00FF2A9A">
        <w:rPr>
          <w:rFonts w:ascii="Arial" w:eastAsia="Calibri" w:hAnsi="Arial" w:cs="Arial"/>
          <w:noProof w:val="0"/>
        </w:rPr>
        <w:t>аквакултурите</w:t>
      </w:r>
      <w:proofErr w:type="spellEnd"/>
      <w:r w:rsidRPr="00FF2A9A">
        <w:rPr>
          <w:rFonts w:ascii="Arial" w:eastAsia="Calibri" w:hAnsi="Arial" w:cs="Arial"/>
          <w:noProof w:val="0"/>
        </w:rPr>
        <w:t xml:space="preserve">,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сектора на рибарството, е определена в член 8 от Регламент (ЕС) № 508/2014 на Европейския парламент и Съвета. </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Това е посочено в съображени</w:t>
      </w:r>
      <w:r w:rsidR="00BB4482" w:rsidRPr="00FF2A9A">
        <w:rPr>
          <w:rFonts w:ascii="Arial" w:eastAsia="Calibri" w:hAnsi="Arial" w:cs="Arial"/>
          <w:noProof w:val="0"/>
        </w:rPr>
        <w:t>е (4) от Съобщение на Комисията</w:t>
      </w:r>
      <w:r w:rsidRPr="00FF2A9A">
        <w:rPr>
          <w:rFonts w:ascii="Arial" w:eastAsia="Calibri" w:hAnsi="Arial" w:cs="Arial"/>
          <w:noProof w:val="0"/>
        </w:rPr>
        <w:t xml:space="preserve"> C(2015) от 29.6.2015 г. Насоки за преглед на държавната помощ за рибарството и </w:t>
      </w:r>
      <w:proofErr w:type="spellStart"/>
      <w:r w:rsidRPr="00FF2A9A">
        <w:rPr>
          <w:rFonts w:ascii="Arial" w:eastAsia="Calibri" w:hAnsi="Arial" w:cs="Arial"/>
          <w:noProof w:val="0"/>
        </w:rPr>
        <w:t>аквакултурите</w:t>
      </w:r>
      <w:proofErr w:type="spellEnd"/>
      <w:r w:rsidRPr="00FF2A9A">
        <w:rPr>
          <w:rFonts w:ascii="Arial" w:eastAsia="Calibri" w:hAnsi="Arial" w:cs="Arial"/>
          <w:noProof w:val="0"/>
        </w:rPr>
        <w:t xml:space="preserve"> (Насоките на ЕК).</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същото Съобщение в съображение (5) са поставени рамките на дейностите, за които се прилага </w:t>
      </w:r>
      <w:proofErr w:type="spellStart"/>
      <w:r w:rsidRPr="00FF2A9A">
        <w:rPr>
          <w:rFonts w:ascii="Arial" w:eastAsia="Calibri" w:hAnsi="Arial" w:cs="Arial"/>
          <w:noProof w:val="0"/>
        </w:rPr>
        <w:t>дерогацията</w:t>
      </w:r>
      <w:proofErr w:type="spellEnd"/>
      <w:r w:rsidRPr="00FF2A9A">
        <w:rPr>
          <w:rFonts w:ascii="Arial" w:eastAsia="Calibri" w:hAnsi="Arial" w:cs="Arial"/>
          <w:noProof w:val="0"/>
        </w:rPr>
        <w:t xml:space="preserve"> на член 8 от Регламент (ЕС) № 508/2014 на Европейския парламент и Съвета, а именно – плащанията по дял V, глави I, II, III и IV. Дейностите по настоящата мярка се изпълняват като допустими по глава I от същия регламент.</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Допустимите за финансиране дейности напълно съвпадат с тези, посочени в чл. </w:t>
      </w:r>
      <w:r w:rsidR="00A93052" w:rsidRPr="00FF2A9A">
        <w:rPr>
          <w:rFonts w:ascii="Arial" w:eastAsia="Calibri" w:hAnsi="Arial" w:cs="Arial"/>
          <w:noProof w:val="0"/>
        </w:rPr>
        <w:t>43</w:t>
      </w:r>
      <w:r w:rsidRPr="00FF2A9A">
        <w:rPr>
          <w:rFonts w:ascii="Arial" w:eastAsia="Calibri" w:hAnsi="Arial" w:cs="Arial"/>
          <w:noProof w:val="0"/>
        </w:rPr>
        <w:t xml:space="preserve"> от Регламент (ЕС) № 508/2014 на Европейския парламент и Съвета и допринасят за постигане на специфичните цели за устойчиво развитие на рибарството.</w:t>
      </w:r>
    </w:p>
    <w:p w:rsidR="00BE1440"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Интензитетът на помощта е съобразен с условията на чл. 95, параграф 2, буква (д) от Регламент (ЕС) № 508/2014.</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4" w:name="_Toc59537575"/>
      <w:r w:rsidRPr="00FF2A9A">
        <w:rPr>
          <w:rFonts w:ascii="Arial" w:eastAsia="Times New Roman" w:hAnsi="Arial" w:cs="Arial"/>
          <w:b/>
          <w:bCs/>
          <w:noProof w:val="0"/>
          <w:color w:val="5B9BD5"/>
        </w:rPr>
        <w:t>17. Хоризонтални политики:</w:t>
      </w:r>
      <w:bookmarkEnd w:id="54"/>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FF2A9A">
        <w:rPr>
          <w:rFonts w:ascii="Arial" w:eastAsia="Calibri" w:hAnsi="Arial" w:cs="Arial"/>
          <w:noProof w:val="0"/>
        </w:rPr>
        <w:t>поне един от следните</w:t>
      </w:r>
      <w:r w:rsidRPr="00FF2A9A">
        <w:rPr>
          <w:rFonts w:ascii="Arial" w:eastAsia="Calibri" w:hAnsi="Arial" w:cs="Arial"/>
          <w:noProof w:val="0"/>
          <w:color w:val="000000"/>
        </w:rPr>
        <w:t xml:space="preserve"> принципи на хоризонталните политики на ЕС:</w:t>
      </w:r>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xml:space="preserve">− </w:t>
      </w:r>
      <w:proofErr w:type="spellStart"/>
      <w:r w:rsidRPr="00FF2A9A">
        <w:rPr>
          <w:rFonts w:ascii="Arial" w:eastAsia="Calibri" w:hAnsi="Arial" w:cs="Arial"/>
          <w:noProof w:val="0"/>
          <w:color w:val="000000"/>
        </w:rPr>
        <w:t>равнопоставеност</w:t>
      </w:r>
      <w:proofErr w:type="spellEnd"/>
      <w:r w:rsidRPr="00FF2A9A">
        <w:rPr>
          <w:rFonts w:ascii="Arial" w:eastAsia="Calibri" w:hAnsi="Arial" w:cs="Arial"/>
          <w:noProof w:val="0"/>
          <w:color w:val="000000"/>
        </w:rPr>
        <w:t xml:space="preserve">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FF2A9A">
        <w:rPr>
          <w:rFonts w:ascii="Arial" w:eastAsia="Calibri" w:hAnsi="Arial" w:cs="Arial"/>
          <w:noProof w:val="0"/>
          <w:color w:val="000000"/>
        </w:rPr>
        <w:t>равнопоставеността</w:t>
      </w:r>
      <w:proofErr w:type="spellEnd"/>
      <w:r w:rsidRPr="00FF2A9A">
        <w:rPr>
          <w:rFonts w:ascii="Arial" w:eastAsia="Calibri" w:hAnsi="Arial" w:cs="Arial"/>
          <w:noProof w:val="0"/>
          <w:color w:val="000000"/>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rsidR="00BE1440"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w:t>
      </w:r>
      <w:r w:rsidR="00605FC7" w:rsidRPr="00FF2A9A">
        <w:rPr>
          <w:rFonts w:ascii="Arial" w:eastAsia="Calibri" w:hAnsi="Arial" w:cs="Arial"/>
          <w:noProof w:val="0"/>
          <w:color w:val="000000"/>
        </w:rPr>
        <w:t xml:space="preserve"> на стратегията „Европа 2020“).</w:t>
      </w:r>
    </w:p>
    <w:p w:rsidR="0063035F" w:rsidRPr="0063035F" w:rsidRDefault="00605FC7"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b/>
          <w:lang w:val="en-US"/>
        </w:rPr>
        <w:drawing>
          <wp:inline distT="0" distB="0" distL="0" distR="0" wp14:anchorId="429FCC23" wp14:editId="076745A4">
            <wp:extent cx="666750" cy="352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63035F" w:rsidRPr="0063035F">
        <w:rPr>
          <w:rFonts w:ascii="Arial" w:eastAsia="Calibri" w:hAnsi="Arial" w:cs="Arial"/>
          <w:noProof w:val="0"/>
          <w:color w:val="000000"/>
        </w:rPr>
        <w:t>В т. 11</w:t>
      </w:r>
      <w:r w:rsidR="0063035F">
        <w:rPr>
          <w:rFonts w:ascii="Arial" w:eastAsia="Calibri" w:hAnsi="Arial" w:cs="Arial"/>
          <w:noProof w:val="0"/>
          <w:color w:val="000000"/>
        </w:rPr>
        <w:t xml:space="preserve"> </w:t>
      </w:r>
      <w:r w:rsidR="0063035F" w:rsidRPr="0063035F">
        <w:rPr>
          <w:rFonts w:ascii="Arial" w:eastAsia="Calibri" w:hAnsi="Arial" w:cs="Arial"/>
          <w:noProof w:val="0"/>
          <w:color w:val="000000"/>
        </w:rPr>
        <w:t>от Формуляра за кандидатстване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поне един от посочените принципи на хоризонталните политики на ЕС.</w:t>
      </w:r>
    </w:p>
    <w:p w:rsidR="0063035F" w:rsidRPr="0063035F" w:rsidRDefault="0063035F"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63035F">
        <w:rPr>
          <w:rFonts w:ascii="Arial" w:eastAsia="Calibri" w:hAnsi="Arial" w:cs="Arial"/>
          <w:noProof w:val="0"/>
          <w:color w:val="000000"/>
        </w:rPr>
        <w:lastRenderedPageBreak/>
        <w:t xml:space="preserve">Прилагането на заложените в проекта принципи ще се проследява на етап изпълнение на проектното предложение. При подаване на искане за </w:t>
      </w:r>
      <w:r w:rsidR="00FC1EA0">
        <w:rPr>
          <w:rFonts w:ascii="Arial" w:eastAsia="Calibri" w:hAnsi="Arial" w:cs="Arial"/>
          <w:noProof w:val="0"/>
          <w:color w:val="000000"/>
        </w:rPr>
        <w:t xml:space="preserve">окончателно плащане, </w:t>
      </w:r>
      <w:proofErr w:type="spellStart"/>
      <w:r w:rsidR="00FC1EA0">
        <w:rPr>
          <w:rFonts w:ascii="Arial" w:eastAsia="Calibri" w:hAnsi="Arial" w:cs="Arial"/>
          <w:noProof w:val="0"/>
          <w:color w:val="000000"/>
        </w:rPr>
        <w:t>бенефициер</w:t>
      </w:r>
      <w:r w:rsidRPr="0063035F">
        <w:rPr>
          <w:rFonts w:ascii="Arial" w:eastAsia="Calibri" w:hAnsi="Arial" w:cs="Arial"/>
          <w:noProof w:val="0"/>
          <w:color w:val="000000"/>
        </w:rPr>
        <w:t>ът</w:t>
      </w:r>
      <w:proofErr w:type="spellEnd"/>
      <w:r w:rsidRPr="0063035F">
        <w:rPr>
          <w:rFonts w:ascii="Arial" w:eastAsia="Calibri" w:hAnsi="Arial" w:cs="Arial"/>
          <w:noProof w:val="0"/>
          <w:color w:val="000000"/>
        </w:rPr>
        <w:t xml:space="preserve"> следва да представи информация как изпълнява заложените принципи на хоризонталните политики на ЕС.</w:t>
      </w:r>
    </w:p>
    <w:p w:rsidR="00605FC7" w:rsidRPr="00FF2A9A" w:rsidRDefault="0063035F"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63035F">
        <w:rPr>
          <w:rFonts w:ascii="Arial" w:eastAsia="Calibri" w:hAnsi="Arial" w:cs="Arial"/>
          <w:noProof w:val="0"/>
          <w:color w:val="000000"/>
        </w:rPr>
        <w:t>Информация по какъв начин се изпълняват хоризонталните политики следва да бъде предоставена и при отчитане на дейностите по проекта.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5" w:name="_Toc475538949"/>
      <w:bookmarkStart w:id="56" w:name="_Toc59537576"/>
      <w:r w:rsidRPr="00FF2A9A">
        <w:rPr>
          <w:rFonts w:ascii="Arial" w:eastAsia="Times New Roman" w:hAnsi="Arial" w:cs="Arial"/>
          <w:b/>
          <w:bCs/>
          <w:noProof w:val="0"/>
          <w:color w:val="5B9BD5"/>
        </w:rPr>
        <w:t>18. Минимален и максимален срок за изпълнение на проекта (ако е приложимо):</w:t>
      </w:r>
      <w:bookmarkEnd w:id="55"/>
      <w:bookmarkEnd w:id="56"/>
    </w:p>
    <w:p w:rsidR="00BE1440"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Максималната продължителност на изпълнение на проект по мярка 1.8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w:t>
      </w:r>
      <w:r w:rsidR="00E62B11" w:rsidRPr="00FF2A9A">
        <w:rPr>
          <w:rFonts w:ascii="Arial" w:eastAsia="Calibri" w:hAnsi="Arial" w:cs="Arial"/>
          <w:noProof w:val="0"/>
        </w:rPr>
        <w:t xml:space="preserve">, </w:t>
      </w:r>
      <w:r w:rsidRPr="00FF2A9A">
        <w:rPr>
          <w:rFonts w:ascii="Arial" w:eastAsia="Calibri" w:hAnsi="Arial" w:cs="Arial"/>
          <w:noProof w:val="0"/>
        </w:rPr>
        <w:t xml:space="preserve">сектор „Инвестиции насочени към изграждане и/или модернизация на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w:t>
      </w:r>
      <w:r w:rsidR="00E62B11" w:rsidRPr="00FF2A9A">
        <w:rPr>
          <w:rFonts w:ascii="Arial" w:eastAsia="Calibri" w:hAnsi="Arial" w:cs="Arial"/>
          <w:noProof w:val="0"/>
        </w:rPr>
        <w:t>е</w:t>
      </w:r>
      <w:r w:rsidRPr="00FF2A9A">
        <w:rPr>
          <w:rFonts w:ascii="Arial" w:eastAsia="Calibri" w:hAnsi="Arial" w:cs="Arial"/>
          <w:b/>
          <w:noProof w:val="0"/>
        </w:rPr>
        <w:t xml:space="preserve"> до 1</w:t>
      </w:r>
      <w:r w:rsidR="0063035F">
        <w:rPr>
          <w:rFonts w:ascii="Arial" w:eastAsia="Calibri" w:hAnsi="Arial" w:cs="Arial"/>
          <w:b/>
          <w:noProof w:val="0"/>
        </w:rPr>
        <w:t>2</w:t>
      </w:r>
      <w:r w:rsidRPr="00FF2A9A">
        <w:rPr>
          <w:rFonts w:ascii="Arial" w:eastAsia="Calibri" w:hAnsi="Arial" w:cs="Arial"/>
          <w:b/>
          <w:noProof w:val="0"/>
        </w:rPr>
        <w:t xml:space="preserve"> месеца</w:t>
      </w:r>
      <w:r w:rsidRPr="00FF2A9A">
        <w:rPr>
          <w:rFonts w:ascii="Arial" w:eastAsia="Calibri" w:hAnsi="Arial" w:cs="Arial"/>
          <w:noProof w:val="0"/>
        </w:rPr>
        <w:t>, считано от датата на подписване на административния</w:t>
      </w:r>
      <w:r w:rsidR="0073182A">
        <w:rPr>
          <w:rFonts w:ascii="Arial" w:eastAsia="Calibri" w:hAnsi="Arial" w:cs="Arial"/>
          <w:noProof w:val="0"/>
        </w:rPr>
        <w:t xml:space="preserve"> договор за предоставяне на БФП, </w:t>
      </w:r>
      <w:r w:rsidR="0073182A" w:rsidRPr="0073182A">
        <w:rPr>
          <w:rFonts w:ascii="Arial" w:eastAsia="Calibri" w:hAnsi="Arial" w:cs="Arial"/>
          <w:noProof w:val="0"/>
        </w:rPr>
        <w:t>но не по-късно от 30 ноември 2023 г.</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Минимален срок за изпълнение на проекта: 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7" w:name="_Toc475538950"/>
      <w:bookmarkStart w:id="58" w:name="_Toc59537577"/>
      <w:r w:rsidRPr="00FF2A9A">
        <w:rPr>
          <w:rFonts w:ascii="Arial" w:eastAsia="Times New Roman" w:hAnsi="Arial" w:cs="Arial"/>
          <w:b/>
          <w:bCs/>
          <w:noProof w:val="0"/>
          <w:color w:val="5B9BD5"/>
        </w:rPr>
        <w:t>19. Ред за оценяване на концепциите за проектни предложения:</w:t>
      </w:r>
      <w:bookmarkEnd w:id="57"/>
      <w:bookmarkEnd w:id="58"/>
    </w:p>
    <w:p w:rsidR="00BE1440" w:rsidRPr="00FF2A9A" w:rsidRDefault="00493C0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9" w:name="_Toc475538951"/>
      <w:bookmarkStart w:id="60" w:name="_Toc59537578"/>
      <w:r w:rsidRPr="00FF2A9A">
        <w:rPr>
          <w:rFonts w:ascii="Arial" w:eastAsia="Times New Roman" w:hAnsi="Arial" w:cs="Arial"/>
          <w:b/>
          <w:bCs/>
          <w:noProof w:val="0"/>
          <w:color w:val="5B9BD5"/>
        </w:rPr>
        <w:t>20. Критерии и методика за оценка на концепциите за проектни предложения:</w:t>
      </w:r>
      <w:bookmarkEnd w:id="59"/>
      <w:bookmarkEnd w:id="60"/>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61" w:name="_Toc59537579"/>
      <w:r w:rsidRPr="00FF2A9A">
        <w:rPr>
          <w:rFonts w:ascii="Arial" w:eastAsia="Times New Roman" w:hAnsi="Arial" w:cs="Arial"/>
          <w:b/>
          <w:bCs/>
          <w:noProof w:val="0"/>
          <w:color w:val="5B9BD5"/>
        </w:rPr>
        <w:t>21. Ред за оценяване на проектните предложения:</w:t>
      </w:r>
      <w:bookmarkStart w:id="62" w:name="_Toc442351587"/>
      <w:bookmarkEnd w:id="61"/>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63" w:name="_Toc451334649"/>
      <w:bookmarkStart w:id="64" w:name="_Toc442351585"/>
      <w:r w:rsidRPr="00FF2A9A">
        <w:rPr>
          <w:rFonts w:ascii="Arial" w:eastAsia="Calibri" w:hAnsi="Arial" w:cs="Arial"/>
          <w:noProof w:val="0"/>
        </w:rPr>
        <w:t xml:space="preserve">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 Всички проектни предложения, подадени в срок, се оценяват в съответствие с критериите за оценка на проектни предложения.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 Оценката на проектните предложения включва: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Етап 1:</w:t>
      </w:r>
      <w:r w:rsidRPr="00FF2A9A">
        <w:rPr>
          <w:rFonts w:ascii="Arial" w:eastAsia="Calibri" w:hAnsi="Arial" w:cs="Arial"/>
          <w:noProof w:val="0"/>
        </w:rPr>
        <w:t xml:space="preserve"> Оценка на административното съответствие и допустимостта;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Етап 2:</w:t>
      </w:r>
      <w:r w:rsidRPr="00FF2A9A">
        <w:rPr>
          <w:rFonts w:ascii="Arial" w:eastAsia="Calibri" w:hAnsi="Arial" w:cs="Arial"/>
          <w:noProof w:val="0"/>
        </w:rPr>
        <w:t xml:space="preserve"> Техническа и финансова оценка.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Проектните предложения подлежат на оценка въз основа на одобрени от Комитета за наблюден</w:t>
      </w:r>
      <w:r w:rsidR="00493C00" w:rsidRPr="00FF2A9A">
        <w:rPr>
          <w:rFonts w:ascii="Arial" w:eastAsia="Calibri" w:hAnsi="Arial" w:cs="Arial"/>
          <w:noProof w:val="0"/>
        </w:rPr>
        <w:t xml:space="preserve">ие на ПМДР критерии за подбор. </w:t>
      </w:r>
      <w:r w:rsidRPr="00FF2A9A">
        <w:rPr>
          <w:rFonts w:ascii="Arial" w:eastAsia="Calibri" w:hAnsi="Arial" w:cs="Arial"/>
          <w:noProof w:val="0"/>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BE1440" w:rsidRPr="00FF2A9A" w:rsidRDefault="00BE1440" w:rsidP="00FF2A9A">
      <w:pPr>
        <w:keepNext/>
        <w:spacing w:before="120" w:after="120" w:line="240" w:lineRule="auto"/>
        <w:jc w:val="both"/>
        <w:rPr>
          <w:rFonts w:ascii="Arial" w:eastAsia="Times New Roman" w:hAnsi="Arial" w:cs="Arial"/>
          <w:b/>
          <w:bCs/>
          <w:noProof w:val="0"/>
          <w:color w:val="5B9BD5"/>
        </w:rPr>
      </w:pPr>
      <w:bookmarkStart w:id="65" w:name="_Toc475538952"/>
      <w:bookmarkStart w:id="66" w:name="_Toc59537580"/>
      <w:r w:rsidRPr="00FF2A9A">
        <w:rPr>
          <w:rFonts w:ascii="Arial" w:eastAsia="Times New Roman" w:hAnsi="Arial" w:cs="Arial"/>
          <w:b/>
          <w:bCs/>
          <w:noProof w:val="0"/>
          <w:color w:val="5B9BD5"/>
        </w:rPr>
        <w:t>21.1. Оценка на административното съответствие и допустимостта</w:t>
      </w:r>
      <w:bookmarkEnd w:id="63"/>
      <w:bookmarkEnd w:id="64"/>
      <w:bookmarkEnd w:id="65"/>
      <w:r w:rsidRPr="00FF2A9A">
        <w:rPr>
          <w:rFonts w:ascii="Arial" w:eastAsia="Times New Roman" w:hAnsi="Arial" w:cs="Arial"/>
          <w:b/>
          <w:bCs/>
          <w:noProof w:val="0"/>
          <w:color w:val="5B9BD5"/>
        </w:rPr>
        <w:t>:</w:t>
      </w:r>
      <w:bookmarkEnd w:id="66"/>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Приложение № </w:t>
      </w:r>
      <w:r w:rsidR="00FC1EA0">
        <w:rPr>
          <w:rFonts w:ascii="Arial" w:eastAsia="Calibri" w:hAnsi="Arial" w:cs="Arial"/>
          <w:noProof w:val="0"/>
        </w:rPr>
        <w:t>5</w:t>
      </w:r>
      <w:r w:rsidRPr="00FF2A9A">
        <w:rPr>
          <w:rFonts w:ascii="Arial" w:eastAsia="Calibri" w:hAnsi="Arial" w:cs="Arial"/>
          <w:noProof w:val="0"/>
        </w:rPr>
        <w:t xml:space="preserve"> към Условията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 проектното предложение се отнася за обявената процедура чрез подбор на проектни предложения;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са налице всички документи, представени и попълнени съгласно изискванията, посочени в т. 24 от настоящите Условия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605FC7" w:rsidRPr="00FF2A9A">
        <w:rPr>
          <w:rFonts w:ascii="Arial" w:eastAsia="Calibri" w:hAnsi="Arial" w:cs="Arial"/>
          <w:noProof w:val="0"/>
        </w:rPr>
        <w:t>,</w:t>
      </w:r>
      <w:r w:rsidRPr="00FF2A9A">
        <w:rPr>
          <w:rFonts w:ascii="Arial" w:eastAsia="Calibri" w:hAnsi="Arial" w:cs="Arial"/>
          <w:noProof w:val="0"/>
        </w:rPr>
        <w:t xml:space="preserve">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605FC7" w:rsidRPr="00FF2A9A">
        <w:rPr>
          <w:rFonts w:ascii="Arial" w:eastAsia="Calibri" w:hAnsi="Arial" w:cs="Arial"/>
          <w:noProof w:val="0"/>
        </w:rPr>
        <w:t>,</w:t>
      </w:r>
      <w:r w:rsidRPr="00FF2A9A">
        <w:rPr>
          <w:rFonts w:ascii="Arial" w:eastAsia="Calibri" w:hAnsi="Arial" w:cs="Arial"/>
          <w:noProof w:val="0"/>
        </w:rPr>
        <w:t xml:space="preserve">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lang w:val="en-US"/>
        </w:rPr>
        <w:drawing>
          <wp:inline distT="0" distB="0" distL="0" distR="0" wp14:anchorId="1FE75FC6" wp14:editId="0A51F571">
            <wp:extent cx="664210" cy="353695"/>
            <wp:effectExtent l="0" t="0" r="254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F2A9A">
        <w:rPr>
          <w:rFonts w:ascii="Arial" w:eastAsia="Calibri" w:hAnsi="Arial" w:cs="Arial"/>
          <w:noProof w:val="0"/>
        </w:rPr>
        <w:t xml:space="preserve">За проверка на цените на прогнозните разходи, заложени от кандидатите в бизнес плановете им, оценителната комисия ще приложи следния подход: </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Оценителите проверяват поне 50% от прогнозните разходи, заложени в бизнес плана, които представляват основните категории разходи като електричество, вода, заплати и в случай на необходимост - амортизации и наеми и др. Ако гореспоменатите разходи не  представляват 50% от разходите, заложени в бизнес плана, за разликата до 50% се избират още оперативни разходи, включени в себестойността на продукцията.</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FF2A9A">
        <w:rPr>
          <w:rFonts w:ascii="Arial" w:eastAsia="Calibri" w:hAnsi="Arial" w:cs="Arial"/>
          <w:noProof w:val="0"/>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Когато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представи предварителен договор с електроразпределително дружество или ВИК, се признават цените по договора. </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FF2A9A">
        <w:rPr>
          <w:rFonts w:ascii="Arial" w:eastAsia="Calibri" w:hAnsi="Arial" w:cs="Arial"/>
          <w:noProof w:val="0"/>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0541A09C" wp14:editId="41BB28C2">
            <wp:extent cx="666750" cy="352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На проекти на кандидати - юридически лица или еднолични търговци (ЕТ), регистрирани по Търговския закон или Закона за кооперациите при изчисляване на икономическата жизнеспособност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 xml:space="preserve">Когато при оценката на административното съответствие и допустимостта се установи липса на документи и/или друга нередовност, Оценителната комисия изпраща на кандидата уведомление за установените </w:t>
      </w:r>
      <w:proofErr w:type="spellStart"/>
      <w:r w:rsidRPr="00FF2A9A">
        <w:rPr>
          <w:rFonts w:ascii="Arial" w:eastAsia="Calibri" w:hAnsi="Arial" w:cs="Arial"/>
          <w:noProof w:val="0"/>
        </w:rPr>
        <w:t>нередовности</w:t>
      </w:r>
      <w:proofErr w:type="spellEnd"/>
      <w:r w:rsidRPr="00FF2A9A">
        <w:rPr>
          <w:rFonts w:ascii="Arial" w:eastAsia="Calibri" w:hAnsi="Arial" w:cs="Arial"/>
          <w:noProof w:val="0"/>
        </w:rPr>
        <w:t xml:space="preserve">.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Уведомлението съдържа и информация, че неотстраняването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в срок може да доведе до прекратяване на производството по отношение на кандидата. 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не може да води до подобряване на качеството на проектното предложение.</w:t>
      </w:r>
    </w:p>
    <w:p w:rsidR="00BE1440"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44177B22" wp14:editId="53DBAD54">
            <wp:extent cx="666750" cy="352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След приключване на оценката за административно съответствие и допустимост, на интернет страницата на Единния информационен портал за обща информация за управлението на Европейските структурни и инвестиционни фондове (</w:t>
      </w:r>
      <w:hyperlink r:id="rId16" w:history="1">
        <w:r w:rsidRPr="00FF2A9A">
          <w:rPr>
            <w:rFonts w:ascii="Arial" w:eastAsia="Calibri" w:hAnsi="Arial" w:cs="Arial"/>
            <w:i/>
            <w:noProof w:val="0"/>
            <w:color w:val="0563C1"/>
            <w:u w:val="single"/>
          </w:rPr>
          <w:t>www.eufunds.bg</w:t>
        </w:r>
      </w:hyperlink>
      <w:r w:rsidRPr="00FF2A9A">
        <w:rPr>
          <w:rFonts w:ascii="Arial" w:eastAsia="Calibri" w:hAnsi="Arial" w:cs="Arial"/>
          <w:noProof w:val="0"/>
        </w:rPr>
        <w:t xml:space="preserve">) и в ИСУН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по реда на чл. 61 от </w:t>
      </w:r>
      <w:proofErr w:type="spellStart"/>
      <w:r w:rsidRPr="00FF2A9A">
        <w:rPr>
          <w:rFonts w:ascii="Arial" w:eastAsia="Calibri" w:hAnsi="Arial" w:cs="Arial"/>
          <w:noProof w:val="0"/>
        </w:rPr>
        <w:t>Административнопроцесуалния</w:t>
      </w:r>
      <w:proofErr w:type="spellEnd"/>
      <w:r w:rsidRPr="00FF2A9A">
        <w:rPr>
          <w:rFonts w:ascii="Arial" w:eastAsia="Calibri" w:hAnsi="Arial" w:cs="Arial"/>
          <w:noProof w:val="0"/>
        </w:rPr>
        <w:t xml:space="preserve"> кодекс.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 Кандидатите, чиито проектни предложения са включени в списъка, могат да подадат писмени възражения пред ръководителя на УО на ПМДР в едноседмичен срок от съобщаването.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BE1440" w:rsidRPr="00FF2A9A" w:rsidRDefault="008F62E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2D955186" wp14:editId="54654BA2">
            <wp:extent cx="666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w:t>
      </w:r>
    </w:p>
    <w:p w:rsidR="00BE1440" w:rsidRPr="00FF2A9A" w:rsidRDefault="00BE1440" w:rsidP="00FF2A9A">
      <w:pPr>
        <w:keepNext/>
        <w:spacing w:before="120" w:after="120" w:line="240" w:lineRule="auto"/>
        <w:jc w:val="both"/>
        <w:rPr>
          <w:rFonts w:ascii="Arial" w:eastAsia="Times New Roman" w:hAnsi="Arial" w:cs="Arial"/>
          <w:noProof w:val="0"/>
          <w:color w:val="5B9BD5"/>
          <w:lang w:eastAsia="x-none"/>
        </w:rPr>
      </w:pPr>
      <w:bookmarkStart w:id="67" w:name="_Toc475538953"/>
      <w:bookmarkStart w:id="68" w:name="_Toc451334650"/>
      <w:bookmarkStart w:id="69" w:name="_Toc442351586"/>
      <w:bookmarkStart w:id="70" w:name="_Toc59537581"/>
      <w:r w:rsidRPr="00FF2A9A">
        <w:rPr>
          <w:rFonts w:ascii="Arial" w:eastAsia="Times New Roman" w:hAnsi="Arial" w:cs="Arial"/>
          <w:b/>
          <w:bCs/>
          <w:noProof w:val="0"/>
          <w:color w:val="5B9BD5"/>
          <w:lang w:eastAsia="x-none"/>
        </w:rPr>
        <w:t>21.2. Техническа и финансова оценка</w:t>
      </w:r>
      <w:bookmarkEnd w:id="67"/>
      <w:bookmarkEnd w:id="68"/>
      <w:bookmarkEnd w:id="69"/>
      <w:bookmarkEnd w:id="70"/>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техническа и финансова оценка на проектните предложения по процедурата са подробно указани в Приложение № </w:t>
      </w:r>
      <w:r w:rsidR="00FC1EA0">
        <w:rPr>
          <w:rFonts w:ascii="Arial" w:eastAsia="Calibri" w:hAnsi="Arial" w:cs="Arial"/>
          <w:noProof w:val="0"/>
        </w:rPr>
        <w:t>5</w:t>
      </w:r>
      <w:r w:rsidRPr="00FF2A9A">
        <w:rPr>
          <w:rFonts w:ascii="Arial" w:eastAsia="Calibri" w:hAnsi="Arial" w:cs="Arial"/>
          <w:noProof w:val="0"/>
        </w:rPr>
        <w:t xml:space="preserve"> към Условията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хода на проверката е възможно да бъдат установени и други обстоятелства, които да изискват допълнителна пояснителна информация или документ от кандидатите 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w:t>
      </w:r>
      <w:r w:rsidRPr="00FF2A9A">
        <w:rPr>
          <w:rFonts w:ascii="Arial" w:eastAsia="Calibri" w:hAnsi="Arial" w:cs="Arial"/>
          <w:noProof w:val="0"/>
        </w:rPr>
        <w:lastRenderedPageBreak/>
        <w:t>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FF2A9A">
        <w:rPr>
          <w:rFonts w:ascii="Arial" w:eastAsia="Calibri" w:hAnsi="Arial" w:cs="Arial"/>
          <w:noProof w:val="0"/>
          <w:vertAlign w:val="superscript"/>
        </w:rPr>
        <w:footnoteReference w:id="1"/>
      </w:r>
      <w:r w:rsidRPr="00FF2A9A">
        <w:rPr>
          <w:rFonts w:ascii="Arial" w:eastAsia="Calibri" w:hAnsi="Arial" w:cs="Arial"/>
          <w:noProof w:val="0"/>
        </w:rPr>
        <w:t xml:space="preserve">. </w:t>
      </w:r>
    </w:p>
    <w:p w:rsidR="00BE1440" w:rsidRPr="00FF2A9A" w:rsidRDefault="00BE1440" w:rsidP="00FF2A9A">
      <w:pPr>
        <w:keepNext/>
        <w:keepLines/>
        <w:spacing w:before="120" w:after="120" w:line="240" w:lineRule="auto"/>
        <w:jc w:val="both"/>
        <w:rPr>
          <w:rFonts w:ascii="Arial" w:eastAsia="Times New Roman" w:hAnsi="Arial" w:cs="Arial"/>
          <w:noProof w:val="0"/>
          <w:color w:val="5B9BD5"/>
          <w:lang w:eastAsia="x-none"/>
        </w:rPr>
      </w:pPr>
      <w:bookmarkStart w:id="71" w:name="_Toc475538954"/>
      <w:bookmarkStart w:id="72" w:name="_Toc59537582"/>
      <w:r w:rsidRPr="00FF2A9A">
        <w:rPr>
          <w:rFonts w:ascii="Arial" w:eastAsia="Times New Roman" w:hAnsi="Arial" w:cs="Arial"/>
          <w:b/>
          <w:bCs/>
          <w:noProof w:val="0"/>
          <w:color w:val="5B9BD5"/>
          <w:lang w:eastAsia="x-none"/>
        </w:rPr>
        <w:t>22. Критерии и методика за оценка на проектните предложения:</w:t>
      </w:r>
      <w:bookmarkEnd w:id="62"/>
      <w:bookmarkEnd w:id="71"/>
      <w:bookmarkEnd w:id="72"/>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подбор се използват, за да се гарантира, че избраните за финансирани проектни предложения подкрепят целите заложени в ПМДР. Както е посочено </w:t>
      </w:r>
      <w:r w:rsidR="008F62E7" w:rsidRPr="00FF2A9A">
        <w:rPr>
          <w:rFonts w:ascii="Arial" w:eastAsia="Calibri" w:hAnsi="Arial" w:cs="Arial"/>
          <w:noProof w:val="0"/>
        </w:rPr>
        <w:t xml:space="preserve">в чл. 113  от  Регламент (ЕС) </w:t>
      </w:r>
      <w:r w:rsidRPr="00FF2A9A">
        <w:rPr>
          <w:rFonts w:ascii="Arial" w:eastAsia="Calibri" w:hAnsi="Arial" w:cs="Arial"/>
          <w:noProof w:val="0"/>
        </w:rPr>
        <w:t>508/2014 и</w:t>
      </w:r>
      <w:r w:rsidR="008F62E7" w:rsidRPr="00FF2A9A">
        <w:rPr>
          <w:rFonts w:ascii="Arial" w:eastAsia="Calibri" w:hAnsi="Arial" w:cs="Arial"/>
          <w:noProof w:val="0"/>
        </w:rPr>
        <w:t xml:space="preserve"> чл. 125 (3) от Регламент (ЕС)</w:t>
      </w:r>
      <w:r w:rsidRPr="00FF2A9A">
        <w:rPr>
          <w:rFonts w:ascii="Arial" w:eastAsia="Calibri" w:hAnsi="Arial" w:cs="Arial"/>
          <w:noProof w:val="0"/>
        </w:rPr>
        <w:t xml:space="preserve"> 1303/2013 критериите за подбор са изготвени от УО и одобрени от Комитета за наблюдение </w:t>
      </w:r>
      <w:r w:rsidR="008F62E7" w:rsidRPr="00FF2A9A">
        <w:rPr>
          <w:rFonts w:ascii="Arial" w:eastAsia="Calibri" w:hAnsi="Arial" w:cs="Arial"/>
          <w:noProof w:val="0"/>
        </w:rPr>
        <w:t xml:space="preserve">(КН) </w:t>
      </w:r>
      <w:r w:rsidRPr="00FF2A9A">
        <w:rPr>
          <w:rFonts w:ascii="Arial" w:eastAsia="Calibri" w:hAnsi="Arial" w:cs="Arial"/>
          <w:noProof w:val="0"/>
        </w:rPr>
        <w:t>на ПМДР. По този начин се гарантира, че УО на ПМДР има ясни насоки зададени от КН и извършвания подбор на проектни предложения за финансиране от ЕФМД</w:t>
      </w:r>
      <w:r w:rsidR="008F62E7" w:rsidRPr="00FF2A9A">
        <w:rPr>
          <w:rFonts w:ascii="Arial" w:eastAsia="Calibri" w:hAnsi="Arial" w:cs="Arial"/>
          <w:noProof w:val="0"/>
        </w:rPr>
        <w:t>Р е в съответствие с целите на П</w:t>
      </w:r>
      <w:r w:rsidRPr="00FF2A9A">
        <w:rPr>
          <w:rFonts w:ascii="Arial" w:eastAsia="Calibri" w:hAnsi="Arial" w:cs="Arial"/>
          <w:noProof w:val="0"/>
        </w:rPr>
        <w:t>рограмата.</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1365"/>
      </w:tblGrid>
      <w:tr w:rsidR="00716F01" w:rsidRPr="00FF2A9A" w:rsidTr="00716F01">
        <w:tc>
          <w:tcPr>
            <w:tcW w:w="6069" w:type="dxa"/>
            <w:tcBorders>
              <w:top w:val="single" w:sz="4" w:space="0" w:color="auto"/>
              <w:left w:val="single" w:sz="4" w:space="0" w:color="auto"/>
              <w:bottom w:val="single" w:sz="4" w:space="0" w:color="auto"/>
              <w:right w:val="single" w:sz="4" w:space="0" w:color="auto"/>
            </w:tcBorders>
            <w:shd w:val="pct20" w:color="auto" w:fill="auto"/>
            <w:hideMark/>
          </w:tcPr>
          <w:p w:rsidR="00716F01" w:rsidRPr="00FF2A9A" w:rsidRDefault="00716F01" w:rsidP="00FF2A9A">
            <w:pPr>
              <w:spacing w:before="120" w:after="120" w:line="240" w:lineRule="auto"/>
              <w:jc w:val="both"/>
              <w:rPr>
                <w:rFonts w:ascii="Arial" w:eastAsia="Calibri" w:hAnsi="Arial" w:cs="Arial"/>
                <w:b/>
                <w:noProof w:val="0"/>
                <w:lang w:eastAsia="bg-BG"/>
              </w:rPr>
            </w:pPr>
            <w:r w:rsidRPr="00FF2A9A">
              <w:rPr>
                <w:rFonts w:ascii="Arial" w:eastAsia="Times New Roman" w:hAnsi="Arial" w:cs="Arial"/>
                <w:b/>
                <w:bCs/>
                <w:noProof w:val="0"/>
                <w:lang w:eastAsia="bg-BG"/>
              </w:rPr>
              <w:t>Критерии за подбор</w:t>
            </w:r>
            <w:r w:rsidRPr="00FF2A9A">
              <w:rPr>
                <w:rFonts w:ascii="Arial" w:eastAsia="Calibri" w:hAnsi="Arial" w:cs="Arial"/>
                <w:b/>
                <w:noProof w:val="0"/>
                <w:lang w:eastAsia="bg-BG"/>
              </w:rPr>
              <w:t xml:space="preserve"> в сектор „Инвестиции насочени към изграждане и/или модернизация на </w:t>
            </w:r>
            <w:proofErr w:type="spellStart"/>
            <w:r w:rsidRPr="00FF2A9A">
              <w:rPr>
                <w:rFonts w:ascii="Arial" w:eastAsia="Calibri" w:hAnsi="Arial" w:cs="Arial"/>
                <w:b/>
                <w:noProof w:val="0"/>
                <w:lang w:eastAsia="bg-BG"/>
              </w:rPr>
              <w:t>лодкостоянки</w:t>
            </w:r>
            <w:proofErr w:type="spellEnd"/>
            <w:r w:rsidRPr="00FF2A9A">
              <w:rPr>
                <w:rFonts w:ascii="Arial" w:eastAsia="Calibri" w:hAnsi="Arial" w:cs="Arial"/>
                <w:b/>
                <w:noProof w:val="0"/>
                <w:lang w:eastAsia="bg-BG"/>
              </w:rPr>
              <w:t>“:</w:t>
            </w:r>
          </w:p>
        </w:tc>
        <w:tc>
          <w:tcPr>
            <w:tcW w:w="1365" w:type="dxa"/>
            <w:tcBorders>
              <w:top w:val="single" w:sz="4" w:space="0" w:color="auto"/>
              <w:left w:val="single" w:sz="4" w:space="0" w:color="auto"/>
              <w:bottom w:val="single" w:sz="4" w:space="0" w:color="auto"/>
              <w:right w:val="single" w:sz="4" w:space="0" w:color="auto"/>
            </w:tcBorders>
            <w:shd w:val="pct20" w:color="auto" w:fill="auto"/>
            <w:hideMark/>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Times New Roman" w:hAnsi="Arial" w:cs="Arial"/>
                <w:b/>
                <w:noProof w:val="0"/>
                <w:lang w:eastAsia="bg-BG"/>
              </w:rPr>
              <w:t>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1. Капацитет:</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Times New Roman" w:hAnsi="Arial" w:cs="Arial"/>
                <w:b/>
                <w:bCs/>
                <w:noProof w:val="0"/>
                <w:lang w:eastAsia="bg-BG"/>
              </w:rPr>
            </w:pPr>
            <w:r w:rsidRPr="00FF2A9A">
              <w:rPr>
                <w:rFonts w:ascii="Arial" w:eastAsia="Calibri" w:hAnsi="Arial" w:cs="Arial"/>
                <w:noProof w:val="0"/>
                <w:lang w:eastAsia="bg-BG"/>
              </w:rPr>
              <w:t>- Брой корабни места над 30;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40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Calibri" w:hAnsi="Arial" w:cs="Arial"/>
                <w:noProof w:val="0"/>
                <w:lang w:eastAsia="bg-BG"/>
              </w:rPr>
            </w:pPr>
            <w:r w:rsidRPr="00FF2A9A">
              <w:rPr>
                <w:rFonts w:ascii="Arial" w:eastAsia="Calibri" w:hAnsi="Arial" w:cs="Arial"/>
                <w:noProof w:val="0"/>
                <w:lang w:eastAsia="bg-BG"/>
              </w:rPr>
              <w:t>- Брой корабни места от 10 до 30;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30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Calibri" w:hAnsi="Arial" w:cs="Arial"/>
                <w:noProof w:val="0"/>
                <w:lang w:eastAsia="bg-BG"/>
              </w:rPr>
            </w:pPr>
            <w:r w:rsidRPr="00FF2A9A">
              <w:rPr>
                <w:rFonts w:ascii="Arial" w:eastAsia="Calibri" w:hAnsi="Arial" w:cs="Arial"/>
                <w:noProof w:val="0"/>
                <w:lang w:eastAsia="bg-BG"/>
              </w:rPr>
              <w:t>- Брой корабни места до 10;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20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2. Дейности в подобряване на безопасността и условията на труд на рибарите.</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noProof w:val="0"/>
                <w:lang w:eastAsia="bg-BG"/>
              </w:rPr>
            </w:pPr>
            <w:r w:rsidRPr="00FF2A9A">
              <w:rPr>
                <w:rFonts w:ascii="Arial" w:eastAsia="Times New Roman" w:hAnsi="Arial" w:cs="Arial"/>
                <w:noProof w:val="0"/>
                <w:lang w:eastAsia="bg-BG"/>
              </w:rPr>
              <w:t>10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 xml:space="preserve">3. Инвестицията е предназначена за </w:t>
            </w:r>
            <w:proofErr w:type="spellStart"/>
            <w:r w:rsidRPr="00FF2A9A">
              <w:rPr>
                <w:rFonts w:ascii="Arial" w:eastAsia="Calibri" w:hAnsi="Arial" w:cs="Arial"/>
                <w:noProof w:val="0"/>
                <w:lang w:eastAsia="bg-BG"/>
              </w:rPr>
              <w:t>дребномащабния</w:t>
            </w:r>
            <w:proofErr w:type="spellEnd"/>
            <w:r w:rsidRPr="00FF2A9A">
              <w:rPr>
                <w:rFonts w:ascii="Arial" w:eastAsia="Calibri" w:hAnsi="Arial" w:cs="Arial"/>
                <w:noProof w:val="0"/>
                <w:lang w:eastAsia="bg-BG"/>
              </w:rPr>
              <w:t xml:space="preserve"> крайбрежен риболов.</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Times New Roman" w:hAnsi="Arial" w:cs="Arial"/>
                <w:noProof w:val="0"/>
                <w:lang w:eastAsia="bg-BG"/>
              </w:rPr>
              <w:t>30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4. Проектът се изпълнява в акваторията на Черно море</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Times New Roman" w:hAnsi="Arial" w:cs="Arial"/>
                <w:noProof w:val="0"/>
                <w:lang w:eastAsia="bg-BG"/>
              </w:rPr>
              <w:t>20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b/>
                <w:noProof w:val="0"/>
                <w:lang w:eastAsia="bg-BG"/>
              </w:rPr>
              <w:t>Общ брой точки:</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noProof w:val="0"/>
                <w:lang w:eastAsia="bg-BG"/>
              </w:rPr>
            </w:pPr>
            <w:r w:rsidRPr="00FF2A9A">
              <w:rPr>
                <w:rFonts w:ascii="Arial" w:eastAsia="Calibri" w:hAnsi="Arial" w:cs="Arial"/>
                <w:b/>
                <w:noProof w:val="0"/>
                <w:lang w:eastAsia="bg-BG"/>
              </w:rPr>
              <w:t>100</w:t>
            </w:r>
          </w:p>
        </w:tc>
      </w:tr>
    </w:tbl>
    <w:p w:rsidR="00BE1440" w:rsidRPr="00FF2A9A" w:rsidRDefault="0039181F"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4D136A68" wp14:editId="7CE5E87A">
            <wp:extent cx="6667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b/>
          <w:noProof w:val="0"/>
        </w:rPr>
        <w:t>Проектните предлож</w:t>
      </w:r>
      <w:r w:rsidR="00BC7BE6">
        <w:rPr>
          <w:rFonts w:ascii="Arial" w:eastAsia="Calibri" w:hAnsi="Arial" w:cs="Arial"/>
          <w:b/>
          <w:noProof w:val="0"/>
        </w:rPr>
        <w:t xml:space="preserve">ения, получили минимум </w:t>
      </w:r>
      <w:r w:rsidR="00BC7BE6">
        <w:rPr>
          <w:rFonts w:ascii="Arial" w:eastAsia="Calibri" w:hAnsi="Arial" w:cs="Arial"/>
          <w:b/>
          <w:noProof w:val="0"/>
          <w:lang w:val="en-US"/>
        </w:rPr>
        <w:t>3</w:t>
      </w:r>
      <w:r w:rsidR="00BE1440" w:rsidRPr="00FF2A9A">
        <w:rPr>
          <w:rFonts w:ascii="Arial" w:eastAsia="Calibri" w:hAnsi="Arial" w:cs="Arial"/>
          <w:b/>
          <w:noProof w:val="0"/>
        </w:rPr>
        <w:t xml:space="preserve">0 точки на етап „Техническа и финансова оценка”, </w:t>
      </w:r>
      <w:r w:rsidR="00BE1440" w:rsidRPr="00FF2A9A">
        <w:rPr>
          <w:rFonts w:ascii="Arial" w:eastAsia="Calibri" w:hAnsi="Arial" w:cs="Arial"/>
          <w:noProof w:val="0"/>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716F01" w:rsidRPr="00FF2A9A">
        <w:rPr>
          <w:rFonts w:ascii="Arial" w:eastAsia="Calibri" w:hAnsi="Arial" w:cs="Arial"/>
          <w:noProof w:val="0"/>
        </w:rPr>
        <w:t>,</w:t>
      </w:r>
      <w:r w:rsidRPr="00FF2A9A">
        <w:rPr>
          <w:rFonts w:ascii="Arial" w:eastAsia="Calibri" w:hAnsi="Arial" w:cs="Arial"/>
          <w:noProof w:val="0"/>
        </w:rPr>
        <w:t xml:space="preserve"> че проектното предложение </w:t>
      </w:r>
      <w:r w:rsidR="00CB7C4A">
        <w:rPr>
          <w:rFonts w:ascii="Arial" w:eastAsia="Calibri" w:hAnsi="Arial" w:cs="Arial"/>
          <w:bCs/>
          <w:noProof w:val="0"/>
        </w:rPr>
        <w:t xml:space="preserve">получи по-малко от </w:t>
      </w:r>
      <w:r w:rsidR="00CB7C4A">
        <w:rPr>
          <w:rFonts w:ascii="Arial" w:eastAsia="Calibri" w:hAnsi="Arial" w:cs="Arial"/>
          <w:bCs/>
          <w:noProof w:val="0"/>
          <w:lang w:val="en-US"/>
        </w:rPr>
        <w:t>3</w:t>
      </w:r>
      <w:r w:rsidRPr="00FF2A9A">
        <w:rPr>
          <w:rFonts w:ascii="Arial" w:eastAsia="Calibri" w:hAnsi="Arial" w:cs="Arial"/>
          <w:noProof w:val="0"/>
        </w:rPr>
        <w:t>0 точки, същото се отхвърля.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FF2A9A">
        <w:rPr>
          <w:rFonts w:ascii="Arial" w:eastAsia="Calibri" w:hAnsi="Arial" w:cs="Arial"/>
          <w:noProof w:val="0"/>
        </w:rPr>
        <w:lastRenderedPageBreak/>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По критерий 1 „Капацитет“:</w:t>
      </w:r>
      <w:r w:rsidRPr="00FF2A9A">
        <w:rPr>
          <w:rFonts w:ascii="Arial" w:eastAsia="Calibri" w:hAnsi="Arial" w:cs="Arial"/>
          <w:noProof w:val="0"/>
        </w:rPr>
        <w:t xml:space="preserve"> Кри</w:t>
      </w:r>
      <w:r w:rsidR="00BD1254" w:rsidRPr="00FF2A9A">
        <w:rPr>
          <w:rFonts w:ascii="Arial" w:eastAsia="Calibri" w:hAnsi="Arial" w:cs="Arial"/>
          <w:noProof w:val="0"/>
        </w:rPr>
        <w:t xml:space="preserve">терият се доказва с документ </w:t>
      </w:r>
      <w:r w:rsidR="00B26B79">
        <w:rPr>
          <w:rFonts w:ascii="Arial" w:eastAsia="Calibri" w:hAnsi="Arial" w:cs="Arial"/>
          <w:noProof w:val="0"/>
        </w:rPr>
        <w:t xml:space="preserve">под </w:t>
      </w:r>
      <w:r w:rsidR="00BD1254" w:rsidRPr="00FF2A9A">
        <w:rPr>
          <w:rFonts w:ascii="Arial" w:eastAsia="Calibri" w:hAnsi="Arial" w:cs="Arial"/>
          <w:noProof w:val="0"/>
        </w:rPr>
        <w:t>№ 7</w:t>
      </w:r>
      <w:r w:rsidRPr="00FF2A9A">
        <w:rPr>
          <w:rFonts w:ascii="Arial" w:eastAsia="Calibri" w:hAnsi="Arial" w:cs="Arial"/>
          <w:noProof w:val="0"/>
        </w:rPr>
        <w:t xml:space="preserve"> от списъка с документи, които се подават на етап кандидатстване по т. 24 от настоящите условия.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2 „Дейности в подобряване на безопасността и условията на труд на рибарите“: </w:t>
      </w:r>
      <w:r w:rsidRPr="00FF2A9A">
        <w:rPr>
          <w:rFonts w:ascii="Arial" w:eastAsia="Calibri" w:hAnsi="Arial" w:cs="Arial"/>
          <w:noProof w:val="0"/>
        </w:rPr>
        <w:t xml:space="preserve">Критерият се доказва с инвестиции в съоръжения и/или оборудване за подобряване на безопасността.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Кандидатите получават точки, ако разходите по този критерий са не по-малко от 1 %  от размера на инвестицията по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3 „Инвестицията е предназначена за </w:t>
      </w:r>
      <w:proofErr w:type="spellStart"/>
      <w:r w:rsidRPr="00FF2A9A">
        <w:rPr>
          <w:rFonts w:ascii="Arial" w:eastAsia="Calibri" w:hAnsi="Arial" w:cs="Arial"/>
          <w:b/>
          <w:bCs/>
          <w:noProof w:val="0"/>
        </w:rPr>
        <w:t>дребномащабния</w:t>
      </w:r>
      <w:proofErr w:type="spellEnd"/>
      <w:r w:rsidRPr="00FF2A9A">
        <w:rPr>
          <w:rFonts w:ascii="Arial" w:eastAsia="Calibri" w:hAnsi="Arial" w:cs="Arial"/>
          <w:b/>
          <w:bCs/>
          <w:noProof w:val="0"/>
        </w:rPr>
        <w:t xml:space="preserve"> крайбрежен риболов“:</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По критерия се присъждат точки, когато цялата инвестиция е насочена към плавателни съдове с обща дължина под 12 м, които не са съоръжени с влачени риболовни уреди .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4 „Проектът се изпълнява в акваторията на Черно море: </w:t>
      </w:r>
      <w:r w:rsidRPr="00FF2A9A">
        <w:rPr>
          <w:rFonts w:ascii="Arial" w:eastAsia="Calibri" w:hAnsi="Arial" w:cs="Arial"/>
          <w:noProof w:val="0"/>
        </w:rPr>
        <w:t>Кри</w:t>
      </w:r>
      <w:r w:rsidR="00BD1254" w:rsidRPr="00FF2A9A">
        <w:rPr>
          <w:rFonts w:ascii="Arial" w:eastAsia="Calibri" w:hAnsi="Arial" w:cs="Arial"/>
          <w:noProof w:val="0"/>
        </w:rPr>
        <w:t xml:space="preserve">терият се доказва с документ </w:t>
      </w:r>
      <w:r w:rsidR="00B26B79">
        <w:rPr>
          <w:rFonts w:ascii="Arial" w:eastAsia="Calibri" w:hAnsi="Arial" w:cs="Arial"/>
          <w:noProof w:val="0"/>
        </w:rPr>
        <w:t xml:space="preserve">под </w:t>
      </w:r>
      <w:r w:rsidR="00BD1254" w:rsidRPr="00FF2A9A">
        <w:rPr>
          <w:rFonts w:ascii="Arial" w:eastAsia="Calibri" w:hAnsi="Arial" w:cs="Arial"/>
          <w:noProof w:val="0"/>
        </w:rPr>
        <w:t>№ 8</w:t>
      </w:r>
      <w:r w:rsidRPr="00FF2A9A">
        <w:rPr>
          <w:rFonts w:ascii="Arial" w:eastAsia="Calibri" w:hAnsi="Arial" w:cs="Arial"/>
          <w:noProof w:val="0"/>
        </w:rPr>
        <w:t xml:space="preserve"> от списъка с документи, които се подават на етап кандидатстване </w:t>
      </w:r>
      <w:r w:rsidR="00BD1254" w:rsidRPr="00FF2A9A">
        <w:rPr>
          <w:rFonts w:ascii="Arial" w:eastAsia="Calibri" w:hAnsi="Arial" w:cs="Arial"/>
          <w:noProof w:val="0"/>
        </w:rPr>
        <w:t>по т. 24 от настоящите условия.</w:t>
      </w:r>
    </w:p>
    <w:p w:rsidR="00BE1440" w:rsidRPr="00FF2A9A" w:rsidRDefault="00BE1440" w:rsidP="00FF2A9A">
      <w:pPr>
        <w:keepNext/>
        <w:keepLines/>
        <w:spacing w:before="120" w:after="120" w:line="240" w:lineRule="auto"/>
        <w:jc w:val="both"/>
        <w:rPr>
          <w:rFonts w:ascii="Arial" w:eastAsia="Times New Roman" w:hAnsi="Arial" w:cs="Arial"/>
          <w:noProof w:val="0"/>
          <w:color w:val="5B9BD5"/>
          <w:lang w:eastAsia="x-none"/>
        </w:rPr>
      </w:pPr>
      <w:bookmarkStart w:id="73" w:name="_Toc59537583"/>
      <w:r w:rsidRPr="00FF2A9A">
        <w:rPr>
          <w:rFonts w:ascii="Arial" w:eastAsia="Times New Roman" w:hAnsi="Arial" w:cs="Arial"/>
          <w:b/>
          <w:bCs/>
          <w:noProof w:val="0"/>
          <w:color w:val="5B9BD5"/>
          <w:lang w:eastAsia="x-none"/>
        </w:rPr>
        <w:t>23. Начин на подаване на проектните предложения/концепциите за проектни предложения:</w:t>
      </w:r>
      <w:bookmarkEnd w:id="73"/>
    </w:p>
    <w:p w:rsidR="00BE1440" w:rsidRPr="00FF2A9A" w:rsidRDefault="00BE1440" w:rsidP="00FF2A9A">
      <w:pPr>
        <w:pBdr>
          <w:top w:val="single" w:sz="4" w:space="1" w:color="auto"/>
          <w:left w:val="single" w:sz="4" w:space="5" w:color="auto"/>
          <w:bottom w:val="single" w:sz="4" w:space="1" w:color="auto"/>
          <w:right w:val="single" w:sz="4" w:space="1"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FF2A9A">
        <w:rPr>
          <w:rFonts w:ascii="Arial" w:eastAsia="Calibri" w:hAnsi="Arial" w:cs="Arial"/>
          <w:noProof w:val="0"/>
        </w:rPr>
        <w:t>придружителните</w:t>
      </w:r>
      <w:proofErr w:type="spellEnd"/>
      <w:r w:rsidRPr="00FF2A9A">
        <w:rPr>
          <w:rFonts w:ascii="Arial" w:eastAsia="Calibri" w:hAnsi="Arial" w:cs="Arial"/>
          <w:noProof w:val="0"/>
        </w:rPr>
        <w:t xml:space="preserve"> документи чрез</w:t>
      </w:r>
      <w:r w:rsidRPr="00FF2A9A">
        <w:rPr>
          <w:rFonts w:ascii="Arial" w:eastAsia="Calibri" w:hAnsi="Arial" w:cs="Arial"/>
          <w:b/>
          <w:bCs/>
          <w:noProof w:val="0"/>
        </w:rPr>
        <w:t xml:space="preserve"> </w:t>
      </w:r>
      <w:r w:rsidR="009F5181" w:rsidRPr="009F5181">
        <w:rPr>
          <w:rFonts w:ascii="Arial" w:eastAsia="Calibri" w:hAnsi="Arial" w:cs="Arial"/>
          <w:b/>
          <w:bCs/>
          <w:noProof w:val="0"/>
        </w:rPr>
        <w:t>Информационната система за управление и наблюдение на средствата от ЕС в България 2020 (ИСУН 2020)</w:t>
      </w:r>
      <w:r w:rsidRPr="00FF2A9A">
        <w:rPr>
          <w:rFonts w:ascii="Arial" w:eastAsia="Calibri" w:hAnsi="Arial" w:cs="Arial"/>
          <w:b/>
          <w:bCs/>
          <w:noProof w:val="0"/>
        </w:rPr>
        <w:t>,</w:t>
      </w:r>
      <w:r w:rsidRPr="00FF2A9A">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17" w:history="1">
        <w:r w:rsidRPr="00FF2A9A">
          <w:rPr>
            <w:rFonts w:ascii="Arial" w:eastAsia="Calibri" w:hAnsi="Arial" w:cs="Arial"/>
            <w:i/>
            <w:noProof w:val="0"/>
            <w:color w:val="0563C1"/>
            <w:u w:val="single"/>
          </w:rPr>
          <w:t>https://eumis2020.government.bg</w:t>
        </w:r>
      </w:hyperlink>
      <w:r w:rsidRPr="00FF2A9A">
        <w:rPr>
          <w:rFonts w:ascii="Arial" w:eastAsia="Calibri" w:hAnsi="Arial" w:cs="Arial"/>
          <w:noProof w:val="0"/>
        </w:rPr>
        <w:t>.</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Подготовката и подаването на проектното предложение в ИСУН се извършва по следния начин: Кандидатът влиза в ИСУН,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Проектното предложение по настоящата процедура се изготвя от кандидата съгласно инструкциите на УО, дадени в Указанията за електронно кандидатстване (Приложение № </w:t>
      </w:r>
      <w:r w:rsidR="00FC1EA0">
        <w:rPr>
          <w:rFonts w:ascii="Arial" w:eastAsia="Calibri" w:hAnsi="Arial" w:cs="Arial"/>
          <w:noProof w:val="0"/>
        </w:rPr>
        <w:t>3</w:t>
      </w:r>
      <w:r w:rsidRPr="00FF2A9A">
        <w:rPr>
          <w:rFonts w:ascii="Arial" w:eastAsia="Calibri" w:hAnsi="Arial" w:cs="Arial"/>
          <w:noProof w:val="0"/>
        </w:rPr>
        <w:t xml:space="preserve"> </w:t>
      </w:r>
      <w:r w:rsidR="00FC1EA0">
        <w:rPr>
          <w:rFonts w:ascii="Arial" w:eastAsia="Calibri" w:hAnsi="Arial" w:cs="Arial"/>
          <w:noProof w:val="0"/>
        </w:rPr>
        <w:t>към</w:t>
      </w:r>
      <w:r w:rsidR="00FC1EA0" w:rsidRPr="00FF2A9A">
        <w:rPr>
          <w:rFonts w:ascii="Arial" w:eastAsia="Calibri" w:hAnsi="Arial" w:cs="Arial"/>
          <w:noProof w:val="0"/>
        </w:rPr>
        <w:t xml:space="preserve"> </w:t>
      </w:r>
      <w:r w:rsidRPr="00FF2A9A">
        <w:rPr>
          <w:rFonts w:ascii="Arial" w:eastAsia="Calibri" w:hAnsi="Arial" w:cs="Arial"/>
          <w:noProof w:val="0"/>
        </w:rPr>
        <w:t xml:space="preserve">Условията за кандидатстване). </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 xml:space="preserve">Изискващите се съгласно т. 24 от Условията за кандидатстване </w:t>
      </w:r>
      <w:proofErr w:type="spellStart"/>
      <w:r w:rsidRPr="00FF2A9A">
        <w:rPr>
          <w:rFonts w:ascii="Arial" w:eastAsia="Calibri" w:hAnsi="Arial" w:cs="Arial"/>
          <w:b/>
          <w:bCs/>
          <w:noProof w:val="0"/>
        </w:rPr>
        <w:t>придружителни</w:t>
      </w:r>
      <w:proofErr w:type="spellEnd"/>
      <w:r w:rsidRPr="00FF2A9A">
        <w:rPr>
          <w:rFonts w:ascii="Arial" w:eastAsia="Calibri" w:hAnsi="Arial" w:cs="Arial"/>
          <w:b/>
          <w:bCs/>
          <w:noProof w:val="0"/>
        </w:rPr>
        <w:t xml:space="preserve"> документи</w:t>
      </w:r>
      <w:r w:rsidRPr="00FF2A9A">
        <w:rPr>
          <w:rFonts w:ascii="Arial" w:eastAsia="Calibri" w:hAnsi="Arial" w:cs="Arial"/>
          <w:noProof w:val="0"/>
        </w:rPr>
        <w:t xml:space="preserve"> към формуляра за кандидатстване също </w:t>
      </w:r>
      <w:r w:rsidRPr="00FF2A9A">
        <w:rPr>
          <w:rFonts w:ascii="Arial" w:eastAsia="Calibri" w:hAnsi="Arial" w:cs="Arial"/>
          <w:b/>
          <w:bCs/>
          <w:noProof w:val="0"/>
        </w:rPr>
        <w:t>се подават изцяло електронно</w:t>
      </w:r>
      <w:r w:rsidRPr="00FF2A9A">
        <w:rPr>
          <w:rFonts w:ascii="Arial" w:eastAsia="Calibri" w:hAnsi="Arial" w:cs="Arial"/>
          <w:noProof w:val="0"/>
        </w:rPr>
        <w:t xml:space="preserve">. Посочените документи се описват в т. 12 и т. 13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rsidR="00BE1440" w:rsidRPr="00FF2A9A" w:rsidRDefault="008F62E7"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1B148237" wp14:editId="7CD42F0D">
            <wp:extent cx="66675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Проектното предложение се подава електронно чрез ИСУН като се подписва с КЕП от лице с право да представлява кандидата 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(За целите на настоящите Условия под „лице с право да представлява кандидата“ следва да се разбира официален представител на предприятието-кандидат.</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 xml:space="preserve">Официалният/те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 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и за отстраняване на забелязани неточности по време на оцен</w:t>
      </w:r>
      <w:r w:rsidR="008F62E7" w:rsidRPr="00FF2A9A">
        <w:rPr>
          <w:rFonts w:ascii="Arial" w:eastAsia="Calibri" w:hAnsi="Arial" w:cs="Arial"/>
          <w:noProof w:val="0"/>
        </w:rPr>
        <w:t>ката на проектните предложения.</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от който е подаден съответния проект, и промени на посочения профил (вкл. промяна на имейл адреса, асоцииран към съответния профил) са недопустими.</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w:t>
      </w:r>
      <w:r w:rsidR="008F62E7" w:rsidRPr="00FF2A9A">
        <w:rPr>
          <w:rFonts w:ascii="Arial" w:eastAsia="Calibri" w:hAnsi="Arial" w:cs="Arial"/>
          <w:noProof w:val="0"/>
        </w:rPr>
        <w:t xml:space="preserve">е като подаде писмено искане в </w:t>
      </w:r>
      <w:r w:rsidRPr="00FF2A9A">
        <w:rPr>
          <w:rFonts w:ascii="Arial" w:eastAsia="Calibri" w:hAnsi="Arial" w:cs="Arial"/>
          <w:noProof w:val="0"/>
        </w:rPr>
        <w:t>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8F62E7" w:rsidRPr="00FF2A9A">
        <w:rPr>
          <w:rFonts w:ascii="Arial" w:eastAsia="Calibri" w:hAnsi="Arial" w:cs="Arial"/>
          <w:noProof w:val="0"/>
        </w:rPr>
        <w:t>т цялата необходима информация.</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Кандидатът носи цялата отговорност за верността на финансовата информация, представена в т. 5 „Бюджет“ от Формуляра за кандидатстване.</w:t>
      </w:r>
      <w:r w:rsidR="008F62E7" w:rsidRPr="00FF2A9A">
        <w:rPr>
          <w:rFonts w:ascii="Arial" w:eastAsia="Calibri" w:hAnsi="Arial" w:cs="Arial"/>
          <w:noProof w:val="0"/>
        </w:rPr>
        <w:t xml:space="preserve"> </w:t>
      </w:r>
      <w:r w:rsidRPr="00FF2A9A">
        <w:rPr>
          <w:rFonts w:ascii="Arial" w:eastAsia="Calibri" w:hAnsi="Arial" w:cs="Arial"/>
          <w:noProof w:val="0"/>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и по-конкретно - Закона за обществените поръчки и актовете по неговото прилагане.</w:t>
      </w:r>
    </w:p>
    <w:p w:rsidR="00BE1440" w:rsidRPr="00FF2A9A" w:rsidRDefault="00BE1440" w:rsidP="00FF2A9A">
      <w:pPr>
        <w:keepNext/>
        <w:keepLines/>
        <w:spacing w:before="120" w:after="120" w:line="240" w:lineRule="auto"/>
        <w:ind w:right="-113"/>
        <w:jc w:val="both"/>
        <w:rPr>
          <w:rFonts w:ascii="Arial" w:eastAsia="Times New Roman" w:hAnsi="Arial" w:cs="Arial"/>
          <w:noProof w:val="0"/>
          <w:color w:val="5B9BD5"/>
          <w:lang w:eastAsia="x-none"/>
        </w:rPr>
      </w:pPr>
      <w:bookmarkStart w:id="74" w:name="_Toc475538955"/>
      <w:bookmarkStart w:id="75" w:name="_Toc59537584"/>
      <w:r w:rsidRPr="00FF2A9A">
        <w:rPr>
          <w:rFonts w:ascii="Arial" w:eastAsia="Times New Roman" w:hAnsi="Arial" w:cs="Arial"/>
          <w:b/>
          <w:bCs/>
          <w:noProof w:val="0"/>
          <w:color w:val="5B9BD5"/>
          <w:lang w:eastAsia="x-none"/>
        </w:rPr>
        <w:t>24. Списък на документите, които се подават на етап кандидатстване:</w:t>
      </w:r>
      <w:bookmarkEnd w:id="74"/>
      <w:bookmarkEnd w:id="75"/>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Кандидатите по процедурата за безвъзмездна финансова </w:t>
      </w:r>
      <w:r w:rsidR="00BD1254" w:rsidRPr="00FF2A9A">
        <w:rPr>
          <w:rFonts w:ascii="Arial" w:eastAsia="Calibri" w:hAnsi="Arial" w:cs="Arial"/>
          <w:noProof w:val="0"/>
        </w:rPr>
        <w:t>помощ следва да представят към Ф</w:t>
      </w:r>
      <w:r w:rsidRPr="00FF2A9A">
        <w:rPr>
          <w:rFonts w:ascii="Arial" w:eastAsia="Calibri" w:hAnsi="Arial" w:cs="Arial"/>
          <w:noProof w:val="0"/>
        </w:rPr>
        <w:t>ормуляра за кандидатстване по изцяло електронен път чрез ИСУН 2020 следните документи:</w:t>
      </w:r>
    </w:p>
    <w:p w:rsidR="0065301A"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1. Бизнес план (по образец), прикачен в ИСУН 2020. Бизнес плана, трябва да бъде представен, сканиран и като електронен файл, в Excel. Представеният електронен файл трябва да е идентичен със сканирания документ. Бизнес планът обхваща период не по-малък от 5 години, а в случаите на инвестиция за строително-монтажни работи (СМР) </w:t>
      </w:r>
      <w:r w:rsidR="007841EA" w:rsidRPr="00FF2A9A">
        <w:rPr>
          <w:rFonts w:ascii="Arial" w:eastAsia="Calibri" w:hAnsi="Arial" w:cs="Arial"/>
          <w:noProof w:val="0"/>
        </w:rPr>
        <w:t>периодът е за 10 години.</w:t>
      </w:r>
    </w:p>
    <w:p w:rsidR="0065301A" w:rsidRPr="00F647D0" w:rsidRDefault="0065301A"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кандидати – юридически лица или еднолични търговци (ЕТ), регистрирани по Търговския закон или Закона за кооперациите)</w:t>
      </w:r>
    </w:p>
    <w:p w:rsidR="00BE1440"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2. </w:t>
      </w:r>
      <w:r w:rsidR="00BE1440" w:rsidRPr="00FF2A9A">
        <w:rPr>
          <w:rFonts w:ascii="Arial" w:eastAsia="Calibri" w:hAnsi="Arial" w:cs="Arial"/>
          <w:noProof w:val="0"/>
        </w:rPr>
        <w:t>Анализ приходи-разходи по образец, подписан с КЕП от лице с право да представлява кандидата или упълномощено лице и п</w:t>
      </w:r>
      <w:r w:rsidR="000355CB" w:rsidRPr="00FF2A9A">
        <w:rPr>
          <w:rFonts w:ascii="Arial" w:eastAsia="Calibri" w:hAnsi="Arial" w:cs="Arial"/>
          <w:noProof w:val="0"/>
        </w:rPr>
        <w:t>рикачен в ИСУН.</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noProof w:val="0"/>
          <w:sz w:val="16"/>
          <w:szCs w:val="16"/>
        </w:rPr>
        <w:t>(</w:t>
      </w:r>
      <w:r w:rsidRPr="00F647D0">
        <w:rPr>
          <w:rFonts w:ascii="Arial" w:eastAsia="Calibri" w:hAnsi="Arial" w:cs="Arial"/>
          <w:i/>
          <w:noProof w:val="0"/>
          <w:sz w:val="16"/>
          <w:szCs w:val="16"/>
        </w:rPr>
        <w:t xml:space="preserve">документът е задължителен за </w:t>
      </w:r>
      <w:r w:rsidR="0065301A" w:rsidRPr="00F647D0">
        <w:rPr>
          <w:rFonts w:ascii="Arial" w:eastAsia="Calibri" w:hAnsi="Arial" w:cs="Arial"/>
          <w:i/>
          <w:noProof w:val="0"/>
          <w:sz w:val="16"/>
          <w:szCs w:val="16"/>
        </w:rPr>
        <w:t xml:space="preserve">кандидати - общини или държавни </w:t>
      </w:r>
      <w:proofErr w:type="spellStart"/>
      <w:r w:rsidR="0065301A" w:rsidRPr="00F647D0">
        <w:rPr>
          <w:rFonts w:ascii="Arial" w:eastAsia="Calibri" w:hAnsi="Arial" w:cs="Arial"/>
          <w:i/>
          <w:noProof w:val="0"/>
          <w:sz w:val="16"/>
          <w:szCs w:val="16"/>
        </w:rPr>
        <w:t>учреждения</w:t>
      </w:r>
      <w:proofErr w:type="spellEnd"/>
      <w:r w:rsidRPr="00F647D0">
        <w:rPr>
          <w:rFonts w:ascii="Arial" w:eastAsia="Calibri" w:hAnsi="Arial" w:cs="Arial"/>
          <w:i/>
          <w:noProof w:val="0"/>
          <w:sz w:val="16"/>
          <w:szCs w:val="16"/>
        </w:rPr>
        <w:t>)</w:t>
      </w:r>
    </w:p>
    <w:p w:rsidR="00BE1440"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3</w:t>
      </w:r>
      <w:r w:rsidR="00BE1440" w:rsidRPr="00FF2A9A">
        <w:rPr>
          <w:rFonts w:ascii="Arial" w:eastAsia="Calibri" w:hAnsi="Arial" w:cs="Arial"/>
          <w:noProof w:val="0"/>
        </w:rPr>
        <w:t xml:space="preserve">. Пълномощно за подаване на проектното предложение с КЕП и подписване с КЕП на документите, които не трябва да бъдат лично подписани от кандидата. (в случай че кандидатът се представлява заедно от няколко физически лица, пълномощното се подписва с КЕП от всички тях), че не могат да се подават от упълномощени лица, тъй като с тях се декларират данни, за които се носи наказателна отговорност – подписано с КЕП от лице с </w:t>
      </w:r>
      <w:r w:rsidR="000355CB" w:rsidRPr="00FF2A9A">
        <w:rPr>
          <w:rFonts w:ascii="Arial" w:eastAsia="Calibri" w:hAnsi="Arial" w:cs="Arial"/>
          <w:noProof w:val="0"/>
        </w:rPr>
        <w:t>право да представлява кандидата.</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(документът е задължителен, в случай че кандидатът  се представлява от упълномощено/ни лице/</w:t>
      </w:r>
      <w:proofErr w:type="spellStart"/>
      <w:r w:rsidRPr="00F647D0">
        <w:rPr>
          <w:rFonts w:ascii="Arial" w:eastAsia="Calibri" w:hAnsi="Arial" w:cs="Arial"/>
          <w:i/>
          <w:noProof w:val="0"/>
          <w:sz w:val="16"/>
          <w:szCs w:val="16"/>
        </w:rPr>
        <w:t>ца</w:t>
      </w:r>
      <w:proofErr w:type="spellEnd"/>
      <w:r w:rsidRPr="00F647D0">
        <w:rPr>
          <w:rFonts w:ascii="Arial" w:eastAsia="Calibri" w:hAnsi="Arial" w:cs="Arial"/>
          <w:i/>
          <w:noProof w:val="0"/>
          <w:sz w:val="16"/>
          <w:szCs w:val="16"/>
        </w:rPr>
        <w:t xml:space="preserve"> и не е приложим, в случай че кандидатът се представлява лично)</w:t>
      </w:r>
    </w:p>
    <w:p w:rsidR="003827C4"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4</w:t>
      </w:r>
      <w:r w:rsidR="003827C4" w:rsidRPr="00FF2A9A">
        <w:rPr>
          <w:rFonts w:ascii="Arial" w:eastAsia="Calibri" w:hAnsi="Arial" w:cs="Arial"/>
          <w:noProof w:val="0"/>
        </w:rPr>
        <w:t>.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w:t>
      </w:r>
    </w:p>
    <w:p w:rsidR="003827C4"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5</w:t>
      </w:r>
      <w:r w:rsidR="003827C4" w:rsidRPr="00FF2A9A">
        <w:rPr>
          <w:rFonts w:ascii="Arial" w:eastAsia="Calibri" w:hAnsi="Arial" w:cs="Arial"/>
          <w:noProof w:val="0"/>
        </w:rPr>
        <w:t>. За всички предварителни разходи, кандидатът следва да приложи към Формуляра за кандидатстване най-малко две независими съпоставими оферти</w:t>
      </w:r>
      <w:r w:rsidR="00B43A73" w:rsidRPr="00FF2A9A">
        <w:rPr>
          <w:rFonts w:ascii="Arial" w:eastAsia="Calibri" w:hAnsi="Arial" w:cs="Arial"/>
          <w:noProof w:val="0"/>
        </w:rPr>
        <w:t>/договор с избран изпълнител</w:t>
      </w:r>
      <w:r w:rsidR="003827C4" w:rsidRPr="00FF2A9A">
        <w:rPr>
          <w:rFonts w:ascii="Arial" w:eastAsia="Calibri" w:hAnsi="Arial" w:cs="Arial"/>
          <w:noProof w:val="0"/>
        </w:rPr>
        <w:t xml:space="preserve"> с цел определяне основателността на предложените разходи - прикачени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 по подточка 2 от т. 14.1.3.11 от настоящите условия и съответно е неприложим към подточка.1)</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6</w:t>
      </w:r>
      <w:r w:rsidR="00BE1440" w:rsidRPr="00FF2A9A">
        <w:rPr>
          <w:rFonts w:ascii="Arial" w:eastAsia="Calibri" w:hAnsi="Arial" w:cs="Arial"/>
          <w:noProof w:val="0"/>
        </w:rPr>
        <w:t>. Решение на Общинския съвет за кандидатстване по настоящата процедура, прика</w:t>
      </w:r>
      <w:r w:rsidR="000355CB" w:rsidRPr="00FF2A9A">
        <w:rPr>
          <w:rFonts w:ascii="Arial" w:eastAsia="Calibri" w:hAnsi="Arial" w:cs="Arial"/>
          <w:noProof w:val="0"/>
        </w:rPr>
        <w:t>чено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w:t>
      </w:r>
      <w:r w:rsidR="00BD1254" w:rsidRPr="00F647D0">
        <w:rPr>
          <w:rFonts w:ascii="Arial" w:eastAsia="Calibri" w:hAnsi="Arial" w:cs="Arial"/>
          <w:i/>
          <w:noProof w:val="0"/>
          <w:sz w:val="16"/>
          <w:szCs w:val="16"/>
        </w:rPr>
        <w:t>документът</w:t>
      </w:r>
      <w:r w:rsidRPr="00F647D0">
        <w:rPr>
          <w:rFonts w:ascii="Arial" w:eastAsia="Calibri" w:hAnsi="Arial" w:cs="Arial"/>
          <w:i/>
          <w:noProof w:val="0"/>
          <w:sz w:val="16"/>
          <w:szCs w:val="16"/>
        </w:rPr>
        <w:t xml:space="preserve"> се изисква за кандидати общини)</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7</w:t>
      </w:r>
      <w:r w:rsidR="00BE1440" w:rsidRPr="00FF2A9A">
        <w:rPr>
          <w:rFonts w:ascii="Arial" w:eastAsia="Calibri" w:hAnsi="Arial" w:cs="Arial"/>
          <w:noProof w:val="0"/>
        </w:rPr>
        <w:t>. Валидно Удостоверение за експлоатационна годност, издадено от Изпълнителна агенция "Морска администрация"</w:t>
      </w:r>
      <w:r w:rsidR="000355CB" w:rsidRPr="00FF2A9A">
        <w:rPr>
          <w:rFonts w:ascii="Arial" w:eastAsia="Calibri" w:hAnsi="Arial" w:cs="Arial"/>
          <w:noProof w:val="0"/>
        </w:rPr>
        <w:t xml:space="preserve"> (ИАМА), прикачено в ИСУН 2020.</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w:t>
      </w:r>
      <w:r w:rsidR="00B43A73" w:rsidRPr="00F647D0">
        <w:rPr>
          <w:rFonts w:ascii="Arial" w:eastAsia="Calibri" w:hAnsi="Arial" w:cs="Arial"/>
          <w:i/>
          <w:noProof w:val="0"/>
          <w:sz w:val="16"/>
          <w:szCs w:val="16"/>
        </w:rPr>
        <w:t>нтът е задължителен при</w:t>
      </w:r>
      <w:r w:rsidR="00BD1254" w:rsidRPr="00F647D0">
        <w:rPr>
          <w:rFonts w:ascii="Arial" w:eastAsia="Calibri" w:hAnsi="Arial" w:cs="Arial"/>
          <w:i/>
          <w:noProof w:val="0"/>
          <w:sz w:val="16"/>
          <w:szCs w:val="16"/>
        </w:rPr>
        <w:t xml:space="preserve"> осъвременяване на</w:t>
      </w:r>
      <w:r w:rsidR="00B43A73" w:rsidRPr="00F647D0">
        <w:rPr>
          <w:rFonts w:ascii="Arial" w:eastAsia="Calibri" w:hAnsi="Arial" w:cs="Arial"/>
          <w:i/>
          <w:noProof w:val="0"/>
          <w:sz w:val="16"/>
          <w:szCs w:val="16"/>
        </w:rPr>
        <w:t xml:space="preserve"> съществуващи </w:t>
      </w:r>
      <w:proofErr w:type="spellStart"/>
      <w:r w:rsidR="00B43A73" w:rsidRPr="00F647D0">
        <w:rPr>
          <w:rFonts w:ascii="Arial" w:eastAsia="Calibri" w:hAnsi="Arial" w:cs="Arial"/>
          <w:i/>
          <w:noProof w:val="0"/>
          <w:sz w:val="16"/>
          <w:szCs w:val="16"/>
        </w:rPr>
        <w:t>лодкостоянки</w:t>
      </w:r>
      <w:proofErr w:type="spellEnd"/>
      <w:r w:rsidR="00B43A73" w:rsidRPr="00F647D0">
        <w:rPr>
          <w:rFonts w:ascii="Arial" w:eastAsia="Calibri" w:hAnsi="Arial" w:cs="Arial"/>
          <w:i/>
          <w:noProof w:val="0"/>
          <w:sz w:val="16"/>
          <w:szCs w:val="16"/>
        </w:rPr>
        <w:t xml:space="preserve">, а в случаите на изграждане на нова </w:t>
      </w:r>
      <w:proofErr w:type="spellStart"/>
      <w:r w:rsidR="00B43A73" w:rsidRPr="00F647D0">
        <w:rPr>
          <w:rFonts w:ascii="Arial" w:eastAsia="Calibri" w:hAnsi="Arial" w:cs="Arial"/>
          <w:i/>
          <w:noProof w:val="0"/>
          <w:sz w:val="16"/>
          <w:szCs w:val="16"/>
        </w:rPr>
        <w:t>лодкостоянка</w:t>
      </w:r>
      <w:proofErr w:type="spellEnd"/>
      <w:r w:rsidR="00B43A73" w:rsidRPr="00F647D0">
        <w:rPr>
          <w:rFonts w:ascii="Arial" w:eastAsia="Calibri" w:hAnsi="Arial" w:cs="Arial"/>
          <w:i/>
          <w:noProof w:val="0"/>
          <w:sz w:val="16"/>
          <w:szCs w:val="16"/>
        </w:rPr>
        <w:t xml:space="preserve"> документа се изисква</w:t>
      </w:r>
      <w:r w:rsidR="008D646C" w:rsidRPr="00F647D0">
        <w:rPr>
          <w:rFonts w:ascii="Arial" w:eastAsia="Calibri" w:hAnsi="Arial" w:cs="Arial"/>
          <w:i/>
          <w:noProof w:val="0"/>
          <w:sz w:val="16"/>
          <w:szCs w:val="16"/>
        </w:rPr>
        <w:t>/представя</w:t>
      </w:r>
      <w:r w:rsidR="00B43A73" w:rsidRPr="00F647D0">
        <w:rPr>
          <w:rFonts w:ascii="Arial" w:eastAsia="Calibri" w:hAnsi="Arial" w:cs="Arial"/>
          <w:i/>
          <w:noProof w:val="0"/>
          <w:sz w:val="16"/>
          <w:szCs w:val="16"/>
        </w:rPr>
        <w:t xml:space="preserve"> на етап окончателно плащане</w:t>
      </w:r>
      <w:r w:rsidR="000355CB" w:rsidRPr="00F647D0">
        <w:rPr>
          <w:rFonts w:ascii="Arial" w:eastAsia="Calibri" w:hAnsi="Arial" w:cs="Arial"/>
          <w:i/>
          <w:noProof w:val="0"/>
          <w:sz w:val="16"/>
          <w:szCs w:val="16"/>
        </w:rPr>
        <w:t>)</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8</w:t>
      </w:r>
      <w:r w:rsidR="00BE1440" w:rsidRPr="00FF2A9A">
        <w:rPr>
          <w:rFonts w:ascii="Arial" w:eastAsia="Calibri" w:hAnsi="Arial" w:cs="Arial"/>
          <w:noProof w:val="0"/>
        </w:rPr>
        <w:t>. Документи, удостоверяващи правото на собственост или правото на ползване</w:t>
      </w:r>
      <w:r w:rsidR="000355CB" w:rsidRPr="00FF2A9A">
        <w:rPr>
          <w:rFonts w:ascii="Arial" w:eastAsia="Calibri" w:hAnsi="Arial" w:cs="Arial"/>
          <w:noProof w:val="0"/>
        </w:rPr>
        <w:t xml:space="preserve"> върху терена и съоръженията на </w:t>
      </w:r>
      <w:proofErr w:type="spellStart"/>
      <w:r w:rsidR="000355CB" w:rsidRPr="00FF2A9A">
        <w:rPr>
          <w:rFonts w:ascii="Arial" w:eastAsia="Calibri" w:hAnsi="Arial" w:cs="Arial"/>
          <w:noProof w:val="0"/>
        </w:rPr>
        <w:t>лодкостоянката</w:t>
      </w:r>
      <w:proofErr w:type="spellEnd"/>
      <w:r w:rsidR="000355CB" w:rsidRPr="00FF2A9A">
        <w:rPr>
          <w:rFonts w:ascii="Arial" w:eastAsia="Calibri" w:hAnsi="Arial" w:cs="Arial"/>
          <w:noProof w:val="0"/>
        </w:rPr>
        <w:t>:</w:t>
      </w:r>
    </w:p>
    <w:p w:rsidR="000355CB" w:rsidRPr="00FF2A9A"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 xml:space="preserve">- </w:t>
      </w:r>
      <w:r w:rsidR="00BE1440" w:rsidRPr="00FF2A9A">
        <w:rPr>
          <w:rFonts w:ascii="Arial" w:eastAsia="Calibri" w:hAnsi="Arial" w:cs="Arial"/>
          <w:noProof w:val="0"/>
        </w:rPr>
        <w:t xml:space="preserve">нотариален акт, </w:t>
      </w:r>
      <w:proofErr w:type="spellStart"/>
      <w:r w:rsidR="00BE1440" w:rsidRPr="00FF2A9A">
        <w:rPr>
          <w:rFonts w:ascii="Arial" w:eastAsia="Calibri" w:hAnsi="Arial" w:cs="Arial"/>
          <w:noProof w:val="0"/>
        </w:rPr>
        <w:t>акт</w:t>
      </w:r>
      <w:proofErr w:type="spellEnd"/>
      <w:r w:rsidR="00BE1440" w:rsidRPr="00FF2A9A">
        <w:rPr>
          <w:rFonts w:ascii="Arial" w:eastAsia="Calibri" w:hAnsi="Arial" w:cs="Arial"/>
          <w:noProof w:val="0"/>
        </w:rPr>
        <w:t xml:space="preserve"> за държавна или общинска собственост или друг равностоен документ (</w:t>
      </w:r>
      <w:r w:rsidRPr="00FF2A9A">
        <w:rPr>
          <w:rFonts w:ascii="Arial" w:eastAsia="Calibri" w:hAnsi="Arial" w:cs="Arial"/>
          <w:noProof w:val="0"/>
        </w:rPr>
        <w:t>заверено копие);</w:t>
      </w:r>
    </w:p>
    <w:p w:rsidR="000355CB" w:rsidRPr="00FF2A9A"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w:t>
      </w:r>
      <w:r w:rsidR="00DC4447">
        <w:rPr>
          <w:rFonts w:ascii="Arial" w:eastAsia="Calibri" w:hAnsi="Arial" w:cs="Arial"/>
          <w:noProof w:val="0"/>
        </w:rPr>
        <w:t xml:space="preserve"> </w:t>
      </w:r>
      <w:r w:rsidR="00DC4447" w:rsidRPr="00FF2A9A">
        <w:rPr>
          <w:rFonts w:ascii="Arial" w:eastAsia="Calibri" w:hAnsi="Arial" w:cs="Arial"/>
          <w:noProof w:val="0"/>
        </w:rPr>
        <w:t>договор за ползване на територията за срок не по-малък от 8 години</w:t>
      </w:r>
      <w:r w:rsidRPr="00FF2A9A">
        <w:rPr>
          <w:rFonts w:ascii="Arial" w:eastAsia="Calibri" w:hAnsi="Arial" w:cs="Arial"/>
          <w:noProof w:val="0"/>
        </w:rPr>
        <w:t>;</w:t>
      </w:r>
    </w:p>
    <w:p w:rsidR="00BE1440"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w:t>
      </w:r>
      <w:r w:rsidR="00DC4447">
        <w:rPr>
          <w:rFonts w:ascii="Arial" w:eastAsia="Calibri" w:hAnsi="Arial" w:cs="Arial"/>
          <w:noProof w:val="0"/>
        </w:rPr>
        <w:t xml:space="preserve"> </w:t>
      </w:r>
      <w:r w:rsidR="00DC4447" w:rsidRPr="00FF2A9A">
        <w:rPr>
          <w:rFonts w:ascii="Arial" w:eastAsia="Calibri" w:hAnsi="Arial" w:cs="Arial"/>
          <w:noProof w:val="0"/>
        </w:rPr>
        <w:t xml:space="preserve">актуална скица - извадка за имота от одобрена кадастрална карта или от действащ подробен </w:t>
      </w:r>
      <w:proofErr w:type="spellStart"/>
      <w:r w:rsidR="00DC4447" w:rsidRPr="00FF2A9A">
        <w:rPr>
          <w:rFonts w:ascii="Arial" w:eastAsia="Calibri" w:hAnsi="Arial" w:cs="Arial"/>
          <w:noProof w:val="0"/>
        </w:rPr>
        <w:t>устройствен</w:t>
      </w:r>
      <w:proofErr w:type="spellEnd"/>
      <w:r w:rsidR="00DC4447" w:rsidRPr="00FF2A9A">
        <w:rPr>
          <w:rFonts w:ascii="Arial" w:eastAsia="Calibri" w:hAnsi="Arial" w:cs="Arial"/>
          <w:noProof w:val="0"/>
        </w:rPr>
        <w:t xml:space="preserve"> план, с нанесени граници, пътни комуникации и сгради</w:t>
      </w:r>
      <w:r w:rsidR="00DC4447">
        <w:rPr>
          <w:rFonts w:ascii="Arial" w:eastAsia="Calibri" w:hAnsi="Arial" w:cs="Arial"/>
          <w:noProof w:val="0"/>
        </w:rPr>
        <w:t>.</w:t>
      </w:r>
    </w:p>
    <w:p w:rsidR="0063035F" w:rsidRPr="00422A6F" w:rsidRDefault="0063035F" w:rsidP="006303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Pr>
          <w:rFonts w:ascii="Arial" w:eastAsia="Calibri" w:hAnsi="Arial" w:cs="Arial"/>
          <w:i/>
          <w:noProof w:val="0"/>
          <w:sz w:val="16"/>
          <w:szCs w:val="16"/>
        </w:rPr>
        <w:t>(документите</w:t>
      </w:r>
      <w:r w:rsidRPr="00422A6F">
        <w:rPr>
          <w:rFonts w:ascii="Arial" w:eastAsia="Calibri" w:hAnsi="Arial" w:cs="Arial"/>
          <w:i/>
          <w:noProof w:val="0"/>
          <w:sz w:val="16"/>
          <w:szCs w:val="16"/>
        </w:rPr>
        <w:t xml:space="preserve"> </w:t>
      </w:r>
      <w:r>
        <w:rPr>
          <w:rFonts w:ascii="Arial" w:eastAsia="Calibri" w:hAnsi="Arial" w:cs="Arial"/>
          <w:i/>
          <w:noProof w:val="0"/>
          <w:sz w:val="16"/>
          <w:szCs w:val="16"/>
        </w:rPr>
        <w:t>са задължителни</w:t>
      </w:r>
      <w:r w:rsidRPr="00422A6F">
        <w:rPr>
          <w:rFonts w:ascii="Arial" w:eastAsia="Calibri" w:hAnsi="Arial" w:cs="Arial"/>
          <w:i/>
          <w:noProof w:val="0"/>
          <w:sz w:val="16"/>
          <w:szCs w:val="16"/>
        </w:rPr>
        <w:t xml:space="preserve"> за всички проектни предложения)</w:t>
      </w:r>
    </w:p>
    <w:p w:rsidR="00BE1440" w:rsidRPr="00FF2A9A" w:rsidRDefault="004043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9</w:t>
      </w:r>
      <w:r w:rsidR="00BE1440" w:rsidRPr="00FF2A9A">
        <w:rPr>
          <w:rFonts w:ascii="Arial" w:eastAsia="Calibri" w:hAnsi="Arial" w:cs="Arial"/>
          <w:noProof w:val="0"/>
        </w:rPr>
        <w:t>.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w:t>
      </w:r>
      <w:r w:rsidR="00B85B16" w:rsidRPr="00FF2A9A">
        <w:rPr>
          <w:rFonts w:ascii="Arial" w:eastAsia="Calibri" w:hAnsi="Arial" w:cs="Arial"/>
          <w:noProof w:val="0"/>
        </w:rPr>
        <w:t>.</w:t>
      </w:r>
      <w:r w:rsidR="00BE1440" w:rsidRPr="00FF2A9A">
        <w:rPr>
          <w:rFonts w:ascii="Arial" w:eastAsia="Calibri" w:hAnsi="Arial" w:cs="Arial"/>
          <w:noProof w:val="0"/>
        </w:rPr>
        <w:t xml:space="preserve">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(един от двата документа се представя само когато съществува такова изискване съгласно Закона за опазване на околната среда)</w:t>
      </w:r>
    </w:p>
    <w:p w:rsidR="00BE1440" w:rsidRPr="00FF2A9A" w:rsidRDefault="004043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10</w:t>
      </w:r>
      <w:r w:rsidR="00BE1440" w:rsidRPr="00FF2A9A">
        <w:rPr>
          <w:rFonts w:ascii="Arial" w:eastAsia="Calibri" w:hAnsi="Arial" w:cs="Arial"/>
          <w:noProof w:val="0"/>
        </w:rPr>
        <w:t>. Решение за съвмес</w:t>
      </w:r>
      <w:r w:rsidR="00BD1254" w:rsidRPr="00FF2A9A">
        <w:rPr>
          <w:rFonts w:ascii="Arial" w:eastAsia="Calibri" w:hAnsi="Arial" w:cs="Arial"/>
          <w:noProof w:val="0"/>
        </w:rPr>
        <w:t>тимостта на проекта с предмета</w:t>
      </w:r>
      <w:r w:rsidR="00BE1440" w:rsidRPr="00FF2A9A">
        <w:rPr>
          <w:rFonts w:ascii="Arial" w:eastAsia="Calibri" w:hAnsi="Arial" w:cs="Arial"/>
          <w:noProof w:val="0"/>
        </w:rPr>
        <w:t xml:space="preserve"> и целите на опазван</w:t>
      </w:r>
      <w:r w:rsidR="00BD1254" w:rsidRPr="00FF2A9A">
        <w:rPr>
          <w:rFonts w:ascii="Arial" w:eastAsia="Calibri" w:hAnsi="Arial" w:cs="Arial"/>
          <w:noProof w:val="0"/>
        </w:rPr>
        <w:t>е на защитените зони съгласно Н</w:t>
      </w:r>
      <w:r w:rsidR="00BE1440" w:rsidRPr="00FF2A9A">
        <w:rPr>
          <w:rFonts w:ascii="Arial" w:eastAsia="Calibri" w:hAnsi="Arial" w:cs="Arial"/>
          <w:noProof w:val="0"/>
        </w:rPr>
        <w:t>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w:t>
      </w:r>
      <w:proofErr w:type="spellStart"/>
      <w:r w:rsidR="00BE1440" w:rsidRPr="00FF2A9A">
        <w:rPr>
          <w:rFonts w:ascii="Arial" w:eastAsia="Calibri" w:hAnsi="Arial" w:cs="Arial"/>
          <w:noProof w:val="0"/>
        </w:rPr>
        <w:t>обн</w:t>
      </w:r>
      <w:proofErr w:type="spellEnd"/>
      <w:r w:rsidR="00BE1440" w:rsidRPr="00FF2A9A">
        <w:rPr>
          <w:rFonts w:ascii="Arial" w:eastAsia="Calibri" w:hAnsi="Arial" w:cs="Arial"/>
          <w:noProof w:val="0"/>
        </w:rPr>
        <w:t>. ДВ, бр. 73 от 11.09.2007).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(само за проекти, включващи инвестиции в местата по националната екологична мрежа НАТУРА 2000)</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1</w:t>
      </w:r>
      <w:r w:rsidR="00BE1440" w:rsidRPr="00FF2A9A">
        <w:rPr>
          <w:rFonts w:ascii="Arial" w:eastAsia="Calibri" w:hAnsi="Arial" w:cs="Arial"/>
          <w:noProof w:val="0"/>
        </w:rPr>
        <w:t>. Счетоводна справка и/или инвентарна книга за дълготрайните материални активи (които имат връзка с обекта на инвестицията) към датата на подаване на ФК, с разбивка по активи, дата на придобиване и покупна цена.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lastRenderedPageBreak/>
        <w:t>(документът е задължителен за всички проектни предложения)</w:t>
      </w:r>
    </w:p>
    <w:p w:rsidR="00B85B16" w:rsidRPr="00FF2A9A" w:rsidRDefault="00785B7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12</w:t>
      </w:r>
      <w:r w:rsidR="00B85B16" w:rsidRPr="00FF2A9A">
        <w:rPr>
          <w:rFonts w:ascii="Arial" w:eastAsia="Calibri" w:hAnsi="Arial" w:cs="Arial"/>
          <w:noProof w:val="0"/>
        </w:rPr>
        <w:t xml:space="preserve">. За разходите за закупуване на </w:t>
      </w:r>
      <w:proofErr w:type="spellStart"/>
      <w:r w:rsidR="00B85B16" w:rsidRPr="00FF2A9A">
        <w:rPr>
          <w:rFonts w:ascii="Arial" w:eastAsia="Calibri" w:hAnsi="Arial" w:cs="Arial"/>
          <w:noProof w:val="0"/>
        </w:rPr>
        <w:t>ноу-хау</w:t>
      </w:r>
      <w:proofErr w:type="spellEnd"/>
      <w:r w:rsidR="00B85B16" w:rsidRPr="00FF2A9A">
        <w:rPr>
          <w:rFonts w:ascii="Arial" w:eastAsia="Calibri" w:hAnsi="Arial" w:cs="Arial"/>
          <w:noProof w:val="0"/>
        </w:rPr>
        <w:t>, патентни права и 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в които са предвидени такива разходи)</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3</w:t>
      </w:r>
      <w:r w:rsidR="00BE1440" w:rsidRPr="00FF2A9A">
        <w:rPr>
          <w:rFonts w:ascii="Arial" w:eastAsia="Calibri" w:hAnsi="Arial" w:cs="Arial"/>
          <w:noProof w:val="0"/>
        </w:rPr>
        <w:t>. Договор за финансов лизинг с приложен към него погасителен план за изплащане на лизинговите вноски,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(в случаите на закупуване на активи чрез финансов лизинг)</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4</w:t>
      </w:r>
      <w:r w:rsidR="00BE1440" w:rsidRPr="00FF2A9A">
        <w:rPr>
          <w:rFonts w:ascii="Arial" w:eastAsia="Calibri" w:hAnsi="Arial" w:cs="Arial"/>
          <w:noProof w:val="0"/>
        </w:rPr>
        <w:t>. П</w:t>
      </w:r>
      <w:r w:rsidR="00785B71" w:rsidRPr="00FF2A9A">
        <w:rPr>
          <w:rFonts w:ascii="Arial" w:eastAsia="Calibri" w:hAnsi="Arial" w:cs="Arial"/>
          <w:noProof w:val="0"/>
        </w:rPr>
        <w:t>одробни количествени</w:t>
      </w:r>
      <w:r w:rsidR="00BE1440" w:rsidRPr="00FF2A9A">
        <w:rPr>
          <w:rFonts w:ascii="Arial" w:eastAsia="Calibri" w:hAnsi="Arial" w:cs="Arial"/>
          <w:noProof w:val="0"/>
        </w:rPr>
        <w:t xml:space="preserve"> сметки, заверени от правоспособно лице. Документът следва да е прикачен в ИСУН 2020</w:t>
      </w:r>
      <w:r w:rsidR="000355CB" w:rsidRPr="00FF2A9A">
        <w:rPr>
          <w:rFonts w:ascii="Arial" w:eastAsia="Calibri" w:hAnsi="Arial" w:cs="Arial"/>
          <w:noProof w:val="0"/>
        </w:rPr>
        <w:t>.</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включващи разходи за строително-монтажни работи)</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5</w:t>
      </w:r>
      <w:r w:rsidR="00BE1440" w:rsidRPr="00FF2A9A">
        <w:rPr>
          <w:rFonts w:ascii="Arial" w:eastAsia="Calibri" w:hAnsi="Arial" w:cs="Arial"/>
          <w:noProof w:val="0"/>
        </w:rPr>
        <w:t>.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w:t>
      </w:r>
      <w:r w:rsidR="000355CB" w:rsidRPr="00FF2A9A">
        <w:rPr>
          <w:rFonts w:ascii="Arial" w:eastAsia="Calibri" w:hAnsi="Arial" w:cs="Arial"/>
          <w:noProof w:val="0"/>
        </w:rPr>
        <w:t>.</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 включващи разходи за строително-монтажни работи)</w:t>
      </w:r>
    </w:p>
    <w:p w:rsidR="00BE1440"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6</w:t>
      </w:r>
      <w:r w:rsidR="00BE1440" w:rsidRPr="00FF2A9A">
        <w:rPr>
          <w:rFonts w:ascii="Arial" w:eastAsia="Calibri" w:hAnsi="Arial" w:cs="Arial"/>
          <w:noProof w:val="0"/>
        </w:rPr>
        <w:t xml:space="preserve">. Разрешение за поставяне на съоръжението, издаден от компетентен орган, в случаите, в които се кандидатства за </w:t>
      </w:r>
      <w:r w:rsidR="00DC4447">
        <w:rPr>
          <w:rFonts w:ascii="Arial" w:eastAsia="Calibri" w:hAnsi="Arial" w:cs="Arial"/>
          <w:noProof w:val="0"/>
        </w:rPr>
        <w:t>поставяне на</w:t>
      </w:r>
      <w:r w:rsidR="00BE1440" w:rsidRPr="00FF2A9A">
        <w:rPr>
          <w:rFonts w:ascii="Arial" w:eastAsia="Calibri" w:hAnsi="Arial" w:cs="Arial"/>
          <w:noProof w:val="0"/>
        </w:rPr>
        <w:t xml:space="preserve"> </w:t>
      </w:r>
      <w:proofErr w:type="spellStart"/>
      <w:r w:rsidR="00BE1440" w:rsidRPr="00FF2A9A">
        <w:rPr>
          <w:rFonts w:ascii="Arial" w:eastAsia="Calibri" w:hAnsi="Arial" w:cs="Arial"/>
          <w:noProof w:val="0"/>
        </w:rPr>
        <w:t>преместваеми</w:t>
      </w:r>
      <w:proofErr w:type="spellEnd"/>
      <w:r w:rsidR="00BE1440" w:rsidRPr="00FF2A9A">
        <w:rPr>
          <w:rFonts w:ascii="Arial" w:eastAsia="Calibri" w:hAnsi="Arial" w:cs="Arial"/>
          <w:noProof w:val="0"/>
        </w:rPr>
        <w:t xml:space="preserve"> обекти, прикачено в ИС</w:t>
      </w:r>
      <w:r w:rsidR="000355CB" w:rsidRPr="00FF2A9A">
        <w:rPr>
          <w:rFonts w:ascii="Arial" w:eastAsia="Calibri" w:hAnsi="Arial" w:cs="Arial"/>
          <w:noProof w:val="0"/>
        </w:rPr>
        <w:t>УН 2020.</w:t>
      </w:r>
    </w:p>
    <w:p w:rsidR="00DC4447" w:rsidRPr="00FF2A9A" w:rsidRDefault="00DC4447"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 xml:space="preserve">(документът е задължителен за всички проектни предложения , включващи разходи за </w:t>
      </w:r>
      <w:proofErr w:type="spellStart"/>
      <w:r>
        <w:rPr>
          <w:rFonts w:ascii="Arial" w:eastAsia="Calibri" w:hAnsi="Arial" w:cs="Arial"/>
          <w:i/>
          <w:noProof w:val="0"/>
          <w:sz w:val="16"/>
          <w:szCs w:val="16"/>
        </w:rPr>
        <w:t>преместваеми</w:t>
      </w:r>
      <w:proofErr w:type="spellEnd"/>
      <w:r>
        <w:rPr>
          <w:rFonts w:ascii="Arial" w:eastAsia="Calibri" w:hAnsi="Arial" w:cs="Arial"/>
          <w:i/>
          <w:noProof w:val="0"/>
          <w:sz w:val="16"/>
          <w:szCs w:val="16"/>
        </w:rPr>
        <w:t xml:space="preserve"> обекти</w:t>
      </w:r>
      <w:r w:rsidRPr="00422A6F">
        <w:rPr>
          <w:rFonts w:ascii="Arial" w:eastAsia="Calibri" w:hAnsi="Arial" w:cs="Arial"/>
          <w:i/>
          <w:noProof w:val="0"/>
          <w:sz w:val="16"/>
          <w:szCs w:val="16"/>
        </w:rPr>
        <w:t>)</w:t>
      </w:r>
    </w:p>
    <w:p w:rsidR="00DC4447"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17</w:t>
      </w:r>
      <w:r w:rsidR="00BE1440" w:rsidRPr="00FF2A9A">
        <w:rPr>
          <w:rFonts w:ascii="Arial" w:eastAsia="Calibri" w:hAnsi="Arial" w:cs="Arial"/>
          <w:noProof w:val="0"/>
        </w:rPr>
        <w:t>. За кандидат, който се явява възложител по ЗОП - за разходите по т. 14.1.2, подточка 2, в случай че са извършени преди подаване на заявлението за кандидатстване, кандидатът представя документите от проведената, съгласно изискванията на ЗОП процедура за избор на изпълнител/и, прикачени в ИСУН 2020</w:t>
      </w:r>
      <w:r w:rsidR="00DC4447">
        <w:rPr>
          <w:rFonts w:ascii="Arial" w:eastAsia="Calibri" w:hAnsi="Arial" w:cs="Arial"/>
          <w:noProof w:val="0"/>
        </w:rPr>
        <w:t>.</w:t>
      </w:r>
    </w:p>
    <w:p w:rsidR="00BE1440" w:rsidRPr="00FF2A9A" w:rsidRDefault="00DC4447"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(документът е задължителен за всички проектни предложения</w:t>
      </w:r>
      <w:r>
        <w:rPr>
          <w:rFonts w:ascii="Arial" w:eastAsia="Calibri" w:hAnsi="Arial" w:cs="Arial"/>
          <w:i/>
          <w:noProof w:val="0"/>
          <w:sz w:val="16"/>
          <w:szCs w:val="16"/>
        </w:rPr>
        <w:t>, при които кандидатът се явява възложител по ЗОП</w:t>
      </w:r>
      <w:r w:rsidRPr="00422A6F">
        <w:rPr>
          <w:rFonts w:ascii="Arial" w:eastAsia="Calibri" w:hAnsi="Arial" w:cs="Arial"/>
          <w:i/>
          <w:noProof w:val="0"/>
          <w:sz w:val="16"/>
          <w:szCs w:val="16"/>
        </w:rPr>
        <w:t>)</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18</w:t>
      </w:r>
      <w:r w:rsidR="00BE1440" w:rsidRPr="00FF2A9A">
        <w:rPr>
          <w:rFonts w:ascii="Arial" w:eastAsia="Calibri" w:hAnsi="Arial" w:cs="Arial"/>
          <w:noProof w:val="0"/>
        </w:rPr>
        <w:t xml:space="preserve">. За кандидати, които не са възложители по ЗОП, за всички предварителни разходи, кандидатът следва да приложи към Формуляра за кандидатстване най-малко </w:t>
      </w:r>
      <w:r w:rsidR="000355CB" w:rsidRPr="00FF2A9A">
        <w:rPr>
          <w:rFonts w:ascii="Arial" w:eastAsia="Calibri" w:hAnsi="Arial" w:cs="Arial"/>
          <w:noProof w:val="0"/>
        </w:rPr>
        <w:t>две</w:t>
      </w:r>
      <w:r w:rsidR="00BE1440" w:rsidRPr="00FF2A9A">
        <w:rPr>
          <w:rFonts w:ascii="Arial" w:eastAsia="Calibri" w:hAnsi="Arial" w:cs="Arial"/>
          <w:noProof w:val="0"/>
        </w:rPr>
        <w:t xml:space="preserve"> независими съпоставими оферти с цел определяне основателността на предложените </w:t>
      </w:r>
      <w:r w:rsidR="000355CB" w:rsidRPr="00FF2A9A">
        <w:rPr>
          <w:rFonts w:ascii="Arial" w:eastAsia="Calibri" w:hAnsi="Arial" w:cs="Arial"/>
          <w:noProof w:val="0"/>
        </w:rPr>
        <w:t>разходи - прикачени в ИСУН 2020.</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 по т. 2 от 14.1.2 от настоящите условия)</w:t>
      </w:r>
    </w:p>
    <w:p w:rsidR="00035081"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19</w:t>
      </w:r>
      <w:r w:rsidR="00035081" w:rsidRPr="00FF2A9A">
        <w:rPr>
          <w:rFonts w:ascii="Arial" w:eastAsia="Calibri" w:hAnsi="Arial" w:cs="Arial"/>
          <w:noProof w:val="0"/>
        </w:rPr>
        <w:t>. Подписан договор с избрания изпълнител с разбивка на разходите по дейности и платежни документи към него за извършени разходи преди подаване на Формуляра за кандида</w:t>
      </w:r>
      <w:r w:rsidR="00C641F6" w:rsidRPr="00FF2A9A">
        <w:rPr>
          <w:rFonts w:ascii="Arial" w:eastAsia="Calibri" w:hAnsi="Arial" w:cs="Arial"/>
          <w:noProof w:val="0"/>
        </w:rPr>
        <w:t>тстване - прикачен в ИСУН 2020.</w:t>
      </w:r>
    </w:p>
    <w:p w:rsidR="00DC4447" w:rsidRPr="00FF2A9A" w:rsidRDefault="00DC4447"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w:t>
      </w:r>
    </w:p>
    <w:p w:rsidR="00035081"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20</w:t>
      </w:r>
      <w:r w:rsidR="00BE1440" w:rsidRPr="00FF2A9A">
        <w:rPr>
          <w:rFonts w:ascii="Arial" w:eastAsia="Calibri" w:hAnsi="Arial" w:cs="Arial"/>
          <w:noProof w:val="0"/>
        </w:rPr>
        <w:t xml:space="preserve">. </w:t>
      </w:r>
      <w:r w:rsidR="00035081" w:rsidRPr="00FF2A9A">
        <w:rPr>
          <w:rFonts w:ascii="Arial" w:eastAsia="Calibri" w:hAnsi="Arial" w:cs="Arial"/>
          <w:noProof w:val="0"/>
        </w:rPr>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А) Официален каталог на производител или оторизиран представител,</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или</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Б) Независима, съпоставима и конкурентна оферта.</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предметът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да е идентичен или сходен с посочената в офертата доставка, услуга или строителство. Проверката за предмета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се </w:t>
      </w:r>
      <w:r w:rsidRPr="00FF2A9A">
        <w:rPr>
          <w:rFonts w:ascii="Arial" w:eastAsia="Calibri" w:hAnsi="Arial" w:cs="Arial"/>
          <w:noProof w:val="0"/>
        </w:rPr>
        <w:lastRenderedPageBreak/>
        <w:t>извършва чрез справка в Търговския регистър към Агенцията по вписванията/Регистър БУЛСТАТ/</w:t>
      </w:r>
      <w:proofErr w:type="spellStart"/>
      <w:r w:rsidRPr="00FF2A9A">
        <w:rPr>
          <w:rFonts w:ascii="Arial" w:eastAsia="Calibri" w:hAnsi="Arial" w:cs="Arial"/>
          <w:noProof w:val="0"/>
        </w:rPr>
        <w:t>Правноинформационна</w:t>
      </w:r>
      <w:proofErr w:type="spellEnd"/>
      <w:r w:rsidRPr="00FF2A9A">
        <w:rPr>
          <w:rFonts w:ascii="Arial" w:eastAsia="Calibri" w:hAnsi="Arial" w:cs="Arial"/>
          <w:noProof w:val="0"/>
        </w:rPr>
        <w:t xml:space="preserve"> система (АПИС, СИЕЛА или др.). В случай че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чуждестранно лице – проверката ще се извърши въз основа на представения документ за регистрация съгласно националното му законодателство;</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справка-декларация, подписана от законния представител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Справката трябва да е придружена от Отчет за приходите и разходите за съответните приключили финансови години, в зависимост от датата, на която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е учреден или започнал дейността си. Ако отчетите за приходите и разходите са публично обявени, се извършва справка в съответния регистър.</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proofErr w:type="spellStart"/>
      <w:r w:rsidRPr="00FF2A9A">
        <w:rPr>
          <w:rFonts w:ascii="Arial" w:eastAsia="Calibri" w:hAnsi="Arial" w:cs="Arial"/>
          <w:noProof w:val="0"/>
        </w:rPr>
        <w:t>Оферентите-строители</w:t>
      </w:r>
      <w:proofErr w:type="spellEnd"/>
      <w:r w:rsidRPr="00FF2A9A">
        <w:rPr>
          <w:rFonts w:ascii="Arial" w:eastAsia="Calibri" w:hAnsi="Arial" w:cs="Arial"/>
          <w:noProof w:val="0"/>
        </w:rPr>
        <w:t xml:space="preserve"> трябва да бъдат вписани в регистъра на Камарата на строителите или еквивалентен регистър съгласно националното му законодателство.</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Документите следва да са прикачени в ИСУН 2020.</w:t>
      </w:r>
    </w:p>
    <w:p w:rsidR="00035081" w:rsidRPr="00F647D0" w:rsidRDefault="00035081"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(документите са задължителни за всеки разход от инвестицията в проектното предложение)</w:t>
      </w:r>
    </w:p>
    <w:p w:rsidR="004827DD"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21</w:t>
      </w:r>
      <w:r w:rsidR="00BE1440" w:rsidRPr="00FF2A9A">
        <w:rPr>
          <w:rFonts w:ascii="Arial" w:eastAsia="Calibri" w:hAnsi="Arial" w:cs="Arial"/>
          <w:noProof w:val="0"/>
        </w:rPr>
        <w:t xml:space="preserve">. </w:t>
      </w:r>
      <w:r w:rsidR="004827DD">
        <w:rPr>
          <w:rFonts w:ascii="Arial" w:eastAsia="Calibri" w:hAnsi="Arial" w:cs="Arial"/>
          <w:noProof w:val="0"/>
        </w:rPr>
        <w:t>Приложение № 9 Пакет</w:t>
      </w:r>
      <w:r w:rsidR="004827DD" w:rsidRPr="004827DD">
        <w:rPr>
          <w:rFonts w:ascii="Arial" w:eastAsia="Calibri" w:hAnsi="Arial" w:cs="Arial"/>
          <w:noProof w:val="0"/>
        </w:rPr>
        <w:t xml:space="preserve"> </w:t>
      </w:r>
      <w:r w:rsidR="004827DD">
        <w:rPr>
          <w:rFonts w:ascii="Arial" w:eastAsia="Calibri" w:hAnsi="Arial" w:cs="Arial"/>
          <w:noProof w:val="0"/>
        </w:rPr>
        <w:t>д</w:t>
      </w:r>
      <w:r w:rsidR="004827DD" w:rsidRPr="004827DD">
        <w:rPr>
          <w:rFonts w:ascii="Arial" w:eastAsia="Calibri" w:hAnsi="Arial" w:cs="Arial"/>
          <w:noProof w:val="0"/>
        </w:rPr>
        <w:t xml:space="preserve">екларации към УК -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административен и оперативен капацитет; Декларация за липса на нередности; Декларация за липса на конфликт на интереси; Декларация по чл. 10, </w:t>
      </w:r>
      <w:proofErr w:type="spellStart"/>
      <w:r w:rsidR="004827DD" w:rsidRPr="004827DD">
        <w:rPr>
          <w:rFonts w:ascii="Arial" w:eastAsia="Calibri" w:hAnsi="Arial" w:cs="Arial"/>
          <w:noProof w:val="0"/>
        </w:rPr>
        <w:t>пар</w:t>
      </w:r>
      <w:proofErr w:type="spellEnd"/>
      <w:r w:rsidR="004827DD" w:rsidRPr="004827DD">
        <w:rPr>
          <w:rFonts w:ascii="Arial" w:eastAsia="Calibri" w:hAnsi="Arial" w:cs="Arial"/>
          <w:noProof w:val="0"/>
        </w:rPr>
        <w:t xml:space="preserve">. 5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004827DD" w:rsidRPr="004827DD">
        <w:rPr>
          <w:rFonts w:ascii="Arial" w:eastAsia="Calibri" w:hAnsi="Arial" w:cs="Arial"/>
          <w:noProof w:val="0"/>
        </w:rPr>
        <w:t>Евратом</w:t>
      </w:r>
      <w:proofErr w:type="spellEnd"/>
      <w:r w:rsidR="004827DD" w:rsidRPr="004827DD">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 - попълнена по образец, към датата на подаване на Формуляра за кандидатстване, подписано с КЕП и прикачено в ИСУН 2020.</w:t>
      </w:r>
    </w:p>
    <w:p w:rsidR="004827DD" w:rsidRPr="00FF2A9A" w:rsidRDefault="00785B71" w:rsidP="004827D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22</w:t>
      </w:r>
      <w:r w:rsidR="00BE1440" w:rsidRPr="00FF2A9A">
        <w:rPr>
          <w:rFonts w:ascii="Arial" w:eastAsia="Calibri" w:hAnsi="Arial" w:cs="Arial"/>
          <w:noProof w:val="0"/>
        </w:rPr>
        <w:t xml:space="preserve">. </w:t>
      </w:r>
      <w:r w:rsidR="004827DD">
        <w:rPr>
          <w:rFonts w:ascii="Arial" w:eastAsia="Calibri" w:hAnsi="Arial" w:cs="Arial"/>
          <w:noProof w:val="0"/>
        </w:rPr>
        <w:t xml:space="preserve">Приложение № 10 </w:t>
      </w:r>
      <w:r w:rsidR="004827DD" w:rsidRPr="00FF2A9A">
        <w:rPr>
          <w:rFonts w:ascii="Arial" w:eastAsia="Calibri" w:hAnsi="Arial" w:cs="Arial"/>
          <w:noProof w:val="0"/>
        </w:rPr>
        <w:t>Декларация за обстоятелствата по чл. 3 и чл. 4 от Закона за малките и средните предприятия – попълнена по образец, подписана с КЕП и прикачена в ИСУН 2020.</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23</w:t>
      </w:r>
      <w:r w:rsidR="00BE1440" w:rsidRPr="00FF2A9A">
        <w:rPr>
          <w:rFonts w:ascii="Arial" w:eastAsia="Calibri" w:hAnsi="Arial" w:cs="Arial"/>
          <w:noProof w:val="0"/>
        </w:rPr>
        <w:t xml:space="preserve">. </w:t>
      </w:r>
      <w:r w:rsidR="004827DD">
        <w:rPr>
          <w:rFonts w:ascii="Arial" w:eastAsia="Calibri" w:hAnsi="Arial" w:cs="Arial"/>
          <w:noProof w:val="0"/>
        </w:rPr>
        <w:t xml:space="preserve">Приложение № 11 </w:t>
      </w:r>
      <w:r w:rsidR="00BE1440" w:rsidRPr="00FF2A9A">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 попълнена по образец, подписана с</w:t>
      </w:r>
      <w:r w:rsidR="00035081" w:rsidRPr="00FF2A9A">
        <w:rPr>
          <w:rFonts w:ascii="Arial" w:eastAsia="Calibri" w:hAnsi="Arial" w:cs="Arial"/>
          <w:noProof w:val="0"/>
        </w:rPr>
        <w:t xml:space="preserve"> КЕП и прикачена в ИСУН 2020.</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24</w:t>
      </w:r>
      <w:r w:rsidR="00BE1440" w:rsidRPr="00FF2A9A">
        <w:rPr>
          <w:rFonts w:ascii="Arial" w:eastAsia="Calibri" w:hAnsi="Arial" w:cs="Arial"/>
          <w:noProof w:val="0"/>
        </w:rPr>
        <w:t xml:space="preserve">. </w:t>
      </w:r>
      <w:r w:rsidR="00314855" w:rsidRPr="00FF2A9A">
        <w:rPr>
          <w:rFonts w:ascii="Arial" w:eastAsia="Calibri" w:hAnsi="Arial" w:cs="Arial"/>
          <w:noProof w:val="0"/>
        </w:rPr>
        <w:t xml:space="preserve">Декларация, подписана от счетоводителя и лицето, представляващо по закон </w:t>
      </w:r>
      <w:proofErr w:type="spellStart"/>
      <w:r w:rsidR="00314855" w:rsidRPr="00FF2A9A">
        <w:rPr>
          <w:rFonts w:ascii="Arial" w:eastAsia="Calibri" w:hAnsi="Arial" w:cs="Arial"/>
          <w:noProof w:val="0"/>
        </w:rPr>
        <w:t>оферента</w:t>
      </w:r>
      <w:proofErr w:type="spellEnd"/>
      <w:r w:rsidR="00314855" w:rsidRPr="00FF2A9A">
        <w:rPr>
          <w:rFonts w:ascii="Arial" w:eastAsia="Calibri" w:hAnsi="Arial" w:cs="Arial"/>
          <w:noProof w:val="0"/>
        </w:rPr>
        <w:t xml:space="preserve">, във връзка с изискването за доказване на специфичен оборот от </w:t>
      </w:r>
      <w:proofErr w:type="spellStart"/>
      <w:r w:rsidR="00314855" w:rsidRPr="00FF2A9A">
        <w:rPr>
          <w:rFonts w:ascii="Arial" w:eastAsia="Calibri" w:hAnsi="Arial" w:cs="Arial"/>
          <w:noProof w:val="0"/>
        </w:rPr>
        <w:t>оферента</w:t>
      </w:r>
      <w:proofErr w:type="spellEnd"/>
      <w:r w:rsidR="00314855" w:rsidRPr="00FF2A9A">
        <w:rPr>
          <w:rFonts w:ascii="Arial" w:eastAsia="Calibri" w:hAnsi="Arial" w:cs="Arial"/>
          <w:noProof w:val="0"/>
        </w:rPr>
        <w:t>.</w:t>
      </w:r>
    </w:p>
    <w:p w:rsidR="00314855"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314855">
        <w:rPr>
          <w:rFonts w:ascii="Arial" w:eastAsia="Calibri" w:hAnsi="Arial" w:cs="Arial"/>
          <w:noProof w:val="0"/>
        </w:rPr>
        <w:t>Оборотът, който се декларира в справката-декларация, трябва да се докаже с копия на финансови и счетоводни документи, к</w:t>
      </w:r>
      <w:r>
        <w:rPr>
          <w:rFonts w:ascii="Arial" w:eastAsia="Calibri" w:hAnsi="Arial" w:cs="Arial"/>
          <w:noProof w:val="0"/>
        </w:rPr>
        <w:t>оито се прилагат към справката-</w:t>
      </w:r>
      <w:r w:rsidRPr="00314855">
        <w:rPr>
          <w:rFonts w:ascii="Arial" w:eastAsia="Calibri" w:hAnsi="Arial" w:cs="Arial"/>
          <w:noProof w:val="0"/>
        </w:rPr>
        <w:t>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r>
        <w:rPr>
          <w:rFonts w:ascii="Arial" w:eastAsia="Calibri" w:hAnsi="Arial" w:cs="Arial"/>
          <w:noProof w:val="0"/>
        </w:rPr>
        <w:t>.</w:t>
      </w:r>
    </w:p>
    <w:p w:rsidR="00BE1440"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lastRenderedPageBreak/>
        <w:drawing>
          <wp:inline distT="0" distB="0" distL="0" distR="0" wp14:anchorId="731DF2F7" wp14:editId="5EFEE7A3">
            <wp:extent cx="664210" cy="353695"/>
            <wp:effectExtent l="0" t="0" r="254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314855" w:rsidRDefault="00FA4C54"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Е-д</w:t>
      </w:r>
      <w:r w:rsidR="00314855" w:rsidRPr="00314855">
        <w:rPr>
          <w:rFonts w:ascii="Arial" w:eastAsia="Calibri" w:hAnsi="Arial" w:cs="Arial"/>
          <w:noProof w:val="0"/>
        </w:rPr>
        <w:t>екларация за съгласие данните на кандидата да бъдат предост</w:t>
      </w:r>
      <w:r w:rsidR="00314855">
        <w:rPr>
          <w:rFonts w:ascii="Arial" w:eastAsia="Calibri" w:hAnsi="Arial" w:cs="Arial"/>
          <w:noProof w:val="0"/>
        </w:rPr>
        <w:t xml:space="preserve">авени на НСИ по служебен път е </w:t>
      </w:r>
      <w:r w:rsidR="00314855" w:rsidRPr="00314855">
        <w:rPr>
          <w:rFonts w:ascii="Arial" w:eastAsia="Calibri" w:hAnsi="Arial" w:cs="Arial"/>
          <w:noProof w:val="0"/>
        </w:rPr>
        <w:t>задължителна част от формуляра за кандидатстване, всеки кандидат трябва да д</w:t>
      </w:r>
      <w:r>
        <w:rPr>
          <w:rFonts w:ascii="Arial" w:eastAsia="Calibri" w:hAnsi="Arial" w:cs="Arial"/>
          <w:noProof w:val="0"/>
        </w:rPr>
        <w:t>аде съгласието си чрез поле Е-</w:t>
      </w:r>
      <w:r w:rsidR="00314855" w:rsidRPr="00314855">
        <w:rPr>
          <w:rFonts w:ascii="Arial" w:eastAsia="Calibri" w:hAnsi="Arial" w:cs="Arial"/>
          <w:noProof w:val="0"/>
        </w:rPr>
        <w:t>декларации при кандидатстване. (</w:t>
      </w:r>
      <w:r w:rsidR="00314855" w:rsidRPr="00F647D0">
        <w:rPr>
          <w:rFonts w:ascii="Arial" w:eastAsia="Calibri" w:hAnsi="Arial" w:cs="Arial"/>
          <w:i/>
          <w:noProof w:val="0"/>
        </w:rPr>
        <w:t>задължително за всички проектни предложения</w:t>
      </w:r>
      <w:r w:rsidR="00314855" w:rsidRPr="00314855">
        <w:rPr>
          <w:rFonts w:ascii="Arial" w:eastAsia="Calibri" w:hAnsi="Arial" w:cs="Arial"/>
          <w:noProof w:val="0"/>
        </w:rPr>
        <w:t>).</w:t>
      </w:r>
    </w:p>
    <w:p w:rsidR="00314855" w:rsidRPr="00FF2A9A"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lang w:val="en-US"/>
        </w:rPr>
        <w:drawing>
          <wp:inline distT="0" distB="0" distL="0" distR="0" wp14:anchorId="7409466E" wp14:editId="22DFF195">
            <wp:extent cx="664210" cy="353695"/>
            <wp:effectExtent l="0" t="0" r="254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314855">
        <w:rPr>
          <w:rFonts w:ascii="Arial" w:eastAsia="Calibri" w:hAnsi="Arial" w:cs="Arial"/>
          <w:noProof w:val="0"/>
        </w:rPr>
        <w:t>Всички документи трябва да са издадени на името на кандидата.</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0443B248" wp14:editId="341B1CC5">
            <wp:extent cx="664210" cy="35369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w:t>
      </w:r>
      <w:proofErr w:type="spellStart"/>
      <w:r w:rsidR="00BE1440" w:rsidRPr="00FF2A9A">
        <w:rPr>
          <w:rFonts w:ascii="Arial" w:eastAsia="Calibri" w:hAnsi="Arial" w:cs="Arial"/>
          <w:noProof w:val="0"/>
        </w:rPr>
        <w:t>декриптирани</w:t>
      </w:r>
      <w:proofErr w:type="spellEnd"/>
      <w:r w:rsidR="00BE1440" w:rsidRPr="00FF2A9A">
        <w:rPr>
          <w:rFonts w:ascii="Arial" w:eastAsia="Calibri" w:hAnsi="Arial" w:cs="Arial"/>
          <w:noProof w:val="0"/>
        </w:rPr>
        <w:t xml:space="preserve"> и прочетени само и единствено чрез частния ключ на автора.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Квалифицираният електронен подпис, с който се подписват документите по </w:t>
      </w:r>
      <w:r w:rsidR="00E34E97" w:rsidRPr="00FF2A9A">
        <w:rPr>
          <w:rFonts w:ascii="Arial" w:eastAsia="Calibri" w:hAnsi="Arial" w:cs="Arial"/>
          <w:noProof w:val="0"/>
        </w:rPr>
        <w:t>т. 3 и</w:t>
      </w:r>
      <w:r w:rsidRPr="00FF2A9A">
        <w:rPr>
          <w:rFonts w:ascii="Arial" w:eastAsia="Calibri" w:hAnsi="Arial" w:cs="Arial"/>
          <w:noProof w:val="0"/>
        </w:rPr>
        <w:t xml:space="preserve"> </w:t>
      </w:r>
      <w:r w:rsidR="00E34E97" w:rsidRPr="00FF2A9A">
        <w:rPr>
          <w:rFonts w:ascii="Arial" w:eastAsia="Calibri" w:hAnsi="Arial" w:cs="Arial"/>
          <w:noProof w:val="0"/>
        </w:rPr>
        <w:t xml:space="preserve">от т. </w:t>
      </w:r>
      <w:r w:rsidR="00C641F6" w:rsidRPr="00FF2A9A">
        <w:rPr>
          <w:rFonts w:ascii="Arial" w:eastAsia="Calibri" w:hAnsi="Arial" w:cs="Arial"/>
          <w:noProof w:val="0"/>
        </w:rPr>
        <w:t>21 до т. 2</w:t>
      </w:r>
      <w:r w:rsidR="00314855">
        <w:rPr>
          <w:rFonts w:ascii="Arial" w:eastAsia="Calibri" w:hAnsi="Arial" w:cs="Arial"/>
          <w:noProof w:val="0"/>
        </w:rPr>
        <w:t>3</w:t>
      </w:r>
      <w:r w:rsidRPr="00FF2A9A">
        <w:rPr>
          <w:rFonts w:ascii="Arial" w:eastAsia="Calibri" w:hAnsi="Arial" w:cs="Arial"/>
          <w:noProof w:val="0"/>
        </w:rPr>
        <w:t>, следва да е валиден към датата на кандидатстване и да е с титуляр и автор - физич</w:t>
      </w:r>
      <w:r w:rsidR="00C2560D" w:rsidRPr="00FF2A9A">
        <w:rPr>
          <w:rFonts w:ascii="Arial" w:eastAsia="Calibri" w:hAnsi="Arial" w:cs="Arial"/>
          <w:noProof w:val="0"/>
        </w:rPr>
        <w:t xml:space="preserve">еското лице, което е официален </w:t>
      </w:r>
      <w:r w:rsidRPr="00FF2A9A">
        <w:rPr>
          <w:rFonts w:ascii="Arial" w:eastAsia="Calibri" w:hAnsi="Arial" w:cs="Arial"/>
          <w:noProof w:val="0"/>
        </w:rPr>
        <w:t xml:space="preserve">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w:t>
      </w:r>
    </w:p>
    <w:p w:rsidR="00E34E97" w:rsidRPr="00FF2A9A" w:rsidRDefault="00E34E9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0F2B7647" wp14:editId="11654AED">
            <wp:extent cx="664210" cy="353695"/>
            <wp:effectExtent l="0" t="0" r="254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F2A9A">
        <w:rPr>
          <w:rFonts w:ascii="Arial" w:eastAsia="Calibri" w:hAnsi="Arial" w:cs="Arial"/>
          <w:noProof w:val="0"/>
        </w:rPr>
        <w:t xml:space="preserve">Законният/те представител/и на кандидата няма/т право да упълномощава/т други лица да подписват декларациите по т. </w:t>
      </w:r>
      <w:r w:rsidR="00281619" w:rsidRPr="00FF2A9A">
        <w:rPr>
          <w:rFonts w:ascii="Arial" w:eastAsia="Calibri" w:hAnsi="Arial" w:cs="Arial"/>
          <w:noProof w:val="0"/>
        </w:rPr>
        <w:t>21- 2</w:t>
      </w:r>
      <w:r w:rsidR="00314855">
        <w:rPr>
          <w:rFonts w:ascii="Arial" w:eastAsia="Calibri" w:hAnsi="Arial" w:cs="Arial"/>
          <w:noProof w:val="0"/>
        </w:rPr>
        <w:t>3</w:t>
      </w:r>
      <w:r w:rsidRPr="00FF2A9A">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BE1440" w:rsidRPr="00FF2A9A" w:rsidRDefault="00E34E9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Кандидатите следва да се уверят, че всички документи са представени в изискуемата форма. </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75F8245C" wp14:editId="4B97DB73">
            <wp:extent cx="664210" cy="3536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кандидатстване посредством ИСУН 2020.</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lang w:val="en-US"/>
        </w:rPr>
      </w:pPr>
      <w:r w:rsidRPr="00FF2A9A">
        <w:rPr>
          <w:rFonts w:ascii="Arial" w:hAnsi="Arial" w:cs="Arial"/>
          <w:lang w:val="en-US"/>
        </w:rPr>
        <w:drawing>
          <wp:inline distT="0" distB="0" distL="0" distR="0" wp14:anchorId="1BCAB8B3" wp14:editId="4B1C7069">
            <wp:extent cx="666750" cy="3524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hAnsi="Arial" w:cs="Arial"/>
        </w:rPr>
        <w:t>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rPr>
      </w:pPr>
      <w:r w:rsidRPr="00FF2A9A">
        <w:rPr>
          <w:rFonts w:ascii="Arial" w:hAnsi="Arial" w:cs="Arial"/>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 документ не по-късно от 30 /тридесет/ календарни дни след датата на приключване на приема по настоящата процедура.</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lang w:val="en-US"/>
        </w:rPr>
      </w:pPr>
    </w:p>
    <w:p w:rsidR="00C2560D"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В случай</w:t>
      </w:r>
      <w:r w:rsidR="00314855">
        <w:rPr>
          <w:rFonts w:ascii="Arial" w:eastAsia="Calibri" w:hAnsi="Arial" w:cs="Arial"/>
          <w:noProof w:val="0"/>
          <w:snapToGrid w:val="0"/>
        </w:rPr>
        <w:t>,</w:t>
      </w:r>
      <w:r w:rsidRPr="00FF2A9A">
        <w:rPr>
          <w:rFonts w:ascii="Arial" w:eastAsia="Calibri" w:hAnsi="Arial" w:cs="Arial"/>
          <w:noProof w:val="0"/>
          <w:snapToGrid w:val="0"/>
        </w:rPr>
        <w:t xml:space="preserve"> че при проверката на документите бъде установена липса на документи и/или друга нередовност, Оценителната комисия ще изпраща до кандидатите уведомление за установените </w:t>
      </w:r>
      <w:proofErr w:type="spellStart"/>
      <w:r w:rsidRPr="00FF2A9A">
        <w:rPr>
          <w:rFonts w:ascii="Arial" w:eastAsia="Calibri" w:hAnsi="Arial" w:cs="Arial"/>
          <w:noProof w:val="0"/>
          <w:snapToGrid w:val="0"/>
        </w:rPr>
        <w:t>нередовности</w:t>
      </w:r>
      <w:proofErr w:type="spellEnd"/>
      <w:r w:rsidRPr="00FF2A9A">
        <w:rPr>
          <w:rFonts w:ascii="Arial" w:eastAsia="Calibri" w:hAnsi="Arial" w:cs="Arial"/>
          <w:noProof w:val="0"/>
          <w:snapToGrid w:val="0"/>
        </w:rPr>
        <w:t xml:space="preserve">. Кандидатите следва да представят липсващите документи/отстранят </w:t>
      </w:r>
      <w:proofErr w:type="spellStart"/>
      <w:r w:rsidRPr="00FF2A9A">
        <w:rPr>
          <w:rFonts w:ascii="Arial" w:eastAsia="Calibri" w:hAnsi="Arial" w:cs="Arial"/>
          <w:noProof w:val="0"/>
          <w:snapToGrid w:val="0"/>
        </w:rPr>
        <w:t>нередов</w:t>
      </w:r>
      <w:r w:rsidR="00C2560D" w:rsidRPr="00FF2A9A">
        <w:rPr>
          <w:rFonts w:ascii="Arial" w:eastAsia="Calibri" w:hAnsi="Arial" w:cs="Arial"/>
          <w:noProof w:val="0"/>
          <w:snapToGrid w:val="0"/>
        </w:rPr>
        <w:t>ностите</w:t>
      </w:r>
      <w:proofErr w:type="spellEnd"/>
      <w:r w:rsidR="00C2560D" w:rsidRPr="00FF2A9A">
        <w:rPr>
          <w:rFonts w:ascii="Arial" w:eastAsia="Calibri" w:hAnsi="Arial" w:cs="Arial"/>
          <w:noProof w:val="0"/>
          <w:snapToGrid w:val="0"/>
        </w:rPr>
        <w:t xml:space="preserve"> в срок от една седмица </w:t>
      </w:r>
      <w:r w:rsidRPr="00FF2A9A">
        <w:rPr>
          <w:rFonts w:ascii="Arial" w:eastAsia="Calibri" w:hAnsi="Arial" w:cs="Arial"/>
          <w:noProof w:val="0"/>
          <w:snapToGrid w:val="0"/>
        </w:rPr>
        <w:t xml:space="preserve">от датата на получаване на </w:t>
      </w:r>
      <w:r w:rsidRPr="00FF2A9A">
        <w:rPr>
          <w:rFonts w:ascii="Arial" w:eastAsia="Calibri" w:hAnsi="Arial" w:cs="Arial"/>
          <w:noProof w:val="0"/>
          <w:snapToGrid w:val="0"/>
        </w:rPr>
        <w:lastRenderedPageBreak/>
        <w:t xml:space="preserve">уведомлението, като денят на получаването му не се брои. Уведомленията за установени </w:t>
      </w:r>
      <w:proofErr w:type="spellStart"/>
      <w:r w:rsidRPr="00FF2A9A">
        <w:rPr>
          <w:rFonts w:ascii="Arial" w:eastAsia="Calibri" w:hAnsi="Arial" w:cs="Arial"/>
          <w:noProof w:val="0"/>
          <w:snapToGrid w:val="0"/>
        </w:rPr>
        <w:t>нередовности</w:t>
      </w:r>
      <w:proofErr w:type="spellEnd"/>
      <w:r w:rsidRPr="00FF2A9A">
        <w:rPr>
          <w:rFonts w:ascii="Arial" w:eastAsia="Calibri" w:hAnsi="Arial" w:cs="Arial"/>
          <w:noProof w:val="0"/>
          <w:snapToGrid w:val="0"/>
        </w:rPr>
        <w:t xml:space="preserve">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Pr="00FF2A9A">
        <w:rPr>
          <w:rFonts w:ascii="Arial" w:eastAsia="Calibri" w:hAnsi="Arial" w:cs="Arial"/>
          <w:noProof w:val="0"/>
        </w:rPr>
        <w:t>Срокът за представяне на допълнителни документи/информация е 10 дни. Кандидатът представя липсващите докумен</w:t>
      </w:r>
      <w:r w:rsidR="00C2560D" w:rsidRPr="00FF2A9A">
        <w:rPr>
          <w:rFonts w:ascii="Arial" w:eastAsia="Calibri" w:hAnsi="Arial" w:cs="Arial"/>
          <w:noProof w:val="0"/>
        </w:rPr>
        <w:t>ти по електронен път чрез ИСУН.</w:t>
      </w:r>
    </w:p>
    <w:p w:rsidR="00C2560D"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w:t>
      </w:r>
      <w:r w:rsidR="00C2560D" w:rsidRPr="00FF2A9A">
        <w:rPr>
          <w:rFonts w:ascii="Arial" w:eastAsia="Calibri" w:hAnsi="Arial" w:cs="Arial"/>
          <w:noProof w:val="0"/>
        </w:rPr>
        <w:t>и единствено на това основание.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Всяка информация, предоставена извън официално изисканата от Оценителната комисия, няма да бъде вземана под внимание.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Неотстраняването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в срок може да доведе до прекратяване на производството по отношение на кандидата или до редуциране на разходи в бюджета на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snapToGrid w:val="0"/>
        </w:rPr>
      </w:pPr>
      <w:r w:rsidRPr="00FF2A9A">
        <w:rPr>
          <w:rFonts w:ascii="Arial" w:eastAsia="Calibri" w:hAnsi="Arial" w:cs="Arial"/>
          <w:noProof w:val="0"/>
          <w:snapToGrid w:val="0"/>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1D114DA1" wp14:editId="3BDBD907">
            <wp:extent cx="664210" cy="3536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b/>
          <w:bCs/>
          <w:noProof w:val="0"/>
          <w:snapToGrid w:val="0"/>
        </w:rPr>
        <w:t xml:space="preserve">Отстраняването на </w:t>
      </w:r>
      <w:proofErr w:type="spellStart"/>
      <w:r w:rsidR="00BE1440" w:rsidRPr="00FF2A9A">
        <w:rPr>
          <w:rFonts w:ascii="Arial" w:eastAsia="Calibri" w:hAnsi="Arial" w:cs="Arial"/>
          <w:b/>
          <w:bCs/>
          <w:noProof w:val="0"/>
          <w:snapToGrid w:val="0"/>
        </w:rPr>
        <w:t>нередовностите</w:t>
      </w:r>
      <w:proofErr w:type="spellEnd"/>
      <w:r w:rsidR="00BE1440" w:rsidRPr="00FF2A9A">
        <w:rPr>
          <w:rFonts w:ascii="Arial" w:eastAsia="Calibri" w:hAnsi="Arial" w:cs="Arial"/>
          <w:b/>
          <w:bCs/>
          <w:noProof w:val="0"/>
          <w:snapToGrid w:val="0"/>
        </w:rPr>
        <w:t xml:space="preserve"> в никакъв случай и при никакви обстоятелства не трябва да води до подобряване на качеството на проектните предложения.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w:t>
      </w:r>
      <w:r w:rsidR="00401AAF" w:rsidRPr="00FF2A9A">
        <w:rPr>
          <w:rFonts w:ascii="Arial" w:eastAsia="Calibri" w:hAnsi="Arial" w:cs="Arial"/>
          <w:noProof w:val="0"/>
          <w:snapToGrid w:val="0"/>
        </w:rPr>
        <w:t>-</w:t>
      </w:r>
      <w:r w:rsidRPr="00FF2A9A">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7C21BC94" wp14:editId="354C6E35">
            <wp:extent cx="664210" cy="353695"/>
            <wp:effectExtent l="0" t="0" r="254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00CCFF"/>
        </w:rPr>
      </w:pPr>
      <w:bookmarkStart w:id="76" w:name="_Toc475538956"/>
      <w:bookmarkStart w:id="77" w:name="_Toc59537585"/>
      <w:r w:rsidRPr="00FF2A9A">
        <w:rPr>
          <w:rFonts w:ascii="Arial" w:eastAsia="Times New Roman" w:hAnsi="Arial" w:cs="Arial"/>
          <w:b/>
          <w:bCs/>
          <w:noProof w:val="0"/>
          <w:color w:val="5B9BD5"/>
        </w:rPr>
        <w:t>25. Краен срок за подаване на проектните предложения</w:t>
      </w:r>
      <w:r w:rsidRPr="00FF2A9A">
        <w:rPr>
          <w:rFonts w:ascii="Arial" w:eastAsia="Times New Roman" w:hAnsi="Arial" w:cs="Arial"/>
          <w:noProof w:val="0"/>
          <w:color w:val="00CCFF"/>
          <w:vertAlign w:val="superscript"/>
        </w:rPr>
        <w:footnoteReference w:id="2"/>
      </w:r>
      <w:r w:rsidRPr="00FF2A9A">
        <w:rPr>
          <w:rFonts w:ascii="Arial" w:eastAsia="Times New Roman" w:hAnsi="Arial" w:cs="Arial"/>
          <w:b/>
          <w:bCs/>
          <w:noProof w:val="0"/>
          <w:color w:val="5B9BD5"/>
        </w:rPr>
        <w:t>:</w:t>
      </w:r>
      <w:bookmarkEnd w:id="76"/>
      <w:bookmarkEnd w:id="77"/>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bookmarkStart w:id="78" w:name="_Toc451334655"/>
      <w:r w:rsidRPr="00FF2A9A">
        <w:rPr>
          <w:rFonts w:ascii="Arial" w:eastAsia="Calibri" w:hAnsi="Arial" w:cs="Arial"/>
          <w:b/>
          <w:bCs/>
          <w:noProof w:val="0"/>
        </w:rPr>
        <w:t>Крайният срок за подаване на проектни предложения 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r w:rsidRPr="00FF2A9A">
        <w:rPr>
          <w:rFonts w:ascii="Arial" w:eastAsia="Calibri" w:hAnsi="Arial" w:cs="Arial"/>
          <w:b/>
          <w:bCs/>
          <w:noProof w:val="0"/>
        </w:rPr>
        <w:t xml:space="preserve">17:00 часа на </w:t>
      </w:r>
      <w:r w:rsidR="003015BE" w:rsidRPr="00BC7BE6">
        <w:rPr>
          <w:rFonts w:ascii="Arial" w:eastAsia="Calibri" w:hAnsi="Arial" w:cs="Arial"/>
          <w:b/>
          <w:bCs/>
          <w:noProof w:val="0"/>
        </w:rPr>
        <w:t>01</w:t>
      </w:r>
      <w:r w:rsidR="00562B0D" w:rsidRPr="00BC7BE6">
        <w:rPr>
          <w:rFonts w:ascii="Arial" w:eastAsia="Calibri" w:hAnsi="Arial" w:cs="Arial"/>
          <w:b/>
          <w:bCs/>
          <w:noProof w:val="0"/>
        </w:rPr>
        <w:t>.</w:t>
      </w:r>
      <w:r w:rsidR="000820C7">
        <w:rPr>
          <w:rFonts w:ascii="Arial" w:eastAsia="Calibri" w:hAnsi="Arial" w:cs="Arial"/>
          <w:b/>
          <w:bCs/>
          <w:noProof w:val="0"/>
          <w:lang w:val="en-US"/>
        </w:rPr>
        <w:t>1</w:t>
      </w:r>
      <w:r w:rsidR="00A90AAB">
        <w:rPr>
          <w:rFonts w:ascii="Arial" w:eastAsia="Calibri" w:hAnsi="Arial" w:cs="Arial"/>
          <w:b/>
          <w:bCs/>
          <w:noProof w:val="0"/>
        </w:rPr>
        <w:t>1</w:t>
      </w:r>
      <w:r w:rsidR="00A75130" w:rsidRPr="00BC7BE6">
        <w:rPr>
          <w:rFonts w:ascii="Arial" w:eastAsia="Calibri" w:hAnsi="Arial" w:cs="Arial"/>
          <w:b/>
          <w:bCs/>
          <w:noProof w:val="0"/>
        </w:rPr>
        <w:t>.202</w:t>
      </w:r>
      <w:r w:rsidR="00314855" w:rsidRPr="00BC7BE6">
        <w:rPr>
          <w:rFonts w:ascii="Arial" w:eastAsia="Calibri" w:hAnsi="Arial" w:cs="Arial"/>
          <w:b/>
          <w:bCs/>
          <w:noProof w:val="0"/>
        </w:rPr>
        <w:t>2</w:t>
      </w:r>
      <w:r w:rsidR="00A75130" w:rsidRPr="00BC7BE6">
        <w:rPr>
          <w:rFonts w:ascii="Arial" w:eastAsia="Calibri" w:hAnsi="Arial" w:cs="Arial"/>
          <w:b/>
          <w:bCs/>
          <w:noProof w:val="0"/>
        </w:rPr>
        <w:t xml:space="preserve"> г.</w:t>
      </w:r>
      <w:r w:rsidRPr="00BC7BE6">
        <w:rPr>
          <w:rFonts w:ascii="Arial" w:eastAsia="Calibri" w:hAnsi="Arial" w:cs="Arial"/>
          <w:b/>
          <w:bCs/>
          <w:noProof w:val="0"/>
        </w:rPr>
        <w:t>;</w:t>
      </w:r>
    </w:p>
    <w:p w:rsidR="00BE1440" w:rsidRPr="00FF2A9A" w:rsidRDefault="00C2560D"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u w:val="single"/>
        </w:rPr>
      </w:pPr>
      <w:r w:rsidRPr="00FF2A9A">
        <w:rPr>
          <w:rFonts w:ascii="Arial" w:eastAsia="Calibri" w:hAnsi="Arial" w:cs="Arial"/>
          <w:b/>
          <w:lang w:val="en-US"/>
        </w:rPr>
        <w:drawing>
          <wp:inline distT="0" distB="0" distL="0" distR="0" wp14:anchorId="502CA538" wp14:editId="5BCB3780">
            <wp:extent cx="664210" cy="353695"/>
            <wp:effectExtent l="0" t="0" r="254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В рамките на настоящата процедура кандидатите могат да подадат само едно проектно предложение</w:t>
      </w:r>
      <w:r w:rsidR="00BE1440" w:rsidRPr="00FF2A9A">
        <w:rPr>
          <w:rFonts w:ascii="Arial" w:eastAsia="Calibri" w:hAnsi="Arial" w:cs="Arial"/>
          <w:noProof w:val="0"/>
          <w:vertAlign w:val="superscript"/>
        </w:rPr>
        <w:footnoteReference w:id="3"/>
      </w:r>
      <w:r w:rsidR="00BE1440" w:rsidRPr="00FF2A9A">
        <w:rPr>
          <w:rFonts w:ascii="Arial" w:eastAsia="Calibri" w:hAnsi="Arial" w:cs="Arial"/>
          <w:noProof w:val="0"/>
        </w:rPr>
        <w:t xml:space="preserve"> при съобразяване на изискванията по т. 9 от настоящите Условия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w:t>
      </w:r>
      <w:r w:rsidRPr="00BC7BE6">
        <w:rPr>
          <w:rFonts w:ascii="Arial" w:eastAsia="Calibri" w:hAnsi="Arial" w:cs="Arial"/>
          <w:noProof w:val="0"/>
        </w:rPr>
        <w:t>.</w:t>
      </w:r>
      <w:r w:rsidRPr="00FF2A9A">
        <w:rPr>
          <w:rFonts w:ascii="Arial" w:eastAsia="Calibri" w:hAnsi="Arial" w:cs="Arial"/>
          <w:noProof w:val="0"/>
        </w:rPr>
        <w:t xml:space="preserve"> Допълнителни въпроси могат да се задават само по електронната поща, посочена по-долу, като ясно се посочва наименованието на процедурата чрез подбор на проекти:</w:t>
      </w:r>
    </w:p>
    <w:p w:rsidR="00C2560D"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Адрес на електронна поща:</w:t>
      </w:r>
      <w:r w:rsidRPr="00FF2A9A">
        <w:rPr>
          <w:rFonts w:ascii="Arial" w:eastAsia="Calibri" w:hAnsi="Arial" w:cs="Arial"/>
          <w:b/>
          <w:bCs/>
          <w:noProof w:val="0"/>
        </w:rPr>
        <w:t xml:space="preserve"> </w:t>
      </w:r>
      <w:hyperlink r:id="rId19" w:history="1">
        <w:r w:rsidR="00C2560D" w:rsidRPr="00257F65">
          <w:rPr>
            <w:rStyle w:val="Hyperlink"/>
            <w:rFonts w:ascii="Arial" w:eastAsia="Calibri" w:hAnsi="Arial" w:cs="Arial"/>
            <w:bCs/>
            <w:i/>
            <w:noProof w:val="0"/>
          </w:rPr>
          <w:t>pmdr@mzh.government.bg</w:t>
        </w:r>
      </w:hyperlink>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Отговорите на въпросите на кандидатите се публикуват на интернет страницата на Управляващия орган на </w:t>
      </w:r>
      <w:r w:rsidR="009F5181" w:rsidRPr="009F5181">
        <w:rPr>
          <w:rFonts w:ascii="Arial" w:eastAsia="Calibri" w:hAnsi="Arial" w:cs="Arial"/>
          <w:noProof w:val="0"/>
        </w:rPr>
        <w:t xml:space="preserve">Единния информационен портал на Европейските структурни и инвестиционни фондове </w:t>
      </w:r>
      <w:r w:rsidRPr="00FF2A9A">
        <w:rPr>
          <w:rFonts w:ascii="Arial" w:eastAsia="Calibri" w:hAnsi="Arial" w:cs="Arial"/>
          <w:noProof w:val="0"/>
        </w:rPr>
        <w:t xml:space="preserve">– </w:t>
      </w:r>
      <w:hyperlink r:id="rId20" w:history="1">
        <w:r w:rsidRPr="00FF2A9A">
          <w:rPr>
            <w:rFonts w:ascii="Arial" w:eastAsia="Calibri" w:hAnsi="Arial" w:cs="Arial"/>
            <w:i/>
            <w:noProof w:val="0"/>
            <w:color w:val="0563C1"/>
            <w:u w:val="single"/>
          </w:rPr>
          <w:t>www.eufunds.bg</w:t>
        </w:r>
      </w:hyperlink>
      <w:r w:rsidRPr="00FF2A9A">
        <w:rPr>
          <w:rFonts w:ascii="Arial" w:eastAsia="Calibri" w:hAnsi="Arial" w:cs="Arial"/>
          <w:noProof w:val="0"/>
        </w:rPr>
        <w:t>, както и в ИСУН 2020 не по-късно от 2 седмици преди определения краен срок за подаване на проект</w:t>
      </w:r>
      <w:r w:rsidR="00FE7A69" w:rsidRPr="00FF2A9A">
        <w:rPr>
          <w:rFonts w:ascii="Arial" w:eastAsia="Calibri" w:hAnsi="Arial" w:cs="Arial"/>
          <w:noProof w:val="0"/>
        </w:rPr>
        <w:t>ни предложения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r w:rsidRPr="00FF2A9A">
        <w:rPr>
          <w:rFonts w:ascii="Arial" w:eastAsia="Calibri" w:hAnsi="Arial" w:cs="Arial"/>
          <w:noProof w:val="0"/>
        </w:rPr>
        <w:t>Публикуваните отговори на въпроси задължително се вземат под внимание от страна на Управляващия орган, Оценителната комисия по процедурата при оценката на проектните предложения и от кандидатите по процедурат</w:t>
      </w:r>
      <w:r w:rsidR="00C2560D" w:rsidRPr="00FF2A9A">
        <w:rPr>
          <w:rFonts w:ascii="Arial" w:eastAsia="Calibri" w:hAnsi="Arial" w:cs="Arial"/>
          <w:noProof w:val="0"/>
        </w:rPr>
        <w:t>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79" w:name="_Toc475538957"/>
      <w:bookmarkStart w:id="80" w:name="_Toc59537586"/>
      <w:r w:rsidRPr="00FF2A9A">
        <w:rPr>
          <w:rFonts w:ascii="Arial" w:eastAsia="Times New Roman" w:hAnsi="Arial" w:cs="Arial"/>
          <w:b/>
          <w:bCs/>
          <w:noProof w:val="0"/>
          <w:color w:val="5B9BD5"/>
        </w:rPr>
        <w:t>26. Адрес за подаване на проектните предложения/концепциите за проектни предложения:</w:t>
      </w:r>
      <w:bookmarkEnd w:id="78"/>
      <w:bookmarkEnd w:id="79"/>
      <w:bookmarkEnd w:id="80"/>
    </w:p>
    <w:p w:rsidR="00BE1440" w:rsidRPr="00FF2A9A" w:rsidRDefault="00BE1440" w:rsidP="00FF2A9A">
      <w:pPr>
        <w:pBdr>
          <w:top w:val="single" w:sz="4" w:space="1" w:color="auto"/>
          <w:left w:val="single" w:sz="4" w:space="4" w:color="auto"/>
          <w:bottom w:val="single" w:sz="4" w:space="0" w:color="auto"/>
          <w:right w:val="single" w:sz="4" w:space="4" w:color="auto"/>
        </w:pBdr>
        <w:spacing w:before="120" w:after="120" w:line="240" w:lineRule="auto"/>
        <w:ind w:right="-113"/>
        <w:jc w:val="both"/>
        <w:rPr>
          <w:rFonts w:ascii="Arial" w:eastAsia="Calibri" w:hAnsi="Arial" w:cs="Arial"/>
          <w:i/>
          <w:noProof w:val="0"/>
        </w:rPr>
      </w:pPr>
      <w:r w:rsidRPr="00FF2A9A">
        <w:rPr>
          <w:rFonts w:ascii="Arial" w:eastAsia="Calibri" w:hAnsi="Arial" w:cs="Arial"/>
          <w:noProof w:val="0"/>
        </w:rPr>
        <w:t>Проектните предложения по настоящата процедура се подават по изцял</w:t>
      </w:r>
      <w:r w:rsidR="00562B0D" w:rsidRPr="00FF2A9A">
        <w:rPr>
          <w:rFonts w:ascii="Arial" w:eastAsia="Calibri" w:hAnsi="Arial" w:cs="Arial"/>
          <w:noProof w:val="0"/>
        </w:rPr>
        <w:t>о електронен път чрез ИСУН 2020</w:t>
      </w:r>
      <w:r w:rsidRPr="00FF2A9A">
        <w:rPr>
          <w:rFonts w:ascii="Arial" w:eastAsia="Calibri" w:hAnsi="Arial" w:cs="Arial"/>
          <w:noProof w:val="0"/>
        </w:rPr>
        <w:t xml:space="preserve"> на следния интернет адрес: </w:t>
      </w:r>
      <w:hyperlink r:id="rId21" w:history="1">
        <w:r w:rsidR="00C2560D" w:rsidRPr="00FF2A9A">
          <w:rPr>
            <w:rStyle w:val="Hyperlink"/>
            <w:rFonts w:ascii="Arial" w:eastAsia="Calibri" w:hAnsi="Arial" w:cs="Arial"/>
            <w:i/>
            <w:noProof w:val="0"/>
          </w:rPr>
          <w:t>https://eumis2020.government.bg</w:t>
        </w:r>
      </w:hyperlink>
      <w:r w:rsidRPr="00FF2A9A">
        <w:rPr>
          <w:rFonts w:ascii="Arial" w:eastAsia="Calibri" w:hAnsi="Arial" w:cs="Arial"/>
          <w:i/>
          <w:noProof w:val="0"/>
        </w:rPr>
        <w:t>.</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81" w:name="_Toc475538958"/>
      <w:bookmarkStart w:id="82" w:name="_Toc451334656"/>
      <w:bookmarkStart w:id="83" w:name="_Toc442351592"/>
      <w:bookmarkStart w:id="84" w:name="_Toc59537587"/>
      <w:r w:rsidRPr="00FF2A9A">
        <w:rPr>
          <w:rFonts w:ascii="Arial" w:eastAsia="Times New Roman" w:hAnsi="Arial" w:cs="Arial"/>
          <w:b/>
          <w:bCs/>
          <w:noProof w:val="0"/>
          <w:color w:val="5B9BD5"/>
        </w:rPr>
        <w:t>27. Допълнителна информация:</w:t>
      </w:r>
      <w:bookmarkEnd w:id="81"/>
      <w:bookmarkEnd w:id="82"/>
      <w:bookmarkEnd w:id="83"/>
      <w:bookmarkEnd w:id="84"/>
    </w:p>
    <w:p w:rsidR="00BE1440" w:rsidRPr="00FF2A9A" w:rsidRDefault="00BE1440" w:rsidP="00FF2A9A">
      <w:pPr>
        <w:keepNext/>
        <w:spacing w:before="120" w:after="120" w:line="240" w:lineRule="auto"/>
        <w:jc w:val="both"/>
        <w:rPr>
          <w:rFonts w:ascii="Arial" w:eastAsia="Times New Roman" w:hAnsi="Arial" w:cs="Arial"/>
          <w:noProof w:val="0"/>
          <w:color w:val="5B9BD5"/>
        </w:rPr>
      </w:pPr>
      <w:bookmarkStart w:id="85" w:name="_Toc475538959"/>
      <w:bookmarkStart w:id="86" w:name="_Toc451334657"/>
      <w:bookmarkStart w:id="87" w:name="_Toc442351593"/>
      <w:bookmarkStart w:id="88" w:name="_Toc59537588"/>
      <w:r w:rsidRPr="00FF2A9A">
        <w:rPr>
          <w:rFonts w:ascii="Arial" w:eastAsia="Times New Roman" w:hAnsi="Arial" w:cs="Arial"/>
          <w:b/>
          <w:bCs/>
          <w:noProof w:val="0"/>
          <w:color w:val="5B9BD5"/>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85"/>
      <w:bookmarkEnd w:id="86"/>
      <w:bookmarkEnd w:id="87"/>
      <w:r w:rsidRPr="00FF2A9A">
        <w:rPr>
          <w:rFonts w:ascii="Arial" w:eastAsia="Times New Roman" w:hAnsi="Arial" w:cs="Arial"/>
          <w:b/>
          <w:bCs/>
          <w:noProof w:val="0"/>
          <w:color w:val="5B9BD5"/>
        </w:rPr>
        <w:t>:</w:t>
      </w:r>
      <w:bookmarkEnd w:id="88"/>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bCs/>
          <w:noProof w:val="0"/>
        </w:rPr>
      </w:pPr>
      <w:r w:rsidRPr="00FF2A9A">
        <w:rPr>
          <w:rFonts w:ascii="Arial" w:eastAsia="Calibri" w:hAnsi="Arial" w:cs="Arial"/>
          <w:noProof w:val="0"/>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В срок до 10 работни дни от получаване на решението кандидатът може да поиска писмено допълнителни разяснения относно основанията за класирането му.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При одобрен оценителен доклад, кандидатите, чиито проектни предложения са предложени за финансиран</w:t>
      </w:r>
      <w:r w:rsidR="00FE7A69" w:rsidRPr="00FF2A9A">
        <w:rPr>
          <w:rFonts w:ascii="Arial" w:eastAsia="Calibri" w:hAnsi="Arial" w:cs="Arial"/>
          <w:noProof w:val="0"/>
        </w:rPr>
        <w:t>е, се поканват да представят в 3</w:t>
      </w:r>
      <w:r w:rsidRPr="00FF2A9A">
        <w:rPr>
          <w:rFonts w:ascii="Arial" w:eastAsia="Calibri" w:hAnsi="Arial" w:cs="Arial"/>
          <w:noProof w:val="0"/>
        </w:rPr>
        <w:t>0-дневен срок доказателства, че отговаря</w:t>
      </w:r>
      <w:r w:rsidR="00FE7A69" w:rsidRPr="00FF2A9A">
        <w:rPr>
          <w:rFonts w:ascii="Arial" w:eastAsia="Calibri" w:hAnsi="Arial" w:cs="Arial"/>
          <w:noProof w:val="0"/>
        </w:rPr>
        <w:t xml:space="preserve">т на изискванията за </w:t>
      </w:r>
      <w:proofErr w:type="spellStart"/>
      <w:r w:rsidR="00FE7A69" w:rsidRPr="00FF2A9A">
        <w:rPr>
          <w:rFonts w:ascii="Arial" w:eastAsia="Calibri" w:hAnsi="Arial" w:cs="Arial"/>
          <w:noProof w:val="0"/>
        </w:rPr>
        <w:t>бенефициер</w:t>
      </w:r>
      <w:proofErr w:type="spellEnd"/>
      <w:r w:rsidRPr="00FF2A9A">
        <w:rPr>
          <w:rFonts w:ascii="Arial" w:eastAsia="Calibri" w:hAnsi="Arial" w:cs="Arial"/>
          <w:noProof w:val="0"/>
        </w:rPr>
        <w:t>, като представят необходимите документи.</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С поканата ще бъдат изискани следните документи: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а</w:t>
      </w:r>
      <w:r w:rsidR="00A67C0D">
        <w:rPr>
          <w:rFonts w:ascii="Arial" w:eastAsia="Calibri" w:hAnsi="Arial" w:cs="Arial"/>
          <w:b/>
          <w:bCs/>
          <w:noProof w:val="0"/>
        </w:rPr>
        <w:t>)</w:t>
      </w:r>
      <w:r w:rsidRPr="00FF2A9A">
        <w:rPr>
          <w:rFonts w:ascii="Arial" w:eastAsia="Calibri" w:hAnsi="Arial" w:cs="Arial"/>
          <w:noProof w:val="0"/>
        </w:rPr>
        <w:t xml:space="preserve"> Свидетелство за съдимост на всички лица,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 Документът не се изисква, в случай че представеният на етап кандидатстване е валиден.</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w:t>
      </w:r>
      <w:r w:rsidRPr="00FF2A9A">
        <w:rPr>
          <w:rFonts w:ascii="Arial" w:eastAsia="Calibri" w:hAnsi="Arial" w:cs="Arial"/>
          <w:noProof w:val="0"/>
        </w:rPr>
        <w:lastRenderedPageBreak/>
        <w:t>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б</w:t>
      </w:r>
      <w:r w:rsidR="00A67C0D">
        <w:rPr>
          <w:rFonts w:ascii="Arial" w:eastAsia="Calibri" w:hAnsi="Arial" w:cs="Arial"/>
          <w:b/>
          <w:bCs/>
          <w:noProof w:val="0"/>
        </w:rPr>
        <w:t>)</w:t>
      </w:r>
      <w:r w:rsidRPr="00FF2A9A">
        <w:rPr>
          <w:rFonts w:ascii="Arial" w:eastAsia="Calibri" w:hAnsi="Arial" w:cs="Arial"/>
          <w:noProof w:val="0"/>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FF2A9A">
        <w:rPr>
          <w:rFonts w:ascii="Arial" w:eastAsia="Calibri" w:hAnsi="Arial" w:cs="Arial"/>
          <w:noProof w:val="0"/>
        </w:rPr>
        <w:t>ите</w:t>
      </w:r>
      <w:proofErr w:type="spellEnd"/>
      <w:r w:rsidRPr="00FF2A9A">
        <w:rPr>
          <w:rFonts w:ascii="Arial" w:eastAsia="Calibri" w:hAnsi="Arial" w:cs="Arial"/>
          <w:noProof w:val="0"/>
        </w:rPr>
        <w:t xml:space="preserve">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в</w:t>
      </w:r>
      <w:r w:rsidR="00A67C0D">
        <w:rPr>
          <w:rFonts w:ascii="Arial" w:eastAsia="Calibri" w:hAnsi="Arial" w:cs="Arial"/>
          <w:b/>
          <w:bCs/>
          <w:noProof w:val="0"/>
        </w:rPr>
        <w:t>)</w:t>
      </w:r>
      <w:r w:rsidRPr="00FF2A9A">
        <w:rPr>
          <w:rFonts w:ascii="Arial" w:eastAsia="Calibri" w:hAnsi="Arial" w:cs="Arial"/>
          <w:noProof w:val="0"/>
        </w:rPr>
        <w:t xml:space="preserve"> Заявление за профил за дост</w:t>
      </w:r>
      <w:r w:rsidR="00562B0D" w:rsidRPr="00FF2A9A">
        <w:rPr>
          <w:rFonts w:ascii="Arial" w:eastAsia="Calibri" w:hAnsi="Arial" w:cs="Arial"/>
          <w:noProof w:val="0"/>
        </w:rPr>
        <w:t xml:space="preserve">ъп на ръководител на </w:t>
      </w:r>
      <w:proofErr w:type="spellStart"/>
      <w:r w:rsidR="00562B0D" w:rsidRPr="00FF2A9A">
        <w:rPr>
          <w:rFonts w:ascii="Arial" w:eastAsia="Calibri" w:hAnsi="Arial" w:cs="Arial"/>
          <w:noProof w:val="0"/>
        </w:rPr>
        <w:t>бенефициер</w:t>
      </w:r>
      <w:r w:rsidRPr="00FF2A9A">
        <w:rPr>
          <w:rFonts w:ascii="Arial" w:eastAsia="Calibri" w:hAnsi="Arial" w:cs="Arial"/>
          <w:noProof w:val="0"/>
        </w:rPr>
        <w:t>а</w:t>
      </w:r>
      <w:proofErr w:type="spellEnd"/>
      <w:r w:rsidRPr="00FF2A9A">
        <w:rPr>
          <w:rFonts w:ascii="Arial" w:eastAsia="Calibri" w:hAnsi="Arial" w:cs="Arial"/>
          <w:noProof w:val="0"/>
        </w:rPr>
        <w:t xml:space="preserve"> до ИСУН 2020 (Приложение № </w:t>
      </w:r>
      <w:r w:rsidR="00E459FB">
        <w:rPr>
          <w:rFonts w:ascii="Arial" w:eastAsia="Calibri" w:hAnsi="Arial" w:cs="Arial"/>
          <w:noProof w:val="0"/>
        </w:rPr>
        <w:t>21</w:t>
      </w:r>
      <w:r w:rsidRPr="00FF2A9A">
        <w:rPr>
          <w:rFonts w:ascii="Arial" w:eastAsia="Calibri" w:hAnsi="Arial" w:cs="Arial"/>
          <w:noProof w:val="0"/>
        </w:rPr>
        <w:t xml:space="preserve"> към Условията за изпълнение) и/или Заявление за профил за достъп на упълномощени от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а</w:t>
      </w:r>
      <w:proofErr w:type="spellEnd"/>
      <w:r w:rsidRPr="00FF2A9A">
        <w:rPr>
          <w:rFonts w:ascii="Arial" w:eastAsia="Calibri" w:hAnsi="Arial" w:cs="Arial"/>
          <w:noProof w:val="0"/>
        </w:rPr>
        <w:t xml:space="preserve"> лица до ИСУН 2020 (Приложение № </w:t>
      </w:r>
      <w:r w:rsidR="00E459FB">
        <w:rPr>
          <w:rFonts w:ascii="Arial" w:eastAsia="Calibri" w:hAnsi="Arial" w:cs="Arial"/>
          <w:noProof w:val="0"/>
        </w:rPr>
        <w:t>2</w:t>
      </w:r>
      <w:r w:rsidR="00872544">
        <w:rPr>
          <w:rFonts w:ascii="Arial" w:eastAsia="Calibri" w:hAnsi="Arial" w:cs="Arial"/>
          <w:noProof w:val="0"/>
        </w:rPr>
        <w:t>2</w:t>
      </w:r>
      <w:r w:rsidR="00E459FB" w:rsidRPr="00FF2A9A">
        <w:rPr>
          <w:rFonts w:ascii="Arial" w:eastAsia="Calibri" w:hAnsi="Arial" w:cs="Arial"/>
          <w:noProof w:val="0"/>
        </w:rPr>
        <w:t xml:space="preserve"> </w:t>
      </w:r>
      <w:r w:rsidRPr="00FF2A9A">
        <w:rPr>
          <w:rFonts w:ascii="Arial" w:eastAsia="Calibri" w:hAnsi="Arial" w:cs="Arial"/>
          <w:noProof w:val="0"/>
        </w:rPr>
        <w:t xml:space="preserve">към Условията за изпълнение) – подписано от лице с право да представлява кандидата. В случаите, когато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се представлява заедно от няколко физически лица, заявлението се попълва и подписва от всички от тях.</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г</w:t>
      </w:r>
      <w:r w:rsidR="00A67C0D">
        <w:rPr>
          <w:rFonts w:ascii="Arial" w:eastAsia="Calibri" w:hAnsi="Arial" w:cs="Arial"/>
          <w:b/>
          <w:bCs/>
          <w:noProof w:val="0"/>
        </w:rPr>
        <w:t>)</w:t>
      </w:r>
      <w:r w:rsidRPr="00FF2A9A">
        <w:rPr>
          <w:rFonts w:ascii="Arial" w:eastAsia="Calibri" w:hAnsi="Arial" w:cs="Arial"/>
          <w:noProof w:val="0"/>
        </w:rPr>
        <w:t xml:space="preserve"> Официален документ, удостоверяващ актуална банкова сметка на името на кандидата.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noProof w:val="0"/>
        </w:rPr>
        <w:t>д</w:t>
      </w:r>
      <w:r w:rsidR="00A67C0D">
        <w:rPr>
          <w:rFonts w:ascii="Arial" w:eastAsia="Calibri" w:hAnsi="Arial" w:cs="Arial"/>
          <w:noProof w:val="0"/>
        </w:rPr>
        <w:t>)</w:t>
      </w:r>
      <w:r w:rsidRPr="00FF2A9A">
        <w:rPr>
          <w:rFonts w:ascii="Arial" w:eastAsia="Calibri" w:hAnsi="Arial" w:cs="Arial"/>
          <w:noProof w:val="0"/>
        </w:rPr>
        <w:t xml:space="preserve"> </w:t>
      </w:r>
      <w:r w:rsidR="00E459FB">
        <w:rPr>
          <w:rFonts w:ascii="Arial" w:eastAsia="Calibri" w:hAnsi="Arial" w:cs="Arial"/>
          <w:noProof w:val="0"/>
        </w:rPr>
        <w:t>Приложение № 16 –</w:t>
      </w:r>
      <w:r w:rsidR="00E459FB" w:rsidRPr="00E459FB">
        <w:rPr>
          <w:rFonts w:ascii="Arial" w:eastAsia="Calibri" w:hAnsi="Arial" w:cs="Arial"/>
          <w:noProof w:val="0"/>
        </w:rPr>
        <w:t xml:space="preserve"> </w:t>
      </w:r>
      <w:r w:rsidR="00E459FB">
        <w:rPr>
          <w:rFonts w:ascii="Arial" w:eastAsia="Calibri" w:hAnsi="Arial" w:cs="Arial"/>
          <w:noProof w:val="0"/>
        </w:rPr>
        <w:t>Пакет д</w:t>
      </w:r>
      <w:r w:rsidR="00E459FB" w:rsidRPr="00E459FB">
        <w:rPr>
          <w:rFonts w:ascii="Arial" w:eastAsia="Calibri" w:hAnsi="Arial" w:cs="Arial"/>
          <w:noProof w:val="0"/>
        </w:rPr>
        <w:t>екларации към АД</w:t>
      </w:r>
      <w:r w:rsidR="00E459FB">
        <w:rPr>
          <w:rFonts w:ascii="Arial" w:eastAsia="Calibri" w:hAnsi="Arial" w:cs="Arial"/>
          <w:noProof w:val="0"/>
        </w:rPr>
        <w:t>П</w:t>
      </w:r>
      <w:r w:rsidR="00E459FB" w:rsidRPr="00E459FB">
        <w:rPr>
          <w:rFonts w:ascii="Arial" w:eastAsia="Calibri" w:hAnsi="Arial" w:cs="Arial"/>
          <w:noProof w:val="0"/>
        </w:rPr>
        <w:t xml:space="preserve">БФП (Декларация липса на нередности, подписана от кандидата към датата на сключване на договора; Декларация за липса на конфликт на интереси, подписана от </w:t>
      </w:r>
      <w:proofErr w:type="spellStart"/>
      <w:r w:rsidR="00E459FB" w:rsidRPr="00E459FB">
        <w:rPr>
          <w:rFonts w:ascii="Arial" w:eastAsia="Calibri" w:hAnsi="Arial" w:cs="Arial"/>
          <w:noProof w:val="0"/>
        </w:rPr>
        <w:t>кандитата</w:t>
      </w:r>
      <w:proofErr w:type="spellEnd"/>
      <w:r w:rsidR="00E459FB" w:rsidRPr="00E459FB">
        <w:rPr>
          <w:rFonts w:ascii="Arial" w:eastAsia="Calibri" w:hAnsi="Arial" w:cs="Arial"/>
          <w:noProof w:val="0"/>
        </w:rPr>
        <w:t xml:space="preserve"> към датата на сключване на договора. Декларация по чл. 10 от Регламент (ЕС) № 508/2014 на европейския парламент и на съвета от 15 май 2014 година за Европейския фонд за морско дело и рибарство, подписана от </w:t>
      </w:r>
      <w:proofErr w:type="spellStart"/>
      <w:r w:rsidR="00E459FB" w:rsidRPr="00E459FB">
        <w:rPr>
          <w:rFonts w:ascii="Arial" w:eastAsia="Calibri" w:hAnsi="Arial" w:cs="Arial"/>
          <w:noProof w:val="0"/>
        </w:rPr>
        <w:t>кандитата</w:t>
      </w:r>
      <w:proofErr w:type="spellEnd"/>
      <w:r w:rsidR="00E459FB" w:rsidRPr="00E459FB">
        <w:rPr>
          <w:rFonts w:ascii="Arial" w:eastAsia="Calibri" w:hAnsi="Arial" w:cs="Arial"/>
          <w:noProof w:val="0"/>
        </w:rPr>
        <w:t xml:space="preserve"> към датата на сключване на договора; Декларация за свързаност по смисъла на § 1, т. 13 и т. 14 от допълнителните разпоредби на ЗППЦК, подписана от кандидата към датата на сключване на договора; Декларация за липса на промяна в обстоятелствата, декларирани при подаване на формуляр за кандидатстване) – подписано от лице с право да представлява кандидата</w:t>
      </w:r>
      <w:r w:rsidR="00E459FB">
        <w:rPr>
          <w:rFonts w:ascii="Arial" w:eastAsia="Calibri" w:hAnsi="Arial" w:cs="Arial"/>
          <w:noProof w:val="0"/>
        </w:rPr>
        <w:t xml:space="preserve">. В случаите, когато </w:t>
      </w:r>
      <w:proofErr w:type="spellStart"/>
      <w:r w:rsidR="00E459FB">
        <w:rPr>
          <w:rFonts w:ascii="Arial" w:eastAsia="Calibri" w:hAnsi="Arial" w:cs="Arial"/>
          <w:noProof w:val="0"/>
        </w:rPr>
        <w:t>бенефициер</w:t>
      </w:r>
      <w:r w:rsidR="00E459FB" w:rsidRPr="00E459FB">
        <w:rPr>
          <w:rFonts w:ascii="Arial" w:eastAsia="Calibri" w:hAnsi="Arial" w:cs="Arial"/>
          <w:noProof w:val="0"/>
        </w:rPr>
        <w:t>ът</w:t>
      </w:r>
      <w:proofErr w:type="spellEnd"/>
      <w:r w:rsidR="00E459FB" w:rsidRPr="00E459FB">
        <w:rPr>
          <w:rFonts w:ascii="Arial" w:eastAsia="Calibri" w:hAnsi="Arial" w:cs="Arial"/>
          <w:noProof w:val="0"/>
        </w:rPr>
        <w:t xml:space="preserve"> се представлява само заедно от няколко физически лица, заявлението се попълва и подписва от всички от тях.</w:t>
      </w:r>
      <w:r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noProof w:val="0"/>
        </w:rPr>
      </w:pPr>
      <w:r w:rsidRPr="00FF2A9A">
        <w:rPr>
          <w:rFonts w:ascii="Arial" w:eastAsia="Calibri" w:hAnsi="Arial" w:cs="Arial"/>
          <w:b/>
          <w:noProof w:val="0"/>
        </w:rPr>
        <w:t>е</w:t>
      </w:r>
      <w:r w:rsidR="00A67C0D">
        <w:rPr>
          <w:rFonts w:ascii="Arial" w:eastAsia="Calibri" w:hAnsi="Arial" w:cs="Arial"/>
          <w:b/>
          <w:noProof w:val="0"/>
        </w:rPr>
        <w:t>)</w:t>
      </w:r>
      <w:r w:rsidRPr="00FF2A9A">
        <w:rPr>
          <w:rFonts w:ascii="Arial" w:eastAsia="Calibri" w:hAnsi="Arial" w:cs="Arial"/>
          <w:noProof w:val="0"/>
        </w:rPr>
        <w:t xml:space="preserve"> </w:t>
      </w:r>
      <w:r w:rsidR="00E459FB">
        <w:rPr>
          <w:rFonts w:ascii="Arial" w:eastAsia="Calibri" w:hAnsi="Arial" w:cs="Arial"/>
          <w:noProof w:val="0"/>
        </w:rPr>
        <w:t xml:space="preserve">Приложение № </w:t>
      </w:r>
      <w:r w:rsidR="00872544">
        <w:rPr>
          <w:rFonts w:ascii="Arial" w:eastAsia="Calibri" w:hAnsi="Arial" w:cs="Arial"/>
          <w:noProof w:val="0"/>
        </w:rPr>
        <w:t xml:space="preserve">11 </w:t>
      </w:r>
      <w:r w:rsidR="00E459FB" w:rsidRPr="00E459FB">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 от всички лица с право да представляват кандидата (независимо от това дали заедно и/или поотделно, и/или по друг начин)]</w:t>
      </w:r>
    </w:p>
    <w:p w:rsidR="00A67C0D" w:rsidRPr="00A67C0D" w:rsidRDefault="00BE1440"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noProof w:val="0"/>
        </w:rPr>
        <w:t>ж</w:t>
      </w:r>
      <w:r w:rsidR="00A67C0D">
        <w:rPr>
          <w:rFonts w:ascii="Arial" w:eastAsia="Calibri" w:hAnsi="Arial" w:cs="Arial"/>
          <w:b/>
          <w:noProof w:val="0"/>
        </w:rPr>
        <w:t>)</w:t>
      </w:r>
      <w:r w:rsidRPr="00FF2A9A">
        <w:rPr>
          <w:rFonts w:ascii="Arial" w:eastAsia="Calibri" w:hAnsi="Arial" w:cs="Arial"/>
          <w:noProof w:val="0"/>
        </w:rPr>
        <w:t xml:space="preserve"> </w:t>
      </w:r>
      <w:r w:rsidR="00A67C0D" w:rsidRPr="00A67C0D">
        <w:rPr>
          <w:rFonts w:ascii="Arial" w:eastAsia="Calibri" w:hAnsi="Arial" w:cs="Arial"/>
          <w:noProof w:val="0"/>
        </w:rPr>
        <w:t xml:space="preserve">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или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и</w:t>
      </w:r>
      <w:r w:rsidRPr="00A67C0D">
        <w:rPr>
          <w:rFonts w:ascii="Arial" w:eastAsia="Calibri" w:hAnsi="Arial" w:cs="Arial"/>
          <w:noProof w:val="0"/>
        </w:rPr>
        <w:t xml:space="preserve">ли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1E1D0165" wp14:editId="59CB35A3">
            <wp:extent cx="666750" cy="3524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647D0">
        <w:rPr>
          <w:rFonts w:ascii="Arial" w:eastAsia="Calibri" w:hAnsi="Arial" w:cs="Arial"/>
          <w:b/>
          <w:noProof w:val="0"/>
        </w:rPr>
        <w:t>Кандидатът следва да предостави един от документите по буква ж) единствено в случаите, когато в резултат на извършена служебна проверка от страна на Управляващия орган на ПМДР е установено наличие на задължения към НАП</w:t>
      </w:r>
      <w:r w:rsidRPr="00A67C0D">
        <w:rPr>
          <w:rFonts w:ascii="Arial" w:eastAsia="Calibri" w:hAnsi="Arial" w:cs="Arial"/>
          <w:noProof w:val="0"/>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w:t>
      </w:r>
      <w:r w:rsidRPr="00A67C0D">
        <w:rPr>
          <w:rFonts w:ascii="Arial" w:eastAsia="Calibri" w:hAnsi="Arial" w:cs="Arial"/>
          <w:noProof w:val="0"/>
        </w:rPr>
        <w:lastRenderedPageBreak/>
        <w:t xml:space="preserve">кандидатът декларира в рамките на Декларация по чл. 25, ал. 2 от ЗУСЕСИФ и чл. 7 от ПМС № 162/2016 г. (за наличие на публични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з)</w:t>
      </w:r>
      <w:r w:rsidRPr="00A67C0D">
        <w:rPr>
          <w:rFonts w:ascii="Arial" w:eastAsia="Calibri" w:hAnsi="Arial" w:cs="Arial"/>
          <w:noProof w:val="0"/>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63D5A606" wp14:editId="164F1F08">
            <wp:extent cx="666750" cy="3524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647D0">
        <w:rPr>
          <w:rFonts w:ascii="Arial" w:eastAsia="Calibri" w:hAnsi="Arial" w:cs="Arial"/>
          <w:b/>
          <w:noProof w:val="0"/>
        </w:rPr>
        <w:t>Управляващият орган на ПМДР ще извършва проверка по служебен път за наличие на задължения към общината по седалище на УО на ПМДР, както и към общината по седалище на кандидата само в случаите, когато тази община е Столична</w:t>
      </w:r>
      <w:r w:rsidRPr="00A67C0D">
        <w:rPr>
          <w:rFonts w:ascii="Arial" w:eastAsia="Calibri" w:hAnsi="Arial" w:cs="Arial"/>
          <w:noProof w:val="0"/>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удостовери погасяването на задължението кандидатът следва да представи Удостоверение за липса на задължения към Столична община. </w:t>
      </w:r>
    </w:p>
    <w:p w:rsidR="00A67C0D" w:rsidRPr="00A67C0D" w:rsidRDefault="00845DBE"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От Удостоверенията по букви ж) и з)</w:t>
      </w:r>
      <w:r w:rsidR="00A67C0D" w:rsidRPr="00A67C0D">
        <w:rPr>
          <w:rFonts w:ascii="Arial" w:eastAsia="Calibri" w:hAnsi="Arial" w:cs="Arial"/>
          <w:noProof w:val="0"/>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но не повече от 50 000 лв.. </w:t>
      </w:r>
    </w:p>
    <w:p w:rsidR="00A67C0D"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Кандидат, който видн</w:t>
      </w:r>
      <w:r>
        <w:rPr>
          <w:rFonts w:ascii="Arial" w:eastAsia="Calibri" w:hAnsi="Arial" w:cs="Arial"/>
          <w:noProof w:val="0"/>
        </w:rPr>
        <w:t>о от Удостоверенията по букви ж) и з)</w:t>
      </w:r>
      <w:r w:rsidRPr="00A67C0D">
        <w:rPr>
          <w:rFonts w:ascii="Arial" w:eastAsia="Calibri" w:hAnsi="Arial" w:cs="Arial"/>
          <w:noProof w:val="0"/>
        </w:rPr>
        <w:t xml:space="preserve"> има задължения повече от 1 на сто от сумата на годишния общ оборот за последната приключена финансова годи</w:t>
      </w:r>
      <w:r w:rsidR="00845DBE">
        <w:rPr>
          <w:rFonts w:ascii="Arial" w:eastAsia="Calibri" w:hAnsi="Arial" w:cs="Arial"/>
          <w:noProof w:val="0"/>
        </w:rPr>
        <w:t xml:space="preserve">на, но не повече от 50 000 лв. </w:t>
      </w:r>
      <w:r w:rsidRPr="00A67C0D">
        <w:rPr>
          <w:rFonts w:ascii="Arial" w:eastAsia="Calibri" w:hAnsi="Arial" w:cs="Arial"/>
          <w:noProof w:val="0"/>
        </w:rPr>
        <w:t>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Pr>
          <w:rFonts w:ascii="Arial" w:eastAsia="Calibri" w:hAnsi="Arial" w:cs="Arial"/>
          <w:noProof w:val="0"/>
        </w:rPr>
        <w:t>.</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и)</w:t>
      </w:r>
      <w:r w:rsidRPr="00A67C0D">
        <w:rPr>
          <w:rFonts w:ascii="Arial" w:eastAsia="Calibri" w:hAnsi="Arial" w:cs="Arial"/>
          <w:noProof w:val="0"/>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w:t>
      </w:r>
      <w:r w:rsidRPr="00F647D0">
        <w:rPr>
          <w:rFonts w:ascii="Arial" w:eastAsia="Calibri" w:hAnsi="Arial" w:cs="Arial"/>
          <w:b/>
          <w:noProof w:val="0"/>
        </w:rPr>
        <w:t>но съдимостта на кандидата ще се установи служебно от УО на ПМДР</w:t>
      </w:r>
      <w:r w:rsidRPr="00A67C0D">
        <w:rPr>
          <w:rFonts w:ascii="Arial" w:eastAsia="Calibri" w:hAnsi="Arial" w:cs="Arial"/>
          <w:noProof w:val="0"/>
        </w:rPr>
        <w:t xml:space="preserve">.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й)</w:t>
      </w:r>
      <w:r w:rsidRPr="00A67C0D">
        <w:rPr>
          <w:rFonts w:ascii="Arial" w:eastAsia="Calibri" w:hAnsi="Arial" w:cs="Arial"/>
          <w:noProof w:val="0"/>
        </w:rPr>
        <w:t xml:space="preserve">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r w:rsidRPr="00F647D0">
        <w:rPr>
          <w:rFonts w:ascii="Arial" w:eastAsia="Calibri" w:hAnsi="Arial" w:cs="Arial"/>
          <w:b/>
          <w:noProof w:val="0"/>
        </w:rPr>
        <w:t>ще се установи служебно от УО на ПМДР</w:t>
      </w:r>
      <w:r>
        <w:rPr>
          <w:rFonts w:ascii="Arial" w:eastAsia="Calibri" w:hAnsi="Arial" w:cs="Arial"/>
          <w:b/>
          <w:noProof w:val="0"/>
        </w:rPr>
        <w:t>.</w:t>
      </w:r>
    </w:p>
    <w:p w:rsidR="00A67C0D"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74662A21" wp14:editId="0E6B24FC">
            <wp:extent cx="666750" cy="3524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647D0">
        <w:rPr>
          <w:rFonts w:ascii="Arial" w:eastAsia="Calibri" w:hAnsi="Arial" w:cs="Arial"/>
          <w:b/>
          <w:noProof w:val="0"/>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 xml:space="preserve">На тяхно място ще бъдат поканени за договаряне съответния брой кандидати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до изчерпване на общия наличен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в съответната категория предприятие, до изчерпване на общия наличен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в съответната категория предприятие, до изчерпване на наличния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при несъгласие на кандидата да сключи административен договор за предоставяне на БФП;</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за проектни предложения, при които се предвижда финансиране в нарушение на чл. 4, ал. 4 на ЗУСЕСИФ;</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на кандидат, който не отговар</w:t>
      </w:r>
      <w:r w:rsidR="009B38FB" w:rsidRPr="00FF2A9A">
        <w:rPr>
          <w:rFonts w:ascii="Arial" w:eastAsia="Calibri" w:hAnsi="Arial" w:cs="Arial"/>
          <w:noProof w:val="0"/>
        </w:rPr>
        <w:t xml:space="preserve">я на изискванията за </w:t>
      </w:r>
      <w:proofErr w:type="spellStart"/>
      <w:r w:rsidR="009B38FB" w:rsidRPr="00FF2A9A">
        <w:rPr>
          <w:rFonts w:ascii="Arial" w:eastAsia="Calibri" w:hAnsi="Arial" w:cs="Arial"/>
          <w:noProof w:val="0"/>
        </w:rPr>
        <w:t>бенефициер</w:t>
      </w:r>
      <w:proofErr w:type="spellEnd"/>
      <w:r w:rsidRPr="00FF2A9A">
        <w:rPr>
          <w:rFonts w:ascii="Arial" w:eastAsia="Calibri" w:hAnsi="Arial" w:cs="Arial"/>
          <w:noProof w:val="0"/>
        </w:rPr>
        <w:t xml:space="preserve"> или не е представил в срок доказателства за това;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A67C0D"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Допълнителна информация:</w:t>
      </w:r>
    </w:p>
    <w:p w:rsidR="00322F83"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3F7687BA" wp14:editId="4141BC8B">
            <wp:extent cx="666750" cy="3524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A67C0D">
        <w:rPr>
          <w:rFonts w:ascii="Arial" w:eastAsia="Calibri" w:hAnsi="Arial" w:cs="Arial"/>
          <w:noProof w:val="0"/>
        </w:rPr>
        <w:t>Управляващият орган</w:t>
      </w:r>
      <w:r w:rsidR="00322F83">
        <w:rPr>
          <w:rFonts w:ascii="Arial" w:eastAsia="Calibri" w:hAnsi="Arial" w:cs="Arial"/>
          <w:noProof w:val="0"/>
        </w:rPr>
        <w:t xml:space="preserve"> (УО)</w:t>
      </w:r>
      <w:r w:rsidRPr="00A67C0D">
        <w:rPr>
          <w:rFonts w:ascii="Arial" w:eastAsia="Calibri" w:hAnsi="Arial" w:cs="Arial"/>
          <w:noProof w:val="0"/>
        </w:rPr>
        <w:t xml:space="preserve"> на ПМДР запазва правото си в случай на необходимост да изисква от кандидата допълнителна информация/документи, в това число и на документите които се проверяват по служебен път.</w:t>
      </w:r>
    </w:p>
    <w:p w:rsidR="00BE1440" w:rsidRPr="00FF2A9A" w:rsidRDefault="00322F8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УО</w:t>
      </w:r>
      <w:r w:rsidR="00BE1440" w:rsidRPr="00FF2A9A">
        <w:rPr>
          <w:rFonts w:ascii="Arial" w:eastAsia="Calibri" w:hAnsi="Arial" w:cs="Arial"/>
          <w:noProof w:val="0"/>
        </w:rPr>
        <w:t xml:space="preserve"> </w:t>
      </w:r>
      <w:r>
        <w:rPr>
          <w:rFonts w:ascii="Arial" w:eastAsia="Calibri" w:hAnsi="Arial" w:cs="Arial"/>
          <w:noProof w:val="0"/>
        </w:rPr>
        <w:t xml:space="preserve">на ПМДР </w:t>
      </w:r>
      <w:r w:rsidR="00BE1440" w:rsidRPr="00FF2A9A">
        <w:rPr>
          <w:rFonts w:ascii="Arial" w:eastAsia="Calibri" w:hAnsi="Arial" w:cs="Arial"/>
          <w:noProof w:val="0"/>
        </w:rPr>
        <w:t>не носи отговорност</w:t>
      </w:r>
      <w:r w:rsidR="009B38FB" w:rsidRPr="00FF2A9A">
        <w:rPr>
          <w:rFonts w:ascii="Arial" w:eastAsia="Calibri" w:hAnsi="Arial" w:cs="Arial"/>
          <w:noProof w:val="0"/>
        </w:rPr>
        <w:t>,</w:t>
      </w:r>
      <w:r w:rsidR="00BE1440" w:rsidRPr="00FF2A9A">
        <w:rPr>
          <w:rFonts w:ascii="Arial" w:eastAsia="Calibri" w:hAnsi="Arial" w:cs="Arial"/>
          <w:noProof w:val="0"/>
        </w:rPr>
        <w:t xml:space="preserve"> ако поради грешни и/или непълни данни за кореспонденция, предоставени от самите кандидати, те не получават кореспонденцията с </w:t>
      </w:r>
      <w:r w:rsidRPr="00322F83">
        <w:rPr>
          <w:rFonts w:ascii="Arial" w:eastAsia="Calibri" w:hAnsi="Arial" w:cs="Arial"/>
          <w:noProof w:val="0"/>
        </w:rPr>
        <w:t>УО на ПМДР</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Всеки кандидат може да подаде до Ръководителя на </w:t>
      </w:r>
      <w:r w:rsidR="00322F83" w:rsidRPr="00322F83">
        <w:rPr>
          <w:rFonts w:ascii="Arial" w:eastAsia="Calibri" w:hAnsi="Arial" w:cs="Arial"/>
          <w:noProof w:val="0"/>
        </w:rPr>
        <w:t xml:space="preserve">УО на ПМДР </w:t>
      </w:r>
      <w:r w:rsidRPr="00FF2A9A">
        <w:rPr>
          <w:rFonts w:ascii="Arial" w:eastAsia="Calibri" w:hAnsi="Arial" w:cs="Arial"/>
          <w:noProof w:val="0"/>
        </w:rPr>
        <w:t>сигнал за предоставяне на невярна и/или подвеждаща информация от кандидати в процедури по предоставяне на безвъзмездна финансова по</w:t>
      </w:r>
      <w:r w:rsidR="009B38FB" w:rsidRPr="00FF2A9A">
        <w:rPr>
          <w:rFonts w:ascii="Arial" w:eastAsia="Calibri" w:hAnsi="Arial" w:cs="Arial"/>
          <w:noProof w:val="0"/>
        </w:rPr>
        <w:t xml:space="preserve">мощ по ПМДР и/или от </w:t>
      </w:r>
      <w:proofErr w:type="spellStart"/>
      <w:r w:rsidR="009B38FB" w:rsidRPr="00FF2A9A">
        <w:rPr>
          <w:rFonts w:ascii="Arial" w:eastAsia="Calibri" w:hAnsi="Arial" w:cs="Arial"/>
          <w:noProof w:val="0"/>
        </w:rPr>
        <w:t>бенефициер</w:t>
      </w:r>
      <w:r w:rsidRPr="00FF2A9A">
        <w:rPr>
          <w:rFonts w:ascii="Arial" w:eastAsia="Calibri" w:hAnsi="Arial" w:cs="Arial"/>
          <w:noProof w:val="0"/>
        </w:rPr>
        <w:t>ите</w:t>
      </w:r>
      <w:proofErr w:type="spellEnd"/>
      <w:r w:rsidRPr="00FF2A9A">
        <w:rPr>
          <w:rFonts w:ascii="Arial" w:eastAsia="Calibri" w:hAnsi="Arial" w:cs="Arial"/>
          <w:noProof w:val="0"/>
        </w:rPr>
        <w:t xml:space="preserve"> на безвъзмездна финансова помощ по ПМДР, които при изпълнение на договор, сключен по проект финансиран от Европейския фонд за морско дело и рибарство, предоставят невярна и /или подвеждаща информация за вписване в регистъра и проверка.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89" w:name="_Toc475538960"/>
      <w:bookmarkStart w:id="90" w:name="_Toc451334658"/>
      <w:bookmarkStart w:id="91" w:name="_Toc59537589"/>
      <w:r w:rsidRPr="00FF2A9A">
        <w:rPr>
          <w:rFonts w:ascii="Arial" w:eastAsia="Times New Roman" w:hAnsi="Arial" w:cs="Arial"/>
          <w:b/>
          <w:bCs/>
          <w:noProof w:val="0"/>
          <w:color w:val="5B9BD5"/>
        </w:rPr>
        <w:t>28. Приложения към Условията за кандидатстване:</w:t>
      </w:r>
      <w:bookmarkEnd w:id="89"/>
      <w:bookmarkEnd w:id="90"/>
      <w:bookmarkEnd w:id="91"/>
    </w:p>
    <w:p w:rsidR="00BE1440" w:rsidRPr="00FF2A9A" w:rsidRDefault="00C2560D"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004BE8" w:rsidRPr="00FF2A9A">
        <w:rPr>
          <w:rFonts w:ascii="Arial" w:eastAsia="Calibri" w:hAnsi="Arial" w:cs="Arial"/>
          <w:noProof w:val="0"/>
        </w:rPr>
        <w:t xml:space="preserve">Приложение № </w:t>
      </w:r>
      <w:r w:rsidR="00322F83">
        <w:rPr>
          <w:rFonts w:ascii="Arial" w:eastAsia="Calibri" w:hAnsi="Arial" w:cs="Arial"/>
          <w:noProof w:val="0"/>
        </w:rPr>
        <w:t>3</w:t>
      </w:r>
      <w:r w:rsidR="00004BE8" w:rsidRPr="00FF2A9A">
        <w:rPr>
          <w:rFonts w:ascii="Arial" w:eastAsia="Calibri" w:hAnsi="Arial" w:cs="Arial"/>
          <w:noProof w:val="0"/>
        </w:rPr>
        <w:t xml:space="preserve"> - </w:t>
      </w:r>
      <w:r w:rsidR="00BE1440" w:rsidRPr="00FF2A9A">
        <w:rPr>
          <w:rFonts w:ascii="Arial" w:eastAsia="Calibri" w:hAnsi="Arial" w:cs="Arial"/>
          <w:noProof w:val="0"/>
        </w:rPr>
        <w:t xml:space="preserve">Указания за условията и реда за подаване на проектни предложения и тяхната оценка по електронен път чрез Информационната система за управление и </w:t>
      </w:r>
      <w:r w:rsidR="00BE1440" w:rsidRPr="00FF2A9A">
        <w:rPr>
          <w:rFonts w:ascii="Arial" w:eastAsia="Calibri" w:hAnsi="Arial" w:cs="Arial"/>
          <w:noProof w:val="0"/>
        </w:rPr>
        <w:lastRenderedPageBreak/>
        <w:t>наблюдение 2020 „ИСУН“ 2020, утвърдени от заместник министър-председателя по европейските фондове и икономическата политика;</w:t>
      </w:r>
    </w:p>
    <w:p w:rsidR="00BE1440" w:rsidRPr="00FF2A9A" w:rsidRDefault="00004BE8"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4</w:t>
      </w:r>
      <w:r w:rsidRPr="00FF2A9A">
        <w:rPr>
          <w:rFonts w:ascii="Arial" w:eastAsia="Calibri" w:hAnsi="Arial" w:cs="Arial"/>
          <w:noProof w:val="0"/>
        </w:rPr>
        <w:t xml:space="preserve"> </w:t>
      </w:r>
      <w:r w:rsidR="00322F83">
        <w:rPr>
          <w:rFonts w:ascii="Arial" w:eastAsia="Calibri" w:hAnsi="Arial" w:cs="Arial"/>
          <w:noProof w:val="0"/>
        </w:rPr>
        <w:t>-</w:t>
      </w:r>
      <w:r w:rsidRPr="00FF2A9A">
        <w:rPr>
          <w:rFonts w:ascii="Arial" w:eastAsia="Calibri" w:hAnsi="Arial" w:cs="Arial"/>
          <w:noProof w:val="0"/>
        </w:rPr>
        <w:t xml:space="preserve"> </w:t>
      </w:r>
      <w:r w:rsidR="00FC2EA3" w:rsidRPr="00FF2A9A">
        <w:rPr>
          <w:rFonts w:ascii="Arial" w:eastAsia="Calibri" w:hAnsi="Arial" w:cs="Arial"/>
          <w:noProof w:val="0"/>
        </w:rPr>
        <w:t>Ръководство за потребителя за модул „Е-кандидатстване“</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5</w:t>
      </w:r>
      <w:r w:rsidRPr="00FF2A9A">
        <w:rPr>
          <w:rFonts w:ascii="Arial" w:eastAsia="Calibri" w:hAnsi="Arial" w:cs="Arial"/>
          <w:noProof w:val="0"/>
        </w:rPr>
        <w:t xml:space="preserve"> - </w:t>
      </w:r>
      <w:r w:rsidR="00322F83" w:rsidRPr="00FF2A9A">
        <w:rPr>
          <w:rFonts w:ascii="Arial" w:eastAsia="Calibri" w:hAnsi="Arial" w:cs="Arial"/>
          <w:noProof w:val="0"/>
        </w:rPr>
        <w:t>Критерии и методология  за оценка на проектните предложения</w:t>
      </w:r>
      <w:r w:rsidR="00322F83">
        <w:rPr>
          <w:rFonts w:ascii="Arial" w:eastAsia="Calibri" w:hAnsi="Arial" w:cs="Arial"/>
          <w:noProof w:val="0"/>
        </w:rPr>
        <w:t>;</w:t>
      </w:r>
      <w:r w:rsidR="00322F83" w:rsidRPr="00FF2A9A">
        <w:rPr>
          <w:rFonts w:ascii="Arial" w:eastAsia="Calibri" w:hAnsi="Arial" w:cs="Arial"/>
          <w:noProof w:val="0"/>
        </w:rPr>
        <w:t xml:space="preserve"> </w:t>
      </w:r>
    </w:p>
    <w:p w:rsidR="00BE1440" w:rsidRPr="00FF2A9A" w:rsidRDefault="00004BE8"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6</w:t>
      </w:r>
      <w:r w:rsidRPr="00FF2A9A">
        <w:rPr>
          <w:rFonts w:ascii="Arial" w:eastAsia="Calibri" w:hAnsi="Arial" w:cs="Arial"/>
          <w:noProof w:val="0"/>
        </w:rPr>
        <w:t xml:space="preserve"> -</w:t>
      </w:r>
      <w:r w:rsidR="00322F83" w:rsidRPr="00322F83">
        <w:rPr>
          <w:rFonts w:ascii="Arial" w:eastAsia="Calibri" w:hAnsi="Arial" w:cs="Arial"/>
          <w:noProof w:val="0"/>
        </w:rPr>
        <w:t xml:space="preserve"> </w:t>
      </w:r>
      <w:r w:rsidR="00322F83" w:rsidRPr="00FF2A9A">
        <w:rPr>
          <w:rFonts w:ascii="Arial" w:eastAsia="Calibri" w:hAnsi="Arial" w:cs="Arial"/>
          <w:noProof w:val="0"/>
        </w:rPr>
        <w:t>Използвани съкращения и основни дефиниции</w:t>
      </w:r>
      <w:r w:rsidR="00322F83">
        <w:rPr>
          <w:rFonts w:ascii="Arial" w:eastAsia="Calibri" w:hAnsi="Arial" w:cs="Arial"/>
          <w:noProof w:val="0"/>
        </w:rPr>
        <w:t>;</w:t>
      </w:r>
    </w:p>
    <w:p w:rsidR="00BE1440"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BE1440" w:rsidRPr="00FF2A9A">
        <w:rPr>
          <w:rFonts w:ascii="Arial" w:eastAsia="Calibri" w:hAnsi="Arial" w:cs="Arial"/>
          <w:noProof w:val="0"/>
        </w:rPr>
        <w:t xml:space="preserve">Приложение № </w:t>
      </w:r>
      <w:r w:rsidR="00322F83">
        <w:rPr>
          <w:rFonts w:ascii="Arial" w:eastAsia="Calibri" w:hAnsi="Arial" w:cs="Arial"/>
          <w:noProof w:val="0"/>
        </w:rPr>
        <w:t>7</w:t>
      </w:r>
      <w:r w:rsidR="009943D6">
        <w:rPr>
          <w:rFonts w:ascii="Arial" w:eastAsia="Calibri" w:hAnsi="Arial" w:cs="Arial"/>
          <w:noProof w:val="0"/>
        </w:rPr>
        <w:t xml:space="preserve"> -</w:t>
      </w:r>
      <w:r w:rsidR="00322F83" w:rsidRPr="00322F83">
        <w:rPr>
          <w:rFonts w:ascii="Arial" w:eastAsia="Calibri" w:hAnsi="Arial" w:cs="Arial"/>
          <w:noProof w:val="0"/>
        </w:rPr>
        <w:t xml:space="preserve"> </w:t>
      </w:r>
      <w:r w:rsidR="00322F83" w:rsidRPr="00FF2A9A">
        <w:rPr>
          <w:rFonts w:ascii="Arial" w:eastAsia="Calibri" w:hAnsi="Arial" w:cs="Arial"/>
          <w:noProof w:val="0"/>
        </w:rPr>
        <w:t>Застраховател</w:t>
      </w:r>
      <w:r w:rsidR="00322F83">
        <w:rPr>
          <w:rFonts w:ascii="Arial" w:eastAsia="Calibri" w:hAnsi="Arial" w:cs="Arial"/>
          <w:noProof w:val="0"/>
        </w:rPr>
        <w:t xml:space="preserve">ни рискове, за които </w:t>
      </w:r>
      <w:proofErr w:type="spellStart"/>
      <w:r w:rsidR="00322F83">
        <w:rPr>
          <w:rFonts w:ascii="Arial" w:eastAsia="Calibri" w:hAnsi="Arial" w:cs="Arial"/>
          <w:noProof w:val="0"/>
        </w:rPr>
        <w:t>бенефициер</w:t>
      </w:r>
      <w:r w:rsidR="00322F83" w:rsidRPr="00FF2A9A">
        <w:rPr>
          <w:rFonts w:ascii="Arial" w:eastAsia="Calibri" w:hAnsi="Arial" w:cs="Arial"/>
          <w:noProof w:val="0"/>
        </w:rPr>
        <w:t>ът</w:t>
      </w:r>
      <w:proofErr w:type="spellEnd"/>
      <w:r w:rsidR="00322F83" w:rsidRPr="00FF2A9A">
        <w:rPr>
          <w:rFonts w:ascii="Arial" w:eastAsia="Calibri" w:hAnsi="Arial" w:cs="Arial"/>
          <w:noProof w:val="0"/>
        </w:rPr>
        <w:t xml:space="preserve"> като получател на подпомагане е длъжен да сключи застраховка на активите, предмет на подпомагане;</w:t>
      </w:r>
    </w:p>
    <w:p w:rsidR="00FC2EA3"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C21629" w:rsidRPr="00FF2A9A">
        <w:rPr>
          <w:rFonts w:ascii="Arial" w:eastAsia="Calibri" w:hAnsi="Arial" w:cs="Arial"/>
          <w:noProof w:val="0"/>
        </w:rPr>
        <w:t xml:space="preserve">Приложение № </w:t>
      </w:r>
      <w:r w:rsidR="00322F83">
        <w:rPr>
          <w:rFonts w:ascii="Arial" w:eastAsia="Calibri" w:hAnsi="Arial" w:cs="Arial"/>
          <w:noProof w:val="0"/>
        </w:rPr>
        <w:t>8</w:t>
      </w:r>
      <w:r w:rsidR="00C21629" w:rsidRPr="00FF2A9A">
        <w:rPr>
          <w:rFonts w:ascii="Arial" w:eastAsia="Calibri" w:hAnsi="Arial" w:cs="Arial"/>
          <w:noProof w:val="0"/>
        </w:rPr>
        <w:t xml:space="preserve"> - </w:t>
      </w:r>
      <w:r w:rsidR="009943D6" w:rsidRPr="009943D6">
        <w:rPr>
          <w:rFonts w:ascii="Arial" w:eastAsia="Calibri" w:hAnsi="Arial" w:cs="Arial"/>
          <w:noProof w:val="0"/>
        </w:rPr>
        <w:t>Приложения № 1 „Минимален осигурителен доход по основни икономически дейности и квалификационни групи професии за периода от 1 януари до 31 март 2022 г.“ и № 1А „Минимален осигурителен доход по основни икономически дейности и квалификационни групи професии за периода 1 април до 31 декември 2022 г.“ към чл. 9, т. 1 от Закона за бюджета на държавното обществено осигуряване за 2022 г.</w:t>
      </w:r>
      <w:r w:rsidRPr="00FF2A9A">
        <w:rPr>
          <w:rFonts w:ascii="Arial" w:eastAsia="Calibri" w:hAnsi="Arial" w:cs="Arial"/>
          <w:noProof w:val="0"/>
        </w:rPr>
        <w:t>;</w:t>
      </w:r>
    </w:p>
    <w:p w:rsidR="00322F83"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Приложение № 9 Пакет</w:t>
      </w:r>
      <w:r w:rsidRPr="00322F83">
        <w:rPr>
          <w:rFonts w:ascii="Arial" w:eastAsia="Calibri" w:hAnsi="Arial" w:cs="Arial"/>
          <w:noProof w:val="0"/>
        </w:rPr>
        <w:t xml:space="preserve"> </w:t>
      </w:r>
      <w:r>
        <w:rPr>
          <w:rFonts w:ascii="Arial" w:eastAsia="Calibri" w:hAnsi="Arial" w:cs="Arial"/>
          <w:noProof w:val="0"/>
        </w:rPr>
        <w:t>д</w:t>
      </w:r>
      <w:r w:rsidRPr="00322F83">
        <w:rPr>
          <w:rFonts w:ascii="Arial" w:eastAsia="Calibri" w:hAnsi="Arial" w:cs="Arial"/>
          <w:noProof w:val="0"/>
        </w:rPr>
        <w:t xml:space="preserve">екларации към УК -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административен и оперативен капацитет; Декларация за липса на нередности; Декларация за липса на конфликт на интереси; Декларация по чл. 10, </w:t>
      </w:r>
      <w:proofErr w:type="spellStart"/>
      <w:r w:rsidRPr="00322F83">
        <w:rPr>
          <w:rFonts w:ascii="Arial" w:eastAsia="Calibri" w:hAnsi="Arial" w:cs="Arial"/>
          <w:noProof w:val="0"/>
        </w:rPr>
        <w:t>пар</w:t>
      </w:r>
      <w:proofErr w:type="spellEnd"/>
      <w:r w:rsidRPr="00322F83">
        <w:rPr>
          <w:rFonts w:ascii="Arial" w:eastAsia="Calibri" w:hAnsi="Arial" w:cs="Arial"/>
          <w:noProof w:val="0"/>
        </w:rPr>
        <w:t xml:space="preserve">. 5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Pr="00322F83">
        <w:rPr>
          <w:rFonts w:ascii="Arial" w:eastAsia="Calibri" w:hAnsi="Arial" w:cs="Arial"/>
          <w:noProof w:val="0"/>
        </w:rPr>
        <w:t>Евратом</w:t>
      </w:r>
      <w:proofErr w:type="spellEnd"/>
      <w:r w:rsidRPr="00322F83">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w:t>
      </w:r>
      <w:r>
        <w:rPr>
          <w:rFonts w:ascii="Arial" w:eastAsia="Calibri" w:hAnsi="Arial" w:cs="Arial"/>
          <w:noProof w:val="0"/>
        </w:rPr>
        <w:t>;</w:t>
      </w:r>
    </w:p>
    <w:p w:rsidR="00322F83"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Приложение № 10 </w:t>
      </w:r>
      <w:r w:rsidRPr="00FF2A9A">
        <w:rPr>
          <w:rFonts w:ascii="Arial" w:eastAsia="Calibri" w:hAnsi="Arial" w:cs="Arial"/>
          <w:noProof w:val="0"/>
        </w:rPr>
        <w:t>Декларация за обстоятелства по чл. 3 и чл. 4 от Закона за малките и средните предприятия;</w:t>
      </w:r>
    </w:p>
    <w:p w:rsidR="00322F83" w:rsidRPr="00FF2A9A"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Приложение № 11 </w:t>
      </w:r>
      <w:r w:rsidRPr="00FF2A9A">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и чл. 7 от ПМС № 162/2016 г.;</w:t>
      </w:r>
    </w:p>
    <w:p w:rsidR="00FC2EA3"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322F83">
        <w:rPr>
          <w:rFonts w:ascii="Arial" w:eastAsia="Calibri" w:hAnsi="Arial" w:cs="Arial"/>
          <w:noProof w:val="0"/>
        </w:rPr>
        <w:t xml:space="preserve">Приложение № 12 </w:t>
      </w:r>
      <w:r w:rsidRPr="00FF2A9A">
        <w:rPr>
          <w:rFonts w:ascii="Arial" w:eastAsia="Calibri" w:hAnsi="Arial" w:cs="Arial"/>
          <w:noProof w:val="0"/>
        </w:rPr>
        <w:t>Образец на Анализ приходи-разходи;</w:t>
      </w:r>
    </w:p>
    <w:p w:rsidR="00FA6AEA"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322F83">
        <w:rPr>
          <w:rFonts w:ascii="Arial" w:eastAsia="Calibri" w:hAnsi="Arial" w:cs="Arial"/>
          <w:noProof w:val="0"/>
        </w:rPr>
        <w:t>Приложение № 13</w:t>
      </w:r>
      <w:r w:rsidR="00FC1EA0">
        <w:rPr>
          <w:rFonts w:ascii="Arial" w:eastAsia="Calibri" w:hAnsi="Arial" w:cs="Arial"/>
          <w:noProof w:val="0"/>
        </w:rPr>
        <w:t xml:space="preserve"> </w:t>
      </w:r>
      <w:r w:rsidRPr="00FF2A9A">
        <w:rPr>
          <w:rFonts w:ascii="Arial" w:eastAsia="Calibri" w:hAnsi="Arial" w:cs="Arial"/>
          <w:noProof w:val="0"/>
        </w:rPr>
        <w:t>Образец на Бизнес план</w:t>
      </w:r>
      <w:r w:rsidR="00FC1EA0">
        <w:rPr>
          <w:rFonts w:ascii="Arial" w:eastAsia="Calibri" w:hAnsi="Arial" w:cs="Arial"/>
          <w:noProof w:val="0"/>
        </w:rPr>
        <w:t>.</w:t>
      </w:r>
    </w:p>
    <w:sectPr w:rsidR="00FA6AEA" w:rsidRPr="00FF2A9A" w:rsidSect="0039181F">
      <w:footerReference w:type="default" r:id="rId22"/>
      <w:headerReference w:type="first" r:id="rId23"/>
      <w:pgSz w:w="12240" w:h="15840"/>
      <w:pgMar w:top="1440" w:right="1080" w:bottom="1276" w:left="135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CF" w:rsidRDefault="00FC6ACF" w:rsidP="00BE1440">
      <w:pPr>
        <w:spacing w:after="0" w:line="240" w:lineRule="auto"/>
      </w:pPr>
      <w:r>
        <w:separator/>
      </w:r>
    </w:p>
  </w:endnote>
  <w:endnote w:type="continuationSeparator" w:id="0">
    <w:p w:rsidR="00FC6ACF" w:rsidRDefault="00FC6ACF"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420380261"/>
      <w:docPartObj>
        <w:docPartGallery w:val="Page Numbers (Bottom of Page)"/>
        <w:docPartUnique/>
      </w:docPartObj>
    </w:sdtPr>
    <w:sdtEndPr/>
    <w:sdtContent>
      <w:sdt>
        <w:sdtPr>
          <w:rPr>
            <w:lang w:val="en-US"/>
          </w:rPr>
          <w:id w:val="860082579"/>
          <w:docPartObj>
            <w:docPartGallery w:val="Page Numbers (Top of Page)"/>
            <w:docPartUnique/>
          </w:docPartObj>
        </w:sdtPr>
        <w:sdtEndPr/>
        <w:sdtContent>
          <w:p w:rsidR="00974F24" w:rsidRPr="00C16B34" w:rsidRDefault="00974F24" w:rsidP="00295FCA">
            <w:pPr>
              <w:pStyle w:val="Footer"/>
              <w:tabs>
                <w:tab w:val="clear" w:pos="4536"/>
                <w:tab w:val="clear" w:pos="9072"/>
              </w:tabs>
              <w:jc w:val="right"/>
              <w:rPr>
                <w:lang w:val="en-US"/>
              </w:rPr>
            </w:pPr>
            <w:r w:rsidRPr="00C16B34">
              <w:rPr>
                <w:rFonts w:ascii="Arial" w:hAnsi="Arial" w:cs="Arial"/>
                <w:sz w:val="12"/>
                <w:szCs w:val="12"/>
                <w:lang w:val="en-US"/>
              </w:rPr>
              <w:t xml:space="preserve">Page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PAGE </w:instrText>
            </w:r>
            <w:r w:rsidRPr="00C16B34">
              <w:rPr>
                <w:rFonts w:ascii="Arial" w:hAnsi="Arial" w:cs="Arial"/>
                <w:bCs/>
                <w:sz w:val="12"/>
                <w:szCs w:val="12"/>
                <w:lang w:val="en-US"/>
              </w:rPr>
              <w:fldChar w:fldCharType="separate"/>
            </w:r>
            <w:r w:rsidR="00452BF2">
              <w:rPr>
                <w:rFonts w:ascii="Arial" w:hAnsi="Arial" w:cs="Arial"/>
                <w:bCs/>
                <w:noProof/>
                <w:sz w:val="12"/>
                <w:szCs w:val="12"/>
                <w:lang w:val="en-US"/>
              </w:rPr>
              <w:t>36</w:t>
            </w:r>
            <w:r w:rsidRPr="00C16B34">
              <w:rPr>
                <w:rFonts w:ascii="Arial" w:hAnsi="Arial" w:cs="Arial"/>
                <w:bCs/>
                <w:sz w:val="12"/>
                <w:szCs w:val="12"/>
                <w:lang w:val="en-US"/>
              </w:rPr>
              <w:fldChar w:fldCharType="end"/>
            </w:r>
            <w:r w:rsidRPr="00C16B34">
              <w:rPr>
                <w:rFonts w:ascii="Arial" w:hAnsi="Arial" w:cs="Arial"/>
                <w:sz w:val="12"/>
                <w:szCs w:val="12"/>
                <w:lang w:val="en-US"/>
              </w:rPr>
              <w:t xml:space="preserve"> of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NUMPAGES  </w:instrText>
            </w:r>
            <w:r w:rsidRPr="00C16B34">
              <w:rPr>
                <w:rFonts w:ascii="Arial" w:hAnsi="Arial" w:cs="Arial"/>
                <w:bCs/>
                <w:sz w:val="12"/>
                <w:szCs w:val="12"/>
                <w:lang w:val="en-US"/>
              </w:rPr>
              <w:fldChar w:fldCharType="separate"/>
            </w:r>
            <w:r w:rsidR="00452BF2">
              <w:rPr>
                <w:rFonts w:ascii="Arial" w:hAnsi="Arial" w:cs="Arial"/>
                <w:bCs/>
                <w:noProof/>
                <w:sz w:val="12"/>
                <w:szCs w:val="12"/>
                <w:lang w:val="en-US"/>
              </w:rPr>
              <w:t>36</w:t>
            </w:r>
            <w:r w:rsidRPr="00C16B34">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CF" w:rsidRDefault="00FC6ACF" w:rsidP="00BE1440">
      <w:pPr>
        <w:spacing w:after="0" w:line="240" w:lineRule="auto"/>
      </w:pPr>
      <w:r>
        <w:separator/>
      </w:r>
    </w:p>
  </w:footnote>
  <w:footnote w:type="continuationSeparator" w:id="0">
    <w:p w:rsidR="00FC6ACF" w:rsidRDefault="00FC6ACF" w:rsidP="00BE1440">
      <w:pPr>
        <w:spacing w:after="0" w:line="240" w:lineRule="auto"/>
      </w:pPr>
      <w:r>
        <w:continuationSeparator/>
      </w:r>
    </w:p>
  </w:footnote>
  <w:footnote w:id="1">
    <w:p w:rsidR="00974F24" w:rsidRPr="001E4E80" w:rsidRDefault="00974F24" w:rsidP="00BE1440">
      <w:pPr>
        <w:pStyle w:val="singlespa1"/>
        <w:rPr>
          <w:rFonts w:ascii="Arial" w:hAnsi="Arial" w:cs="Arial"/>
          <w:sz w:val="18"/>
          <w:szCs w:val="18"/>
          <w:lang w:val="bg-BG"/>
        </w:rPr>
      </w:pPr>
      <w:r w:rsidRPr="001E4E80">
        <w:rPr>
          <w:rStyle w:val="FootnoteReference"/>
          <w:rFonts w:ascii="Arial" w:hAnsi="Arial" w:cs="Arial"/>
          <w:sz w:val="18"/>
          <w:szCs w:val="18"/>
          <w:lang w:val="bg-BG"/>
        </w:rPr>
        <w:footnoteRef/>
      </w:r>
      <w:r w:rsidRPr="001E4E80">
        <w:rPr>
          <w:rFonts w:ascii="Arial" w:hAnsi="Arial" w:cs="Arial"/>
          <w:sz w:val="18"/>
          <w:szCs w:val="18"/>
          <w:lang w:val="bg-BG"/>
        </w:rPr>
        <w:t xml:space="preserve"> Ръководството може да бъде намерено на следния интернет адрес: </w:t>
      </w:r>
      <w:hyperlink r:id="rId1" w:history="1">
        <w:r w:rsidRPr="001E4E80">
          <w:rPr>
            <w:rStyle w:val="Hyperlink"/>
            <w:rFonts w:ascii="Arial" w:hAnsi="Arial" w:cs="Arial"/>
            <w:i/>
            <w:sz w:val="18"/>
            <w:szCs w:val="18"/>
            <w:lang w:val="bg-BG"/>
          </w:rPr>
          <w:t>https://eumis2020.government.bg/docs/guide.pdf</w:t>
        </w:r>
      </w:hyperlink>
    </w:p>
    <w:p w:rsidR="00974F24" w:rsidRDefault="00974F24" w:rsidP="00BE1440">
      <w:pPr>
        <w:pStyle w:val="singlespa1"/>
      </w:pPr>
    </w:p>
  </w:footnote>
  <w:footnote w:id="2">
    <w:p w:rsidR="00974F24" w:rsidRPr="00C83712" w:rsidRDefault="00974F24" w:rsidP="00BE1440">
      <w:pPr>
        <w:pStyle w:val="singlespa1"/>
        <w:jc w:val="both"/>
        <w:rPr>
          <w:rFonts w:ascii="Arial" w:hAnsi="Arial" w:cs="Arial"/>
          <w:sz w:val="18"/>
          <w:szCs w:val="18"/>
          <w:lang w:val="bg-BG"/>
        </w:rPr>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w:t>
      </w:r>
      <w:r w:rsidRPr="00C83712">
        <w:rPr>
          <w:rFonts w:ascii="Arial" w:hAnsi="Arial" w:cs="Arial"/>
          <w:sz w:val="18"/>
          <w:szCs w:val="18"/>
          <w:lang w:val="bg-BG"/>
        </w:rPr>
        <w:t>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3">
    <w:p w:rsidR="00974F24" w:rsidRDefault="00974F24" w:rsidP="00BE1440">
      <w:pPr>
        <w:pStyle w:val="singlespa1"/>
        <w:jc w:val="both"/>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w:t>
      </w:r>
      <w:r w:rsidRPr="00C83712">
        <w:rPr>
          <w:rFonts w:ascii="Arial" w:hAnsi="Arial" w:cs="Arial"/>
          <w:sz w:val="18"/>
          <w:szCs w:val="18"/>
          <w:lang w:val="bg-BG"/>
        </w:rPr>
        <w:t>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9" w:type="dxa"/>
      <w:jc w:val="center"/>
      <w:tblInd w:w="1022" w:type="dxa"/>
      <w:tblLook w:val="04A0" w:firstRow="1" w:lastRow="0" w:firstColumn="1" w:lastColumn="0" w:noHBand="0" w:noVBand="1"/>
    </w:tblPr>
    <w:tblGrid>
      <w:gridCol w:w="2730"/>
      <w:gridCol w:w="3747"/>
      <w:gridCol w:w="2232"/>
    </w:tblGrid>
    <w:tr w:rsidR="00974F24" w:rsidRPr="00FF2A9A" w:rsidTr="00FF2A9A">
      <w:trPr>
        <w:jc w:val="center"/>
      </w:trPr>
      <w:tc>
        <w:tcPr>
          <w:tcW w:w="2839" w:type="dxa"/>
          <w:shd w:val="clear" w:color="auto" w:fill="auto"/>
        </w:tcPr>
        <w:p w:rsidR="00974F24" w:rsidRPr="00FF2A9A" w:rsidRDefault="00974F24" w:rsidP="00FF2A9A">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extent cx="1041400" cy="723265"/>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23265"/>
                        </a:xfrm>
                        <a:prstGeom prst="rect">
                          <a:avLst/>
                        </a:prstGeom>
                        <a:noFill/>
                        <a:ln>
                          <a:noFill/>
                        </a:ln>
                      </pic:spPr>
                    </pic:pic>
                  </a:graphicData>
                </a:graphic>
              </wp:inline>
            </w:drawing>
          </w:r>
        </w:p>
        <w:p w:rsidR="00974F24" w:rsidRPr="00FF2A9A" w:rsidRDefault="00974F24" w:rsidP="00FF2A9A">
          <w:pPr>
            <w:spacing w:after="0" w:line="240" w:lineRule="auto"/>
            <w:jc w:val="center"/>
            <w:rPr>
              <w:rFonts w:ascii="Candara" w:eastAsia="Calibri" w:hAnsi="Candara" w:cs="Candara"/>
              <w:b/>
              <w:bCs/>
              <w:kern w:val="24"/>
              <w:sz w:val="16"/>
              <w:szCs w:val="16"/>
              <w:lang w:val="ru-RU"/>
            </w:rPr>
          </w:pPr>
          <w:r w:rsidRPr="00FF2A9A">
            <w:rPr>
              <w:rFonts w:ascii="Candara" w:eastAsia="Calibri" w:hAnsi="Candara" w:cs="Candara"/>
              <w:b/>
              <w:bCs/>
              <w:kern w:val="24"/>
              <w:sz w:val="16"/>
              <w:szCs w:val="16"/>
              <w:lang w:val="ru-RU"/>
            </w:rPr>
            <w:t>ЕВРОПЕЙСКИ СЪЮЗ</w:t>
          </w:r>
        </w:p>
        <w:p w:rsidR="00974F24" w:rsidRPr="00FF2A9A" w:rsidRDefault="00974F24" w:rsidP="00FF2A9A">
          <w:pPr>
            <w:spacing w:after="0" w:line="240" w:lineRule="auto"/>
            <w:jc w:val="center"/>
            <w:rPr>
              <w:rFonts w:ascii="Candara" w:eastAsia="Calibri" w:hAnsi="Candara" w:cs="Candara"/>
              <w:kern w:val="24"/>
              <w:sz w:val="16"/>
              <w:szCs w:val="16"/>
              <w:lang w:val="ru-RU"/>
            </w:rPr>
          </w:pPr>
          <w:r w:rsidRPr="00FF2A9A">
            <w:rPr>
              <w:rFonts w:ascii="Candara" w:eastAsia="Calibri" w:hAnsi="Candara" w:cs="Candara"/>
              <w:kern w:val="24"/>
              <w:sz w:val="16"/>
              <w:szCs w:val="16"/>
              <w:lang w:val="ru-RU"/>
            </w:rPr>
            <w:t>ЕВРОПЕЙСКИ ФОНД ЗА</w:t>
          </w:r>
        </w:p>
        <w:p w:rsidR="00974F24" w:rsidRPr="00FF2A9A" w:rsidRDefault="00974F24" w:rsidP="00FF2A9A">
          <w:pPr>
            <w:spacing w:after="0" w:line="240" w:lineRule="auto"/>
            <w:jc w:val="center"/>
            <w:rPr>
              <w:rFonts w:ascii="Calibri" w:eastAsia="Calibri" w:hAnsi="Calibri" w:cs="Times New Roman"/>
            </w:rPr>
          </w:pPr>
          <w:r w:rsidRPr="00FF2A9A">
            <w:rPr>
              <w:rFonts w:ascii="Candara" w:eastAsia="Calibri" w:hAnsi="Candara" w:cs="Candara"/>
              <w:kern w:val="24"/>
              <w:sz w:val="16"/>
              <w:szCs w:val="16"/>
              <w:lang w:val="ru-RU"/>
            </w:rPr>
            <w:t>МОРСКО ДЕЛО И РИБАРСТВО</w:t>
          </w:r>
        </w:p>
      </w:tc>
      <w:tc>
        <w:tcPr>
          <w:tcW w:w="3880" w:type="dxa"/>
          <w:shd w:val="clear" w:color="auto" w:fill="auto"/>
        </w:tcPr>
        <w:p w:rsidR="00974F24" w:rsidRPr="00FF2A9A" w:rsidRDefault="00974F24" w:rsidP="00FF2A9A">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extent cx="1566545" cy="850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850900"/>
                        </a:xfrm>
                        <a:prstGeom prst="rect">
                          <a:avLst/>
                        </a:prstGeom>
                        <a:noFill/>
                        <a:ln>
                          <a:noFill/>
                        </a:ln>
                      </pic:spPr>
                    </pic:pic>
                  </a:graphicData>
                </a:graphic>
              </wp:inline>
            </w:drawing>
          </w:r>
        </w:p>
        <w:p w:rsidR="00974F24" w:rsidRPr="00FF2A9A" w:rsidRDefault="00974F24" w:rsidP="00FF2A9A">
          <w:pPr>
            <w:spacing w:after="0" w:line="259" w:lineRule="auto"/>
            <w:jc w:val="center"/>
            <w:textAlignment w:val="baseline"/>
            <w:rPr>
              <w:rFonts w:ascii="Calibri" w:eastAsia="Calibri" w:hAnsi="Calibri" w:cs="Calibri"/>
              <w:noProof w:val="0"/>
              <w:sz w:val="16"/>
              <w:szCs w:val="16"/>
            </w:rPr>
          </w:pPr>
          <w:r w:rsidRPr="00FF2A9A">
            <w:rPr>
              <w:rFonts w:ascii="Candara" w:eastAsia="Calibri" w:hAnsi="Candara" w:cs="Candara"/>
              <w:noProof w:val="0"/>
              <w:color w:val="000000"/>
              <w:kern w:val="24"/>
              <w:sz w:val="16"/>
              <w:szCs w:val="16"/>
            </w:rPr>
            <w:t>МИНИСТЕРСТВО НА ЗЕМЕДЕЛИЕТО</w:t>
          </w:r>
        </w:p>
        <w:p w:rsidR="00974F24" w:rsidRPr="00FF2A9A" w:rsidRDefault="00974F24" w:rsidP="00FF2A9A">
          <w:pPr>
            <w:spacing w:after="160" w:line="259" w:lineRule="auto"/>
            <w:jc w:val="center"/>
            <w:rPr>
              <w:rFonts w:ascii="Candara" w:eastAsia="Calibri" w:hAnsi="Candara" w:cs="Calibri"/>
              <w:noProof w:val="0"/>
              <w:sz w:val="18"/>
              <w:szCs w:val="18"/>
            </w:rPr>
          </w:pPr>
          <w:r w:rsidRPr="00FF2A9A">
            <w:rPr>
              <w:rFonts w:ascii="Candara" w:eastAsia="Calibri" w:hAnsi="Candara" w:cs="Calibri"/>
              <w:noProof w:val="0"/>
              <w:sz w:val="16"/>
              <w:szCs w:val="16"/>
            </w:rPr>
            <w:t>НА РЕПУБЛИКА БЪЛГАРИЯ</w:t>
          </w:r>
        </w:p>
      </w:tc>
      <w:tc>
        <w:tcPr>
          <w:tcW w:w="1990" w:type="dxa"/>
          <w:shd w:val="clear" w:color="auto" w:fill="auto"/>
        </w:tcPr>
        <w:p w:rsidR="00974F24" w:rsidRPr="00FF2A9A" w:rsidRDefault="00974F24" w:rsidP="00FF2A9A">
          <w:pPr>
            <w:spacing w:after="0" w:line="240" w:lineRule="auto"/>
            <w:jc w:val="center"/>
            <w:rPr>
              <w:rFonts w:ascii="Arial" w:eastAsia="Calibri" w:hAnsi="Arial" w:cs="Arial"/>
            </w:rPr>
          </w:pPr>
          <w:r>
            <w:rPr>
              <w:rFonts w:ascii="Arial" w:eastAsia="Calibri" w:hAnsi="Arial" w:cs="Arial"/>
              <w:lang w:val="en-US"/>
            </w:rPr>
            <w:drawing>
              <wp:inline distT="0" distB="0" distL="0" distR="0">
                <wp:extent cx="1280160" cy="1160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1160780"/>
                        </a:xfrm>
                        <a:prstGeom prst="rect">
                          <a:avLst/>
                        </a:prstGeom>
                        <a:noFill/>
                        <a:ln>
                          <a:noFill/>
                        </a:ln>
                      </pic:spPr>
                    </pic:pic>
                  </a:graphicData>
                </a:graphic>
              </wp:inline>
            </w:drawing>
          </w:r>
        </w:p>
      </w:tc>
    </w:tr>
  </w:tbl>
  <w:p w:rsidR="00974F24" w:rsidRPr="00BE1440" w:rsidRDefault="00974F24" w:rsidP="00BE1440">
    <w:pPr>
      <w:pStyle w:val="Header"/>
      <w:tabs>
        <w:tab w:val="clear" w:pos="4536"/>
        <w:tab w:val="clear" w:pos="9072"/>
      </w:tabs>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778"/>
    <w:rsid w:val="00035081"/>
    <w:rsid w:val="000355CB"/>
    <w:rsid w:val="00057B27"/>
    <w:rsid w:val="000820C7"/>
    <w:rsid w:val="000A069D"/>
    <w:rsid w:val="000B2F62"/>
    <w:rsid w:val="000B6DA3"/>
    <w:rsid w:val="000D13F4"/>
    <w:rsid w:val="000E0D7B"/>
    <w:rsid w:val="00134A2F"/>
    <w:rsid w:val="00150B86"/>
    <w:rsid w:val="001558BB"/>
    <w:rsid w:val="00157289"/>
    <w:rsid w:val="001669A6"/>
    <w:rsid w:val="00195049"/>
    <w:rsid w:val="001A7D8E"/>
    <w:rsid w:val="001D6962"/>
    <w:rsid w:val="001E058B"/>
    <w:rsid w:val="001E4E80"/>
    <w:rsid w:val="00217993"/>
    <w:rsid w:val="00236F07"/>
    <w:rsid w:val="002413EB"/>
    <w:rsid w:val="00245F20"/>
    <w:rsid w:val="00257F65"/>
    <w:rsid w:val="00265587"/>
    <w:rsid w:val="00277E3B"/>
    <w:rsid w:val="00281619"/>
    <w:rsid w:val="00295FCA"/>
    <w:rsid w:val="002A35E0"/>
    <w:rsid w:val="003015BE"/>
    <w:rsid w:val="00306C19"/>
    <w:rsid w:val="00314855"/>
    <w:rsid w:val="00322F83"/>
    <w:rsid w:val="003653D2"/>
    <w:rsid w:val="003827C4"/>
    <w:rsid w:val="0039181F"/>
    <w:rsid w:val="00391FD0"/>
    <w:rsid w:val="003B70AA"/>
    <w:rsid w:val="003C150F"/>
    <w:rsid w:val="003F015C"/>
    <w:rsid w:val="003F22CF"/>
    <w:rsid w:val="00401AAF"/>
    <w:rsid w:val="0040431A"/>
    <w:rsid w:val="00404AAD"/>
    <w:rsid w:val="0041727E"/>
    <w:rsid w:val="00452BF2"/>
    <w:rsid w:val="004827DD"/>
    <w:rsid w:val="004872FC"/>
    <w:rsid w:val="00493957"/>
    <w:rsid w:val="00493B5A"/>
    <w:rsid w:val="00493C00"/>
    <w:rsid w:val="004B3B8D"/>
    <w:rsid w:val="005118F7"/>
    <w:rsid w:val="005158AC"/>
    <w:rsid w:val="0054361C"/>
    <w:rsid w:val="00544517"/>
    <w:rsid w:val="00557009"/>
    <w:rsid w:val="0056269E"/>
    <w:rsid w:val="00562B0D"/>
    <w:rsid w:val="00582F1D"/>
    <w:rsid w:val="005837DA"/>
    <w:rsid w:val="00583D2C"/>
    <w:rsid w:val="00590FE2"/>
    <w:rsid w:val="005C7EE4"/>
    <w:rsid w:val="005F16AB"/>
    <w:rsid w:val="00605FC7"/>
    <w:rsid w:val="00616E7E"/>
    <w:rsid w:val="00622B84"/>
    <w:rsid w:val="0063035F"/>
    <w:rsid w:val="0065301A"/>
    <w:rsid w:val="0065586C"/>
    <w:rsid w:val="0068418C"/>
    <w:rsid w:val="006B009E"/>
    <w:rsid w:val="006D6675"/>
    <w:rsid w:val="006E7C6E"/>
    <w:rsid w:val="006F1CD0"/>
    <w:rsid w:val="007146F0"/>
    <w:rsid w:val="00716F01"/>
    <w:rsid w:val="00722699"/>
    <w:rsid w:val="0073182A"/>
    <w:rsid w:val="00750592"/>
    <w:rsid w:val="00770914"/>
    <w:rsid w:val="00781B16"/>
    <w:rsid w:val="007841EA"/>
    <w:rsid w:val="007855E9"/>
    <w:rsid w:val="00785B71"/>
    <w:rsid w:val="007A06F5"/>
    <w:rsid w:val="007A37B9"/>
    <w:rsid w:val="007D3CA4"/>
    <w:rsid w:val="007E3B1A"/>
    <w:rsid w:val="007E5400"/>
    <w:rsid w:val="00804368"/>
    <w:rsid w:val="00823030"/>
    <w:rsid w:val="00845DBE"/>
    <w:rsid w:val="00851A0D"/>
    <w:rsid w:val="00862BD4"/>
    <w:rsid w:val="00872544"/>
    <w:rsid w:val="00886C84"/>
    <w:rsid w:val="00893B71"/>
    <w:rsid w:val="00895422"/>
    <w:rsid w:val="008B3BBE"/>
    <w:rsid w:val="008C5380"/>
    <w:rsid w:val="008D5B00"/>
    <w:rsid w:val="008D646C"/>
    <w:rsid w:val="008D6473"/>
    <w:rsid w:val="008F36AA"/>
    <w:rsid w:val="008F62E7"/>
    <w:rsid w:val="00900645"/>
    <w:rsid w:val="00906979"/>
    <w:rsid w:val="00916E20"/>
    <w:rsid w:val="00921927"/>
    <w:rsid w:val="0092547E"/>
    <w:rsid w:val="00974F24"/>
    <w:rsid w:val="00984459"/>
    <w:rsid w:val="009943D6"/>
    <w:rsid w:val="009B38FB"/>
    <w:rsid w:val="009C6819"/>
    <w:rsid w:val="009D0D08"/>
    <w:rsid w:val="009E3C67"/>
    <w:rsid w:val="009F4A51"/>
    <w:rsid w:val="009F5181"/>
    <w:rsid w:val="00A27EE7"/>
    <w:rsid w:val="00A33C26"/>
    <w:rsid w:val="00A523D3"/>
    <w:rsid w:val="00A60ABB"/>
    <w:rsid w:val="00A64C8F"/>
    <w:rsid w:val="00A67C0D"/>
    <w:rsid w:val="00A75130"/>
    <w:rsid w:val="00A830B3"/>
    <w:rsid w:val="00A90AAB"/>
    <w:rsid w:val="00A93052"/>
    <w:rsid w:val="00AA22E4"/>
    <w:rsid w:val="00AB1386"/>
    <w:rsid w:val="00AB4E6B"/>
    <w:rsid w:val="00AD212E"/>
    <w:rsid w:val="00AD3276"/>
    <w:rsid w:val="00AE028C"/>
    <w:rsid w:val="00B13291"/>
    <w:rsid w:val="00B26B79"/>
    <w:rsid w:val="00B33385"/>
    <w:rsid w:val="00B42F2F"/>
    <w:rsid w:val="00B439BD"/>
    <w:rsid w:val="00B43A73"/>
    <w:rsid w:val="00B72F73"/>
    <w:rsid w:val="00B74F4B"/>
    <w:rsid w:val="00B83EF6"/>
    <w:rsid w:val="00B85B16"/>
    <w:rsid w:val="00B93235"/>
    <w:rsid w:val="00BB4482"/>
    <w:rsid w:val="00BC1887"/>
    <w:rsid w:val="00BC1DE6"/>
    <w:rsid w:val="00BC35C1"/>
    <w:rsid w:val="00BC7BE6"/>
    <w:rsid w:val="00BD1254"/>
    <w:rsid w:val="00BE1440"/>
    <w:rsid w:val="00BF3F1D"/>
    <w:rsid w:val="00C16B34"/>
    <w:rsid w:val="00C21629"/>
    <w:rsid w:val="00C2560D"/>
    <w:rsid w:val="00C45CB2"/>
    <w:rsid w:val="00C641F6"/>
    <w:rsid w:val="00C67BBF"/>
    <w:rsid w:val="00C8194A"/>
    <w:rsid w:val="00C819F8"/>
    <w:rsid w:val="00C83712"/>
    <w:rsid w:val="00CA5A22"/>
    <w:rsid w:val="00CA7CA0"/>
    <w:rsid w:val="00CB7C4A"/>
    <w:rsid w:val="00D33A30"/>
    <w:rsid w:val="00D40A1D"/>
    <w:rsid w:val="00D87A93"/>
    <w:rsid w:val="00DA1EE5"/>
    <w:rsid w:val="00DA2877"/>
    <w:rsid w:val="00DA5150"/>
    <w:rsid w:val="00DA5963"/>
    <w:rsid w:val="00DC4447"/>
    <w:rsid w:val="00DC7DCD"/>
    <w:rsid w:val="00DD7B5F"/>
    <w:rsid w:val="00DE26B8"/>
    <w:rsid w:val="00E34E97"/>
    <w:rsid w:val="00E40087"/>
    <w:rsid w:val="00E459FB"/>
    <w:rsid w:val="00E62A3E"/>
    <w:rsid w:val="00E62B11"/>
    <w:rsid w:val="00E73210"/>
    <w:rsid w:val="00E85F9B"/>
    <w:rsid w:val="00E92704"/>
    <w:rsid w:val="00EC0DF6"/>
    <w:rsid w:val="00EE4E38"/>
    <w:rsid w:val="00EE64DB"/>
    <w:rsid w:val="00F12332"/>
    <w:rsid w:val="00F41FFC"/>
    <w:rsid w:val="00F44E5A"/>
    <w:rsid w:val="00F56735"/>
    <w:rsid w:val="00F56CCF"/>
    <w:rsid w:val="00F647D0"/>
    <w:rsid w:val="00FA4C54"/>
    <w:rsid w:val="00FA6AEA"/>
    <w:rsid w:val="00FC1EA0"/>
    <w:rsid w:val="00FC2EA3"/>
    <w:rsid w:val="00FC5FC9"/>
    <w:rsid w:val="00FC6ACF"/>
    <w:rsid w:val="00FE71EF"/>
    <w:rsid w:val="00FE7A69"/>
    <w:rsid w:val="00FF0435"/>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5F"/>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5F"/>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footnotes" Target="footnotes.xml"/><Relationship Id="rId12" Type="http://schemas.openxmlformats.org/officeDocument/2006/relationships/hyperlink" Target="http://ec.europa.eu/regional_policy/sources/docgener/studies/pdf/cba_guide.pdf" TargetMode="External"/><Relationship Id="rId17" Type="http://schemas.openxmlformats.org/officeDocument/2006/relationships/hyperlink" Target="https://eumis2020.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funds.bg" TargetMode="External"/><Relationship Id="rId20" Type="http://schemas.openxmlformats.org/officeDocument/2006/relationships/hyperlink" Target="http://www.eufunds.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funds.bg/bg/pmdr/node/258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ufunds.bg/bg/pmdr/node/2683"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mdr@mzh.government.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ufunds.bg/bg/taxonomy/term/60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6C2D-D22F-47C0-9EB8-C7A4A9AB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15384</Words>
  <Characters>87694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Zhasmina Avramova</cp:lastModifiedBy>
  <cp:revision>3</cp:revision>
  <dcterms:created xsi:type="dcterms:W3CDTF">2022-09-29T10:22:00Z</dcterms:created>
  <dcterms:modified xsi:type="dcterms:W3CDTF">2022-09-29T11:31:00Z</dcterms:modified>
</cp:coreProperties>
</file>