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004F758D" w:rsidR="00884AC8" w:rsidRPr="002C7325" w:rsidRDefault="00F844F7" w:rsidP="00FC4774">
      <w:pPr>
        <w:spacing w:after="120" w:line="240" w:lineRule="auto"/>
        <w:rPr>
          <w:b/>
          <w:snapToGrid w:val="0"/>
        </w:rPr>
      </w:pPr>
      <w:r>
        <w:rPr>
          <w:b/>
          <w:noProof/>
          <w:lang w:val="en-US"/>
        </w:rPr>
        <w:drawing>
          <wp:inline distT="0" distB="0" distL="0" distR="0" wp14:anchorId="035D58A0" wp14:editId="5B445531">
            <wp:extent cx="6080760" cy="1635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с Министерство на земеделиет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7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5F206A9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00A6ED86"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№ BG14MFOP001-5.022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>ПРЕРАБОТВАНЕ НА ПРОДУКТИТЕ ОТ РИБОЛОВ И АКВАКУЛТУРИ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234443B7" w14:textId="77777777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lastRenderedPageBreak/>
        <w:t xml:space="preserve">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3AB02DBD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- заместник-министър на земеделието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bookmarkStart w:id="2" w:name="_GoBack"/>
      <w:bookmarkEnd w:id="2"/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6C7E3DDA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BG14MFOP001-5.022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4672C9B"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3CCEFC7A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1164403A"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№ BG14MFOP001-5.022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„Преработване на продуктите от риболов и аквакултури“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7AF65B3D"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lastRenderedPageBreak/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№ BG14MFOP001-5.022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„Мерки за предлагане на пазара - сектор „Преработване на продуктите от риболов и аквакултури“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14:paraId="6F56A1BA" w14:textId="0297E9B1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сроковете, посочени в този договор и общите условия.</w:t>
      </w:r>
    </w:p>
    <w:p w14:paraId="6987452B" w14:textId="3DD65FB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E97121">
        <w:rPr>
          <w:rFonts w:ascii="Arial" w:hAnsi="Arial" w:cs="Arial"/>
          <w:sz w:val="22"/>
          <w:szCs w:val="22"/>
        </w:rPr>
        <w:t xml:space="preserve">30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AE2360">
        <w:rPr>
          <w:rFonts w:ascii="Arial" w:hAnsi="Arial" w:cs="Arial"/>
          <w:sz w:val="22"/>
          <w:szCs w:val="22"/>
        </w:rPr>
        <w:t>тридесет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8ECD749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(ИСУН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09EFAD01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BG14MFOP001-5.022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6F5FC19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0"/>
      <w:footerReference w:type="default" r:id="rId11"/>
      <w:headerReference w:type="first" r:id="rId12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11B826C5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1479F9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1479F9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7CEE"/>
    <w:rsid w:val="004620F3"/>
    <w:rsid w:val="00465C00"/>
    <w:rsid w:val="00466056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2F4C9-57CF-4D29-A715-B6D7FA0C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1180</Words>
  <Characters>6902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73</cp:revision>
  <cp:lastPrinted>2022-11-14T11:34:00Z</cp:lastPrinted>
  <dcterms:created xsi:type="dcterms:W3CDTF">2020-05-31T17:31:00Z</dcterms:created>
  <dcterms:modified xsi:type="dcterms:W3CDTF">2022-12-07T12:53:00Z</dcterms:modified>
</cp:coreProperties>
</file>