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25" w:type="dxa"/>
        <w:tblInd w:w="1492" w:type="dxa"/>
        <w:tblLayout w:type="fixed"/>
        <w:tblCellMar>
          <w:left w:w="0" w:type="dxa"/>
          <w:right w:w="0" w:type="dxa"/>
        </w:tblCellMar>
        <w:tblLook w:val="0000" w:firstRow="0" w:lastRow="0" w:firstColumn="0" w:lastColumn="0" w:noHBand="0" w:noVBand="0"/>
      </w:tblPr>
      <w:tblGrid>
        <w:gridCol w:w="3445"/>
        <w:gridCol w:w="1217"/>
        <w:gridCol w:w="4337"/>
        <w:gridCol w:w="2126"/>
      </w:tblGrid>
      <w:tr w:rsidR="00025E58" w:rsidRPr="00144A1F" w14:paraId="21AAFF0D" w14:textId="77777777" w:rsidTr="00E756A6">
        <w:trPr>
          <w:trHeight w:val="1256"/>
          <w:tblHeader/>
        </w:trPr>
        <w:tc>
          <w:tcPr>
            <w:tcW w:w="3445" w:type="dxa"/>
            <w:vMerge w:val="restart"/>
            <w:tcBorders>
              <w:top w:val="single" w:sz="1" w:space="0" w:color="000000"/>
              <w:left w:val="single" w:sz="1" w:space="0" w:color="000000"/>
            </w:tcBorders>
            <w:vAlign w:val="center"/>
          </w:tcPr>
          <w:p w14:paraId="69D3DF59" w14:textId="77777777" w:rsidR="00025E58"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971D91">
              <w:rPr>
                <w:rFonts w:eastAsia="HG Mincho Light J"/>
                <w:b/>
                <w:color w:val="000000"/>
                <w:sz w:val="20"/>
                <w:szCs w:val="20"/>
                <w:lang w:val="bg-BG"/>
              </w:rPr>
              <w:t>земеделието</w:t>
            </w:r>
          </w:p>
          <w:p w14:paraId="002C4755" w14:textId="77777777" w:rsidR="00971D91" w:rsidRPr="00144A1F" w:rsidRDefault="00971D91" w:rsidP="00E756A6">
            <w:pPr>
              <w:widowControl w:val="0"/>
              <w:suppressLineNumbers/>
              <w:suppressAutoHyphens/>
              <w:jc w:val="center"/>
              <w:rPr>
                <w:rFonts w:eastAsia="HG Mincho Light J"/>
                <w:b/>
                <w:color w:val="000000"/>
                <w:sz w:val="20"/>
                <w:szCs w:val="20"/>
                <w:lang w:val="bg-BG"/>
              </w:rPr>
            </w:pPr>
          </w:p>
          <w:p w14:paraId="3DB92DDE" w14:textId="77777777" w:rsidR="00025E58" w:rsidRPr="00877A5F" w:rsidRDefault="00025E58" w:rsidP="00E756A6">
            <w:pPr>
              <w:widowControl w:val="0"/>
              <w:suppressLineNumbers/>
              <w:suppressAutoHyphens/>
              <w:jc w:val="center"/>
              <w:rPr>
                <w:rFonts w:eastAsia="HG Mincho Light J"/>
                <w:b/>
                <w:color w:val="000000"/>
                <w:sz w:val="20"/>
                <w:szCs w:val="20"/>
                <w:lang w:val="en-US"/>
              </w:rPr>
            </w:pPr>
            <w:r>
              <w:rPr>
                <w:rFonts w:eastAsia="HG Mincho Light J"/>
                <w:b/>
                <w:color w:val="000000"/>
                <w:sz w:val="20"/>
                <w:szCs w:val="20"/>
                <w:lang w:val="bg-BG"/>
              </w:rPr>
              <w:t>Д</w:t>
            </w:r>
            <w:r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14:paraId="04217B04"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НАРЪЧНИК ПО ПРОГРАМА ЗА МОРСКО ДЕЛО И РИБАРСТВО</w:t>
            </w:r>
            <w:r w:rsidRPr="00144A1F">
              <w:rPr>
                <w:rFonts w:eastAsia="HG Mincho Light J"/>
                <w:b/>
                <w:color w:val="000000"/>
                <w:sz w:val="20"/>
                <w:szCs w:val="20"/>
                <w:lang w:val="bg-BG"/>
              </w:rPr>
              <w:t>” 2014 -2020 (</w:t>
            </w:r>
            <w:r>
              <w:rPr>
                <w:rFonts w:eastAsia="HG Mincho Light J"/>
                <w:b/>
                <w:color w:val="000000"/>
                <w:sz w:val="20"/>
                <w:szCs w:val="20"/>
                <w:lang w:val="bg-BG"/>
              </w:rPr>
              <w:t>ПМДР</w:t>
            </w:r>
            <w:r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14:paraId="1378F065"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Pr>
                <w:rFonts w:eastAsia="HG Mincho Light J"/>
                <w:b/>
                <w:color w:val="000000"/>
                <w:sz w:val="20"/>
                <w:lang w:val="bg-BG"/>
              </w:rPr>
              <w:t>2</w:t>
            </w:r>
          </w:p>
        </w:tc>
      </w:tr>
      <w:tr w:rsidR="00025E58" w:rsidRPr="00144A1F" w14:paraId="52D1FE82" w14:textId="77777777" w:rsidTr="00E756A6">
        <w:trPr>
          <w:trHeight w:val="747"/>
        </w:trPr>
        <w:tc>
          <w:tcPr>
            <w:tcW w:w="3445" w:type="dxa"/>
            <w:vMerge/>
            <w:tcBorders>
              <w:left w:val="single" w:sz="1" w:space="0" w:color="000000"/>
            </w:tcBorders>
            <w:vAlign w:val="center"/>
          </w:tcPr>
          <w:p w14:paraId="38075D94"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14:paraId="0D9DD807"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Pr="00144A1F">
              <w:rPr>
                <w:rFonts w:eastAsia="HG Mincho Light J"/>
                <w:b/>
                <w:color w:val="000000"/>
                <w:sz w:val="20"/>
                <w:szCs w:val="20"/>
                <w:lang w:val="bg-BG"/>
              </w:rPr>
              <w:t xml:space="preserve">Приложение </w:t>
            </w:r>
          </w:p>
          <w:p w14:paraId="7B752F2D"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4.II.1.</w:t>
            </w:r>
            <w:r>
              <w:rPr>
                <w:rFonts w:eastAsia="HG Mincho Light J"/>
                <w:b/>
                <w:color w:val="000000"/>
                <w:sz w:val="20"/>
                <w:szCs w:val="20"/>
                <w:lang w:val="bg-BG"/>
              </w:rPr>
              <w:t>7</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14:paraId="599FB8BF" w14:textId="77777777" w:rsidR="00025E58" w:rsidRPr="00144A1F" w:rsidRDefault="00025E58" w:rsidP="00E756A6">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14:paraId="5F7F6AB3" w14:textId="77777777" w:rsidR="00025E58" w:rsidRPr="00144A1F" w:rsidRDefault="00025E58" w:rsidP="00E756A6">
            <w:pPr>
              <w:widowControl w:val="0"/>
              <w:suppressLineNumbers/>
              <w:suppressAutoHyphens/>
              <w:jc w:val="center"/>
              <w:rPr>
                <w:b/>
                <w:iCs/>
                <w:sz w:val="20"/>
                <w:szCs w:val="20"/>
                <w:lang w:val="bg-BG"/>
              </w:rPr>
            </w:pPr>
          </w:p>
          <w:p w14:paraId="362D43C6" w14:textId="77777777" w:rsidR="00025E58" w:rsidRPr="00144A1F" w:rsidRDefault="00025E58" w:rsidP="00E756A6">
            <w:pPr>
              <w:widowControl w:val="0"/>
              <w:suppressLineNumbers/>
              <w:suppressAutoHyphens/>
              <w:jc w:val="center"/>
              <w:rPr>
                <w:b/>
                <w:iCs/>
                <w:sz w:val="20"/>
                <w:szCs w:val="20"/>
                <w:lang w:val="bg-BG"/>
              </w:rPr>
            </w:pPr>
          </w:p>
          <w:p w14:paraId="018DC83E" w14:textId="77777777" w:rsidR="00025E58" w:rsidRPr="00F609C8" w:rsidRDefault="00025E58" w:rsidP="00E756A6">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Pr>
                <w:b/>
                <w:iCs/>
                <w:sz w:val="20"/>
                <w:szCs w:val="20"/>
                <w:lang w:val="bg-BG"/>
              </w:rPr>
              <w:t xml:space="preserve"> които не се допускат до техническа и финансова оценка</w:t>
            </w:r>
          </w:p>
        </w:tc>
        <w:tc>
          <w:tcPr>
            <w:tcW w:w="2126" w:type="dxa"/>
            <w:tcBorders>
              <w:left w:val="single" w:sz="1" w:space="0" w:color="000000"/>
              <w:bottom w:val="single" w:sz="1" w:space="0" w:color="000000"/>
              <w:right w:val="single" w:sz="1" w:space="0" w:color="000000"/>
            </w:tcBorders>
            <w:vAlign w:val="center"/>
          </w:tcPr>
          <w:p w14:paraId="3747A6AD"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Pr="00144A1F">
              <w:rPr>
                <w:rStyle w:val="PageNumber"/>
                <w:sz w:val="20"/>
                <w:szCs w:val="20"/>
                <w:lang w:val="bg-BG"/>
              </w:rPr>
              <w:fldChar w:fldCharType="begin"/>
            </w:r>
            <w:r w:rsidRPr="00144A1F">
              <w:rPr>
                <w:rStyle w:val="PageNumber"/>
                <w:sz w:val="20"/>
                <w:szCs w:val="20"/>
                <w:lang w:val="bg-BG"/>
              </w:rPr>
              <w:instrText xml:space="preserve"> PAGE </w:instrText>
            </w:r>
            <w:r w:rsidRPr="00144A1F">
              <w:rPr>
                <w:rStyle w:val="PageNumber"/>
                <w:sz w:val="20"/>
                <w:szCs w:val="20"/>
                <w:lang w:val="bg-BG"/>
              </w:rPr>
              <w:fldChar w:fldCharType="separate"/>
            </w:r>
            <w:r>
              <w:rPr>
                <w:rStyle w:val="PageNumber"/>
                <w:noProof/>
                <w:sz w:val="20"/>
                <w:szCs w:val="20"/>
                <w:lang w:val="bg-BG"/>
              </w:rPr>
              <w:t>1</w:t>
            </w:r>
            <w:r w:rsidRPr="00144A1F">
              <w:rPr>
                <w:rStyle w:val="PageNumber"/>
                <w:sz w:val="20"/>
                <w:szCs w:val="20"/>
                <w:lang w:val="bg-BG"/>
              </w:rPr>
              <w:fldChar w:fldCharType="end"/>
            </w:r>
            <w:r w:rsidRPr="00144A1F">
              <w:rPr>
                <w:rStyle w:val="PageNumber"/>
                <w:sz w:val="20"/>
                <w:szCs w:val="20"/>
                <w:lang w:val="bg-BG"/>
              </w:rPr>
              <w:t>/</w:t>
            </w:r>
            <w:r w:rsidRPr="00144A1F">
              <w:rPr>
                <w:rStyle w:val="PageNumber"/>
                <w:sz w:val="20"/>
                <w:szCs w:val="20"/>
                <w:lang w:val="bg-BG"/>
              </w:rPr>
              <w:fldChar w:fldCharType="begin"/>
            </w:r>
            <w:r w:rsidRPr="00144A1F">
              <w:rPr>
                <w:rStyle w:val="PageNumber"/>
                <w:sz w:val="20"/>
                <w:szCs w:val="20"/>
                <w:lang w:val="bg-BG"/>
              </w:rPr>
              <w:instrText xml:space="preserve"> NUMPAGES </w:instrText>
            </w:r>
            <w:r w:rsidRPr="00144A1F">
              <w:rPr>
                <w:rStyle w:val="PageNumber"/>
                <w:sz w:val="20"/>
                <w:szCs w:val="20"/>
                <w:lang w:val="bg-BG"/>
              </w:rPr>
              <w:fldChar w:fldCharType="separate"/>
            </w:r>
            <w:r>
              <w:rPr>
                <w:rStyle w:val="PageNumber"/>
                <w:noProof/>
                <w:sz w:val="20"/>
                <w:szCs w:val="20"/>
                <w:lang w:val="bg-BG"/>
              </w:rPr>
              <w:t>2</w:t>
            </w:r>
            <w:r w:rsidRPr="00144A1F">
              <w:rPr>
                <w:rStyle w:val="PageNumber"/>
                <w:sz w:val="20"/>
                <w:szCs w:val="20"/>
                <w:lang w:val="bg-BG"/>
              </w:rPr>
              <w:fldChar w:fldCharType="end"/>
            </w:r>
          </w:p>
        </w:tc>
      </w:tr>
      <w:tr w:rsidR="00025E58" w:rsidRPr="00144A1F" w14:paraId="508DB717" w14:textId="77777777" w:rsidTr="00E756A6">
        <w:trPr>
          <w:trHeight w:val="697"/>
        </w:trPr>
        <w:tc>
          <w:tcPr>
            <w:tcW w:w="3445" w:type="dxa"/>
            <w:vMerge/>
            <w:tcBorders>
              <w:left w:val="single" w:sz="1" w:space="0" w:color="000000"/>
            </w:tcBorders>
            <w:vAlign w:val="center"/>
          </w:tcPr>
          <w:p w14:paraId="5D1DA75A"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14:paraId="55AA17A3"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14:paraId="7959B049"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14:paraId="00CCEC31" w14:textId="77777777" w:rsidR="00025E58" w:rsidRPr="00D81A6C"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r w:rsidR="00025E58" w:rsidRPr="00144A1F" w14:paraId="6A8B10F7" w14:textId="77777777" w:rsidTr="00E756A6">
        <w:trPr>
          <w:trHeight w:val="697"/>
        </w:trPr>
        <w:tc>
          <w:tcPr>
            <w:tcW w:w="3445" w:type="dxa"/>
            <w:tcBorders>
              <w:left w:val="single" w:sz="1" w:space="0" w:color="000000"/>
              <w:bottom w:val="single" w:sz="1" w:space="0" w:color="000000"/>
            </w:tcBorders>
            <w:vAlign w:val="center"/>
          </w:tcPr>
          <w:p w14:paraId="67B5DC66"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14:paraId="46D521B3"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14:paraId="797AB866" w14:textId="77777777" w:rsidR="00025E58" w:rsidRPr="00D4220F" w:rsidRDefault="00025E58" w:rsidP="00E756A6">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14:paraId="7401223A" w14:textId="77777777" w:rsidR="00025E58" w:rsidRPr="00144A1F"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bl>
    <w:p w14:paraId="7416C458" w14:textId="77777777" w:rsidR="00025E58" w:rsidRDefault="00025E58">
      <w:pPr>
        <w:rPr>
          <w:lang w:val="bg-BG"/>
        </w:rPr>
      </w:pPr>
    </w:p>
    <w:p w14:paraId="28776466" w14:textId="34BED633" w:rsidR="00025E58" w:rsidRDefault="00D166C0" w:rsidP="00D166C0">
      <w:pPr>
        <w:jc w:val="center"/>
        <w:rPr>
          <w:lang w:val="bg-BG"/>
        </w:rPr>
      </w:pPr>
      <w:r>
        <w:rPr>
          <w:b/>
          <w:lang w:val="bg-BG"/>
        </w:rPr>
        <w:t>Списък на проектните предложения</w:t>
      </w:r>
      <w:r w:rsidR="00025E58" w:rsidRPr="005F44E0">
        <w:rPr>
          <w:b/>
          <w:lang w:val="bg-BG"/>
        </w:rPr>
        <w:t xml:space="preserve">, </w:t>
      </w:r>
      <w:r>
        <w:rPr>
          <w:b/>
          <w:lang w:val="bg-BG"/>
        </w:rPr>
        <w:t>които не се допускат до те</w:t>
      </w:r>
      <w:r w:rsidR="0093219F">
        <w:rPr>
          <w:b/>
          <w:lang w:val="bg-BG"/>
        </w:rPr>
        <w:t>хническа и финансова оценка по П</w:t>
      </w:r>
      <w:r>
        <w:rPr>
          <w:b/>
          <w:lang w:val="bg-BG"/>
        </w:rPr>
        <w:t>роцедура</w:t>
      </w:r>
      <w:r w:rsidR="00025E58">
        <w:rPr>
          <w:b/>
          <w:lang w:val="bg-BG"/>
        </w:rPr>
        <w:t xml:space="preserve"> </w:t>
      </w:r>
      <w:r>
        <w:rPr>
          <w:b/>
          <w:lang w:val="bg-BG"/>
        </w:rPr>
        <w:t xml:space="preserve">№ </w:t>
      </w:r>
      <w:r w:rsidR="0059554D" w:rsidRPr="0059554D">
        <w:rPr>
          <w:b/>
          <w:lang w:val="en-US"/>
        </w:rPr>
        <w:t xml:space="preserve">BG14MFOP001-4.114-S1, </w:t>
      </w:r>
      <w:proofErr w:type="spellStart"/>
      <w:r w:rsidR="0059554D" w:rsidRPr="0059554D">
        <w:rPr>
          <w:b/>
          <w:lang w:val="en-US"/>
        </w:rPr>
        <w:t>мярка</w:t>
      </w:r>
      <w:proofErr w:type="spellEnd"/>
      <w:r w:rsidR="0059554D" w:rsidRPr="0059554D">
        <w:rPr>
          <w:b/>
          <w:lang w:val="en-US"/>
        </w:rPr>
        <w:t xml:space="preserve"> 7.1 „</w:t>
      </w:r>
      <w:proofErr w:type="spellStart"/>
      <w:r w:rsidR="0059554D" w:rsidRPr="0059554D">
        <w:rPr>
          <w:b/>
          <w:lang w:val="en-US"/>
        </w:rPr>
        <w:t>Подкрепа</w:t>
      </w:r>
      <w:proofErr w:type="spellEnd"/>
      <w:r w:rsidR="0059554D" w:rsidRPr="0059554D">
        <w:rPr>
          <w:b/>
          <w:lang w:val="en-US"/>
        </w:rPr>
        <w:t xml:space="preserve"> </w:t>
      </w:r>
      <w:proofErr w:type="spellStart"/>
      <w:r w:rsidR="0059554D" w:rsidRPr="0059554D">
        <w:rPr>
          <w:b/>
          <w:lang w:val="en-US"/>
        </w:rPr>
        <w:t>за</w:t>
      </w:r>
      <w:proofErr w:type="spellEnd"/>
      <w:r w:rsidR="0059554D" w:rsidRPr="0059554D">
        <w:rPr>
          <w:b/>
          <w:lang w:val="en-US"/>
        </w:rPr>
        <w:t xml:space="preserve"> </w:t>
      </w:r>
      <w:proofErr w:type="spellStart"/>
      <w:r w:rsidR="0059554D" w:rsidRPr="0059554D">
        <w:rPr>
          <w:b/>
          <w:lang w:val="en-US"/>
        </w:rPr>
        <w:t>инфраструктура</w:t>
      </w:r>
      <w:proofErr w:type="spellEnd"/>
      <w:r w:rsidR="0059554D" w:rsidRPr="0059554D">
        <w:rPr>
          <w:b/>
          <w:lang w:val="en-US"/>
        </w:rPr>
        <w:t xml:space="preserve"> и </w:t>
      </w:r>
      <w:proofErr w:type="spellStart"/>
      <w:r w:rsidR="0059554D" w:rsidRPr="0059554D">
        <w:rPr>
          <w:b/>
          <w:lang w:val="en-US"/>
        </w:rPr>
        <w:t>услуги</w:t>
      </w:r>
      <w:proofErr w:type="spellEnd"/>
      <w:r w:rsidR="0059554D" w:rsidRPr="0059554D">
        <w:rPr>
          <w:b/>
          <w:lang w:val="en-US"/>
        </w:rPr>
        <w:t xml:space="preserve">, </w:t>
      </w:r>
      <w:proofErr w:type="spellStart"/>
      <w:r w:rsidR="0059554D" w:rsidRPr="0059554D">
        <w:rPr>
          <w:b/>
          <w:lang w:val="en-US"/>
        </w:rPr>
        <w:t>свързани</w:t>
      </w:r>
      <w:proofErr w:type="spellEnd"/>
      <w:r w:rsidR="0059554D" w:rsidRPr="0059554D">
        <w:rPr>
          <w:b/>
          <w:lang w:val="en-US"/>
        </w:rPr>
        <w:t xml:space="preserve"> с </w:t>
      </w:r>
      <w:proofErr w:type="spellStart"/>
      <w:r w:rsidR="0059554D" w:rsidRPr="0059554D">
        <w:rPr>
          <w:b/>
          <w:lang w:val="en-US"/>
        </w:rPr>
        <w:t>малките</w:t>
      </w:r>
      <w:proofErr w:type="spellEnd"/>
      <w:r w:rsidR="0059554D" w:rsidRPr="0059554D">
        <w:rPr>
          <w:b/>
          <w:lang w:val="en-US"/>
        </w:rPr>
        <w:t xml:space="preserve"> </w:t>
      </w:r>
      <w:proofErr w:type="spellStart"/>
      <w:r w:rsidR="0059554D" w:rsidRPr="0059554D">
        <w:rPr>
          <w:b/>
          <w:lang w:val="en-US"/>
        </w:rPr>
        <w:t>рибарски</w:t>
      </w:r>
      <w:proofErr w:type="spellEnd"/>
      <w:r w:rsidR="0059554D" w:rsidRPr="0059554D">
        <w:rPr>
          <w:b/>
          <w:lang w:val="en-US"/>
        </w:rPr>
        <w:t xml:space="preserve"> </w:t>
      </w:r>
      <w:proofErr w:type="spellStart"/>
      <w:r w:rsidR="0059554D" w:rsidRPr="0059554D">
        <w:rPr>
          <w:b/>
          <w:lang w:val="en-US"/>
        </w:rPr>
        <w:t>стопанства</w:t>
      </w:r>
      <w:proofErr w:type="spellEnd"/>
      <w:r w:rsidR="0059554D" w:rsidRPr="0059554D">
        <w:rPr>
          <w:b/>
          <w:lang w:val="en-US"/>
        </w:rPr>
        <w:t xml:space="preserve"> и </w:t>
      </w:r>
      <w:proofErr w:type="spellStart"/>
      <w:r w:rsidR="0059554D" w:rsidRPr="0059554D">
        <w:rPr>
          <w:b/>
          <w:lang w:val="en-US"/>
        </w:rPr>
        <w:t>туризма</w:t>
      </w:r>
      <w:proofErr w:type="spellEnd"/>
      <w:r w:rsidR="0059554D" w:rsidRPr="0059554D">
        <w:rPr>
          <w:b/>
          <w:lang w:val="en-US"/>
        </w:rPr>
        <w:t xml:space="preserve">, в </w:t>
      </w:r>
      <w:proofErr w:type="spellStart"/>
      <w:r w:rsidR="0059554D" w:rsidRPr="0059554D">
        <w:rPr>
          <w:b/>
          <w:lang w:val="en-US"/>
        </w:rPr>
        <w:t>полза</w:t>
      </w:r>
      <w:proofErr w:type="spellEnd"/>
      <w:r w:rsidR="0059554D" w:rsidRPr="0059554D">
        <w:rPr>
          <w:b/>
          <w:lang w:val="en-US"/>
        </w:rPr>
        <w:t xml:space="preserve"> </w:t>
      </w:r>
      <w:proofErr w:type="spellStart"/>
      <w:r w:rsidR="0059554D" w:rsidRPr="0059554D">
        <w:rPr>
          <w:b/>
          <w:lang w:val="en-US"/>
        </w:rPr>
        <w:t>на</w:t>
      </w:r>
      <w:proofErr w:type="spellEnd"/>
      <w:r w:rsidR="0059554D" w:rsidRPr="0059554D">
        <w:rPr>
          <w:b/>
          <w:lang w:val="en-US"/>
        </w:rPr>
        <w:t xml:space="preserve"> </w:t>
      </w:r>
      <w:proofErr w:type="spellStart"/>
      <w:r w:rsidR="0059554D" w:rsidRPr="0059554D">
        <w:rPr>
          <w:b/>
          <w:lang w:val="en-US"/>
        </w:rPr>
        <w:t>малки</w:t>
      </w:r>
      <w:proofErr w:type="spellEnd"/>
      <w:r w:rsidR="0059554D" w:rsidRPr="0059554D">
        <w:rPr>
          <w:b/>
          <w:lang w:val="en-US"/>
        </w:rPr>
        <w:t xml:space="preserve"> </w:t>
      </w:r>
      <w:proofErr w:type="spellStart"/>
      <w:r w:rsidR="0059554D" w:rsidRPr="0059554D">
        <w:rPr>
          <w:b/>
          <w:lang w:val="en-US"/>
        </w:rPr>
        <w:t>рибарски</w:t>
      </w:r>
      <w:proofErr w:type="spellEnd"/>
      <w:r w:rsidR="0059554D" w:rsidRPr="0059554D">
        <w:rPr>
          <w:b/>
          <w:lang w:val="en-US"/>
        </w:rPr>
        <w:t xml:space="preserve"> </w:t>
      </w:r>
      <w:proofErr w:type="spellStart"/>
      <w:r w:rsidR="0059554D" w:rsidRPr="0059554D">
        <w:rPr>
          <w:b/>
          <w:lang w:val="en-US"/>
        </w:rPr>
        <w:t>общности</w:t>
      </w:r>
      <w:proofErr w:type="spellEnd"/>
      <w:r w:rsidR="0059554D" w:rsidRPr="0059554D">
        <w:rPr>
          <w:b/>
          <w:lang w:val="en-US"/>
        </w:rPr>
        <w:t xml:space="preserve">“ </w:t>
      </w:r>
      <w:proofErr w:type="spellStart"/>
      <w:r w:rsidR="0059554D" w:rsidRPr="0059554D">
        <w:rPr>
          <w:b/>
          <w:lang w:val="en-US"/>
        </w:rPr>
        <w:t>от</w:t>
      </w:r>
      <w:proofErr w:type="spellEnd"/>
      <w:r w:rsidR="0059554D" w:rsidRPr="0059554D">
        <w:rPr>
          <w:b/>
          <w:lang w:val="en-US"/>
        </w:rPr>
        <w:t xml:space="preserve"> </w:t>
      </w:r>
      <w:proofErr w:type="spellStart"/>
      <w:r w:rsidR="0059554D" w:rsidRPr="0059554D">
        <w:rPr>
          <w:b/>
          <w:lang w:val="en-US"/>
        </w:rPr>
        <w:t>Стратегията</w:t>
      </w:r>
      <w:proofErr w:type="spellEnd"/>
      <w:r w:rsidR="0059554D" w:rsidRPr="0059554D">
        <w:rPr>
          <w:b/>
          <w:lang w:val="en-US"/>
        </w:rPr>
        <w:t xml:space="preserve"> </w:t>
      </w:r>
      <w:proofErr w:type="spellStart"/>
      <w:r w:rsidR="0059554D" w:rsidRPr="0059554D">
        <w:rPr>
          <w:b/>
          <w:lang w:val="en-US"/>
        </w:rPr>
        <w:t>за</w:t>
      </w:r>
      <w:proofErr w:type="spellEnd"/>
      <w:r w:rsidR="0059554D" w:rsidRPr="0059554D">
        <w:rPr>
          <w:b/>
          <w:lang w:val="en-US"/>
        </w:rPr>
        <w:t xml:space="preserve"> ВОМР </w:t>
      </w:r>
      <w:proofErr w:type="spellStart"/>
      <w:r w:rsidR="0059554D" w:rsidRPr="0059554D">
        <w:rPr>
          <w:b/>
          <w:lang w:val="en-US"/>
        </w:rPr>
        <w:t>на</w:t>
      </w:r>
      <w:proofErr w:type="spellEnd"/>
      <w:r w:rsidR="0059554D" w:rsidRPr="0059554D">
        <w:rPr>
          <w:b/>
          <w:lang w:val="en-US"/>
        </w:rPr>
        <w:t xml:space="preserve"> МИРГ „ВЗР: </w:t>
      </w:r>
      <w:proofErr w:type="spellStart"/>
      <w:r w:rsidR="0059554D" w:rsidRPr="0059554D">
        <w:rPr>
          <w:b/>
          <w:lang w:val="en-US"/>
        </w:rPr>
        <w:t>Батак-Девин-Доспат</w:t>
      </w:r>
      <w:proofErr w:type="spellEnd"/>
      <w:r w:rsidR="0059554D" w:rsidRPr="0059554D">
        <w:rPr>
          <w:b/>
          <w:lang w:val="en-US"/>
        </w:rPr>
        <w:t>“</w:t>
      </w:r>
      <w:r w:rsidR="00723FE7">
        <w:rPr>
          <w:b/>
          <w:lang w:val="bg-BG"/>
        </w:rPr>
        <w:t xml:space="preserve"> </w:t>
      </w:r>
      <w:r w:rsidRPr="00D166C0">
        <w:rPr>
          <w:b/>
          <w:lang w:val="bg-BG"/>
        </w:rPr>
        <w:t>по Програмата за морско дело и рибарство 2014-2020 г.</w:t>
      </w:r>
    </w:p>
    <w:p w14:paraId="07535D6C" w14:textId="77777777" w:rsidR="00025E58" w:rsidRDefault="00025E58">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130"/>
        <w:gridCol w:w="2042"/>
        <w:gridCol w:w="3078"/>
        <w:gridCol w:w="5362"/>
      </w:tblGrid>
      <w:tr w:rsidR="00025E58" w:rsidRPr="00723FE7" w14:paraId="2427EF56" w14:textId="77777777" w:rsidTr="00723FE7">
        <w:trPr>
          <w:trHeight w:val="990"/>
        </w:trPr>
        <w:tc>
          <w:tcPr>
            <w:tcW w:w="615" w:type="dxa"/>
            <w:shd w:val="clear" w:color="auto" w:fill="auto"/>
          </w:tcPr>
          <w:p w14:paraId="2433ACD6" w14:textId="77777777" w:rsidR="00025E58" w:rsidRPr="00723FE7" w:rsidRDefault="00025E58" w:rsidP="00E756A6">
            <w:pPr>
              <w:jc w:val="center"/>
              <w:rPr>
                <w:b/>
                <w:sz w:val="22"/>
                <w:szCs w:val="22"/>
                <w:lang w:val="bg-BG"/>
              </w:rPr>
            </w:pPr>
            <w:r w:rsidRPr="00723FE7">
              <w:rPr>
                <w:b/>
                <w:sz w:val="22"/>
                <w:szCs w:val="22"/>
                <w:lang w:val="bg-BG"/>
              </w:rPr>
              <w:t>№</w:t>
            </w:r>
          </w:p>
        </w:tc>
        <w:tc>
          <w:tcPr>
            <w:tcW w:w="2141" w:type="dxa"/>
            <w:shd w:val="clear" w:color="auto" w:fill="auto"/>
          </w:tcPr>
          <w:p w14:paraId="6D7A54D9" w14:textId="77777777" w:rsidR="00025E58" w:rsidRPr="00723FE7" w:rsidRDefault="00025E58" w:rsidP="00E756A6">
            <w:pPr>
              <w:jc w:val="center"/>
              <w:rPr>
                <w:b/>
                <w:sz w:val="22"/>
                <w:szCs w:val="22"/>
                <w:lang w:val="bg-BG"/>
              </w:rPr>
            </w:pPr>
            <w:r w:rsidRPr="00723FE7">
              <w:rPr>
                <w:b/>
                <w:sz w:val="22"/>
                <w:szCs w:val="22"/>
                <w:lang w:val="bg-BG"/>
              </w:rPr>
              <w:t xml:space="preserve">Рег. № на проектното предложение </w:t>
            </w:r>
          </w:p>
        </w:tc>
        <w:tc>
          <w:tcPr>
            <w:tcW w:w="1888" w:type="dxa"/>
            <w:shd w:val="clear" w:color="auto" w:fill="auto"/>
          </w:tcPr>
          <w:p w14:paraId="0915F123" w14:textId="77777777" w:rsidR="00025E58" w:rsidRPr="00723FE7" w:rsidRDefault="00025E58" w:rsidP="00E756A6">
            <w:pPr>
              <w:jc w:val="center"/>
              <w:rPr>
                <w:b/>
                <w:sz w:val="22"/>
                <w:szCs w:val="22"/>
                <w:lang w:val="bg-BG"/>
              </w:rPr>
            </w:pPr>
            <w:r w:rsidRPr="00723FE7">
              <w:rPr>
                <w:b/>
                <w:sz w:val="22"/>
                <w:szCs w:val="22"/>
                <w:lang w:val="bg-BG"/>
              </w:rPr>
              <w:t>Наименование на кандидата</w:t>
            </w:r>
          </w:p>
        </w:tc>
        <w:tc>
          <w:tcPr>
            <w:tcW w:w="3119" w:type="dxa"/>
            <w:shd w:val="clear" w:color="auto" w:fill="auto"/>
          </w:tcPr>
          <w:p w14:paraId="29D07933" w14:textId="77777777" w:rsidR="00025E58" w:rsidRPr="00723FE7" w:rsidRDefault="00025E58" w:rsidP="00E756A6">
            <w:pPr>
              <w:jc w:val="center"/>
              <w:rPr>
                <w:b/>
                <w:sz w:val="22"/>
                <w:szCs w:val="22"/>
                <w:lang w:val="bg-BG"/>
              </w:rPr>
            </w:pPr>
            <w:r w:rsidRPr="00723FE7">
              <w:rPr>
                <w:b/>
                <w:sz w:val="22"/>
                <w:szCs w:val="22"/>
                <w:lang w:val="bg-BG"/>
              </w:rPr>
              <w:t>Наименование на проектното предложение</w:t>
            </w:r>
          </w:p>
        </w:tc>
        <w:tc>
          <w:tcPr>
            <w:tcW w:w="5459" w:type="dxa"/>
            <w:shd w:val="clear" w:color="auto" w:fill="auto"/>
          </w:tcPr>
          <w:p w14:paraId="3DC656D2" w14:textId="77777777" w:rsidR="00025E58" w:rsidRPr="00723FE7" w:rsidRDefault="00025E58" w:rsidP="00E756A6">
            <w:pPr>
              <w:jc w:val="center"/>
              <w:rPr>
                <w:b/>
                <w:sz w:val="22"/>
                <w:szCs w:val="22"/>
                <w:lang w:val="bg-BG"/>
              </w:rPr>
            </w:pPr>
            <w:r w:rsidRPr="00723FE7">
              <w:rPr>
                <w:b/>
                <w:sz w:val="22"/>
                <w:szCs w:val="22"/>
                <w:lang w:val="bg-BG"/>
              </w:rPr>
              <w:t>Основание за отхвърляне</w:t>
            </w:r>
          </w:p>
          <w:p w14:paraId="7CFD8017" w14:textId="77777777" w:rsidR="00025E58" w:rsidRPr="00723FE7" w:rsidRDefault="00025E58" w:rsidP="00E756A6">
            <w:pPr>
              <w:jc w:val="center"/>
              <w:rPr>
                <w:b/>
                <w:i/>
                <w:sz w:val="22"/>
                <w:szCs w:val="22"/>
                <w:lang w:val="bg-BG"/>
              </w:rPr>
            </w:pPr>
            <w:r w:rsidRPr="00723FE7">
              <w:rPr>
                <w:b/>
                <w:i/>
                <w:sz w:val="22"/>
                <w:szCs w:val="22"/>
                <w:lang w:val="bg-BG"/>
              </w:rPr>
              <w:t xml:space="preserve">(посочват се конкретните основания, а не само препратки към документите и условията, които не са изпълнени) </w:t>
            </w:r>
          </w:p>
        </w:tc>
      </w:tr>
      <w:tr w:rsidR="00025E58" w:rsidRPr="00723FE7" w14:paraId="461DFB23" w14:textId="77777777" w:rsidTr="0093219F">
        <w:tc>
          <w:tcPr>
            <w:tcW w:w="615" w:type="dxa"/>
            <w:shd w:val="clear" w:color="auto" w:fill="auto"/>
          </w:tcPr>
          <w:p w14:paraId="2B158F2F" w14:textId="77777777" w:rsidR="00025E58" w:rsidRPr="00723FE7" w:rsidRDefault="00025E58" w:rsidP="00E756A6">
            <w:pPr>
              <w:jc w:val="center"/>
              <w:rPr>
                <w:b/>
                <w:sz w:val="22"/>
                <w:szCs w:val="22"/>
                <w:lang w:val="bg-BG"/>
              </w:rPr>
            </w:pPr>
          </w:p>
          <w:p w14:paraId="7522C8DA" w14:textId="77777777" w:rsidR="00025E58" w:rsidRPr="00723FE7" w:rsidRDefault="00025E58" w:rsidP="00E756A6">
            <w:pPr>
              <w:jc w:val="center"/>
              <w:rPr>
                <w:b/>
                <w:sz w:val="22"/>
                <w:szCs w:val="22"/>
                <w:lang w:val="bg-BG"/>
              </w:rPr>
            </w:pPr>
            <w:r w:rsidRPr="00723FE7">
              <w:rPr>
                <w:b/>
                <w:sz w:val="22"/>
                <w:szCs w:val="22"/>
                <w:lang w:val="bg-BG"/>
              </w:rPr>
              <w:t>1.</w:t>
            </w:r>
          </w:p>
          <w:p w14:paraId="528037AC" w14:textId="77777777" w:rsidR="00025E58" w:rsidRPr="00723FE7" w:rsidRDefault="00025E58" w:rsidP="00E756A6">
            <w:pPr>
              <w:jc w:val="center"/>
              <w:rPr>
                <w:b/>
                <w:sz w:val="22"/>
                <w:szCs w:val="22"/>
                <w:lang w:val="bg-BG"/>
              </w:rPr>
            </w:pPr>
          </w:p>
        </w:tc>
        <w:tc>
          <w:tcPr>
            <w:tcW w:w="2141" w:type="dxa"/>
            <w:shd w:val="clear" w:color="auto" w:fill="auto"/>
          </w:tcPr>
          <w:p w14:paraId="1BE4B1A8" w14:textId="77777777" w:rsidR="00025E58" w:rsidRPr="00723FE7" w:rsidRDefault="00025E58" w:rsidP="00E756A6">
            <w:pPr>
              <w:jc w:val="center"/>
              <w:rPr>
                <w:b/>
                <w:sz w:val="22"/>
                <w:szCs w:val="22"/>
                <w:lang w:val="bg-BG"/>
              </w:rPr>
            </w:pPr>
          </w:p>
          <w:p w14:paraId="2F802A49" w14:textId="3F1F39F9" w:rsidR="00025E58" w:rsidRPr="00723FE7" w:rsidRDefault="00723FE7" w:rsidP="0059554D">
            <w:pPr>
              <w:jc w:val="center"/>
              <w:rPr>
                <w:sz w:val="22"/>
                <w:szCs w:val="22"/>
                <w:lang w:val="bg-BG"/>
              </w:rPr>
            </w:pPr>
            <w:r w:rsidRPr="00723FE7">
              <w:rPr>
                <w:sz w:val="22"/>
                <w:szCs w:val="22"/>
                <w:lang w:val="bg-BG"/>
              </w:rPr>
              <w:t>BG14MFOP001-4.</w:t>
            </w:r>
            <w:r w:rsidR="0059554D">
              <w:rPr>
                <w:sz w:val="22"/>
                <w:szCs w:val="22"/>
                <w:lang w:val="bg-BG"/>
              </w:rPr>
              <w:t>114</w:t>
            </w:r>
            <w:r w:rsidRPr="00723FE7">
              <w:rPr>
                <w:sz w:val="22"/>
                <w:szCs w:val="22"/>
                <w:lang w:val="bg-BG"/>
              </w:rPr>
              <w:t>-000</w:t>
            </w:r>
            <w:r w:rsidR="0059554D">
              <w:rPr>
                <w:sz w:val="22"/>
                <w:szCs w:val="22"/>
                <w:lang w:val="bg-BG"/>
              </w:rPr>
              <w:t>5</w:t>
            </w:r>
          </w:p>
        </w:tc>
        <w:tc>
          <w:tcPr>
            <w:tcW w:w="1888" w:type="dxa"/>
            <w:shd w:val="clear" w:color="auto" w:fill="auto"/>
          </w:tcPr>
          <w:p w14:paraId="62E30B75" w14:textId="77777777" w:rsidR="00025E58" w:rsidRPr="00723FE7" w:rsidRDefault="00025E58" w:rsidP="00E756A6">
            <w:pPr>
              <w:jc w:val="center"/>
              <w:rPr>
                <w:b/>
                <w:sz w:val="22"/>
                <w:szCs w:val="22"/>
                <w:lang w:val="bg-BG"/>
              </w:rPr>
            </w:pPr>
          </w:p>
          <w:p w14:paraId="3B3B78A5" w14:textId="3F6CBE46" w:rsidR="00025E58" w:rsidRPr="00723FE7" w:rsidRDefault="0059554D" w:rsidP="0059554D">
            <w:pPr>
              <w:jc w:val="center"/>
              <w:rPr>
                <w:rFonts w:asciiTheme="minorHAnsi" w:hAnsiTheme="minorHAnsi"/>
                <w:sz w:val="22"/>
                <w:szCs w:val="22"/>
                <w:lang w:val="bg-BG"/>
              </w:rPr>
            </w:pPr>
            <w:r w:rsidRPr="0059554D">
              <w:rPr>
                <w:rFonts w:ascii="Roboto" w:hAnsi="Roboto" w:hint="eastAsia"/>
                <w:sz w:val="22"/>
                <w:szCs w:val="22"/>
              </w:rPr>
              <w:t>СДРУЖЕНИЕ</w:t>
            </w:r>
            <w:r w:rsidRPr="0059554D">
              <w:rPr>
                <w:rFonts w:ascii="Roboto" w:hAnsi="Roboto"/>
                <w:sz w:val="22"/>
                <w:szCs w:val="22"/>
              </w:rPr>
              <w:t xml:space="preserve"> </w:t>
            </w:r>
            <w:r>
              <w:rPr>
                <w:rFonts w:ascii="Roboto" w:hAnsi="Roboto"/>
                <w:sz w:val="22"/>
                <w:szCs w:val="22"/>
                <w:lang w:val="bg-BG"/>
              </w:rPr>
              <w:t>„</w:t>
            </w:r>
            <w:r w:rsidRPr="0059554D">
              <w:rPr>
                <w:rFonts w:ascii="Roboto" w:hAnsi="Roboto"/>
                <w:sz w:val="22"/>
                <w:szCs w:val="22"/>
              </w:rPr>
              <w:t>НАЦИОНАЛНО СДРУЖЕНИЕ ЗА ЕДИНСТВО И ПАРТНЬОРСТВО</w:t>
            </w:r>
            <w:r>
              <w:rPr>
                <w:rFonts w:ascii="Roboto" w:hAnsi="Roboto"/>
                <w:sz w:val="22"/>
                <w:szCs w:val="22"/>
                <w:lang w:val="bg-BG"/>
              </w:rPr>
              <w:t>“</w:t>
            </w:r>
            <w:r w:rsidRPr="0059554D">
              <w:rPr>
                <w:rFonts w:ascii="Roboto" w:hAnsi="Roboto"/>
                <w:sz w:val="22"/>
                <w:szCs w:val="22"/>
              </w:rPr>
              <w:t xml:space="preserve"> (ЕИК: 177157920)</w:t>
            </w:r>
          </w:p>
        </w:tc>
        <w:tc>
          <w:tcPr>
            <w:tcW w:w="3119" w:type="dxa"/>
            <w:shd w:val="clear" w:color="auto" w:fill="auto"/>
          </w:tcPr>
          <w:p w14:paraId="7390366B" w14:textId="77777777" w:rsidR="00025E58" w:rsidRPr="00E744C7" w:rsidRDefault="00025E58" w:rsidP="00E756A6">
            <w:pPr>
              <w:jc w:val="center"/>
              <w:rPr>
                <w:sz w:val="22"/>
                <w:szCs w:val="22"/>
                <w:lang w:val="bg-BG"/>
              </w:rPr>
            </w:pPr>
          </w:p>
          <w:p w14:paraId="7E8496F6" w14:textId="4BE24BB7" w:rsidR="00025E58" w:rsidRPr="00E744C7" w:rsidRDefault="002703C2" w:rsidP="00F73A86">
            <w:pPr>
              <w:jc w:val="center"/>
              <w:rPr>
                <w:sz w:val="22"/>
                <w:szCs w:val="22"/>
                <w:lang w:val="bg-BG"/>
              </w:rPr>
            </w:pPr>
            <w:r w:rsidRPr="00E744C7">
              <w:rPr>
                <w:sz w:val="22"/>
                <w:szCs w:val="22"/>
                <w:lang w:val="bg-BG"/>
              </w:rPr>
              <w:t>"</w:t>
            </w:r>
            <w:r w:rsidR="0059554D">
              <w:t xml:space="preserve"> </w:t>
            </w:r>
            <w:r w:rsidR="0059554D" w:rsidRPr="0059554D">
              <w:rPr>
                <w:sz w:val="22"/>
                <w:szCs w:val="22"/>
                <w:lang w:val="bg-BG"/>
              </w:rPr>
              <w:t>Риболовният туризъм в община Батак - туристически преживявания, събития и атракции</w:t>
            </w:r>
            <w:r w:rsidRPr="00E744C7">
              <w:rPr>
                <w:sz w:val="22"/>
                <w:szCs w:val="22"/>
                <w:lang w:val="bg-BG"/>
              </w:rPr>
              <w:t>"</w:t>
            </w:r>
          </w:p>
        </w:tc>
        <w:tc>
          <w:tcPr>
            <w:tcW w:w="5459" w:type="dxa"/>
            <w:shd w:val="clear" w:color="auto" w:fill="auto"/>
          </w:tcPr>
          <w:p w14:paraId="5948858A" w14:textId="77777777" w:rsidR="0059554D" w:rsidRPr="0059554D" w:rsidRDefault="0059554D" w:rsidP="0059554D">
            <w:pPr>
              <w:jc w:val="both"/>
              <w:rPr>
                <w:lang w:val="bg-BG"/>
              </w:rPr>
            </w:pPr>
            <w:bookmarkStart w:id="0" w:name="_GoBack"/>
            <w:bookmarkEnd w:id="0"/>
            <w:r w:rsidRPr="0059554D">
              <w:rPr>
                <w:lang w:val="bg-BG"/>
              </w:rPr>
              <w:t xml:space="preserve">Проектното предложение не отговаря на Критерий № 2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 3 „Критерии и методология за оценка на проектните предложения по Процедура за подбор на проекти – BG14MFOP001-4.114 </w:t>
            </w:r>
            <w:r w:rsidRPr="0059554D">
              <w:rPr>
                <w:lang w:val="bg-BG"/>
              </w:rPr>
              <w:lastRenderedPageBreak/>
              <w:t xml:space="preserve">„Подкрепа за инфраструктура и услуги, свързани с малките рибарски стопанства и туризма, в полза на малки рибарски общности” по Стратегия за ВОМР на МИРГ ВЗР: Батак – Девин - Доспат. </w:t>
            </w:r>
          </w:p>
          <w:p w14:paraId="4E37EEED" w14:textId="77777777" w:rsidR="0059554D" w:rsidRPr="0059554D" w:rsidRDefault="0059554D" w:rsidP="0059554D">
            <w:pPr>
              <w:jc w:val="both"/>
              <w:rPr>
                <w:lang w:val="bg-BG"/>
              </w:rPr>
            </w:pPr>
            <w:r w:rsidRPr="0059554D">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59554D">
              <w:rPr>
                <w:lang w:val="bg-BG"/>
              </w:rPr>
              <w:t>нередовности</w:t>
            </w:r>
            <w:proofErr w:type="spellEnd"/>
            <w:r w:rsidRPr="0059554D">
              <w:rPr>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59554D">
              <w:rPr>
                <w:lang w:val="bg-BG"/>
              </w:rPr>
              <w:t>нередовностите</w:t>
            </w:r>
            <w:proofErr w:type="spellEnd"/>
            <w:r w:rsidRPr="0059554D">
              <w:rPr>
                <w:lang w:val="bg-BG"/>
              </w:rPr>
              <w:t xml:space="preserve"> в срок може да доведе до прекратяване на производството по отношение на кандидата. Отстраняването на </w:t>
            </w:r>
            <w:proofErr w:type="spellStart"/>
            <w:r w:rsidRPr="0059554D">
              <w:rPr>
                <w:lang w:val="bg-BG"/>
              </w:rPr>
              <w:t>нередовностите</w:t>
            </w:r>
            <w:proofErr w:type="spellEnd"/>
            <w:r w:rsidRPr="0059554D">
              <w:rPr>
                <w:lang w:val="bg-BG"/>
              </w:rPr>
              <w:t xml:space="preserve">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на 20.12.2022 г. чрез Модул „Комуникация“ в ИСУН 2020 е изпратено уведомление с регистрационен номер BG14MFOP001-4.114-0005-M002, с което е поискана допълнителна информация от кандидата. Указан е срок до 30.12.2022 г., в който да бъдат предоставени долуописаните липсващи документи и информация, а именно:</w:t>
            </w:r>
          </w:p>
          <w:p w14:paraId="52D5D43C" w14:textId="77777777" w:rsidR="0059554D" w:rsidRPr="0059554D" w:rsidRDefault="0059554D" w:rsidP="0059554D">
            <w:pPr>
              <w:jc w:val="both"/>
              <w:rPr>
                <w:lang w:val="bg-BG"/>
              </w:rPr>
            </w:pPr>
            <w:r w:rsidRPr="0059554D">
              <w:rPr>
                <w:lang w:val="bg-BG"/>
              </w:rPr>
              <w:t>•</w:t>
            </w:r>
            <w:r w:rsidRPr="0059554D">
              <w:rPr>
                <w:lang w:val="bg-BG"/>
              </w:rPr>
              <w:tab/>
              <w:t xml:space="preserve">С оглед определяне на произхода на цените на предвидените разходи за закупуване на активи, кандидатът следва да приложи </w:t>
            </w:r>
          </w:p>
          <w:p w14:paraId="703BEF57" w14:textId="77777777" w:rsidR="0059554D" w:rsidRPr="0059554D" w:rsidRDefault="0059554D" w:rsidP="0059554D">
            <w:pPr>
              <w:jc w:val="both"/>
              <w:rPr>
                <w:lang w:val="bg-BG"/>
              </w:rPr>
            </w:pPr>
            <w:r w:rsidRPr="0059554D">
              <w:rPr>
                <w:lang w:val="bg-BG"/>
              </w:rPr>
              <w:t xml:space="preserve">А/ Официален каталог на производител или оторизиран представител или </w:t>
            </w:r>
          </w:p>
          <w:p w14:paraId="4659CBE0" w14:textId="77777777" w:rsidR="0059554D" w:rsidRPr="0059554D" w:rsidRDefault="0059554D" w:rsidP="0059554D">
            <w:pPr>
              <w:jc w:val="both"/>
              <w:rPr>
                <w:lang w:val="bg-BG"/>
              </w:rPr>
            </w:pPr>
            <w:r w:rsidRPr="0059554D">
              <w:rPr>
                <w:lang w:val="bg-BG"/>
              </w:rPr>
              <w:t xml:space="preserve">Б/ Една оферта. </w:t>
            </w:r>
          </w:p>
          <w:p w14:paraId="7DEF202C" w14:textId="77777777" w:rsidR="0059554D" w:rsidRPr="0059554D" w:rsidRDefault="0059554D" w:rsidP="0059554D">
            <w:pPr>
              <w:jc w:val="both"/>
              <w:rPr>
                <w:lang w:val="bg-BG"/>
              </w:rPr>
            </w:pPr>
            <w:r w:rsidRPr="0059554D">
              <w:rPr>
                <w:lang w:val="bg-BG"/>
              </w:rPr>
              <w:lastRenderedPageBreak/>
              <w:t xml:space="preserve">В случай че за доказване произхода на цените на предвидените разходи за закупуване на активи кандидатът е приложил към Формуляра за кандидатстване оферта, то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кандидатстване, да е равен или по-голям от стойността на доставката, услугата или строителството. Изискването за специфичен оборот се доказва от </w:t>
            </w:r>
            <w:proofErr w:type="spellStart"/>
            <w:r w:rsidRPr="0059554D">
              <w:rPr>
                <w:lang w:val="bg-BG"/>
              </w:rPr>
              <w:t>оферента</w:t>
            </w:r>
            <w:proofErr w:type="spellEnd"/>
            <w:r w:rsidRPr="0059554D">
              <w:rPr>
                <w:lang w:val="bg-BG"/>
              </w:rPr>
              <w:t xml:space="preserve"> със справка – декларация, подписана от счетоводителя и лицето представляващо по закон </w:t>
            </w:r>
            <w:proofErr w:type="spellStart"/>
            <w:r w:rsidRPr="0059554D">
              <w:rPr>
                <w:lang w:val="bg-BG"/>
              </w:rPr>
              <w:t>оферента</w:t>
            </w:r>
            <w:proofErr w:type="spellEnd"/>
            <w:r w:rsidRPr="0059554D">
              <w:rPr>
                <w:lang w:val="bg-BG"/>
              </w:rPr>
              <w:t xml:space="preserve">. </w:t>
            </w:r>
          </w:p>
          <w:p w14:paraId="59B222FB" w14:textId="77777777" w:rsidR="0059554D" w:rsidRPr="0059554D" w:rsidRDefault="0059554D" w:rsidP="0059554D">
            <w:pPr>
              <w:jc w:val="both"/>
              <w:rPr>
                <w:lang w:val="bg-BG"/>
              </w:rPr>
            </w:pPr>
            <w:r w:rsidRPr="0059554D">
              <w:rPr>
                <w:lang w:val="bg-BG"/>
              </w:rPr>
              <w:t xml:space="preserve">Във връзка с това от кандидата е поискано да представи нови справки – декларации от </w:t>
            </w:r>
            <w:proofErr w:type="spellStart"/>
            <w:r w:rsidRPr="0059554D">
              <w:rPr>
                <w:lang w:val="bg-BG"/>
              </w:rPr>
              <w:t>оференти</w:t>
            </w:r>
            <w:proofErr w:type="spellEnd"/>
            <w:r w:rsidRPr="0059554D">
              <w:rPr>
                <w:lang w:val="bg-BG"/>
              </w:rPr>
              <w:t>: „МИНИ ТУРС“ ЕООД; „Център за професионално обучение „Свят за всички“- Хасково“; „Грийн Инвестмънт България“ ЕООД; „ФЕЛАЯ” ЕООД, които да отговарят на изискванията на Условията за кандидатстване: в съответната декларация да бъде посочен специфичният оборот, който се отнася до извършени услуги, еднакви или сходни на оферираните и оборотът да бъде посочен със стойности (в лева) за съответните години. В деня на изпращане на писмото, кандидатът е отворил и е видял изпратеното уведомление с регистрационен номер BG14MFOP001-4.114-0005-M002 в ИСУН, но не е отговорил.</w:t>
            </w:r>
          </w:p>
          <w:p w14:paraId="21F4DFB6" w14:textId="77777777" w:rsidR="0059554D" w:rsidRPr="0059554D" w:rsidRDefault="0059554D" w:rsidP="0059554D">
            <w:pPr>
              <w:jc w:val="both"/>
              <w:rPr>
                <w:lang w:val="bg-BG"/>
              </w:rPr>
            </w:pPr>
            <w:r w:rsidRPr="0059554D">
              <w:rPr>
                <w:lang w:val="bg-BG"/>
              </w:rPr>
              <w:t xml:space="preserve">Кандидатът не е отговорил на комуникацията в регламентирания срок, не е предоставил изисканите допълнително информация и </w:t>
            </w:r>
            <w:r w:rsidRPr="0059554D">
              <w:rPr>
                <w:lang w:val="bg-BG"/>
              </w:rPr>
              <w:lastRenderedPageBreak/>
              <w:t>документи,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4A370B81" w14:textId="77777777" w:rsidR="0059554D" w:rsidRPr="0059554D" w:rsidRDefault="0059554D" w:rsidP="0059554D">
            <w:pPr>
              <w:jc w:val="both"/>
              <w:rPr>
                <w:lang w:val="bg-BG"/>
              </w:rPr>
            </w:pPr>
            <w:r w:rsidRPr="0059554D">
              <w:rPr>
                <w:lang w:val="bg-BG"/>
              </w:rPr>
              <w:t>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14:paraId="6CE91D82" w14:textId="3CC12B28" w:rsidR="00723FE7" w:rsidRPr="00E744C7" w:rsidRDefault="0059554D" w:rsidP="0059554D">
            <w:pPr>
              <w:jc w:val="both"/>
              <w:rPr>
                <w:sz w:val="22"/>
                <w:szCs w:val="22"/>
                <w:lang w:val="bg-BG"/>
              </w:rPr>
            </w:pPr>
            <w:r w:rsidRPr="0059554D">
              <w:rPr>
                <w:lang w:val="bg-BG"/>
              </w:rPr>
              <w:t>Поради изложените по-горе аргументи, проектно предложение с рег. № BG14MFOP001-4.114-0005 е включено в Списъка на проектните предложения, които не се допускат до етап Техническа и финансова оценка, по настоящата процедура.</w:t>
            </w:r>
          </w:p>
        </w:tc>
      </w:tr>
    </w:tbl>
    <w:p w14:paraId="073851BF" w14:textId="77777777" w:rsidR="00025E58" w:rsidRDefault="00025E58">
      <w:pPr>
        <w:rPr>
          <w:lang w:val="bg-BG"/>
        </w:rPr>
      </w:pPr>
    </w:p>
    <w:p w14:paraId="16A4D2AC" w14:textId="77777777" w:rsidR="00CD2ADF" w:rsidRPr="00CD2ADF" w:rsidRDefault="00CD2ADF" w:rsidP="00CD2ADF">
      <w:pPr>
        <w:rPr>
          <w:lang w:val="bg-BG"/>
        </w:rPr>
      </w:pPr>
      <w:r w:rsidRPr="00CD2ADF">
        <w:rPr>
          <w:lang w:val="bg-BG"/>
        </w:rPr>
        <w:t xml:space="preserve">ЗАБЕЛЕЖКА: </w:t>
      </w:r>
    </w:p>
    <w:p w14:paraId="4C32D27F" w14:textId="77777777" w:rsidR="00CD2ADF" w:rsidRPr="00CD2ADF" w:rsidRDefault="00CD2ADF" w:rsidP="00CD2ADF">
      <w:pPr>
        <w:jc w:val="both"/>
        <w:rPr>
          <w:lang w:val="bg-BG"/>
        </w:rPr>
      </w:pPr>
      <w:r w:rsidRPr="00CD2ADF">
        <w:rPr>
          <w:lang w:val="bg-BG"/>
        </w:rPr>
        <w:t>Съгласно разпоредбите на чл. 34, ал. 3 от ЗУСЕСИФ,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14:paraId="54C22CF3" w14:textId="77777777" w:rsidR="00CD2ADF" w:rsidRPr="00025E58" w:rsidRDefault="00CD2ADF">
      <w:pPr>
        <w:rPr>
          <w:lang w:val="bg-BG"/>
        </w:rPr>
      </w:pPr>
    </w:p>
    <w:sectPr w:rsidR="00CD2ADF" w:rsidRPr="00025E58" w:rsidSect="00025E58">
      <w:pgSz w:w="15840" w:h="12240" w:orient="landscape"/>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DA06BF" w15:done="0"/>
  <w15:commentEx w15:paraId="52417A1E" w15:done="0"/>
  <w15:commentEx w15:paraId="34F6BB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liya Stoilova">
    <w15:presenceInfo w15:providerId="AD" w15:userId="S-1-5-21-3673932534-3318588094-701912851-7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58"/>
    <w:rsid w:val="0001507F"/>
    <w:rsid w:val="00025E58"/>
    <w:rsid w:val="00044CEB"/>
    <w:rsid w:val="000D61E5"/>
    <w:rsid w:val="000F726B"/>
    <w:rsid w:val="001F6238"/>
    <w:rsid w:val="00263F5E"/>
    <w:rsid w:val="002703C2"/>
    <w:rsid w:val="004B5779"/>
    <w:rsid w:val="004F0226"/>
    <w:rsid w:val="0059554D"/>
    <w:rsid w:val="00723FE7"/>
    <w:rsid w:val="00745E5F"/>
    <w:rsid w:val="0079197B"/>
    <w:rsid w:val="008246D7"/>
    <w:rsid w:val="009266D4"/>
    <w:rsid w:val="0093219F"/>
    <w:rsid w:val="00971D91"/>
    <w:rsid w:val="009771A7"/>
    <w:rsid w:val="009F10FC"/>
    <w:rsid w:val="00B45446"/>
    <w:rsid w:val="00CD2ADF"/>
    <w:rsid w:val="00D166C0"/>
    <w:rsid w:val="00D81A6C"/>
    <w:rsid w:val="00D9025C"/>
    <w:rsid w:val="00E11D69"/>
    <w:rsid w:val="00E744C7"/>
    <w:rsid w:val="00F5302D"/>
    <w:rsid w:val="00F73A86"/>
    <w:rsid w:val="00FC67BC"/>
    <w:rsid w:val="00F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character" w:styleId="CommentReference">
    <w:name w:val="annotation reference"/>
    <w:basedOn w:val="DefaultParagraphFont"/>
    <w:uiPriority w:val="99"/>
    <w:semiHidden/>
    <w:unhideWhenUsed/>
    <w:rsid w:val="00FC67BC"/>
    <w:rPr>
      <w:sz w:val="16"/>
      <w:szCs w:val="16"/>
    </w:rPr>
  </w:style>
  <w:style w:type="paragraph" w:styleId="CommentText">
    <w:name w:val="annotation text"/>
    <w:basedOn w:val="Normal"/>
    <w:link w:val="CommentTextChar"/>
    <w:uiPriority w:val="99"/>
    <w:semiHidden/>
    <w:unhideWhenUsed/>
    <w:rsid w:val="00FC67BC"/>
    <w:rPr>
      <w:sz w:val="20"/>
      <w:szCs w:val="20"/>
    </w:rPr>
  </w:style>
  <w:style w:type="character" w:customStyle="1" w:styleId="CommentTextChar">
    <w:name w:val="Comment Text Char"/>
    <w:basedOn w:val="DefaultParagraphFont"/>
    <w:link w:val="CommentText"/>
    <w:uiPriority w:val="99"/>
    <w:semiHidden/>
    <w:rsid w:val="00FC67B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67BC"/>
    <w:rPr>
      <w:b/>
      <w:bCs/>
    </w:rPr>
  </w:style>
  <w:style w:type="character" w:customStyle="1" w:styleId="CommentSubjectChar">
    <w:name w:val="Comment Subject Char"/>
    <w:basedOn w:val="CommentTextChar"/>
    <w:link w:val="CommentSubject"/>
    <w:uiPriority w:val="99"/>
    <w:semiHidden/>
    <w:rsid w:val="00FC67B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C6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7BC"/>
    <w:rPr>
      <w:rFonts w:ascii="Segoe UI" w:eastAsia="Times New Roman" w:hAnsi="Segoe UI" w:cs="Segoe UI"/>
      <w:sz w:val="18"/>
      <w:szCs w:val="18"/>
      <w:lang w:val="en-GB"/>
    </w:rPr>
  </w:style>
  <w:style w:type="paragraph" w:customStyle="1" w:styleId="CharChar2CharCharCharChar">
    <w:name w:val="Char Char2 Char Char Char Char"/>
    <w:basedOn w:val="Normal"/>
    <w:rsid w:val="00E744C7"/>
    <w:rPr>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character" w:styleId="CommentReference">
    <w:name w:val="annotation reference"/>
    <w:basedOn w:val="DefaultParagraphFont"/>
    <w:uiPriority w:val="99"/>
    <w:semiHidden/>
    <w:unhideWhenUsed/>
    <w:rsid w:val="00FC67BC"/>
    <w:rPr>
      <w:sz w:val="16"/>
      <w:szCs w:val="16"/>
    </w:rPr>
  </w:style>
  <w:style w:type="paragraph" w:styleId="CommentText">
    <w:name w:val="annotation text"/>
    <w:basedOn w:val="Normal"/>
    <w:link w:val="CommentTextChar"/>
    <w:uiPriority w:val="99"/>
    <w:semiHidden/>
    <w:unhideWhenUsed/>
    <w:rsid w:val="00FC67BC"/>
    <w:rPr>
      <w:sz w:val="20"/>
      <w:szCs w:val="20"/>
    </w:rPr>
  </w:style>
  <w:style w:type="character" w:customStyle="1" w:styleId="CommentTextChar">
    <w:name w:val="Comment Text Char"/>
    <w:basedOn w:val="DefaultParagraphFont"/>
    <w:link w:val="CommentText"/>
    <w:uiPriority w:val="99"/>
    <w:semiHidden/>
    <w:rsid w:val="00FC67B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67BC"/>
    <w:rPr>
      <w:b/>
      <w:bCs/>
    </w:rPr>
  </w:style>
  <w:style w:type="character" w:customStyle="1" w:styleId="CommentSubjectChar">
    <w:name w:val="Comment Subject Char"/>
    <w:basedOn w:val="CommentTextChar"/>
    <w:link w:val="CommentSubject"/>
    <w:uiPriority w:val="99"/>
    <w:semiHidden/>
    <w:rsid w:val="00FC67B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C6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7BC"/>
    <w:rPr>
      <w:rFonts w:ascii="Segoe UI" w:eastAsia="Times New Roman" w:hAnsi="Segoe UI" w:cs="Segoe UI"/>
      <w:sz w:val="18"/>
      <w:szCs w:val="18"/>
      <w:lang w:val="en-GB"/>
    </w:rPr>
  </w:style>
  <w:style w:type="paragraph" w:customStyle="1" w:styleId="CharChar2CharCharCharChar">
    <w:name w:val="Char Char2 Char Char Char Char"/>
    <w:basedOn w:val="Normal"/>
    <w:rsid w:val="00E744C7"/>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Zornitsa Vasileva</cp:lastModifiedBy>
  <cp:revision>3</cp:revision>
  <dcterms:created xsi:type="dcterms:W3CDTF">2023-02-24T14:30:00Z</dcterms:created>
  <dcterms:modified xsi:type="dcterms:W3CDTF">2023-02-24T14:33:00Z</dcterms:modified>
</cp:coreProperties>
</file>