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5" w:type="dxa"/>
        <w:tblInd w:w="14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5"/>
        <w:gridCol w:w="1217"/>
        <w:gridCol w:w="4337"/>
        <w:gridCol w:w="2126"/>
      </w:tblGrid>
      <w:tr w:rsidR="00025E58" w:rsidRPr="00144A1F" w14:paraId="21AAFF0D" w14:textId="77777777" w:rsidTr="00E756A6">
        <w:trPr>
          <w:trHeight w:val="1256"/>
          <w:tblHeader/>
        </w:trPr>
        <w:tc>
          <w:tcPr>
            <w:tcW w:w="3445" w:type="dxa"/>
            <w:vMerge w:val="restart"/>
            <w:tcBorders>
              <w:top w:val="single" w:sz="1" w:space="0" w:color="000000"/>
              <w:left w:val="single" w:sz="1" w:space="0" w:color="000000"/>
            </w:tcBorders>
            <w:vAlign w:val="center"/>
          </w:tcPr>
          <w:p w14:paraId="69D3DF59" w14:textId="77777777" w:rsidR="00025E58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Министерство на </w:t>
            </w:r>
            <w:r w:rsidR="00971D91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земеделието</w:t>
            </w:r>
          </w:p>
          <w:p w14:paraId="002C4755" w14:textId="77777777" w:rsidR="00971D91" w:rsidRPr="00144A1F" w:rsidRDefault="00971D91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  <w:p w14:paraId="3DB92DDE" w14:textId="77777777" w:rsidR="00025E58" w:rsidRPr="00877A5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ирекция “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” – Управляващ орган на 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en-US"/>
              </w:rPr>
              <w:t xml:space="preserve"> 2014 - 2020</w:t>
            </w:r>
          </w:p>
        </w:tc>
        <w:tc>
          <w:tcPr>
            <w:tcW w:w="555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04217B04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НАРЪЧНИК ПО ПРОГРАМА ЗА МОРСКО ДЕЛО И РИБАРСТВО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” 2014 -2020 (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ПМДР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)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378F065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lang w:val="bg-BG"/>
              </w:rPr>
              <w:t xml:space="preserve">Вариант </w:t>
            </w:r>
            <w:r>
              <w:rPr>
                <w:rFonts w:eastAsia="HG Mincho Light J"/>
                <w:b/>
                <w:color w:val="000000"/>
                <w:sz w:val="20"/>
                <w:lang w:val="bg-BG"/>
              </w:rPr>
              <w:t>2</w:t>
            </w:r>
          </w:p>
        </w:tc>
      </w:tr>
      <w:tr w:rsidR="00025E58" w:rsidRPr="00144A1F" w14:paraId="52D1FE82" w14:textId="77777777" w:rsidTr="00E756A6">
        <w:trPr>
          <w:trHeight w:val="74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14:paraId="38075D94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12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0D9DD807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Глава 4, раздел 2, 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 xml:space="preserve">Приложение </w:t>
            </w:r>
          </w:p>
          <w:p w14:paraId="7B752F2D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4.II.1.</w:t>
            </w: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7</w:t>
            </w: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.</w:t>
            </w:r>
          </w:p>
        </w:tc>
        <w:tc>
          <w:tcPr>
            <w:tcW w:w="433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9FB8BF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>ПРОЦЕДУРИ ЗА ПРЕДОСТАВЯНЕ НА БЕЗВЪЗМЕЗДНА ФИНАНСОВА ПОМОЩ</w:t>
            </w:r>
          </w:p>
          <w:p w14:paraId="5F7F6AB3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14:paraId="362D43C6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b/>
                <w:iCs/>
                <w:sz w:val="20"/>
                <w:szCs w:val="20"/>
                <w:lang w:val="bg-BG"/>
              </w:rPr>
            </w:pPr>
          </w:p>
          <w:p w14:paraId="018DC83E" w14:textId="77777777" w:rsidR="00025E58" w:rsidRPr="00F609C8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iCs/>
                <w:sz w:val="20"/>
                <w:szCs w:val="20"/>
                <w:lang w:val="bg-BG"/>
              </w:rPr>
              <w:t xml:space="preserve">Образец на Списък на проектните предложения, </w:t>
            </w:r>
            <w:r>
              <w:rPr>
                <w:b/>
                <w:iCs/>
                <w:sz w:val="20"/>
                <w:szCs w:val="20"/>
                <w:lang w:val="bg-BG"/>
              </w:rPr>
              <w:t xml:space="preserve"> които не се допускат до техническа и финансова оценка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747A6AD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b/>
                <w:sz w:val="20"/>
                <w:szCs w:val="20"/>
                <w:lang w:val="bg-BG"/>
              </w:rPr>
              <w:t xml:space="preserve">страница: 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PAGE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1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t>/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begin"/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instrText xml:space="preserve"> NUMPAGES </w:instrTex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separate"/>
            </w:r>
            <w:r>
              <w:rPr>
                <w:rStyle w:val="PageNumber"/>
                <w:noProof/>
                <w:sz w:val="20"/>
                <w:szCs w:val="20"/>
                <w:lang w:val="bg-BG"/>
              </w:rPr>
              <w:t>2</w:t>
            </w:r>
            <w:r w:rsidRPr="00144A1F">
              <w:rPr>
                <w:rStyle w:val="PageNumber"/>
                <w:sz w:val="20"/>
                <w:szCs w:val="20"/>
                <w:lang w:val="bg-BG"/>
              </w:rPr>
              <w:fldChar w:fldCharType="end"/>
            </w:r>
          </w:p>
        </w:tc>
      </w:tr>
      <w:tr w:rsidR="00025E58" w:rsidRPr="00144A1F" w14:paraId="508DB717" w14:textId="77777777" w:rsidTr="00E756A6">
        <w:trPr>
          <w:trHeight w:val="697"/>
        </w:trPr>
        <w:tc>
          <w:tcPr>
            <w:tcW w:w="3445" w:type="dxa"/>
            <w:vMerge/>
            <w:tcBorders>
              <w:left w:val="single" w:sz="1" w:space="0" w:color="000000"/>
            </w:tcBorders>
            <w:vAlign w:val="center"/>
          </w:tcPr>
          <w:p w14:paraId="5D1DA75A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</w:tcBorders>
            <w:vAlign w:val="center"/>
          </w:tcPr>
          <w:p w14:paraId="55AA17A3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Одобрен от: Ръководител на Управляващия орган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14:paraId="7959B049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144A1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Дата:</w:t>
            </w:r>
          </w:p>
          <w:p w14:paraId="00CCEC31" w14:textId="77777777" w:rsidR="00025E58" w:rsidRPr="00D81A6C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  <w:tr w:rsidR="00025E58" w:rsidRPr="00144A1F" w14:paraId="6A8B10F7" w14:textId="77777777" w:rsidTr="00E756A6">
        <w:trPr>
          <w:trHeight w:val="697"/>
        </w:trPr>
        <w:tc>
          <w:tcPr>
            <w:tcW w:w="344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B5DC66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55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6D521B3" w14:textId="77777777" w:rsidR="00025E58" w:rsidRPr="00144A1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AB866" w14:textId="77777777" w:rsidR="00025E58" w:rsidRPr="00D4220F" w:rsidRDefault="00025E58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 w:rsidRPr="00D4220F"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Версия:</w:t>
            </w:r>
          </w:p>
          <w:p w14:paraId="7401223A" w14:textId="77777777" w:rsidR="00025E58" w:rsidRPr="00144A1F" w:rsidRDefault="00D81A6C" w:rsidP="00E756A6">
            <w:pPr>
              <w:widowControl w:val="0"/>
              <w:suppressLineNumbers/>
              <w:suppressAutoHyphens/>
              <w:jc w:val="center"/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</w:pPr>
            <w:r>
              <w:rPr>
                <w:rFonts w:eastAsia="HG Mincho Light J"/>
                <w:b/>
                <w:color w:val="000000"/>
                <w:sz w:val="20"/>
                <w:szCs w:val="20"/>
                <w:lang w:val="bg-BG"/>
              </w:rPr>
              <w:t>Януари 2022</w:t>
            </w:r>
          </w:p>
        </w:tc>
      </w:tr>
    </w:tbl>
    <w:p w14:paraId="7416C458" w14:textId="77777777" w:rsidR="00025E58" w:rsidRDefault="00025E58">
      <w:pPr>
        <w:rPr>
          <w:lang w:val="bg-BG"/>
        </w:rPr>
      </w:pPr>
    </w:p>
    <w:p w14:paraId="28776466" w14:textId="4B82F841" w:rsidR="00025E58" w:rsidRDefault="00D166C0" w:rsidP="00D166C0">
      <w:pPr>
        <w:jc w:val="center"/>
        <w:rPr>
          <w:lang w:val="bg-BG"/>
        </w:rPr>
      </w:pPr>
      <w:r>
        <w:rPr>
          <w:b/>
          <w:lang w:val="bg-BG"/>
        </w:rPr>
        <w:t>Списък на проектните предложения</w:t>
      </w:r>
      <w:r w:rsidR="00025E58" w:rsidRPr="005F44E0">
        <w:rPr>
          <w:b/>
          <w:lang w:val="bg-BG"/>
        </w:rPr>
        <w:t xml:space="preserve">, </w:t>
      </w:r>
      <w:r>
        <w:rPr>
          <w:b/>
          <w:lang w:val="bg-BG"/>
        </w:rPr>
        <w:t>които не се допускат до те</w:t>
      </w:r>
      <w:r w:rsidR="0093219F">
        <w:rPr>
          <w:b/>
          <w:lang w:val="bg-BG"/>
        </w:rPr>
        <w:t>хническа и финансова оценка по П</w:t>
      </w:r>
      <w:r>
        <w:rPr>
          <w:b/>
          <w:lang w:val="bg-BG"/>
        </w:rPr>
        <w:t>роцедура</w:t>
      </w:r>
      <w:r w:rsidR="00025E58">
        <w:rPr>
          <w:b/>
          <w:lang w:val="bg-BG"/>
        </w:rPr>
        <w:t xml:space="preserve"> </w:t>
      </w:r>
      <w:r>
        <w:rPr>
          <w:b/>
          <w:lang w:val="bg-BG"/>
        </w:rPr>
        <w:t xml:space="preserve">№ </w:t>
      </w:r>
      <w:r w:rsidR="00C222AE" w:rsidRPr="00C222AE">
        <w:rPr>
          <w:b/>
          <w:lang w:val="en-US"/>
        </w:rPr>
        <w:t xml:space="preserve">BG14MFOP001-4.115-S1, </w:t>
      </w:r>
      <w:proofErr w:type="spellStart"/>
      <w:r w:rsidR="00C222AE" w:rsidRPr="00C222AE">
        <w:rPr>
          <w:b/>
          <w:lang w:val="en-US"/>
        </w:rPr>
        <w:t>мярка</w:t>
      </w:r>
      <w:proofErr w:type="spellEnd"/>
      <w:r w:rsidR="00C222AE" w:rsidRPr="00C222AE">
        <w:rPr>
          <w:b/>
          <w:lang w:val="en-US"/>
        </w:rPr>
        <w:t xml:space="preserve"> 7.2 „</w:t>
      </w:r>
      <w:proofErr w:type="spellStart"/>
      <w:r w:rsidR="00C222AE" w:rsidRPr="00C222AE">
        <w:rPr>
          <w:b/>
          <w:lang w:val="en-US"/>
        </w:rPr>
        <w:t>Защита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на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околната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среда</w:t>
      </w:r>
      <w:proofErr w:type="spellEnd"/>
      <w:r w:rsidR="00C222AE" w:rsidRPr="00C222AE">
        <w:rPr>
          <w:b/>
          <w:lang w:val="en-US"/>
        </w:rPr>
        <w:t xml:space="preserve"> в </w:t>
      </w:r>
      <w:proofErr w:type="spellStart"/>
      <w:r w:rsidR="00C222AE" w:rsidRPr="00C222AE">
        <w:rPr>
          <w:b/>
          <w:lang w:val="en-US"/>
        </w:rPr>
        <w:t>рибарската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територия</w:t>
      </w:r>
      <w:proofErr w:type="spellEnd"/>
      <w:r w:rsidR="00C222AE" w:rsidRPr="00C222AE">
        <w:rPr>
          <w:b/>
          <w:lang w:val="en-US"/>
        </w:rPr>
        <w:t xml:space="preserve">, с </w:t>
      </w:r>
      <w:proofErr w:type="spellStart"/>
      <w:r w:rsidR="00C222AE" w:rsidRPr="00C222AE">
        <w:rPr>
          <w:b/>
          <w:lang w:val="en-US"/>
        </w:rPr>
        <w:t>цел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запазване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на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тяхната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привлекателност</w:t>
      </w:r>
      <w:proofErr w:type="spellEnd"/>
      <w:r w:rsidR="00C222AE" w:rsidRPr="00C222AE">
        <w:rPr>
          <w:b/>
          <w:lang w:val="en-US"/>
        </w:rPr>
        <w:t xml:space="preserve">, </w:t>
      </w:r>
      <w:proofErr w:type="spellStart"/>
      <w:r w:rsidR="00C222AE" w:rsidRPr="00C222AE">
        <w:rPr>
          <w:b/>
          <w:lang w:val="en-US"/>
        </w:rPr>
        <w:t>обновяване</w:t>
      </w:r>
      <w:proofErr w:type="spellEnd"/>
      <w:r w:rsidR="00C222AE" w:rsidRPr="00C222AE">
        <w:rPr>
          <w:b/>
          <w:lang w:val="en-US"/>
        </w:rPr>
        <w:t xml:space="preserve"> и </w:t>
      </w:r>
      <w:proofErr w:type="spellStart"/>
      <w:r w:rsidR="00C222AE" w:rsidRPr="00C222AE">
        <w:rPr>
          <w:b/>
          <w:lang w:val="en-US"/>
        </w:rPr>
        <w:t>развитие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на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крайбрежните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рибарски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селища</w:t>
      </w:r>
      <w:proofErr w:type="spellEnd"/>
      <w:r w:rsidR="00C222AE" w:rsidRPr="00C222AE">
        <w:rPr>
          <w:b/>
          <w:lang w:val="en-US"/>
        </w:rPr>
        <w:t xml:space="preserve"> и </w:t>
      </w:r>
      <w:proofErr w:type="spellStart"/>
      <w:r w:rsidR="00C222AE" w:rsidRPr="00C222AE">
        <w:rPr>
          <w:b/>
          <w:lang w:val="en-US"/>
        </w:rPr>
        <w:t>съхранение</w:t>
      </w:r>
      <w:proofErr w:type="spellEnd"/>
      <w:r w:rsidR="00C222AE" w:rsidRPr="00C222AE">
        <w:rPr>
          <w:b/>
          <w:lang w:val="en-US"/>
        </w:rPr>
        <w:t xml:space="preserve"> и </w:t>
      </w:r>
      <w:proofErr w:type="spellStart"/>
      <w:r w:rsidR="00C222AE" w:rsidRPr="00C222AE">
        <w:rPr>
          <w:b/>
          <w:lang w:val="en-US"/>
        </w:rPr>
        <w:t>развитие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на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природното</w:t>
      </w:r>
      <w:proofErr w:type="spellEnd"/>
      <w:r w:rsidR="00C222AE" w:rsidRPr="00C222AE">
        <w:rPr>
          <w:b/>
          <w:lang w:val="en-US"/>
        </w:rPr>
        <w:t xml:space="preserve"> и </w:t>
      </w:r>
      <w:proofErr w:type="spellStart"/>
      <w:r w:rsidR="00C222AE" w:rsidRPr="00C222AE">
        <w:rPr>
          <w:b/>
          <w:lang w:val="en-US"/>
        </w:rPr>
        <w:t>културно</w:t>
      </w:r>
      <w:proofErr w:type="spellEnd"/>
      <w:r w:rsidR="00C222AE" w:rsidRPr="00C222AE">
        <w:rPr>
          <w:b/>
          <w:lang w:val="en-US"/>
        </w:rPr>
        <w:t xml:space="preserve"> </w:t>
      </w:r>
      <w:proofErr w:type="spellStart"/>
      <w:r w:rsidR="00C222AE" w:rsidRPr="00C222AE">
        <w:rPr>
          <w:b/>
          <w:lang w:val="en-US"/>
        </w:rPr>
        <w:t>наследство</w:t>
      </w:r>
      <w:proofErr w:type="spellEnd"/>
      <w:r w:rsidR="00C222AE" w:rsidRPr="00C222AE">
        <w:rPr>
          <w:b/>
          <w:lang w:val="en-US"/>
        </w:rPr>
        <w:t>“</w:t>
      </w:r>
      <w:bookmarkStart w:id="0" w:name="_GoBack"/>
      <w:bookmarkEnd w:id="0"/>
      <w:r w:rsidR="0059554D" w:rsidRPr="0059554D">
        <w:rPr>
          <w:b/>
          <w:lang w:val="en-US"/>
        </w:rPr>
        <w:t xml:space="preserve"> </w:t>
      </w:r>
      <w:proofErr w:type="spellStart"/>
      <w:r w:rsidR="0059554D" w:rsidRPr="0059554D">
        <w:rPr>
          <w:b/>
          <w:lang w:val="en-US"/>
        </w:rPr>
        <w:t>от</w:t>
      </w:r>
      <w:proofErr w:type="spellEnd"/>
      <w:r w:rsidR="0059554D" w:rsidRPr="0059554D">
        <w:rPr>
          <w:b/>
          <w:lang w:val="en-US"/>
        </w:rPr>
        <w:t xml:space="preserve"> </w:t>
      </w:r>
      <w:proofErr w:type="spellStart"/>
      <w:r w:rsidR="0059554D" w:rsidRPr="0059554D">
        <w:rPr>
          <w:b/>
          <w:lang w:val="en-US"/>
        </w:rPr>
        <w:t>Стратегията</w:t>
      </w:r>
      <w:proofErr w:type="spellEnd"/>
      <w:r w:rsidR="0059554D" w:rsidRPr="0059554D">
        <w:rPr>
          <w:b/>
          <w:lang w:val="en-US"/>
        </w:rPr>
        <w:t xml:space="preserve"> </w:t>
      </w:r>
      <w:proofErr w:type="spellStart"/>
      <w:r w:rsidR="0059554D" w:rsidRPr="0059554D">
        <w:rPr>
          <w:b/>
          <w:lang w:val="en-US"/>
        </w:rPr>
        <w:t>за</w:t>
      </w:r>
      <w:proofErr w:type="spellEnd"/>
      <w:r w:rsidR="0059554D" w:rsidRPr="0059554D">
        <w:rPr>
          <w:b/>
          <w:lang w:val="en-US"/>
        </w:rPr>
        <w:t xml:space="preserve"> ВОМР </w:t>
      </w:r>
      <w:proofErr w:type="spellStart"/>
      <w:r w:rsidR="0059554D" w:rsidRPr="0059554D">
        <w:rPr>
          <w:b/>
          <w:lang w:val="en-US"/>
        </w:rPr>
        <w:t>на</w:t>
      </w:r>
      <w:proofErr w:type="spellEnd"/>
      <w:r w:rsidR="0059554D" w:rsidRPr="0059554D">
        <w:rPr>
          <w:b/>
          <w:lang w:val="en-US"/>
        </w:rPr>
        <w:t xml:space="preserve"> МИРГ „ВЗР: </w:t>
      </w:r>
      <w:proofErr w:type="spellStart"/>
      <w:r w:rsidR="0059554D" w:rsidRPr="0059554D">
        <w:rPr>
          <w:b/>
          <w:lang w:val="en-US"/>
        </w:rPr>
        <w:t>Батак-Девин-Доспат</w:t>
      </w:r>
      <w:proofErr w:type="spellEnd"/>
      <w:r w:rsidR="0059554D" w:rsidRPr="0059554D">
        <w:rPr>
          <w:b/>
          <w:lang w:val="en-US"/>
        </w:rPr>
        <w:t>“</w:t>
      </w:r>
      <w:r w:rsidR="00723FE7">
        <w:rPr>
          <w:b/>
          <w:lang w:val="bg-BG"/>
        </w:rPr>
        <w:t xml:space="preserve"> </w:t>
      </w:r>
      <w:r w:rsidRPr="00D166C0">
        <w:rPr>
          <w:b/>
          <w:lang w:val="bg-BG"/>
        </w:rPr>
        <w:t>по Програмата за морско дело и рибарство 2014-2020 г.</w:t>
      </w:r>
    </w:p>
    <w:p w14:paraId="07535D6C" w14:textId="77777777" w:rsidR="00025E58" w:rsidRDefault="00025E58">
      <w:pPr>
        <w:rPr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2138"/>
        <w:gridCol w:w="1928"/>
        <w:gridCol w:w="3108"/>
        <w:gridCol w:w="5434"/>
      </w:tblGrid>
      <w:tr w:rsidR="00025E58" w:rsidRPr="00723FE7" w14:paraId="2427EF56" w14:textId="77777777" w:rsidTr="00723FE7">
        <w:trPr>
          <w:trHeight w:val="990"/>
        </w:trPr>
        <w:tc>
          <w:tcPr>
            <w:tcW w:w="615" w:type="dxa"/>
            <w:shd w:val="clear" w:color="auto" w:fill="auto"/>
          </w:tcPr>
          <w:p w14:paraId="2433ACD6" w14:textId="77777777"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№</w:t>
            </w:r>
          </w:p>
        </w:tc>
        <w:tc>
          <w:tcPr>
            <w:tcW w:w="2141" w:type="dxa"/>
            <w:shd w:val="clear" w:color="auto" w:fill="auto"/>
          </w:tcPr>
          <w:p w14:paraId="6D7A54D9" w14:textId="77777777"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 xml:space="preserve">Рег. № на проектното предложение </w:t>
            </w:r>
          </w:p>
        </w:tc>
        <w:tc>
          <w:tcPr>
            <w:tcW w:w="1888" w:type="dxa"/>
            <w:shd w:val="clear" w:color="auto" w:fill="auto"/>
          </w:tcPr>
          <w:p w14:paraId="0915F123" w14:textId="77777777"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кандидата</w:t>
            </w:r>
          </w:p>
        </w:tc>
        <w:tc>
          <w:tcPr>
            <w:tcW w:w="3119" w:type="dxa"/>
            <w:shd w:val="clear" w:color="auto" w:fill="auto"/>
          </w:tcPr>
          <w:p w14:paraId="29D07933" w14:textId="77777777"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Наименование на проектното предложение</w:t>
            </w:r>
          </w:p>
        </w:tc>
        <w:tc>
          <w:tcPr>
            <w:tcW w:w="5459" w:type="dxa"/>
            <w:shd w:val="clear" w:color="auto" w:fill="auto"/>
          </w:tcPr>
          <w:p w14:paraId="3DC656D2" w14:textId="77777777"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Основание за отхвърляне</w:t>
            </w:r>
          </w:p>
          <w:p w14:paraId="7CFD8017" w14:textId="77777777" w:rsidR="00025E58" w:rsidRPr="00723FE7" w:rsidRDefault="00025E58" w:rsidP="00E756A6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  <w:r w:rsidRPr="00723FE7">
              <w:rPr>
                <w:b/>
                <w:i/>
                <w:sz w:val="22"/>
                <w:szCs w:val="22"/>
                <w:lang w:val="bg-BG"/>
              </w:rPr>
              <w:t xml:space="preserve">(посочват се конкретните основания, а не само препратки към документите и условията, които не са изпълнени) </w:t>
            </w:r>
          </w:p>
        </w:tc>
      </w:tr>
      <w:tr w:rsidR="00025E58" w:rsidRPr="00723FE7" w14:paraId="461DFB23" w14:textId="77777777" w:rsidTr="0093219F">
        <w:tc>
          <w:tcPr>
            <w:tcW w:w="615" w:type="dxa"/>
            <w:shd w:val="clear" w:color="auto" w:fill="auto"/>
          </w:tcPr>
          <w:p w14:paraId="2B158F2F" w14:textId="77777777"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7522C8DA" w14:textId="77777777"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723FE7">
              <w:rPr>
                <w:b/>
                <w:sz w:val="22"/>
                <w:szCs w:val="22"/>
                <w:lang w:val="bg-BG"/>
              </w:rPr>
              <w:t>1.</w:t>
            </w:r>
          </w:p>
          <w:p w14:paraId="528037AC" w14:textId="77777777"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</w:tc>
        <w:tc>
          <w:tcPr>
            <w:tcW w:w="2141" w:type="dxa"/>
            <w:shd w:val="clear" w:color="auto" w:fill="auto"/>
          </w:tcPr>
          <w:p w14:paraId="1BE4B1A8" w14:textId="77777777"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2F802A49" w14:textId="788DA92F" w:rsidR="00025E58" w:rsidRPr="00723FE7" w:rsidRDefault="00723FE7" w:rsidP="008C54AA">
            <w:pPr>
              <w:jc w:val="center"/>
              <w:rPr>
                <w:sz w:val="22"/>
                <w:szCs w:val="22"/>
                <w:lang w:val="bg-BG"/>
              </w:rPr>
            </w:pPr>
            <w:r w:rsidRPr="00723FE7">
              <w:rPr>
                <w:sz w:val="22"/>
                <w:szCs w:val="22"/>
                <w:lang w:val="bg-BG"/>
              </w:rPr>
              <w:t>BG14MFOP001-4.</w:t>
            </w:r>
            <w:r w:rsidR="0059554D">
              <w:rPr>
                <w:sz w:val="22"/>
                <w:szCs w:val="22"/>
                <w:lang w:val="bg-BG"/>
              </w:rPr>
              <w:t>11</w:t>
            </w:r>
            <w:r w:rsidR="008C54AA">
              <w:rPr>
                <w:sz w:val="22"/>
                <w:szCs w:val="22"/>
                <w:lang w:val="bg-BG"/>
              </w:rPr>
              <w:t>5</w:t>
            </w:r>
            <w:r w:rsidRPr="00723FE7">
              <w:rPr>
                <w:sz w:val="22"/>
                <w:szCs w:val="22"/>
                <w:lang w:val="bg-BG"/>
              </w:rPr>
              <w:t>-000</w:t>
            </w:r>
            <w:r w:rsidR="008C54AA">
              <w:rPr>
                <w:sz w:val="22"/>
                <w:szCs w:val="22"/>
                <w:lang w:val="bg-BG"/>
              </w:rPr>
              <w:t>1</w:t>
            </w:r>
          </w:p>
        </w:tc>
        <w:tc>
          <w:tcPr>
            <w:tcW w:w="1888" w:type="dxa"/>
            <w:shd w:val="clear" w:color="auto" w:fill="auto"/>
          </w:tcPr>
          <w:p w14:paraId="62E30B75" w14:textId="77777777" w:rsidR="00025E58" w:rsidRPr="00723FE7" w:rsidRDefault="00025E58" w:rsidP="00E756A6">
            <w:pPr>
              <w:jc w:val="center"/>
              <w:rPr>
                <w:b/>
                <w:sz w:val="22"/>
                <w:szCs w:val="22"/>
                <w:lang w:val="bg-BG"/>
              </w:rPr>
            </w:pPr>
          </w:p>
          <w:p w14:paraId="3B3B78A5" w14:textId="271E7B1F" w:rsidR="00025E58" w:rsidRPr="00723FE7" w:rsidRDefault="008C54AA" w:rsidP="008C54AA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8C54AA">
              <w:rPr>
                <w:rFonts w:ascii="Roboto" w:hAnsi="Roboto" w:hint="eastAsia"/>
                <w:sz w:val="22"/>
                <w:szCs w:val="22"/>
              </w:rPr>
              <w:t>СДРУЖЕНИЕ</w:t>
            </w:r>
            <w:r w:rsidRPr="008C54AA">
              <w:rPr>
                <w:rFonts w:ascii="Roboto" w:hAnsi="Roboto"/>
                <w:sz w:val="22"/>
                <w:szCs w:val="22"/>
              </w:rPr>
              <w:t xml:space="preserve"> </w:t>
            </w:r>
            <w:r>
              <w:rPr>
                <w:rFonts w:ascii="Roboto" w:hAnsi="Roboto"/>
                <w:sz w:val="22"/>
                <w:szCs w:val="22"/>
                <w:lang w:val="bg-BG"/>
              </w:rPr>
              <w:t>„</w:t>
            </w:r>
            <w:r w:rsidRPr="008C54AA">
              <w:rPr>
                <w:rFonts w:ascii="Roboto" w:hAnsi="Roboto"/>
                <w:sz w:val="22"/>
                <w:szCs w:val="22"/>
              </w:rPr>
              <w:t xml:space="preserve">МЕСТНА ИНИЦИАТИВНА ГРУПА ДЕВИН </w:t>
            </w:r>
            <w:r>
              <w:rPr>
                <w:rFonts w:ascii="Roboto" w:hAnsi="Roboto"/>
                <w:sz w:val="22"/>
                <w:szCs w:val="22"/>
              </w:rPr>
              <w:t>–</w:t>
            </w:r>
            <w:r w:rsidRPr="008C54AA">
              <w:rPr>
                <w:rFonts w:ascii="Roboto" w:hAnsi="Roboto"/>
                <w:sz w:val="22"/>
                <w:szCs w:val="22"/>
              </w:rPr>
              <w:t xml:space="preserve"> СМОЛЯН</w:t>
            </w:r>
            <w:r>
              <w:rPr>
                <w:rFonts w:ascii="Roboto" w:hAnsi="Roboto"/>
                <w:sz w:val="22"/>
                <w:szCs w:val="22"/>
                <w:lang w:val="bg-BG"/>
              </w:rPr>
              <w:t>“</w:t>
            </w:r>
            <w:r w:rsidRPr="008C54AA">
              <w:rPr>
                <w:rFonts w:ascii="Roboto" w:hAnsi="Roboto"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14:paraId="7390366B" w14:textId="77777777" w:rsidR="00025E58" w:rsidRPr="00E744C7" w:rsidRDefault="00025E58" w:rsidP="00E756A6">
            <w:pPr>
              <w:jc w:val="center"/>
              <w:rPr>
                <w:sz w:val="22"/>
                <w:szCs w:val="22"/>
                <w:lang w:val="bg-BG"/>
              </w:rPr>
            </w:pPr>
          </w:p>
          <w:p w14:paraId="7E8496F6" w14:textId="6C42727C" w:rsidR="00025E58" w:rsidRPr="00E744C7" w:rsidRDefault="002703C2" w:rsidP="00F73A86">
            <w:pPr>
              <w:jc w:val="center"/>
              <w:rPr>
                <w:sz w:val="22"/>
                <w:szCs w:val="22"/>
                <w:lang w:val="bg-BG"/>
              </w:rPr>
            </w:pPr>
            <w:r w:rsidRPr="00E744C7">
              <w:rPr>
                <w:sz w:val="22"/>
                <w:szCs w:val="22"/>
                <w:lang w:val="bg-BG"/>
              </w:rPr>
              <w:t>"</w:t>
            </w:r>
            <w:r w:rsidR="0059554D">
              <w:t xml:space="preserve"> </w:t>
            </w:r>
            <w:r w:rsidR="008C54AA" w:rsidRPr="008C54AA">
              <w:rPr>
                <w:sz w:val="22"/>
                <w:szCs w:val="22"/>
                <w:lang w:val="bg-BG"/>
              </w:rPr>
              <w:t>Изграждане на зона за игри и популяризиране на рибарската територия сред децата</w:t>
            </w:r>
            <w:r w:rsidRPr="00E744C7">
              <w:rPr>
                <w:sz w:val="22"/>
                <w:szCs w:val="22"/>
                <w:lang w:val="bg-BG"/>
              </w:rPr>
              <w:t>"</w:t>
            </w:r>
          </w:p>
        </w:tc>
        <w:tc>
          <w:tcPr>
            <w:tcW w:w="5459" w:type="dxa"/>
            <w:shd w:val="clear" w:color="auto" w:fill="auto"/>
          </w:tcPr>
          <w:p w14:paraId="2AC38D31" w14:textId="77777777" w:rsidR="008C54AA" w:rsidRPr="00AE3EEC" w:rsidRDefault="008C54AA" w:rsidP="008C54AA">
            <w:pPr>
              <w:spacing w:after="100" w:afterAutospacing="1"/>
              <w:jc w:val="both"/>
              <w:rPr>
                <w:rFonts w:eastAsia="Calibri"/>
                <w:bCs/>
                <w:lang w:val="bg-BG"/>
              </w:rPr>
            </w:pPr>
            <w:r w:rsidRPr="009652DC">
              <w:rPr>
                <w:lang w:val="bg-BG"/>
              </w:rPr>
              <w:t xml:space="preserve">Проектното предложение не отговаря на Критерий № </w:t>
            </w:r>
            <w:r>
              <w:rPr>
                <w:lang w:val="bg-BG"/>
              </w:rPr>
              <w:t>4</w:t>
            </w:r>
            <w:r w:rsidRPr="009652DC">
              <w:rPr>
                <w:lang w:val="bg-BG"/>
              </w:rPr>
              <w:t xml:space="preserve"> </w:t>
            </w:r>
            <w:r w:rsidRPr="00737B53">
              <w:rPr>
                <w:lang w:val="bg-BG"/>
              </w:rPr>
              <w:t>„</w:t>
            </w:r>
            <w:r w:rsidRPr="00737B53">
              <w:rPr>
                <w:lang w:val="bg-BG" w:eastAsia="bg-BG"/>
              </w:rPr>
              <w:t>Включените в проекта дейности са допустими за финансиране съгласно изискванията в т. 13 от Условия за кандида</w:t>
            </w:r>
            <w:r>
              <w:rPr>
                <w:lang w:val="bg-BG" w:eastAsia="bg-BG"/>
              </w:rPr>
              <w:t>тстване по настоящата процедура</w:t>
            </w:r>
            <w:r w:rsidRPr="009652DC">
              <w:rPr>
                <w:lang w:val="bg-BG"/>
              </w:rPr>
              <w:t xml:space="preserve">“ от </w:t>
            </w:r>
            <w:r>
              <w:rPr>
                <w:lang w:val="bg-BG"/>
              </w:rPr>
              <w:t xml:space="preserve">Приложение № 3- Критерии и методология за оценка на проектните предложения и Приложение № 3А – Одобрена </w:t>
            </w:r>
            <w:r>
              <w:rPr>
                <w:lang w:val="bg-BG"/>
              </w:rPr>
              <w:lastRenderedPageBreak/>
              <w:t xml:space="preserve">методология на МИРГ ВЗР: Батак-Девин-Доспат за подбор на проекти по процедура с номер в ИСУН </w:t>
            </w:r>
            <w:r w:rsidRPr="00737B53">
              <w:rPr>
                <w:lang w:val="bg-BG"/>
              </w:rPr>
              <w:t>BG14MFOP001-</w:t>
            </w:r>
            <w:r w:rsidRPr="00AE3EEC">
              <w:rPr>
                <w:lang w:val="bg-BG"/>
              </w:rPr>
              <w:t xml:space="preserve">4.115: </w:t>
            </w:r>
            <w:r w:rsidRPr="00AE3EEC">
              <w:rPr>
                <w:rFonts w:eastAsia="Calibri"/>
                <w:bCs/>
                <w:lang w:val="bg-BG"/>
              </w:rPr>
              <w:t>по мярка 7.2 „Защита на околната среда в рибарската територия, с цел запазване на тяхната привлекателност, обновяване и развитие на крайбрежните рибарски селища и съхранение и развитие на природното и културно наследство“</w:t>
            </w:r>
            <w:r>
              <w:rPr>
                <w:rFonts w:eastAsia="Calibri"/>
                <w:bCs/>
                <w:lang w:val="bg-BG"/>
              </w:rPr>
              <w:t xml:space="preserve"> от Стратегията за ВОМР на МИРГ ВЗР-Батак-Девин-Доспат</w:t>
            </w:r>
            <w:r w:rsidRPr="00AE3EEC">
              <w:rPr>
                <w:rFonts w:eastAsia="Calibri"/>
                <w:bCs/>
                <w:lang w:val="bg-BG"/>
              </w:rPr>
              <w:t xml:space="preserve">. </w:t>
            </w:r>
          </w:p>
          <w:p w14:paraId="2B0C4F11" w14:textId="77777777" w:rsidR="008C54AA" w:rsidRDefault="008C54AA" w:rsidP="008C54AA">
            <w:pPr>
              <w:spacing w:after="100" w:afterAutospacing="1"/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След извършена проверка на предоставените документи и съгласно чл. 34, ал. 2 от ЗУСЕФСУ: „Когато при проверката по ал. 1 се установи липса на документи и/или друга нередовност, комисията изпраща на кандидата уведомление за установените </w:t>
            </w:r>
            <w:proofErr w:type="spellStart"/>
            <w:r w:rsidRPr="009652DC">
              <w:rPr>
                <w:lang w:val="bg-BG"/>
              </w:rPr>
              <w:t>нередовности</w:t>
            </w:r>
            <w:proofErr w:type="spellEnd"/>
            <w:r w:rsidRPr="009652DC">
              <w:rPr>
                <w:lang w:val="bg-BG"/>
              </w:rPr>
              <w:t xml:space="preserve"> и определя разумен срок за тяхното отстраняване, който не може да бъде по-кратък от една седмица. Уведомлени</w:t>
            </w:r>
            <w:r>
              <w:rPr>
                <w:lang w:val="bg-BG"/>
              </w:rPr>
              <w:t>ето съдържа и информация, че не</w:t>
            </w:r>
            <w:r w:rsidRPr="009652DC">
              <w:rPr>
                <w:lang w:val="bg-BG"/>
              </w:rPr>
              <w:t xml:space="preserve">отстраняването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в срок може да доведе до прекратяване на производството по отношение на кандидата. Отстраняването на </w:t>
            </w:r>
            <w:proofErr w:type="spellStart"/>
            <w:r w:rsidRPr="009652DC">
              <w:rPr>
                <w:lang w:val="bg-BG"/>
              </w:rPr>
              <w:t>нередовностите</w:t>
            </w:r>
            <w:proofErr w:type="spellEnd"/>
            <w:r w:rsidRPr="009652DC">
              <w:rPr>
                <w:lang w:val="bg-BG"/>
              </w:rPr>
              <w:t xml:space="preserve"> не може да води до подобряване на качеството на проектното предложение“</w:t>
            </w:r>
            <w:r>
              <w:rPr>
                <w:lang w:val="bg-BG"/>
              </w:rPr>
              <w:t>. В</w:t>
            </w:r>
            <w:r w:rsidRPr="009652DC">
              <w:rPr>
                <w:lang w:val="bg-BG"/>
              </w:rPr>
              <w:t>ъв връзка с точка 2</w:t>
            </w:r>
            <w:r>
              <w:rPr>
                <w:lang w:val="bg-BG"/>
              </w:rPr>
              <w:t>4</w:t>
            </w:r>
            <w:r w:rsidRPr="009652DC">
              <w:rPr>
                <w:lang w:val="bg-BG"/>
              </w:rPr>
              <w:t xml:space="preserve">. „Списък на документите, които се подават на етап кандидатстване“ от Условия за кандидатстване, </w:t>
            </w:r>
            <w:r w:rsidRPr="00613D3F">
              <w:rPr>
                <w:lang w:val="bg-BG"/>
              </w:rPr>
              <w:t xml:space="preserve">на </w:t>
            </w:r>
            <w:r w:rsidRPr="001A1BDC">
              <w:rPr>
                <w:lang w:val="bg-BG"/>
              </w:rPr>
              <w:t>20.12.2022</w:t>
            </w:r>
            <w:r w:rsidRPr="00613D3F">
              <w:rPr>
                <w:lang w:val="bg-BG"/>
              </w:rPr>
              <w:t xml:space="preserve"> г. чрез Модул „Комуникация“ в ИСУН 2020 е изпратено уведомление с регистрационен номер </w:t>
            </w:r>
            <w:r w:rsidRPr="00737B53">
              <w:rPr>
                <w:lang w:val="bg-BG"/>
              </w:rPr>
              <w:t>BG14MFOP001-4.115-0001</w:t>
            </w:r>
            <w:r w:rsidRPr="001A1BDC">
              <w:rPr>
                <w:lang w:val="bg-BG"/>
              </w:rPr>
              <w:t>-M002, с което е поискана допълнителна информация от кандидата. Указан е срок до 30.12.2022 г</w:t>
            </w:r>
            <w:r w:rsidRPr="00613D3F">
              <w:rPr>
                <w:lang w:val="bg-BG"/>
              </w:rPr>
              <w:t xml:space="preserve">., в който да бъдат предоставени долуописаните липсващи </w:t>
            </w:r>
            <w:r w:rsidRPr="00613D3F">
              <w:rPr>
                <w:lang w:val="bg-BG"/>
              </w:rPr>
              <w:lastRenderedPageBreak/>
              <w:t>документи и информация, а именно:</w:t>
            </w:r>
            <w:r w:rsidRPr="009652DC">
              <w:rPr>
                <w:lang w:val="bg-BG"/>
              </w:rPr>
              <w:t xml:space="preserve"> </w:t>
            </w:r>
          </w:p>
          <w:p w14:paraId="124216D8" w14:textId="77777777" w:rsidR="008C54AA" w:rsidRDefault="008C54AA" w:rsidP="008C54AA">
            <w:pPr>
              <w:spacing w:after="100" w:afterAutospacing="1"/>
              <w:jc w:val="both"/>
              <w:rPr>
                <w:shd w:val="clear" w:color="auto" w:fill="FFFFFF"/>
                <w:lang w:val="bg-BG"/>
              </w:rPr>
            </w:pPr>
            <w:r w:rsidRPr="00397B5E">
              <w:rPr>
                <w:shd w:val="clear" w:color="auto" w:fill="FFFFFF"/>
              </w:rPr>
              <w:t xml:space="preserve">1. </w:t>
            </w:r>
            <w:proofErr w:type="spellStart"/>
            <w:r w:rsidRPr="00397B5E">
              <w:rPr>
                <w:shd w:val="clear" w:color="auto" w:fill="FFFFFF"/>
              </w:rPr>
              <w:t>За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проектна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дейност</w:t>
            </w:r>
            <w:proofErr w:type="spellEnd"/>
            <w:r w:rsidRPr="00397B5E">
              <w:rPr>
                <w:shd w:val="clear" w:color="auto" w:fill="FFFFFF"/>
              </w:rPr>
              <w:t xml:space="preserve"> 1 "СМР ОБОСОБЯВЯНЕ НА ДЕТСКА ПЛОЩАДКА В УПИ-VIII, КВ. 36 ПО ПЛАНА НА ГРАД ДЕВИН" </w:t>
            </w:r>
            <w:proofErr w:type="spellStart"/>
            <w:r w:rsidRPr="00397B5E">
              <w:rPr>
                <w:shd w:val="clear" w:color="auto" w:fill="FFFFFF"/>
              </w:rPr>
              <w:t>липсва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обосновка</w:t>
            </w:r>
            <w:proofErr w:type="spellEnd"/>
            <w:r w:rsidRPr="00397B5E">
              <w:rPr>
                <w:shd w:val="clear" w:color="auto" w:fill="FFFFFF"/>
              </w:rPr>
              <w:t xml:space="preserve"> в </w:t>
            </w:r>
            <w:proofErr w:type="spellStart"/>
            <w:r w:rsidRPr="00397B5E">
              <w:rPr>
                <w:shd w:val="clear" w:color="auto" w:fill="FFFFFF"/>
              </w:rPr>
              <w:t>описанието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дейността</w:t>
            </w:r>
            <w:proofErr w:type="spellEnd"/>
            <w:r w:rsidRPr="00397B5E">
              <w:rPr>
                <w:shd w:val="clear" w:color="auto" w:fill="FFFFFF"/>
              </w:rPr>
              <w:t xml:space="preserve">, </w:t>
            </w:r>
            <w:proofErr w:type="spellStart"/>
            <w:r w:rsidRPr="00397B5E">
              <w:rPr>
                <w:shd w:val="clear" w:color="auto" w:fill="FFFFFF"/>
              </w:rPr>
              <w:t>че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същата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попада</w:t>
            </w:r>
            <w:proofErr w:type="spellEnd"/>
            <w:r w:rsidRPr="00397B5E">
              <w:rPr>
                <w:shd w:val="clear" w:color="auto" w:fill="FFFFFF"/>
              </w:rPr>
              <w:t xml:space="preserve"> в </w:t>
            </w:r>
            <w:proofErr w:type="spellStart"/>
            <w:r w:rsidRPr="00397B5E">
              <w:rPr>
                <w:shd w:val="clear" w:color="auto" w:fill="FFFFFF"/>
              </w:rPr>
              <w:t>обхвата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допустимите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дейности</w:t>
            </w:r>
            <w:proofErr w:type="spellEnd"/>
            <w:r w:rsidRPr="00397B5E">
              <w:rPr>
                <w:shd w:val="clear" w:color="auto" w:fill="FFFFFF"/>
              </w:rPr>
              <w:t xml:space="preserve"> и </w:t>
            </w:r>
            <w:proofErr w:type="spellStart"/>
            <w:r w:rsidRPr="00397B5E">
              <w:rPr>
                <w:shd w:val="clear" w:color="auto" w:fill="FFFFFF"/>
              </w:rPr>
              <w:t>че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съоръжението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съставлява</w:t>
            </w:r>
            <w:proofErr w:type="spellEnd"/>
            <w:r w:rsidRPr="00397B5E">
              <w:rPr>
                <w:shd w:val="clear" w:color="auto" w:fill="FFFFFF"/>
              </w:rPr>
              <w:t xml:space="preserve"> "</w:t>
            </w:r>
            <w:proofErr w:type="spellStart"/>
            <w:r w:rsidRPr="00397B5E">
              <w:rPr>
                <w:shd w:val="clear" w:color="auto" w:fill="FFFFFF"/>
              </w:rPr>
              <w:t>съоръжение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за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наблюдение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видове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животни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край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язовирите</w:t>
            </w:r>
            <w:proofErr w:type="spellEnd"/>
            <w:r w:rsidRPr="00397B5E">
              <w:rPr>
                <w:shd w:val="clear" w:color="auto" w:fill="FFFFFF"/>
              </w:rPr>
              <w:t xml:space="preserve"> и </w:t>
            </w:r>
            <w:proofErr w:type="spellStart"/>
            <w:r w:rsidRPr="00397B5E">
              <w:rPr>
                <w:shd w:val="clear" w:color="auto" w:fill="FFFFFF"/>
              </w:rPr>
              <w:t>реките</w:t>
            </w:r>
            <w:proofErr w:type="spellEnd"/>
            <w:r w:rsidRPr="00397B5E">
              <w:rPr>
                <w:shd w:val="clear" w:color="auto" w:fill="FFFFFF"/>
              </w:rPr>
              <w:t xml:space="preserve"> (с </w:t>
            </w:r>
            <w:proofErr w:type="spellStart"/>
            <w:r w:rsidRPr="00397B5E">
              <w:rPr>
                <w:shd w:val="clear" w:color="auto" w:fill="FFFFFF"/>
              </w:rPr>
              <w:t>вид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естествената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среда</w:t>
            </w:r>
            <w:proofErr w:type="spellEnd"/>
            <w:r w:rsidRPr="00397B5E">
              <w:rPr>
                <w:shd w:val="clear" w:color="auto" w:fill="FFFFFF"/>
              </w:rPr>
              <w:t xml:space="preserve">)". </w:t>
            </w:r>
            <w:proofErr w:type="spellStart"/>
            <w:r w:rsidRPr="00397B5E">
              <w:rPr>
                <w:shd w:val="clear" w:color="auto" w:fill="FFFFFF"/>
              </w:rPr>
              <w:t>Кандидатът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следва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представи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пояснителна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информация.В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отговора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комуникация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време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оценка</w:t>
            </w:r>
            <w:proofErr w:type="spellEnd"/>
            <w:r w:rsidRPr="00397B5E">
              <w:rPr>
                <w:shd w:val="clear" w:color="auto" w:fill="FFFFFF"/>
              </w:rPr>
              <w:t xml:space="preserve"> в МИРГ, </w:t>
            </w:r>
            <w:proofErr w:type="spellStart"/>
            <w:r w:rsidRPr="00397B5E">
              <w:rPr>
                <w:shd w:val="clear" w:color="auto" w:fill="FFFFFF"/>
              </w:rPr>
              <w:t>кандидатъ</w:t>
            </w:r>
            <w:proofErr w:type="spellEnd"/>
            <w:r>
              <w:rPr>
                <w:shd w:val="clear" w:color="auto" w:fill="FFFFFF"/>
                <w:lang w:val="bg-BG"/>
              </w:rPr>
              <w:t>т</w:t>
            </w:r>
            <w:r w:rsidRPr="00397B5E">
              <w:rPr>
                <w:shd w:val="clear" w:color="auto" w:fill="FFFFFF"/>
              </w:rPr>
              <w:t xml:space="preserve"> е </w:t>
            </w:r>
            <w:proofErr w:type="spellStart"/>
            <w:r w:rsidRPr="00397B5E">
              <w:rPr>
                <w:shd w:val="clear" w:color="auto" w:fill="FFFFFF"/>
              </w:rPr>
              <w:t>дал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следния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отговор</w:t>
            </w:r>
            <w:proofErr w:type="spellEnd"/>
            <w:r w:rsidRPr="00397B5E">
              <w:rPr>
                <w:shd w:val="clear" w:color="auto" w:fill="FFFFFF"/>
              </w:rPr>
              <w:t xml:space="preserve">: В </w:t>
            </w:r>
            <w:proofErr w:type="spellStart"/>
            <w:r w:rsidRPr="00397B5E">
              <w:rPr>
                <w:shd w:val="clear" w:color="auto" w:fill="FFFFFF"/>
              </w:rPr>
              <w:t>предвидените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дейности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проектното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предложение</w:t>
            </w:r>
            <w:proofErr w:type="spellEnd"/>
            <w:r w:rsidRPr="00397B5E">
              <w:rPr>
                <w:shd w:val="clear" w:color="auto" w:fill="FFFFFF"/>
              </w:rPr>
              <w:t xml:space="preserve"> е </w:t>
            </w:r>
            <w:proofErr w:type="spellStart"/>
            <w:r w:rsidRPr="00397B5E">
              <w:rPr>
                <w:shd w:val="clear" w:color="auto" w:fill="FFFFFF"/>
              </w:rPr>
              <w:t>заложено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изграждане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детска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площадка</w:t>
            </w:r>
            <w:proofErr w:type="spellEnd"/>
            <w:r w:rsidRPr="00397B5E">
              <w:rPr>
                <w:shd w:val="clear" w:color="auto" w:fill="FFFFFF"/>
              </w:rPr>
              <w:t xml:space="preserve">, </w:t>
            </w:r>
            <w:proofErr w:type="spellStart"/>
            <w:r w:rsidRPr="00397B5E">
              <w:rPr>
                <w:shd w:val="clear" w:color="auto" w:fill="FFFFFF"/>
              </w:rPr>
              <w:t>която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граничи</w:t>
            </w:r>
            <w:proofErr w:type="spellEnd"/>
            <w:r w:rsidRPr="00397B5E">
              <w:rPr>
                <w:shd w:val="clear" w:color="auto" w:fill="FFFFFF"/>
              </w:rPr>
              <w:t xml:space="preserve"> с </w:t>
            </w:r>
            <w:proofErr w:type="spellStart"/>
            <w:r w:rsidRPr="00397B5E">
              <w:rPr>
                <w:shd w:val="clear" w:color="auto" w:fill="FFFFFF"/>
              </w:rPr>
              <w:t>огромна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стена</w:t>
            </w:r>
            <w:proofErr w:type="spellEnd"/>
            <w:r w:rsidRPr="00397B5E">
              <w:rPr>
                <w:shd w:val="clear" w:color="auto" w:fill="FFFFFF"/>
              </w:rPr>
              <w:t xml:space="preserve">, </w:t>
            </w:r>
            <w:proofErr w:type="spellStart"/>
            <w:r w:rsidRPr="00397B5E">
              <w:rPr>
                <w:shd w:val="clear" w:color="auto" w:fill="FFFFFF"/>
              </w:rPr>
              <w:t>където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ще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излъчват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интерактивни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прожекции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видовете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животни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обитаващи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язовирите</w:t>
            </w:r>
            <w:proofErr w:type="spellEnd"/>
            <w:r w:rsidRPr="00397B5E">
              <w:rPr>
                <w:shd w:val="clear" w:color="auto" w:fill="FFFFFF"/>
              </w:rPr>
              <w:t xml:space="preserve"> и </w:t>
            </w:r>
            <w:proofErr w:type="spellStart"/>
            <w:r w:rsidRPr="00397B5E">
              <w:rPr>
                <w:shd w:val="clear" w:color="auto" w:fill="FFFFFF"/>
              </w:rPr>
              <w:t>реките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територията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рибарската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общност</w:t>
            </w:r>
            <w:proofErr w:type="spellEnd"/>
            <w:r w:rsidRPr="00397B5E">
              <w:rPr>
                <w:shd w:val="clear" w:color="auto" w:fill="FFFFFF"/>
              </w:rPr>
              <w:t xml:space="preserve">, </w:t>
            </w:r>
            <w:proofErr w:type="spellStart"/>
            <w:r w:rsidRPr="00397B5E">
              <w:rPr>
                <w:shd w:val="clear" w:color="auto" w:fill="FFFFFF"/>
              </w:rPr>
              <w:t>като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същите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ще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пресъздават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естествената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среда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със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звук</w:t>
            </w:r>
            <w:proofErr w:type="spellEnd"/>
            <w:r w:rsidRPr="00397B5E">
              <w:rPr>
                <w:shd w:val="clear" w:color="auto" w:fill="FFFFFF"/>
              </w:rPr>
              <w:t xml:space="preserve"> и </w:t>
            </w:r>
            <w:proofErr w:type="spellStart"/>
            <w:r w:rsidRPr="00397B5E">
              <w:rPr>
                <w:shd w:val="clear" w:color="auto" w:fill="FFFFFF"/>
              </w:rPr>
              <w:t>видео</w:t>
            </w:r>
            <w:proofErr w:type="spellEnd"/>
            <w:r w:rsidRPr="00397B5E">
              <w:rPr>
                <w:shd w:val="clear" w:color="auto" w:fill="FFFFFF"/>
              </w:rPr>
              <w:t xml:space="preserve">. </w:t>
            </w:r>
            <w:proofErr w:type="spellStart"/>
            <w:r w:rsidRPr="00397B5E">
              <w:rPr>
                <w:shd w:val="clear" w:color="auto" w:fill="FFFFFF"/>
              </w:rPr>
              <w:t>Оборудването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за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прожекциите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ще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бъде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осигурено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от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членове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Сдружение</w:t>
            </w:r>
            <w:proofErr w:type="spellEnd"/>
            <w:r w:rsidRPr="00397B5E">
              <w:rPr>
                <w:shd w:val="clear" w:color="auto" w:fill="FFFFFF"/>
              </w:rPr>
              <w:t xml:space="preserve"> "МЕСТНА ИНИЦИАТИВНА ГРУПА ДЕВИН – СМОЛЯН". </w:t>
            </w:r>
            <w:proofErr w:type="spellStart"/>
            <w:r w:rsidRPr="00397B5E">
              <w:rPr>
                <w:shd w:val="clear" w:color="auto" w:fill="FFFFFF"/>
              </w:rPr>
              <w:t>Да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представи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подробна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информация</w:t>
            </w:r>
            <w:proofErr w:type="spellEnd"/>
            <w:r w:rsidRPr="00397B5E">
              <w:rPr>
                <w:shd w:val="clear" w:color="auto" w:fill="FFFFFF"/>
              </w:rPr>
              <w:t xml:space="preserve">, </w:t>
            </w:r>
            <w:proofErr w:type="spellStart"/>
            <w:r w:rsidRPr="00397B5E">
              <w:rPr>
                <w:shd w:val="clear" w:color="auto" w:fill="FFFFFF"/>
              </w:rPr>
              <w:t>какво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ще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прожектира</w:t>
            </w:r>
            <w:proofErr w:type="spellEnd"/>
            <w:r w:rsidRPr="00397B5E">
              <w:rPr>
                <w:shd w:val="clear" w:color="auto" w:fill="FFFFFF"/>
              </w:rPr>
              <w:t xml:space="preserve">, с </w:t>
            </w:r>
            <w:proofErr w:type="spellStart"/>
            <w:r w:rsidRPr="00397B5E">
              <w:rPr>
                <w:shd w:val="clear" w:color="auto" w:fill="FFFFFF"/>
              </w:rPr>
              <w:t>каква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ритмичност</w:t>
            </w:r>
            <w:proofErr w:type="spellEnd"/>
            <w:r w:rsidRPr="00397B5E">
              <w:rPr>
                <w:shd w:val="clear" w:color="auto" w:fill="FFFFFF"/>
              </w:rPr>
              <w:t xml:space="preserve">, </w:t>
            </w:r>
            <w:proofErr w:type="spellStart"/>
            <w:r w:rsidRPr="00397B5E">
              <w:rPr>
                <w:shd w:val="clear" w:color="auto" w:fill="FFFFFF"/>
              </w:rPr>
              <w:t>за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каква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възрастова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група</w:t>
            </w:r>
            <w:proofErr w:type="spellEnd"/>
            <w:r w:rsidRPr="00397B5E">
              <w:rPr>
                <w:shd w:val="clear" w:color="auto" w:fill="FFFFFF"/>
              </w:rPr>
              <w:t xml:space="preserve">, с </w:t>
            </w:r>
            <w:proofErr w:type="spellStart"/>
            <w:r w:rsidRPr="00397B5E">
              <w:rPr>
                <w:shd w:val="clear" w:color="auto" w:fill="FFFFFF"/>
              </w:rPr>
              <w:t>каква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продължителност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ще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бъде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всяка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прожекция</w:t>
            </w:r>
            <w:proofErr w:type="spellEnd"/>
            <w:r w:rsidRPr="00397B5E">
              <w:rPr>
                <w:shd w:val="clear" w:color="auto" w:fill="FFFFFF"/>
              </w:rPr>
              <w:t xml:space="preserve">, </w:t>
            </w:r>
            <w:proofErr w:type="spellStart"/>
            <w:r w:rsidRPr="00397B5E">
              <w:rPr>
                <w:shd w:val="clear" w:color="auto" w:fill="FFFFFF"/>
              </w:rPr>
              <w:t>снимки</w:t>
            </w:r>
            <w:proofErr w:type="spellEnd"/>
            <w:r w:rsidRPr="00397B5E">
              <w:rPr>
                <w:shd w:val="clear" w:color="auto" w:fill="FFFFFF"/>
              </w:rPr>
              <w:t xml:space="preserve"> и </w:t>
            </w:r>
            <w:proofErr w:type="spellStart"/>
            <w:r w:rsidRPr="00397B5E">
              <w:rPr>
                <w:shd w:val="clear" w:color="auto" w:fill="FFFFFF"/>
              </w:rPr>
              <w:t>подробно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описание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стената</w:t>
            </w:r>
            <w:proofErr w:type="spellEnd"/>
            <w:r w:rsidRPr="00397B5E">
              <w:rPr>
                <w:shd w:val="clear" w:color="auto" w:fill="FFFFFF"/>
              </w:rPr>
              <w:t xml:space="preserve">, </w:t>
            </w:r>
            <w:proofErr w:type="spellStart"/>
            <w:r w:rsidRPr="00397B5E">
              <w:rPr>
                <w:shd w:val="clear" w:color="auto" w:fill="FFFFFF"/>
              </w:rPr>
              <w:t>върху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която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ще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прожектира</w:t>
            </w:r>
            <w:proofErr w:type="spellEnd"/>
            <w:r w:rsidRPr="00397B5E">
              <w:rPr>
                <w:shd w:val="clear" w:color="auto" w:fill="FFFFFF"/>
              </w:rPr>
              <w:t xml:space="preserve">. </w:t>
            </w:r>
            <w:proofErr w:type="spellStart"/>
            <w:r w:rsidRPr="00397B5E">
              <w:rPr>
                <w:shd w:val="clear" w:color="auto" w:fill="FFFFFF"/>
              </w:rPr>
              <w:t>Кой</w:t>
            </w:r>
            <w:proofErr w:type="spellEnd"/>
            <w:r w:rsidRPr="00397B5E">
              <w:rPr>
                <w:shd w:val="clear" w:color="auto" w:fill="FFFFFF"/>
              </w:rPr>
              <w:t xml:space="preserve"> и </w:t>
            </w:r>
            <w:proofErr w:type="spellStart"/>
            <w:r w:rsidRPr="00397B5E">
              <w:rPr>
                <w:shd w:val="clear" w:color="auto" w:fill="FFFFFF"/>
              </w:rPr>
              <w:t>кога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ще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подготви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интерактивните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прожекции</w:t>
            </w:r>
            <w:proofErr w:type="spellEnd"/>
            <w:r w:rsidRPr="00397B5E">
              <w:rPr>
                <w:shd w:val="clear" w:color="auto" w:fill="FFFFFF"/>
              </w:rPr>
              <w:t xml:space="preserve">. </w:t>
            </w:r>
          </w:p>
          <w:p w14:paraId="0C7323E1" w14:textId="77777777" w:rsidR="008C54AA" w:rsidRPr="00397B5E" w:rsidRDefault="008C54AA" w:rsidP="008C54AA">
            <w:pPr>
              <w:spacing w:after="100" w:afterAutospacing="1"/>
              <w:jc w:val="both"/>
              <w:rPr>
                <w:lang w:val="bg-BG"/>
              </w:rPr>
            </w:pPr>
            <w:r w:rsidRPr="00397B5E">
              <w:rPr>
                <w:shd w:val="clear" w:color="auto" w:fill="FFFFFF"/>
              </w:rPr>
              <w:t xml:space="preserve">2. </w:t>
            </w:r>
            <w:proofErr w:type="spellStart"/>
            <w:r w:rsidRPr="00397B5E">
              <w:rPr>
                <w:shd w:val="clear" w:color="auto" w:fill="FFFFFF"/>
              </w:rPr>
              <w:t>Представената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инвентарна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книга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няма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подпис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съставител</w:t>
            </w:r>
            <w:proofErr w:type="spellEnd"/>
            <w:r w:rsidRPr="00397B5E">
              <w:rPr>
                <w:shd w:val="clear" w:color="auto" w:fill="FFFFFF"/>
              </w:rPr>
              <w:t xml:space="preserve"> и </w:t>
            </w:r>
            <w:proofErr w:type="spellStart"/>
            <w:r w:rsidRPr="00397B5E">
              <w:rPr>
                <w:shd w:val="clear" w:color="auto" w:fill="FFFFFF"/>
              </w:rPr>
              <w:t>име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съставител</w:t>
            </w:r>
            <w:proofErr w:type="spellEnd"/>
            <w:r w:rsidRPr="00397B5E">
              <w:rPr>
                <w:shd w:val="clear" w:color="auto" w:fill="FFFFFF"/>
              </w:rPr>
              <w:t xml:space="preserve">. </w:t>
            </w:r>
            <w:proofErr w:type="spellStart"/>
            <w:r w:rsidRPr="00397B5E">
              <w:rPr>
                <w:shd w:val="clear" w:color="auto" w:fill="FFFFFF"/>
              </w:rPr>
              <w:t>Да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lastRenderedPageBreak/>
              <w:t>представи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коректно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изготвен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документ</w:t>
            </w:r>
            <w:proofErr w:type="spellEnd"/>
            <w:r w:rsidRPr="00397B5E">
              <w:rPr>
                <w:shd w:val="clear" w:color="auto" w:fill="FFFFFF"/>
              </w:rPr>
              <w:t>.</w:t>
            </w:r>
          </w:p>
          <w:p w14:paraId="38342630" w14:textId="77777777" w:rsidR="008C54AA" w:rsidRPr="009652DC" w:rsidRDefault="008C54AA" w:rsidP="008C54AA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Кандидатът </w:t>
            </w:r>
            <w:r>
              <w:rPr>
                <w:lang w:val="bg-BG"/>
              </w:rPr>
              <w:t xml:space="preserve">е отворил писмото на 21.12.2022 г., но </w:t>
            </w:r>
            <w:r w:rsidRPr="009652DC">
              <w:rPr>
                <w:lang w:val="bg-BG"/>
              </w:rPr>
              <w:t>не е отговорил на комуникацията в регламентирания срок, не е предоставил изисканите допълнително информация и документи, което прави невъзможно извършването на оценка на проектното предложение. Съгласно изискванията, посочени в Условията за кандидат</w:t>
            </w:r>
            <w:r>
              <w:rPr>
                <w:lang w:val="bg-BG"/>
              </w:rPr>
              <w:t>стване на процедурата, раздел 24</w:t>
            </w:r>
            <w:r w:rsidRPr="009652DC">
              <w:rPr>
                <w:lang w:val="bg-BG"/>
              </w:rPr>
              <w:t>: „</w:t>
            </w:r>
            <w:r w:rsidRPr="003A3E5C">
              <w:rPr>
                <w:lang w:val="bg-BG"/>
              </w:rPr>
              <w:t>При непредставяне на изисканата допълнителна информация или разяснения в срок, проектното предложение може да бъде отхвърлено само и единствено на това основание или съответно да получи по-малък брой точки</w:t>
            </w:r>
            <w:r w:rsidRPr="009652DC">
              <w:rPr>
                <w:lang w:val="bg-BG"/>
              </w:rPr>
              <w:t>“</w:t>
            </w:r>
            <w:r>
              <w:rPr>
                <w:lang w:val="bg-BG"/>
              </w:rPr>
              <w:t>.</w:t>
            </w:r>
          </w:p>
          <w:p w14:paraId="43A9C2CC" w14:textId="77777777" w:rsidR="008C54AA" w:rsidRPr="009652DC" w:rsidRDefault="008C54AA" w:rsidP="008C54AA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>В изпълнение на разпоредбата на чл. 34, ал. 2 на ЗУСЕФСУ и когато след допълнително изискване по установения ред, на задължително изискуеми по процедурата документи, и информация, същите не бъдат предоставени от кандидата или са представени, но не съгласно изискванията, посочени в Условията за кандидатстване на процедурата, проектното предложение не отговаря на Условията, поради което производството по него се прекратява.</w:t>
            </w:r>
          </w:p>
          <w:p w14:paraId="62A2F143" w14:textId="77777777" w:rsidR="008C54AA" w:rsidRDefault="008C54AA" w:rsidP="008C54AA">
            <w:pPr>
              <w:jc w:val="both"/>
              <w:rPr>
                <w:shd w:val="clear" w:color="auto" w:fill="FFFFFF"/>
                <w:lang w:val="bg-BG"/>
              </w:rPr>
            </w:pPr>
            <w:r w:rsidRPr="009652DC">
              <w:rPr>
                <w:lang w:val="bg-BG"/>
              </w:rPr>
              <w:t xml:space="preserve">В допълнение, </w:t>
            </w:r>
            <w:r>
              <w:rPr>
                <w:lang w:val="bg-BG"/>
              </w:rPr>
              <w:t xml:space="preserve">поради </w:t>
            </w:r>
            <w:r w:rsidRPr="009652DC">
              <w:rPr>
                <w:lang w:val="bg-BG"/>
              </w:rPr>
              <w:t xml:space="preserve">липсата на </w:t>
            </w:r>
            <w:r>
              <w:rPr>
                <w:lang w:val="bg-BG"/>
              </w:rPr>
              <w:t>обосновка в описанието на дейност</w:t>
            </w:r>
            <w:r w:rsidRPr="00397B5E">
              <w:rPr>
                <w:shd w:val="clear" w:color="auto" w:fill="FFFFFF"/>
              </w:rPr>
              <w:t xml:space="preserve"> 1 "СМР ОБОСОБЯВЯНЕ НА ДЕТСКА ПЛОЩАДКА В УПИ-VIII, КВ. 36 ПО ПЛАНА НА ГРАД ДЕВИН", </w:t>
            </w:r>
            <w:r>
              <w:rPr>
                <w:shd w:val="clear" w:color="auto" w:fill="FFFFFF"/>
                <w:lang w:val="bg-BG"/>
              </w:rPr>
              <w:t xml:space="preserve">както и поради непредставяне на информация и мотиви с комуникацията, </w:t>
            </w:r>
            <w:proofErr w:type="spellStart"/>
            <w:r w:rsidRPr="00397B5E">
              <w:rPr>
                <w:shd w:val="clear" w:color="auto" w:fill="FFFFFF"/>
              </w:rPr>
              <w:t>че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същата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попада</w:t>
            </w:r>
            <w:proofErr w:type="spellEnd"/>
            <w:r w:rsidRPr="00397B5E">
              <w:rPr>
                <w:shd w:val="clear" w:color="auto" w:fill="FFFFFF"/>
              </w:rPr>
              <w:t xml:space="preserve"> в </w:t>
            </w:r>
            <w:proofErr w:type="spellStart"/>
            <w:r w:rsidRPr="00397B5E">
              <w:rPr>
                <w:shd w:val="clear" w:color="auto" w:fill="FFFFFF"/>
              </w:rPr>
              <w:t>обхвата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допустимите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дейности</w:t>
            </w:r>
            <w:proofErr w:type="spellEnd"/>
            <w:r w:rsidRPr="00397B5E">
              <w:rPr>
                <w:shd w:val="clear" w:color="auto" w:fill="FFFFFF"/>
              </w:rPr>
              <w:t xml:space="preserve"> и </w:t>
            </w:r>
            <w:proofErr w:type="spellStart"/>
            <w:r w:rsidRPr="00397B5E">
              <w:rPr>
                <w:shd w:val="clear" w:color="auto" w:fill="FFFFFF"/>
              </w:rPr>
              <w:t>че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съоръжението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съставлява</w:t>
            </w:r>
            <w:proofErr w:type="spellEnd"/>
            <w:r w:rsidRPr="00397B5E">
              <w:rPr>
                <w:shd w:val="clear" w:color="auto" w:fill="FFFFFF"/>
              </w:rPr>
              <w:t xml:space="preserve"> "</w:t>
            </w:r>
            <w:proofErr w:type="spellStart"/>
            <w:r w:rsidRPr="00397B5E">
              <w:rPr>
                <w:shd w:val="clear" w:color="auto" w:fill="FFFFFF"/>
              </w:rPr>
              <w:t>съоръжение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за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наблюдение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на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видове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lastRenderedPageBreak/>
              <w:t>животни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край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язовирите</w:t>
            </w:r>
            <w:proofErr w:type="spellEnd"/>
            <w:r w:rsidRPr="00397B5E">
              <w:rPr>
                <w:shd w:val="clear" w:color="auto" w:fill="FFFFFF"/>
              </w:rPr>
              <w:t xml:space="preserve"> и </w:t>
            </w:r>
            <w:proofErr w:type="spellStart"/>
            <w:r w:rsidRPr="00397B5E">
              <w:rPr>
                <w:shd w:val="clear" w:color="auto" w:fill="FFFFFF"/>
              </w:rPr>
              <w:t>реките</w:t>
            </w:r>
            <w:proofErr w:type="spellEnd"/>
            <w:r w:rsidRPr="00397B5E">
              <w:rPr>
                <w:shd w:val="clear" w:color="auto" w:fill="FFFFFF"/>
              </w:rPr>
              <w:t xml:space="preserve"> (с </w:t>
            </w:r>
            <w:proofErr w:type="spellStart"/>
            <w:r w:rsidRPr="00397B5E">
              <w:rPr>
                <w:shd w:val="clear" w:color="auto" w:fill="FFFFFF"/>
              </w:rPr>
              <w:t>вид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до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естествената</w:t>
            </w:r>
            <w:proofErr w:type="spellEnd"/>
            <w:r w:rsidRPr="00397B5E">
              <w:rPr>
                <w:shd w:val="clear" w:color="auto" w:fill="FFFFFF"/>
              </w:rPr>
              <w:t xml:space="preserve"> </w:t>
            </w:r>
            <w:proofErr w:type="spellStart"/>
            <w:r w:rsidRPr="00397B5E">
              <w:rPr>
                <w:shd w:val="clear" w:color="auto" w:fill="FFFFFF"/>
              </w:rPr>
              <w:t>среда</w:t>
            </w:r>
            <w:proofErr w:type="spellEnd"/>
            <w:r w:rsidRPr="00397B5E">
              <w:rPr>
                <w:shd w:val="clear" w:color="auto" w:fill="FFFFFF"/>
              </w:rPr>
              <w:t>)"</w:t>
            </w:r>
            <w:r w:rsidRPr="009652DC">
              <w:rPr>
                <w:lang w:val="bg-BG"/>
              </w:rPr>
              <w:t>, не може да бъде направено заключение, че</w:t>
            </w:r>
            <w:r>
              <w:rPr>
                <w:lang w:val="bg-BG"/>
              </w:rPr>
              <w:t xml:space="preserve"> проекта на</w:t>
            </w:r>
            <w:r w:rsidRPr="009652DC">
              <w:rPr>
                <w:lang w:val="bg-BG"/>
              </w:rPr>
              <w:t xml:space="preserve"> </w:t>
            </w:r>
            <w:r w:rsidRPr="001A1BDC">
              <w:rPr>
                <w:lang w:val="bg-BG"/>
              </w:rPr>
              <w:t>МЕСТНА ИНИЦИАТИВНА ГРУПА ДЕВИН - СМОЛЯН Сдружение</w:t>
            </w:r>
            <w:r>
              <w:rPr>
                <w:lang w:val="bg-BG"/>
              </w:rPr>
              <w:t>,</w:t>
            </w:r>
            <w:r w:rsidRPr="001A1BDC">
              <w:rPr>
                <w:lang w:val="bg-BG"/>
              </w:rPr>
              <w:t xml:space="preserve"> </w:t>
            </w:r>
            <w:r w:rsidRPr="009652DC">
              <w:rPr>
                <w:lang w:val="bg-BG"/>
              </w:rPr>
              <w:t xml:space="preserve">отговаря на </w:t>
            </w:r>
            <w:r>
              <w:rPr>
                <w:lang w:val="bg-BG"/>
              </w:rPr>
              <w:t xml:space="preserve">изискването в </w:t>
            </w:r>
            <w:r w:rsidRPr="001A1BDC">
              <w:rPr>
                <w:shd w:val="clear" w:color="auto" w:fill="FFFFFF"/>
              </w:rPr>
              <w:t xml:space="preserve">т.13 </w:t>
            </w:r>
            <w:proofErr w:type="spellStart"/>
            <w:r w:rsidRPr="001A1BDC">
              <w:rPr>
                <w:shd w:val="clear" w:color="auto" w:fill="FFFFFF"/>
              </w:rPr>
              <w:t>от</w:t>
            </w:r>
            <w:proofErr w:type="spellEnd"/>
            <w:r w:rsidRPr="001A1BDC">
              <w:rPr>
                <w:shd w:val="clear" w:color="auto" w:fill="FFFFFF"/>
              </w:rPr>
              <w:t xml:space="preserve"> УК</w:t>
            </w:r>
            <w:proofErr w:type="gramStart"/>
            <w:r w:rsidRPr="001A1BDC">
              <w:rPr>
                <w:shd w:val="clear" w:color="auto" w:fill="FFFFFF"/>
              </w:rPr>
              <w:t xml:space="preserve">, </w:t>
            </w:r>
            <w:r>
              <w:rPr>
                <w:shd w:val="clear" w:color="auto" w:fill="FFFFFF"/>
                <w:lang w:val="bg-BG"/>
              </w:rPr>
              <w:t xml:space="preserve"> за</w:t>
            </w:r>
            <w:proofErr w:type="gramEnd"/>
            <w:r>
              <w:rPr>
                <w:shd w:val="clear" w:color="auto" w:fill="FFFFFF"/>
                <w:lang w:val="bg-BG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допустими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дейности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настоящата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процедура</w:t>
            </w:r>
            <w:proofErr w:type="spellEnd"/>
            <w:r>
              <w:rPr>
                <w:shd w:val="clear" w:color="auto" w:fill="FFFFFF"/>
                <w:lang w:val="bg-BG"/>
              </w:rPr>
              <w:t>. В т.13 са посочени като допустими, следните дейности</w:t>
            </w:r>
            <w:r w:rsidRPr="001A1BDC">
              <w:rPr>
                <w:shd w:val="clear" w:color="auto" w:fill="FFFFFF"/>
              </w:rPr>
              <w:t xml:space="preserve">: </w:t>
            </w:r>
          </w:p>
          <w:p w14:paraId="200E796C" w14:textId="77777777" w:rsidR="008C54AA" w:rsidRDefault="008C54AA" w:rsidP="008C54AA">
            <w:pPr>
              <w:jc w:val="both"/>
              <w:rPr>
                <w:shd w:val="clear" w:color="auto" w:fill="FFFFFF"/>
                <w:lang w:val="bg-BG"/>
              </w:rPr>
            </w:pPr>
            <w:r w:rsidRPr="001A1BDC">
              <w:rPr>
                <w:shd w:val="clear" w:color="auto" w:fill="FFFFFF"/>
              </w:rPr>
              <w:t xml:space="preserve">- </w:t>
            </w:r>
            <w:proofErr w:type="spellStart"/>
            <w:r w:rsidRPr="001A1BDC">
              <w:rPr>
                <w:shd w:val="clear" w:color="auto" w:fill="FFFFFF"/>
              </w:rPr>
              <w:t>Образователни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дейности</w:t>
            </w:r>
            <w:proofErr w:type="spellEnd"/>
            <w:r w:rsidRPr="001A1BDC">
              <w:rPr>
                <w:shd w:val="clear" w:color="auto" w:fill="FFFFFF"/>
              </w:rPr>
              <w:t xml:space="preserve">, </w:t>
            </w:r>
            <w:proofErr w:type="spellStart"/>
            <w:r w:rsidRPr="001A1BDC">
              <w:rPr>
                <w:shd w:val="clear" w:color="auto" w:fill="FFFFFF"/>
              </w:rPr>
              <w:t>насочени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към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опазване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околната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среда</w:t>
            </w:r>
            <w:proofErr w:type="spellEnd"/>
            <w:r w:rsidRPr="001A1BDC">
              <w:rPr>
                <w:shd w:val="clear" w:color="auto" w:fill="FFFFFF"/>
              </w:rPr>
              <w:t xml:space="preserve"> с </w:t>
            </w:r>
            <w:proofErr w:type="spellStart"/>
            <w:r w:rsidRPr="001A1BDC">
              <w:rPr>
                <w:shd w:val="clear" w:color="auto" w:fill="FFFFFF"/>
              </w:rPr>
              <w:t>различни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целеви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групи</w:t>
            </w:r>
            <w:proofErr w:type="spellEnd"/>
            <w:r w:rsidRPr="001A1BDC">
              <w:rPr>
                <w:shd w:val="clear" w:color="auto" w:fill="FFFFFF"/>
              </w:rPr>
              <w:t xml:space="preserve">, </w:t>
            </w:r>
            <w:proofErr w:type="spellStart"/>
            <w:r w:rsidRPr="001A1BDC">
              <w:rPr>
                <w:shd w:val="clear" w:color="auto" w:fill="FFFFFF"/>
              </w:rPr>
              <w:t>като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ученически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лагери</w:t>
            </w:r>
            <w:proofErr w:type="spellEnd"/>
            <w:r w:rsidRPr="001A1BDC">
              <w:rPr>
                <w:shd w:val="clear" w:color="auto" w:fill="FFFFFF"/>
              </w:rPr>
              <w:t xml:space="preserve">, </w:t>
            </w:r>
            <w:proofErr w:type="spellStart"/>
            <w:r w:rsidRPr="001A1BDC">
              <w:rPr>
                <w:shd w:val="clear" w:color="auto" w:fill="FFFFFF"/>
              </w:rPr>
              <w:t>състезания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ориентиране</w:t>
            </w:r>
            <w:proofErr w:type="spellEnd"/>
            <w:r w:rsidRPr="001A1BDC">
              <w:rPr>
                <w:shd w:val="clear" w:color="auto" w:fill="FFFFFF"/>
              </w:rPr>
              <w:t xml:space="preserve">, </w:t>
            </w:r>
            <w:proofErr w:type="spellStart"/>
            <w:r w:rsidRPr="001A1BDC">
              <w:rPr>
                <w:shd w:val="clear" w:color="auto" w:fill="FFFFFF"/>
              </w:rPr>
              <w:t>курсове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за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природолюбители</w:t>
            </w:r>
            <w:proofErr w:type="spellEnd"/>
            <w:r w:rsidRPr="001A1BDC">
              <w:rPr>
                <w:shd w:val="clear" w:color="auto" w:fill="FFFFFF"/>
              </w:rPr>
              <w:t xml:space="preserve"> и </w:t>
            </w:r>
            <w:proofErr w:type="spellStart"/>
            <w:r w:rsidRPr="001A1BDC">
              <w:rPr>
                <w:shd w:val="clear" w:color="auto" w:fill="FFFFFF"/>
              </w:rPr>
              <w:t>други</w:t>
            </w:r>
            <w:proofErr w:type="spellEnd"/>
            <w:r w:rsidRPr="001A1BDC">
              <w:rPr>
                <w:shd w:val="clear" w:color="auto" w:fill="FFFFFF"/>
              </w:rPr>
              <w:t xml:space="preserve">; </w:t>
            </w:r>
          </w:p>
          <w:p w14:paraId="6654F528" w14:textId="77777777" w:rsidR="008C54AA" w:rsidRDefault="008C54AA" w:rsidP="008C54AA">
            <w:pPr>
              <w:jc w:val="both"/>
              <w:rPr>
                <w:shd w:val="clear" w:color="auto" w:fill="FFFFFF"/>
                <w:lang w:val="bg-BG"/>
              </w:rPr>
            </w:pPr>
            <w:r w:rsidRPr="001A1BDC">
              <w:rPr>
                <w:shd w:val="clear" w:color="auto" w:fill="FFFFFF"/>
              </w:rPr>
              <w:t xml:space="preserve">- </w:t>
            </w:r>
            <w:proofErr w:type="spellStart"/>
            <w:r w:rsidRPr="001A1BDC">
              <w:rPr>
                <w:shd w:val="clear" w:color="auto" w:fill="FFFFFF"/>
              </w:rPr>
              <w:t>Организиране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почистващи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инициативи</w:t>
            </w:r>
            <w:proofErr w:type="spellEnd"/>
            <w:r w:rsidRPr="001A1BDC">
              <w:rPr>
                <w:shd w:val="clear" w:color="auto" w:fill="FFFFFF"/>
              </w:rPr>
              <w:t xml:space="preserve"> с </w:t>
            </w:r>
            <w:proofErr w:type="spellStart"/>
            <w:r w:rsidRPr="001A1BDC">
              <w:rPr>
                <w:shd w:val="clear" w:color="auto" w:fill="FFFFFF"/>
              </w:rPr>
              <w:t>участието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доброволци</w:t>
            </w:r>
            <w:proofErr w:type="spellEnd"/>
            <w:r w:rsidRPr="001A1BDC">
              <w:rPr>
                <w:shd w:val="clear" w:color="auto" w:fill="FFFFFF"/>
              </w:rPr>
              <w:t>;</w:t>
            </w:r>
          </w:p>
          <w:p w14:paraId="644DDFF6" w14:textId="77777777" w:rsidR="008C54AA" w:rsidRDefault="008C54AA" w:rsidP="008C54AA">
            <w:pPr>
              <w:jc w:val="both"/>
              <w:rPr>
                <w:shd w:val="clear" w:color="auto" w:fill="FFFFFF"/>
                <w:lang w:val="bg-BG"/>
              </w:rPr>
            </w:pPr>
            <w:r w:rsidRPr="001A1BDC">
              <w:rPr>
                <w:shd w:val="clear" w:color="auto" w:fill="FFFFFF"/>
              </w:rPr>
              <w:t xml:space="preserve"> - </w:t>
            </w:r>
            <w:proofErr w:type="spellStart"/>
            <w:r w:rsidRPr="001A1BDC">
              <w:rPr>
                <w:shd w:val="clear" w:color="auto" w:fill="FFFFFF"/>
              </w:rPr>
              <w:t>Проучвания</w:t>
            </w:r>
            <w:proofErr w:type="spellEnd"/>
            <w:r w:rsidRPr="001A1BDC">
              <w:rPr>
                <w:shd w:val="clear" w:color="auto" w:fill="FFFFFF"/>
              </w:rPr>
              <w:t xml:space="preserve">, </w:t>
            </w:r>
            <w:proofErr w:type="spellStart"/>
            <w:r w:rsidRPr="001A1BDC">
              <w:rPr>
                <w:shd w:val="clear" w:color="auto" w:fill="FFFFFF"/>
              </w:rPr>
              <w:t>свързани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със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състоянието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водите</w:t>
            </w:r>
            <w:proofErr w:type="spellEnd"/>
            <w:r w:rsidRPr="001A1BDC">
              <w:rPr>
                <w:shd w:val="clear" w:color="auto" w:fill="FFFFFF"/>
              </w:rPr>
              <w:t xml:space="preserve"> и </w:t>
            </w:r>
            <w:proofErr w:type="spellStart"/>
            <w:r w:rsidRPr="001A1BDC">
              <w:rPr>
                <w:shd w:val="clear" w:color="auto" w:fill="FFFFFF"/>
              </w:rPr>
              <w:t>околната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среда</w:t>
            </w:r>
            <w:proofErr w:type="spellEnd"/>
            <w:r w:rsidRPr="001A1BDC">
              <w:rPr>
                <w:shd w:val="clear" w:color="auto" w:fill="FFFFFF"/>
              </w:rPr>
              <w:t>;</w:t>
            </w:r>
          </w:p>
          <w:p w14:paraId="1A95D7CE" w14:textId="77777777" w:rsidR="008C54AA" w:rsidRDefault="008C54AA" w:rsidP="008C54AA">
            <w:pPr>
              <w:jc w:val="both"/>
              <w:rPr>
                <w:shd w:val="clear" w:color="auto" w:fill="FFFFFF"/>
                <w:lang w:val="bg-BG"/>
              </w:rPr>
            </w:pPr>
            <w:r w:rsidRPr="001A1BDC">
              <w:rPr>
                <w:shd w:val="clear" w:color="auto" w:fill="FFFFFF"/>
              </w:rPr>
              <w:t xml:space="preserve"> - </w:t>
            </w:r>
            <w:proofErr w:type="spellStart"/>
            <w:r w:rsidRPr="001A1BDC">
              <w:rPr>
                <w:shd w:val="clear" w:color="auto" w:fill="FFFFFF"/>
              </w:rPr>
              <w:t>Квалификационни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курсове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за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еко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патрули</w:t>
            </w:r>
            <w:proofErr w:type="spellEnd"/>
            <w:r w:rsidRPr="001A1BDC">
              <w:rPr>
                <w:shd w:val="clear" w:color="auto" w:fill="FFFFFF"/>
              </w:rPr>
              <w:t xml:space="preserve">, </w:t>
            </w:r>
            <w:proofErr w:type="spellStart"/>
            <w:r w:rsidRPr="001A1BDC">
              <w:rPr>
                <w:shd w:val="clear" w:color="auto" w:fill="FFFFFF"/>
              </w:rPr>
              <w:t>които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работят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съвместно</w:t>
            </w:r>
            <w:proofErr w:type="spellEnd"/>
            <w:r w:rsidRPr="001A1BDC">
              <w:rPr>
                <w:shd w:val="clear" w:color="auto" w:fill="FFFFFF"/>
              </w:rPr>
              <w:t xml:space="preserve"> с </w:t>
            </w:r>
            <w:proofErr w:type="spellStart"/>
            <w:r w:rsidRPr="001A1BDC">
              <w:rPr>
                <w:shd w:val="clear" w:color="auto" w:fill="FFFFFF"/>
              </w:rPr>
              <w:t>институциите</w:t>
            </w:r>
            <w:proofErr w:type="spellEnd"/>
            <w:r w:rsidRPr="001A1BDC">
              <w:rPr>
                <w:shd w:val="clear" w:color="auto" w:fill="FFFFFF"/>
              </w:rPr>
              <w:t xml:space="preserve">; </w:t>
            </w:r>
          </w:p>
          <w:p w14:paraId="0184C1D9" w14:textId="77777777" w:rsidR="008C54AA" w:rsidRDefault="008C54AA" w:rsidP="008C54AA">
            <w:pPr>
              <w:jc w:val="both"/>
              <w:rPr>
                <w:shd w:val="clear" w:color="auto" w:fill="FFFFFF"/>
                <w:lang w:val="bg-BG"/>
              </w:rPr>
            </w:pPr>
            <w:r w:rsidRPr="001A1BDC">
              <w:rPr>
                <w:shd w:val="clear" w:color="auto" w:fill="FFFFFF"/>
              </w:rPr>
              <w:t xml:space="preserve">- </w:t>
            </w:r>
            <w:proofErr w:type="spellStart"/>
            <w:r w:rsidRPr="001A1BDC">
              <w:rPr>
                <w:shd w:val="clear" w:color="auto" w:fill="FFFFFF"/>
              </w:rPr>
              <w:t>Изграждане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електронни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системи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за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наблюдение</w:t>
            </w:r>
            <w:proofErr w:type="spellEnd"/>
            <w:r w:rsidRPr="001A1BDC">
              <w:rPr>
                <w:shd w:val="clear" w:color="auto" w:fill="FFFFFF"/>
              </w:rPr>
              <w:t xml:space="preserve"> и </w:t>
            </w:r>
            <w:proofErr w:type="spellStart"/>
            <w:r w:rsidRPr="001A1BDC">
              <w:rPr>
                <w:shd w:val="clear" w:color="auto" w:fill="FFFFFF"/>
              </w:rPr>
              <w:t>превенция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бракониерството</w:t>
            </w:r>
            <w:proofErr w:type="spellEnd"/>
            <w:r w:rsidRPr="001A1BDC">
              <w:rPr>
                <w:shd w:val="clear" w:color="auto" w:fill="FFFFFF"/>
              </w:rPr>
              <w:t xml:space="preserve"> в </w:t>
            </w:r>
            <w:proofErr w:type="spellStart"/>
            <w:r w:rsidRPr="001A1BDC">
              <w:rPr>
                <w:shd w:val="clear" w:color="auto" w:fill="FFFFFF"/>
              </w:rPr>
              <w:t>Рибарската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област</w:t>
            </w:r>
            <w:proofErr w:type="spellEnd"/>
            <w:r w:rsidRPr="001A1BDC">
              <w:rPr>
                <w:shd w:val="clear" w:color="auto" w:fill="FFFFFF"/>
              </w:rPr>
              <w:t xml:space="preserve"> (</w:t>
            </w:r>
            <w:proofErr w:type="spellStart"/>
            <w:r w:rsidRPr="001A1BDC">
              <w:rPr>
                <w:shd w:val="clear" w:color="auto" w:fill="FFFFFF"/>
              </w:rPr>
              <w:t>компютъризирана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система</w:t>
            </w:r>
            <w:proofErr w:type="spellEnd"/>
            <w:r w:rsidRPr="001A1BDC">
              <w:rPr>
                <w:shd w:val="clear" w:color="auto" w:fill="FFFFFF"/>
              </w:rPr>
              <w:t xml:space="preserve"> с </w:t>
            </w:r>
            <w:proofErr w:type="spellStart"/>
            <w:r w:rsidRPr="001A1BDC">
              <w:rPr>
                <w:shd w:val="clear" w:color="auto" w:fill="FFFFFF"/>
              </w:rPr>
              <w:t>радари</w:t>
            </w:r>
            <w:proofErr w:type="spellEnd"/>
            <w:r w:rsidRPr="001A1BDC">
              <w:rPr>
                <w:shd w:val="clear" w:color="auto" w:fill="FFFFFF"/>
              </w:rPr>
              <w:t xml:space="preserve"> и </w:t>
            </w:r>
            <w:proofErr w:type="spellStart"/>
            <w:r w:rsidRPr="001A1BDC">
              <w:rPr>
                <w:shd w:val="clear" w:color="auto" w:fill="FFFFFF"/>
              </w:rPr>
              <w:t>камери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за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постоянно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наблюдение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водите</w:t>
            </w:r>
            <w:proofErr w:type="spellEnd"/>
            <w:r w:rsidRPr="001A1BDC">
              <w:rPr>
                <w:shd w:val="clear" w:color="auto" w:fill="FFFFFF"/>
              </w:rPr>
              <w:t xml:space="preserve">); </w:t>
            </w:r>
          </w:p>
          <w:p w14:paraId="5D0D444C" w14:textId="77777777" w:rsidR="008C54AA" w:rsidRDefault="008C54AA" w:rsidP="008C54AA">
            <w:pPr>
              <w:jc w:val="both"/>
              <w:rPr>
                <w:shd w:val="clear" w:color="auto" w:fill="FFFFFF"/>
                <w:lang w:val="bg-BG"/>
              </w:rPr>
            </w:pPr>
            <w:r w:rsidRPr="001A1BDC">
              <w:rPr>
                <w:shd w:val="clear" w:color="auto" w:fill="FFFFFF"/>
              </w:rPr>
              <w:t xml:space="preserve">- </w:t>
            </w:r>
            <w:proofErr w:type="spellStart"/>
            <w:r w:rsidRPr="001A1BDC">
              <w:rPr>
                <w:shd w:val="clear" w:color="auto" w:fill="FFFFFF"/>
              </w:rPr>
              <w:t>Изграждане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дребномащабни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съоръжения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за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наблюдение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видове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животни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край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язовирите</w:t>
            </w:r>
            <w:proofErr w:type="spellEnd"/>
            <w:r w:rsidRPr="001A1BDC">
              <w:rPr>
                <w:shd w:val="clear" w:color="auto" w:fill="FFFFFF"/>
              </w:rPr>
              <w:t xml:space="preserve"> и </w:t>
            </w:r>
            <w:proofErr w:type="spellStart"/>
            <w:r w:rsidRPr="001A1BDC">
              <w:rPr>
                <w:shd w:val="clear" w:color="auto" w:fill="FFFFFF"/>
              </w:rPr>
              <w:t>реките</w:t>
            </w:r>
            <w:proofErr w:type="spellEnd"/>
            <w:r w:rsidRPr="001A1BDC">
              <w:rPr>
                <w:shd w:val="clear" w:color="auto" w:fill="FFFFFF"/>
              </w:rPr>
              <w:t xml:space="preserve"> (с </w:t>
            </w:r>
            <w:proofErr w:type="spellStart"/>
            <w:r w:rsidRPr="001A1BDC">
              <w:rPr>
                <w:shd w:val="clear" w:color="auto" w:fill="FFFFFF"/>
              </w:rPr>
              <w:t>вид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естествената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среда</w:t>
            </w:r>
            <w:proofErr w:type="spellEnd"/>
            <w:r w:rsidRPr="001A1BDC">
              <w:rPr>
                <w:shd w:val="clear" w:color="auto" w:fill="FFFFFF"/>
              </w:rPr>
              <w:t xml:space="preserve">). </w:t>
            </w:r>
          </w:p>
          <w:p w14:paraId="610206BA" w14:textId="77777777" w:rsidR="008C54AA" w:rsidRDefault="008C54AA" w:rsidP="008C54AA">
            <w:pPr>
              <w:jc w:val="both"/>
              <w:rPr>
                <w:shd w:val="clear" w:color="auto" w:fill="FFFFFF"/>
                <w:lang w:val="bg-BG"/>
              </w:rPr>
            </w:pPr>
            <w:proofErr w:type="spellStart"/>
            <w:r w:rsidRPr="001A1BDC">
              <w:rPr>
                <w:shd w:val="clear" w:color="auto" w:fill="FFFFFF"/>
              </w:rPr>
              <w:t>Кандидатът</w:t>
            </w:r>
            <w:proofErr w:type="spellEnd"/>
            <w:r w:rsidRPr="001A1BDC">
              <w:rPr>
                <w:shd w:val="clear" w:color="auto" w:fill="FFFFFF"/>
              </w:rPr>
              <w:t xml:space="preserve"> е </w:t>
            </w:r>
            <w:proofErr w:type="spellStart"/>
            <w:r w:rsidRPr="001A1BDC">
              <w:rPr>
                <w:shd w:val="clear" w:color="auto" w:fill="FFFFFF"/>
              </w:rPr>
              <w:t>подал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  <w:lang w:val="bg-BG"/>
              </w:rPr>
              <w:t>проектно предложение</w:t>
            </w:r>
            <w:r w:rsidRPr="001A1BDC">
              <w:rPr>
                <w:shd w:val="clear" w:color="auto" w:fill="FFFFFF"/>
              </w:rPr>
              <w:t xml:space="preserve">, в </w:t>
            </w:r>
            <w:proofErr w:type="spellStart"/>
            <w:r w:rsidRPr="001A1BDC">
              <w:rPr>
                <w:shd w:val="clear" w:color="auto" w:fill="FFFFFF"/>
              </w:rPr>
              <w:t>което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основната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дейност</w:t>
            </w:r>
            <w:proofErr w:type="spellEnd"/>
            <w:r w:rsidRPr="001A1BDC">
              <w:rPr>
                <w:shd w:val="clear" w:color="auto" w:fill="FFFFFF"/>
              </w:rPr>
              <w:t xml:space="preserve"> е: </w:t>
            </w:r>
            <w:proofErr w:type="spellStart"/>
            <w:r w:rsidRPr="001A1BDC">
              <w:rPr>
                <w:shd w:val="clear" w:color="auto" w:fill="FFFFFF"/>
              </w:rPr>
              <w:t>извършване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всички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видове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строително-монтажни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дейности</w:t>
            </w:r>
            <w:proofErr w:type="spellEnd"/>
            <w:r w:rsidRPr="001A1BDC">
              <w:rPr>
                <w:shd w:val="clear" w:color="auto" w:fill="FFFFFF"/>
              </w:rPr>
              <w:t xml:space="preserve">, </w:t>
            </w:r>
            <w:proofErr w:type="spellStart"/>
            <w:r w:rsidRPr="001A1BDC">
              <w:rPr>
                <w:shd w:val="clear" w:color="auto" w:fill="FFFFFF"/>
              </w:rPr>
              <w:t>които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основно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следните</w:t>
            </w:r>
            <w:proofErr w:type="spellEnd"/>
            <w:r w:rsidRPr="001A1BDC">
              <w:rPr>
                <w:shd w:val="clear" w:color="auto" w:fill="FFFFFF"/>
              </w:rPr>
              <w:t xml:space="preserve">: СМР ОБОСОБЯВЯНЕ НА ДЕТСКА ПЛОЩАДКА В УПИ-VIII, КВ. 36 ПО ПЛАНА НА ГРАД ДЕВИН, </w:t>
            </w:r>
            <w:proofErr w:type="spellStart"/>
            <w:r w:rsidRPr="001A1BDC">
              <w:rPr>
                <w:shd w:val="clear" w:color="auto" w:fill="FFFFFF"/>
              </w:rPr>
              <w:t>като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композиция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детската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площадка</w:t>
            </w:r>
            <w:proofErr w:type="spellEnd"/>
            <w:r w:rsidRPr="001A1BDC">
              <w:rPr>
                <w:shd w:val="clear" w:color="auto" w:fill="FFFFFF"/>
              </w:rPr>
              <w:t xml:space="preserve"> е с </w:t>
            </w:r>
            <w:proofErr w:type="spellStart"/>
            <w:r w:rsidRPr="001A1BDC">
              <w:rPr>
                <w:shd w:val="clear" w:color="auto" w:fill="FFFFFF"/>
              </w:rPr>
              <w:t>отворен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вход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от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север</w:t>
            </w:r>
            <w:proofErr w:type="spellEnd"/>
            <w:r w:rsidRPr="001A1BDC">
              <w:rPr>
                <w:shd w:val="clear" w:color="auto" w:fill="FFFFFF"/>
              </w:rPr>
              <w:t xml:space="preserve"> и </w:t>
            </w:r>
            <w:proofErr w:type="spellStart"/>
            <w:r w:rsidRPr="001A1BDC">
              <w:rPr>
                <w:shd w:val="clear" w:color="auto" w:fill="FFFFFF"/>
              </w:rPr>
              <w:t>изток</w:t>
            </w:r>
            <w:proofErr w:type="spellEnd"/>
            <w:r w:rsidRPr="001A1BDC">
              <w:rPr>
                <w:shd w:val="clear" w:color="auto" w:fill="FFFFFF"/>
              </w:rPr>
              <w:t xml:space="preserve">. </w:t>
            </w:r>
            <w:proofErr w:type="spellStart"/>
            <w:r w:rsidRPr="001A1BDC">
              <w:rPr>
                <w:shd w:val="clear" w:color="auto" w:fill="FFFFFF"/>
              </w:rPr>
              <w:t>По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западната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граница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площадката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граничи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r w:rsidRPr="001A1BDC">
              <w:rPr>
                <w:shd w:val="clear" w:color="auto" w:fill="FFFFFF"/>
              </w:rPr>
              <w:lastRenderedPageBreak/>
              <w:t xml:space="preserve">с </w:t>
            </w:r>
            <w:proofErr w:type="spellStart"/>
            <w:r w:rsidRPr="001A1BDC">
              <w:rPr>
                <w:shd w:val="clear" w:color="auto" w:fill="FFFFFF"/>
              </w:rPr>
              <w:t>калканна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стена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сграда</w:t>
            </w:r>
            <w:proofErr w:type="spellEnd"/>
            <w:r w:rsidRPr="001A1BDC">
              <w:rPr>
                <w:shd w:val="clear" w:color="auto" w:fill="FFFFFF"/>
              </w:rPr>
              <w:t xml:space="preserve">, а </w:t>
            </w:r>
            <w:proofErr w:type="spellStart"/>
            <w:r w:rsidRPr="001A1BDC">
              <w:rPr>
                <w:shd w:val="clear" w:color="auto" w:fill="FFFFFF"/>
              </w:rPr>
              <w:t>от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юг</w:t>
            </w:r>
            <w:proofErr w:type="spellEnd"/>
            <w:r w:rsidRPr="001A1BDC">
              <w:rPr>
                <w:shd w:val="clear" w:color="auto" w:fill="FFFFFF"/>
              </w:rPr>
              <w:t xml:space="preserve"> е </w:t>
            </w:r>
            <w:proofErr w:type="spellStart"/>
            <w:r w:rsidRPr="001A1BDC">
              <w:rPr>
                <w:shd w:val="clear" w:color="auto" w:fill="FFFFFF"/>
              </w:rPr>
              <w:t>предвидено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поставянето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ограда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от</w:t>
            </w:r>
            <w:proofErr w:type="spellEnd"/>
            <w:r w:rsidRPr="001A1BDC">
              <w:rPr>
                <w:shd w:val="clear" w:color="auto" w:fill="FFFFFF"/>
              </w:rPr>
              <w:t xml:space="preserve"> HPL </w:t>
            </w:r>
            <w:proofErr w:type="spellStart"/>
            <w:r w:rsidRPr="001A1BDC">
              <w:rPr>
                <w:shd w:val="clear" w:color="auto" w:fill="FFFFFF"/>
              </w:rPr>
              <w:t>плоскости</w:t>
            </w:r>
            <w:proofErr w:type="spellEnd"/>
            <w:r w:rsidRPr="001A1BDC">
              <w:rPr>
                <w:shd w:val="clear" w:color="auto" w:fill="FFFFFF"/>
              </w:rPr>
              <w:t xml:space="preserve"> с </w:t>
            </w:r>
            <w:proofErr w:type="spellStart"/>
            <w:r w:rsidRPr="001A1BDC">
              <w:rPr>
                <w:shd w:val="clear" w:color="auto" w:fill="FFFFFF"/>
              </w:rPr>
              <w:t>височина</w:t>
            </w:r>
            <w:proofErr w:type="spellEnd"/>
            <w:r w:rsidRPr="001A1BDC">
              <w:rPr>
                <w:shd w:val="clear" w:color="auto" w:fill="FFFFFF"/>
              </w:rPr>
              <w:t xml:space="preserve"> 1м. </w:t>
            </w:r>
            <w:proofErr w:type="spellStart"/>
            <w:r w:rsidRPr="001A1BDC">
              <w:rPr>
                <w:shd w:val="clear" w:color="auto" w:fill="FFFFFF"/>
              </w:rPr>
              <w:t>Площта</w:t>
            </w:r>
            <w:proofErr w:type="spellEnd"/>
            <w:r w:rsidRPr="001A1BDC">
              <w:rPr>
                <w:shd w:val="clear" w:color="auto" w:fill="FFFFFF"/>
              </w:rPr>
              <w:t xml:space="preserve"> е </w:t>
            </w:r>
            <w:proofErr w:type="spellStart"/>
            <w:r w:rsidRPr="001A1BDC">
              <w:rPr>
                <w:shd w:val="clear" w:color="auto" w:fill="FFFFFF"/>
              </w:rPr>
              <w:t>условно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разделена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две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части-зона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за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активен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отдих</w:t>
            </w:r>
            <w:proofErr w:type="spellEnd"/>
            <w:r w:rsidRPr="001A1BDC">
              <w:rPr>
                <w:shd w:val="clear" w:color="auto" w:fill="FFFFFF"/>
              </w:rPr>
              <w:t xml:space="preserve"> (</w:t>
            </w:r>
            <w:proofErr w:type="spellStart"/>
            <w:r w:rsidRPr="001A1BDC">
              <w:rPr>
                <w:shd w:val="clear" w:color="auto" w:fill="FFFFFF"/>
              </w:rPr>
              <w:t>игра</w:t>
            </w:r>
            <w:proofErr w:type="spellEnd"/>
            <w:r w:rsidRPr="001A1BDC">
              <w:rPr>
                <w:shd w:val="clear" w:color="auto" w:fill="FFFFFF"/>
              </w:rPr>
              <w:t xml:space="preserve">) и </w:t>
            </w:r>
            <w:proofErr w:type="spellStart"/>
            <w:r w:rsidRPr="001A1BDC">
              <w:rPr>
                <w:shd w:val="clear" w:color="auto" w:fill="FFFFFF"/>
              </w:rPr>
              <w:t>зона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пасивен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отдих</w:t>
            </w:r>
            <w:proofErr w:type="spellEnd"/>
            <w:r w:rsidRPr="001A1BDC">
              <w:rPr>
                <w:shd w:val="clear" w:color="auto" w:fill="FFFFFF"/>
              </w:rPr>
              <w:t xml:space="preserve">. </w:t>
            </w:r>
            <w:proofErr w:type="spellStart"/>
            <w:r w:rsidRPr="001A1BDC">
              <w:rPr>
                <w:shd w:val="clear" w:color="auto" w:fill="FFFFFF"/>
              </w:rPr>
              <w:t>Композицията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площадката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позволява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непрекъснат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визуален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достъп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децата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време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игра</w:t>
            </w:r>
            <w:proofErr w:type="spellEnd"/>
            <w:r w:rsidRPr="001A1BDC">
              <w:rPr>
                <w:shd w:val="clear" w:color="auto" w:fill="FFFFFF"/>
              </w:rPr>
              <w:t xml:space="preserve">. </w:t>
            </w:r>
            <w:proofErr w:type="spellStart"/>
            <w:r w:rsidRPr="001A1BDC">
              <w:rPr>
                <w:shd w:val="clear" w:color="auto" w:fill="FFFFFF"/>
              </w:rPr>
              <w:t>Във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формуляра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за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кандидатстване</w:t>
            </w:r>
            <w:proofErr w:type="spellEnd"/>
            <w:r w:rsidRPr="001A1BDC">
              <w:rPr>
                <w:shd w:val="clear" w:color="auto" w:fill="FFFFFF"/>
              </w:rPr>
              <w:t xml:space="preserve">, </w:t>
            </w:r>
            <w:proofErr w:type="spellStart"/>
            <w:r w:rsidRPr="001A1BDC">
              <w:rPr>
                <w:shd w:val="clear" w:color="auto" w:fill="FFFFFF"/>
              </w:rPr>
              <w:t>както</w:t>
            </w:r>
            <w:proofErr w:type="spellEnd"/>
            <w:r w:rsidRPr="001A1BDC">
              <w:rPr>
                <w:shd w:val="clear" w:color="auto" w:fill="FFFFFF"/>
              </w:rPr>
              <w:t xml:space="preserve"> и в </w:t>
            </w:r>
            <w:proofErr w:type="spellStart"/>
            <w:r w:rsidRPr="001A1BDC">
              <w:rPr>
                <w:shd w:val="clear" w:color="auto" w:fill="FFFFFF"/>
              </w:rPr>
              <w:t>приложените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към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него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документи</w:t>
            </w:r>
            <w:proofErr w:type="spellEnd"/>
            <w:r w:rsidRPr="001A1BDC">
              <w:rPr>
                <w:shd w:val="clear" w:color="auto" w:fill="FFFFFF"/>
              </w:rPr>
              <w:t xml:space="preserve">, </w:t>
            </w:r>
            <w:proofErr w:type="spellStart"/>
            <w:r w:rsidRPr="001A1BDC">
              <w:rPr>
                <w:shd w:val="clear" w:color="auto" w:fill="FFFFFF"/>
              </w:rPr>
              <w:t>посоченият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разход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не</w:t>
            </w:r>
            <w:proofErr w:type="spellEnd"/>
            <w:r w:rsidRPr="001A1BDC">
              <w:rPr>
                <w:shd w:val="clear" w:color="auto" w:fill="FFFFFF"/>
              </w:rPr>
              <w:t xml:space="preserve"> е </w:t>
            </w:r>
            <w:proofErr w:type="spellStart"/>
            <w:r w:rsidRPr="001A1BDC">
              <w:rPr>
                <w:shd w:val="clear" w:color="auto" w:fill="FFFFFF"/>
              </w:rPr>
              <w:t>обоснован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като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допустим</w:t>
            </w:r>
            <w:proofErr w:type="spellEnd"/>
            <w:r w:rsidRPr="001A1BDC">
              <w:rPr>
                <w:shd w:val="clear" w:color="auto" w:fill="FFFFFF"/>
              </w:rPr>
              <w:t xml:space="preserve"> и </w:t>
            </w:r>
            <w:proofErr w:type="spellStart"/>
            <w:r w:rsidRPr="001A1BDC">
              <w:rPr>
                <w:shd w:val="clear" w:color="auto" w:fill="FFFFFF"/>
              </w:rPr>
              <w:t>съотносим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към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допустима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дейност</w:t>
            </w:r>
            <w:proofErr w:type="spellEnd"/>
            <w:r w:rsidRPr="001A1BDC">
              <w:rPr>
                <w:shd w:val="clear" w:color="auto" w:fill="FFFFFF"/>
              </w:rPr>
              <w:t xml:space="preserve">: </w:t>
            </w:r>
            <w:proofErr w:type="spellStart"/>
            <w:r w:rsidRPr="001A1BDC">
              <w:rPr>
                <w:shd w:val="clear" w:color="auto" w:fill="FFFFFF"/>
              </w:rPr>
              <w:t>Изграждане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дребномащабни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съоръжения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за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наблюдение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видове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животни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край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язовирите</w:t>
            </w:r>
            <w:proofErr w:type="spellEnd"/>
            <w:r w:rsidRPr="001A1BDC">
              <w:rPr>
                <w:shd w:val="clear" w:color="auto" w:fill="FFFFFF"/>
              </w:rPr>
              <w:t xml:space="preserve"> и </w:t>
            </w:r>
            <w:proofErr w:type="spellStart"/>
            <w:r w:rsidRPr="001A1BDC">
              <w:rPr>
                <w:shd w:val="clear" w:color="auto" w:fill="FFFFFF"/>
              </w:rPr>
              <w:t>реките</w:t>
            </w:r>
            <w:proofErr w:type="spellEnd"/>
            <w:r w:rsidRPr="001A1BDC">
              <w:rPr>
                <w:shd w:val="clear" w:color="auto" w:fill="FFFFFF"/>
              </w:rPr>
              <w:t xml:space="preserve">. </w:t>
            </w:r>
          </w:p>
          <w:p w14:paraId="25C90130" w14:textId="1E133508" w:rsidR="008C54AA" w:rsidRDefault="008C54AA" w:rsidP="008C54AA">
            <w:pPr>
              <w:jc w:val="both"/>
              <w:rPr>
                <w:shd w:val="clear" w:color="auto" w:fill="FFFFFF"/>
                <w:lang w:val="bg-BG"/>
              </w:rPr>
            </w:pPr>
            <w:proofErr w:type="spellStart"/>
            <w:r w:rsidRPr="001A1BDC">
              <w:rPr>
                <w:shd w:val="clear" w:color="auto" w:fill="FFFFFF"/>
              </w:rPr>
              <w:t>По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време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оценка</w:t>
            </w:r>
            <w:proofErr w:type="spellEnd"/>
            <w:r w:rsidRPr="001A1BDC">
              <w:rPr>
                <w:shd w:val="clear" w:color="auto" w:fill="FFFFFF"/>
              </w:rPr>
              <w:t xml:space="preserve"> е </w:t>
            </w:r>
            <w:proofErr w:type="spellStart"/>
            <w:r w:rsidRPr="001A1BDC">
              <w:rPr>
                <w:shd w:val="clear" w:color="auto" w:fill="FFFFFF"/>
              </w:rPr>
              <w:t>проведена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комуникация</w:t>
            </w:r>
            <w:proofErr w:type="spellEnd"/>
            <w:r w:rsidRPr="001A1BDC">
              <w:rPr>
                <w:shd w:val="clear" w:color="auto" w:fill="FFFFFF"/>
              </w:rPr>
              <w:t xml:space="preserve"> с </w:t>
            </w:r>
            <w:proofErr w:type="spellStart"/>
            <w:r w:rsidRPr="001A1BDC">
              <w:rPr>
                <w:shd w:val="clear" w:color="auto" w:fill="FFFFFF"/>
              </w:rPr>
              <w:t>кандидата</w:t>
            </w:r>
            <w:proofErr w:type="spellEnd"/>
            <w:r w:rsidRPr="001A1BDC">
              <w:rPr>
                <w:shd w:val="clear" w:color="auto" w:fill="FFFFFF"/>
              </w:rPr>
              <w:t xml:space="preserve">, </w:t>
            </w:r>
            <w:proofErr w:type="spellStart"/>
            <w:r w:rsidRPr="001A1BDC">
              <w:rPr>
                <w:shd w:val="clear" w:color="auto" w:fill="FFFFFF"/>
              </w:rPr>
              <w:t>който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не</w:t>
            </w:r>
            <w:proofErr w:type="spellEnd"/>
            <w:r w:rsidRPr="001A1BDC">
              <w:rPr>
                <w:shd w:val="clear" w:color="auto" w:fill="FFFFFF"/>
              </w:rPr>
              <w:t xml:space="preserve"> е </w:t>
            </w:r>
            <w:proofErr w:type="spellStart"/>
            <w:r w:rsidRPr="001A1BDC">
              <w:rPr>
                <w:shd w:val="clear" w:color="auto" w:fill="FFFFFF"/>
              </w:rPr>
              <w:t>отгоровил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отношение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допустимостта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посочения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от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него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разход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настоящата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процедура</w:t>
            </w:r>
            <w:proofErr w:type="spellEnd"/>
            <w:r w:rsidRPr="001A1BDC">
              <w:rPr>
                <w:shd w:val="clear" w:color="auto" w:fill="FFFFFF"/>
              </w:rPr>
              <w:t xml:space="preserve">. </w:t>
            </w:r>
            <w:proofErr w:type="spellStart"/>
            <w:r w:rsidRPr="001A1BDC">
              <w:rPr>
                <w:shd w:val="clear" w:color="auto" w:fill="FFFFFF"/>
              </w:rPr>
              <w:t>След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като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планираните</w:t>
            </w:r>
            <w:proofErr w:type="spellEnd"/>
            <w:r w:rsidRPr="001A1BDC">
              <w:rPr>
                <w:shd w:val="clear" w:color="auto" w:fill="FFFFFF"/>
              </w:rPr>
              <w:t xml:space="preserve"> СМР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стойност</w:t>
            </w:r>
            <w:proofErr w:type="spellEnd"/>
            <w:r w:rsidRPr="001A1BDC">
              <w:rPr>
                <w:shd w:val="clear" w:color="auto" w:fill="FFFFFF"/>
              </w:rPr>
              <w:t xml:space="preserve"> 95848</w:t>
            </w:r>
            <w:proofErr w:type="gramStart"/>
            <w:r w:rsidRPr="001A1BDC">
              <w:rPr>
                <w:shd w:val="clear" w:color="auto" w:fill="FFFFFF"/>
              </w:rPr>
              <w:t>,40</w:t>
            </w:r>
            <w:proofErr w:type="gram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лв</w:t>
            </w:r>
            <w:proofErr w:type="spellEnd"/>
            <w:r>
              <w:rPr>
                <w:shd w:val="clear" w:color="auto" w:fill="FFFFFF"/>
                <w:lang w:val="bg-BG"/>
              </w:rPr>
              <w:t>.</w:t>
            </w:r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сторнират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от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бюджета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ПП, </w:t>
            </w:r>
            <w:proofErr w:type="spellStart"/>
            <w:r w:rsidRPr="001A1BDC">
              <w:rPr>
                <w:shd w:val="clear" w:color="auto" w:fill="FFFFFF"/>
              </w:rPr>
              <w:t>него</w:t>
            </w:r>
            <w:proofErr w:type="spellEnd"/>
            <w:r>
              <w:rPr>
                <w:shd w:val="clear" w:color="auto" w:fill="FFFFFF"/>
                <w:lang w:val="bg-BG"/>
              </w:rPr>
              <w:t>в</w:t>
            </w:r>
            <w:proofErr w:type="spellStart"/>
            <w:r>
              <w:rPr>
                <w:shd w:val="clear" w:color="auto" w:fill="FFFFFF"/>
              </w:rPr>
              <w:t>ата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>
              <w:rPr>
                <w:shd w:val="clear" w:color="auto" w:fill="FFFFFF"/>
              </w:rPr>
              <w:t>стойност</w:t>
            </w:r>
            <w:proofErr w:type="spellEnd"/>
            <w:r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става</w:t>
            </w:r>
            <w:proofErr w:type="spellEnd"/>
            <w:r w:rsidRPr="001A1BDC">
              <w:rPr>
                <w:shd w:val="clear" w:color="auto" w:fill="FFFFFF"/>
              </w:rPr>
              <w:t xml:space="preserve"> 1596 </w:t>
            </w:r>
            <w:proofErr w:type="spellStart"/>
            <w:r w:rsidRPr="001A1BDC">
              <w:rPr>
                <w:shd w:val="clear" w:color="auto" w:fill="FFFFFF"/>
              </w:rPr>
              <w:t>лв</w:t>
            </w:r>
            <w:proofErr w:type="spellEnd"/>
            <w:r w:rsidRPr="001A1BDC">
              <w:rPr>
                <w:shd w:val="clear" w:color="auto" w:fill="FFFFFF"/>
              </w:rPr>
              <w:t xml:space="preserve">, </w:t>
            </w:r>
            <w:proofErr w:type="spellStart"/>
            <w:r w:rsidRPr="001A1BDC">
              <w:rPr>
                <w:shd w:val="clear" w:color="auto" w:fill="FFFFFF"/>
              </w:rPr>
              <w:t>което</w:t>
            </w:r>
            <w:proofErr w:type="spellEnd"/>
            <w:r w:rsidRPr="001A1BDC">
              <w:rPr>
                <w:shd w:val="clear" w:color="auto" w:fill="FFFFFF"/>
              </w:rPr>
              <w:t xml:space="preserve"> е </w:t>
            </w:r>
            <w:proofErr w:type="spellStart"/>
            <w:r w:rsidRPr="001A1BDC">
              <w:rPr>
                <w:shd w:val="clear" w:color="auto" w:fill="FFFFFF"/>
              </w:rPr>
              <w:t>под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минимално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допустимия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праг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едно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проектно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предложение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по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настоящата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процедура</w:t>
            </w:r>
            <w:proofErr w:type="spellEnd"/>
            <w:r w:rsidRPr="001A1BDC">
              <w:rPr>
                <w:shd w:val="clear" w:color="auto" w:fill="FFFFFF"/>
              </w:rPr>
              <w:t xml:space="preserve">. </w:t>
            </w:r>
            <w:proofErr w:type="spellStart"/>
            <w:r w:rsidRPr="001A1BDC">
              <w:rPr>
                <w:shd w:val="clear" w:color="auto" w:fill="FFFFFF"/>
              </w:rPr>
              <w:t>Съгласно</w:t>
            </w:r>
            <w:proofErr w:type="spellEnd"/>
            <w:r w:rsidRPr="001A1BDC">
              <w:rPr>
                <w:shd w:val="clear" w:color="auto" w:fill="FFFFFF"/>
              </w:rPr>
              <w:t xml:space="preserve"> УК </w:t>
            </w:r>
            <w:proofErr w:type="spellStart"/>
            <w:r w:rsidRPr="001A1BDC">
              <w:rPr>
                <w:shd w:val="clear" w:color="auto" w:fill="FFFFFF"/>
              </w:rPr>
              <w:t>минималния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праг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на</w:t>
            </w:r>
            <w:proofErr w:type="spell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едно</w:t>
            </w:r>
            <w:proofErr w:type="spellEnd"/>
            <w:r w:rsidRPr="001A1BDC">
              <w:rPr>
                <w:shd w:val="clear" w:color="auto" w:fill="FFFFFF"/>
              </w:rPr>
              <w:t xml:space="preserve"> ПП е 3911</w:t>
            </w:r>
            <w:proofErr w:type="gramStart"/>
            <w:r w:rsidRPr="001A1BDC">
              <w:rPr>
                <w:shd w:val="clear" w:color="auto" w:fill="FFFFFF"/>
              </w:rPr>
              <w:t>,60</w:t>
            </w:r>
            <w:proofErr w:type="gramEnd"/>
            <w:r w:rsidRPr="001A1BDC">
              <w:rPr>
                <w:shd w:val="clear" w:color="auto" w:fill="FFFFFF"/>
              </w:rPr>
              <w:t xml:space="preserve"> </w:t>
            </w:r>
            <w:proofErr w:type="spellStart"/>
            <w:r w:rsidRPr="001A1BDC">
              <w:rPr>
                <w:shd w:val="clear" w:color="auto" w:fill="FFFFFF"/>
              </w:rPr>
              <w:t>лв</w:t>
            </w:r>
            <w:proofErr w:type="spellEnd"/>
            <w:r w:rsidRPr="001A1BDC">
              <w:rPr>
                <w:shd w:val="clear" w:color="auto" w:fill="FFFFFF"/>
              </w:rPr>
              <w:t xml:space="preserve">. </w:t>
            </w:r>
          </w:p>
          <w:p w14:paraId="2B3F4C54" w14:textId="77777777" w:rsidR="008C54AA" w:rsidRPr="0024402F" w:rsidRDefault="008C54AA" w:rsidP="008C54AA">
            <w:pPr>
              <w:jc w:val="both"/>
              <w:rPr>
                <w:color w:val="000000"/>
                <w:lang w:val="ru-RU"/>
              </w:rPr>
            </w:pPr>
            <w:r>
              <w:rPr>
                <w:shd w:val="clear" w:color="auto" w:fill="FFFFFF"/>
                <w:lang w:val="bg-BG"/>
              </w:rPr>
              <w:t xml:space="preserve">Във връзка с гореизложеното проектното предложение не отговаря и на критерии № 13 </w:t>
            </w:r>
            <w:r w:rsidRPr="009652DC">
              <w:rPr>
                <w:lang w:val="bg-BG"/>
              </w:rPr>
              <w:t xml:space="preserve">от </w:t>
            </w:r>
            <w:r>
              <w:rPr>
                <w:lang w:val="bg-BG"/>
              </w:rPr>
              <w:t>Приложение № 3- Критерии и методология за оценка на проектните предложения:</w:t>
            </w:r>
            <w:r w:rsidRPr="007253B6">
              <w:rPr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>«</w:t>
            </w:r>
            <w:proofErr w:type="spellStart"/>
            <w:r w:rsidRPr="007253B6">
              <w:rPr>
                <w:color w:val="000000"/>
                <w:lang w:val="ru-RU"/>
              </w:rPr>
              <w:t>Общата</w:t>
            </w:r>
            <w:proofErr w:type="spellEnd"/>
            <w:r w:rsidRPr="007253B6">
              <w:rPr>
                <w:color w:val="000000"/>
                <w:lang w:val="ru-RU"/>
              </w:rPr>
              <w:t xml:space="preserve"> </w:t>
            </w:r>
            <w:proofErr w:type="spellStart"/>
            <w:r w:rsidRPr="007253B6">
              <w:rPr>
                <w:color w:val="000000"/>
                <w:lang w:val="ru-RU"/>
              </w:rPr>
              <w:t>стойност</w:t>
            </w:r>
            <w:proofErr w:type="spellEnd"/>
            <w:r w:rsidRPr="007253B6">
              <w:rPr>
                <w:color w:val="000000"/>
                <w:lang w:val="ru-RU"/>
              </w:rPr>
              <w:t xml:space="preserve"> на </w:t>
            </w:r>
            <w:proofErr w:type="spellStart"/>
            <w:r w:rsidRPr="007253B6">
              <w:rPr>
                <w:color w:val="000000"/>
                <w:lang w:val="ru-RU"/>
              </w:rPr>
              <w:t>безвъзмездната</w:t>
            </w:r>
            <w:proofErr w:type="spellEnd"/>
            <w:r w:rsidRPr="007253B6">
              <w:rPr>
                <w:color w:val="000000"/>
                <w:lang w:val="ru-RU"/>
              </w:rPr>
              <w:t xml:space="preserve"> </w:t>
            </w:r>
            <w:proofErr w:type="spellStart"/>
            <w:r w:rsidRPr="007253B6">
              <w:rPr>
                <w:color w:val="000000"/>
                <w:lang w:val="ru-RU"/>
              </w:rPr>
              <w:t>финансова</w:t>
            </w:r>
            <w:proofErr w:type="spellEnd"/>
            <w:r w:rsidRPr="007253B6">
              <w:rPr>
                <w:color w:val="000000"/>
                <w:lang w:val="ru-RU"/>
              </w:rPr>
              <w:t xml:space="preserve"> </w:t>
            </w:r>
            <w:proofErr w:type="spellStart"/>
            <w:r w:rsidRPr="007253B6">
              <w:rPr>
                <w:color w:val="000000"/>
                <w:lang w:val="ru-RU"/>
              </w:rPr>
              <w:t>помощ</w:t>
            </w:r>
            <w:proofErr w:type="spellEnd"/>
            <w:r w:rsidRPr="007253B6">
              <w:rPr>
                <w:color w:val="000000"/>
                <w:lang w:val="ru-RU"/>
              </w:rPr>
              <w:t xml:space="preserve">   не </w:t>
            </w:r>
            <w:proofErr w:type="spellStart"/>
            <w:r w:rsidRPr="007253B6">
              <w:rPr>
                <w:color w:val="000000"/>
                <w:lang w:val="ru-RU"/>
              </w:rPr>
              <w:t>надвишава</w:t>
            </w:r>
            <w:proofErr w:type="spellEnd"/>
            <w:r w:rsidRPr="007253B6">
              <w:rPr>
                <w:color w:val="000000"/>
                <w:lang w:val="ru-RU"/>
              </w:rPr>
              <w:t xml:space="preserve"> определения максимален размер </w:t>
            </w:r>
            <w:proofErr w:type="spellStart"/>
            <w:r w:rsidRPr="007253B6">
              <w:rPr>
                <w:color w:val="000000"/>
                <w:lang w:val="ru-RU"/>
              </w:rPr>
              <w:t>съгласно</w:t>
            </w:r>
            <w:proofErr w:type="spellEnd"/>
            <w:r w:rsidRPr="007253B6">
              <w:rPr>
                <w:color w:val="000000"/>
                <w:lang w:val="ru-RU"/>
              </w:rPr>
              <w:t xml:space="preserve"> </w:t>
            </w:r>
            <w:proofErr w:type="spellStart"/>
            <w:r w:rsidRPr="007253B6">
              <w:rPr>
                <w:color w:val="000000"/>
                <w:lang w:val="ru-RU"/>
              </w:rPr>
              <w:t>Условията</w:t>
            </w:r>
            <w:proofErr w:type="spellEnd"/>
            <w:r w:rsidRPr="007253B6">
              <w:rPr>
                <w:color w:val="000000"/>
                <w:lang w:val="ru-RU"/>
              </w:rPr>
              <w:t xml:space="preserve"> за </w:t>
            </w:r>
            <w:proofErr w:type="spellStart"/>
            <w:r w:rsidRPr="007253B6">
              <w:rPr>
                <w:color w:val="000000"/>
                <w:lang w:val="ru-RU"/>
              </w:rPr>
              <w:t>кандида</w:t>
            </w:r>
            <w:r>
              <w:rPr>
                <w:color w:val="000000"/>
                <w:lang w:val="ru-RU"/>
              </w:rPr>
              <w:t>тстване</w:t>
            </w:r>
            <w:proofErr w:type="spellEnd"/>
            <w:r>
              <w:rPr>
                <w:color w:val="000000"/>
                <w:lang w:val="ru-RU"/>
              </w:rPr>
              <w:t xml:space="preserve"> по </w:t>
            </w:r>
            <w:proofErr w:type="spellStart"/>
            <w:r>
              <w:rPr>
                <w:color w:val="000000"/>
                <w:lang w:val="ru-RU"/>
              </w:rPr>
              <w:t>настоящата</w:t>
            </w:r>
            <w:proofErr w:type="spellEnd"/>
            <w:r>
              <w:rPr>
                <w:color w:val="000000"/>
                <w:lang w:val="ru-RU"/>
              </w:rPr>
              <w:t xml:space="preserve"> процедура и не е под определения минимален размер».</w:t>
            </w:r>
          </w:p>
          <w:p w14:paraId="36600DB4" w14:textId="77777777" w:rsidR="008C54AA" w:rsidRPr="009652DC" w:rsidRDefault="008C54AA" w:rsidP="008C54AA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 xml:space="preserve">Съгласно Приложение № 4 към Условията за кандидатстване при несъответствие с някое от посочените изисквания проектното предложение </w:t>
            </w:r>
            <w:r w:rsidRPr="009652DC">
              <w:rPr>
                <w:lang w:val="bg-BG"/>
              </w:rPr>
              <w:lastRenderedPageBreak/>
              <w:t>се отхвърля.</w:t>
            </w:r>
          </w:p>
          <w:p w14:paraId="6CE91D82" w14:textId="3035E15B" w:rsidR="00723FE7" w:rsidRPr="008C54AA" w:rsidRDefault="008C54AA" w:rsidP="0059554D">
            <w:pPr>
              <w:jc w:val="both"/>
              <w:rPr>
                <w:lang w:val="bg-BG"/>
              </w:rPr>
            </w:pPr>
            <w:r w:rsidRPr="009652DC">
              <w:rPr>
                <w:lang w:val="bg-BG"/>
              </w:rPr>
              <w:t>Поради изложените по-горе аргументи, проектно пред</w:t>
            </w:r>
            <w:r>
              <w:rPr>
                <w:lang w:val="bg-BG"/>
              </w:rPr>
              <w:t xml:space="preserve">ложение с рег. № </w:t>
            </w:r>
            <w:r w:rsidRPr="00737B53">
              <w:rPr>
                <w:lang w:val="bg-BG"/>
              </w:rPr>
              <w:t>BG14MFOP001-4.115-0001</w:t>
            </w:r>
            <w:r w:rsidRPr="009652DC">
              <w:rPr>
                <w:lang w:val="bg-BG"/>
              </w:rPr>
              <w:t xml:space="preserve"> е включено в Списъка на проектните предложения, които не се допускат до етап Техническа и финансова оценка, по настоящата процедура.</w:t>
            </w:r>
          </w:p>
        </w:tc>
      </w:tr>
    </w:tbl>
    <w:p w14:paraId="073851BF" w14:textId="77777777" w:rsidR="00025E58" w:rsidRDefault="00025E58">
      <w:pPr>
        <w:rPr>
          <w:lang w:val="bg-BG"/>
        </w:rPr>
      </w:pPr>
    </w:p>
    <w:p w14:paraId="16A4D2AC" w14:textId="77777777" w:rsidR="00CD2ADF" w:rsidRPr="00CD2ADF" w:rsidRDefault="00CD2ADF" w:rsidP="00CD2ADF">
      <w:pPr>
        <w:rPr>
          <w:lang w:val="bg-BG"/>
        </w:rPr>
      </w:pPr>
      <w:r w:rsidRPr="00CD2ADF">
        <w:rPr>
          <w:lang w:val="bg-BG"/>
        </w:rPr>
        <w:t xml:space="preserve">ЗАБЕЛЕЖКА: </w:t>
      </w:r>
    </w:p>
    <w:p w14:paraId="4C32D27F" w14:textId="77777777" w:rsidR="00CD2ADF" w:rsidRPr="00CD2ADF" w:rsidRDefault="00CD2ADF" w:rsidP="00CD2ADF">
      <w:pPr>
        <w:jc w:val="both"/>
        <w:rPr>
          <w:lang w:val="bg-BG"/>
        </w:rPr>
      </w:pPr>
      <w:r w:rsidRPr="00CD2ADF">
        <w:rPr>
          <w:lang w:val="bg-BG"/>
        </w:rPr>
        <w:t>Съгласно разпоредбите на чл. 34, ал. 3 от ЗУСЕСИФ, кандидатите, чиито проектни предложения са предложени за отхвърляне на етап оценка на административното съответствие и допустимостта по горепосочената процедура, могат да подадат писмени възражения срещу предложението за отхвърлянето им пред Ръководителя на Управляващия орган, в едноседмичен срок от съобщаването.</w:t>
      </w:r>
    </w:p>
    <w:p w14:paraId="54C22CF3" w14:textId="77777777" w:rsidR="00CD2ADF" w:rsidRPr="00025E58" w:rsidRDefault="00CD2ADF">
      <w:pPr>
        <w:rPr>
          <w:lang w:val="bg-BG"/>
        </w:rPr>
      </w:pPr>
    </w:p>
    <w:sectPr w:rsidR="00CD2ADF" w:rsidRPr="00025E58" w:rsidSect="00025E58">
      <w:pgSz w:w="15840" w:h="12240" w:orient="landscape"/>
      <w:pgMar w:top="1417" w:right="1417" w:bottom="1417" w:left="141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7DA06BF" w15:done="0"/>
  <w15:commentEx w15:paraId="52417A1E" w15:done="0"/>
  <w15:commentEx w15:paraId="34F6BB9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60CB1"/>
    <w:multiLevelType w:val="hybridMultilevel"/>
    <w:tmpl w:val="37D40732"/>
    <w:lvl w:ilvl="0" w:tplc="63B236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B2DCF"/>
    <w:multiLevelType w:val="hybridMultilevel"/>
    <w:tmpl w:val="78D04B20"/>
    <w:lvl w:ilvl="0" w:tplc="64463166">
      <w:start w:val="1"/>
      <w:numFmt w:val="lowerLetter"/>
      <w:lvlText w:val="%1)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2B60EDE"/>
    <w:multiLevelType w:val="hybridMultilevel"/>
    <w:tmpl w:val="F866EC32"/>
    <w:lvl w:ilvl="0" w:tplc="04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aliya Stoilova">
    <w15:presenceInfo w15:providerId="AD" w15:userId="S-1-5-21-3673932534-3318588094-701912851-78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E58"/>
    <w:rsid w:val="0001507F"/>
    <w:rsid w:val="00025E58"/>
    <w:rsid w:val="00044CEB"/>
    <w:rsid w:val="000D61E5"/>
    <w:rsid w:val="000F726B"/>
    <w:rsid w:val="001F6238"/>
    <w:rsid w:val="00263F5E"/>
    <w:rsid w:val="002703C2"/>
    <w:rsid w:val="004B5779"/>
    <w:rsid w:val="004F0226"/>
    <w:rsid w:val="0059554D"/>
    <w:rsid w:val="00723FE7"/>
    <w:rsid w:val="00745E5F"/>
    <w:rsid w:val="0079197B"/>
    <w:rsid w:val="008246D7"/>
    <w:rsid w:val="00866594"/>
    <w:rsid w:val="008C54AA"/>
    <w:rsid w:val="009266D4"/>
    <w:rsid w:val="0093219F"/>
    <w:rsid w:val="00971D91"/>
    <w:rsid w:val="009771A7"/>
    <w:rsid w:val="009F10FC"/>
    <w:rsid w:val="00B45446"/>
    <w:rsid w:val="00C222AE"/>
    <w:rsid w:val="00CD2ADF"/>
    <w:rsid w:val="00D166C0"/>
    <w:rsid w:val="00D81A6C"/>
    <w:rsid w:val="00D9025C"/>
    <w:rsid w:val="00E11D69"/>
    <w:rsid w:val="00E744C7"/>
    <w:rsid w:val="00F5302D"/>
    <w:rsid w:val="00F73A86"/>
    <w:rsid w:val="00FC67BC"/>
    <w:rsid w:val="00F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E73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6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7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B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B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harChar2CharCharCharChar">
    <w:name w:val="Char Char2 Char Char Char Char"/>
    <w:basedOn w:val="Normal"/>
    <w:rsid w:val="00E744C7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025E58"/>
  </w:style>
  <w:style w:type="paragraph" w:styleId="ListParagraph">
    <w:name w:val="List Paragraph"/>
    <w:basedOn w:val="Normal"/>
    <w:uiPriority w:val="34"/>
    <w:qFormat/>
    <w:rsid w:val="009321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C67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7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7BC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7BC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7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7B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CharChar2CharCharCharChar">
    <w:name w:val="Char Char2 Char Char Char Char"/>
    <w:basedOn w:val="Normal"/>
    <w:rsid w:val="00E744C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Boyanova</dc:creator>
  <cp:lastModifiedBy>Zornitsa Vasileva</cp:lastModifiedBy>
  <cp:revision>4</cp:revision>
  <dcterms:created xsi:type="dcterms:W3CDTF">2023-02-24T14:33:00Z</dcterms:created>
  <dcterms:modified xsi:type="dcterms:W3CDTF">2023-02-24T14:36:00Z</dcterms:modified>
</cp:coreProperties>
</file>