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6855F2" w:rsidRDefault="00D035C8" w:rsidP="00AB3AFC">
      <w:pPr>
        <w:spacing w:after="0"/>
        <w:rPr>
          <w:rFonts w:ascii="Times New Roman" w:hAnsi="Times New Roman" w:cs="Times New Roman"/>
          <w:b/>
          <w:noProof/>
          <w:sz w:val="24"/>
          <w:szCs w:val="24"/>
        </w:rPr>
      </w:pP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t>Приложение № 1</w:t>
      </w:r>
      <w:r w:rsidR="006855F2">
        <w:rPr>
          <w:rFonts w:ascii="Times New Roman" w:hAnsi="Times New Roman" w:cs="Times New Roman"/>
          <w:b/>
          <w:noProof/>
          <w:sz w:val="24"/>
          <w:szCs w:val="24"/>
        </w:rPr>
        <w:t>0</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F54B7E" w:rsidRPr="00D8758F" w:rsidRDefault="00F54B7E" w:rsidP="00F54B7E">
      <w:pPr>
        <w:spacing w:after="0"/>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F54B7E" w:rsidRPr="00D8758F" w:rsidRDefault="00F54B7E" w:rsidP="00F54B7E">
      <w:pPr>
        <w:pStyle w:val="ListParagraph"/>
        <w:spacing w:after="0" w:line="276" w:lineRule="auto"/>
        <w:ind w:left="0" w:firstLine="720"/>
        <w:jc w:val="both"/>
        <w:rPr>
          <w:noProof/>
          <w:szCs w:val="24"/>
          <w:lang w:val="bg-BG"/>
        </w:rPr>
      </w:pPr>
    </w:p>
    <w:p w:rsidR="00F54B7E" w:rsidRPr="00D8758F" w:rsidRDefault="00F54B7E" w:rsidP="00F54B7E">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F54B7E" w:rsidRPr="00D8758F" w:rsidRDefault="00F54B7E" w:rsidP="00F54B7E">
      <w:pPr>
        <w:pStyle w:val="ListParagraph"/>
        <w:numPr>
          <w:ilvl w:val="0"/>
          <w:numId w:val="7"/>
        </w:numPr>
        <w:spacing w:after="0" w:line="276" w:lineRule="auto"/>
        <w:ind w:left="810"/>
        <w:contextualSpacing/>
        <w:jc w:val="both"/>
        <w:rPr>
          <w:noProof/>
          <w:szCs w:val="24"/>
          <w:lang w:val="bg-BG"/>
        </w:rPr>
      </w:pPr>
      <w:r w:rsidRPr="00D8758F">
        <w:rPr>
          <w:noProof/>
          <w:szCs w:val="24"/>
          <w:lang w:val="bg-BG"/>
        </w:rPr>
        <w:lastRenderedPageBreak/>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F54B7E" w:rsidRPr="00D8758F" w:rsidRDefault="00F54B7E" w:rsidP="00F54B7E">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F54B7E" w:rsidRPr="00D8758F" w:rsidRDefault="00F54B7E" w:rsidP="00F54B7E">
      <w:pPr>
        <w:jc w:val="both"/>
        <w:rPr>
          <w:rFonts w:ascii="Times New Roman" w:hAnsi="Times New Roman" w:cs="Times New Roman"/>
          <w:b/>
          <w:sz w:val="24"/>
          <w:szCs w:val="24"/>
          <w:lang w:val="bg-BG"/>
        </w:rPr>
      </w:pPr>
    </w:p>
    <w:p w:rsidR="00F54B7E" w:rsidRPr="00D8758F" w:rsidRDefault="00F54B7E" w:rsidP="00F54B7E">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F54B7E" w:rsidRPr="00D8758F" w:rsidRDefault="00F54B7E" w:rsidP="00F54B7E">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F54B7E" w:rsidRPr="00D8758F" w:rsidRDefault="00F54B7E" w:rsidP="00F54B7E">
      <w:pPr>
        <w:pStyle w:val="ListParagraph"/>
        <w:spacing w:after="0" w:line="276" w:lineRule="auto"/>
        <w:ind w:left="0"/>
        <w:jc w:val="both"/>
        <w:rPr>
          <w:noProof/>
          <w:szCs w:val="24"/>
          <w:lang w:val="bg-BG"/>
        </w:rPr>
      </w:pPr>
    </w:p>
    <w:p w:rsidR="003D1E16" w:rsidRPr="00D8758F" w:rsidRDefault="003D1E16" w:rsidP="003D1E16">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3D1E16" w:rsidRPr="00D8758F" w:rsidRDefault="003D1E16" w:rsidP="003D1E16">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w:t>
      </w:r>
      <w:proofErr w:type="spellStart"/>
      <w:r w:rsidRPr="00D8758F">
        <w:rPr>
          <w:rFonts w:ascii="Times New Roman" w:hAnsi="Times New Roman" w:cs="Times New Roman"/>
          <w:sz w:val="24"/>
          <w:szCs w:val="24"/>
          <w:lang w:val="bg-BG"/>
        </w:rPr>
        <w:t>съфинансиране</w:t>
      </w:r>
      <w:proofErr w:type="spellEnd"/>
      <w:r w:rsidRPr="00D8758F">
        <w:rPr>
          <w:rFonts w:ascii="Times New Roman" w:hAnsi="Times New Roman" w:cs="Times New Roman"/>
          <w:sz w:val="24"/>
          <w:szCs w:val="24"/>
          <w:lang w:val="bg-BG"/>
        </w:rPr>
        <w:t xml:space="preserve"> от ЕФМДР  и 26,74% </w:t>
      </w:r>
      <w:proofErr w:type="spellStart"/>
      <w:r w:rsidRPr="00D8758F">
        <w:rPr>
          <w:rFonts w:ascii="Times New Roman" w:hAnsi="Times New Roman" w:cs="Times New Roman"/>
          <w:sz w:val="24"/>
          <w:szCs w:val="24"/>
          <w:lang w:val="bg-BG"/>
        </w:rPr>
        <w:t>съфинансиране</w:t>
      </w:r>
      <w:proofErr w:type="spellEnd"/>
      <w:r w:rsidRPr="00D8758F">
        <w:rPr>
          <w:rFonts w:ascii="Times New Roman" w:hAnsi="Times New Roman" w:cs="Times New Roman"/>
          <w:sz w:val="24"/>
          <w:szCs w:val="24"/>
          <w:lang w:val="bg-BG"/>
        </w:rPr>
        <w:t xml:space="preserve"> от националния бюджет.</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3D1E16" w:rsidRPr="00D8758F" w:rsidRDefault="003D1E16" w:rsidP="003D1E16">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3D1E16" w:rsidRPr="00D8758F" w:rsidRDefault="003D1E16" w:rsidP="003D1E16">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от 26,9% (за периода 06.2020 г.-12.2022 г.), базирана на официална информация от Националния статистически институт</w:t>
      </w:r>
      <w:r w:rsidRPr="00D8758F">
        <w:rPr>
          <w:rStyle w:val="FootnoteReference"/>
          <w:rFonts w:ascii="Times New Roman" w:hAnsi="Times New Roman" w:cs="Times New Roman"/>
          <w:sz w:val="24"/>
          <w:szCs w:val="24"/>
          <w:lang w:val="bg-BG"/>
        </w:rPr>
        <w:footnoteReference w:id="1"/>
      </w:r>
      <w:r w:rsidRPr="00D8758F">
        <w:rPr>
          <w:rFonts w:ascii="Times New Roman" w:hAnsi="Times New Roman" w:cs="Times New Roman"/>
          <w:sz w:val="24"/>
          <w:szCs w:val="24"/>
        </w:rPr>
        <w:t xml:space="preserve"> </w:t>
      </w:r>
      <w:r w:rsidRPr="00D8758F">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Премията се изчислява със следната формула </w:t>
      </w:r>
    </w:p>
    <w:p w:rsidR="003D1E16" w:rsidRPr="00D8758F" w:rsidRDefault="003D1E16" w:rsidP="003D1E16">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Pr="00D8758F">
        <w:rPr>
          <w:rFonts w:ascii="Times New Roman" w:hAnsi="Times New Roman" w:cs="Times New Roman"/>
          <w:sz w:val="24"/>
          <w:szCs w:val="24"/>
        </w:rPr>
        <w:t xml:space="preserve"> </w:t>
      </w:r>
      <w:r w:rsidRPr="00D8758F">
        <w:rPr>
          <w:rFonts w:ascii="Times New Roman" w:hAnsi="Times New Roman" w:cs="Times New Roman"/>
          <w:sz w:val="24"/>
          <w:szCs w:val="24"/>
          <w:lang w:val="bg-BG"/>
        </w:rPr>
        <w:t xml:space="preserve">са налични данни, които официално са предоставени от ИАРА и съответно анализирани, и които са във връзка със стойността на уловите, бруто тонажа и дължината на корабите за всеки сегмент. </w:t>
      </w:r>
    </w:p>
    <w:p w:rsidR="003D1E16" w:rsidRPr="00D8758F" w:rsidRDefault="003D1E16" w:rsidP="003D1E16">
      <w:pPr>
        <w:jc w:val="both"/>
        <w:rPr>
          <w:rFonts w:ascii="Times New Roman" w:hAnsi="Times New Roman" w:cs="Times New Roman"/>
          <w:sz w:val="24"/>
          <w:szCs w:val="24"/>
        </w:rPr>
      </w:pPr>
      <w:r w:rsidRPr="00D8758F">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3D1E16" w:rsidRPr="00D8758F" w:rsidTr="007439DE">
        <w:tc>
          <w:tcPr>
            <w:tcW w:w="4811" w:type="dxa"/>
          </w:tcPr>
          <w:p w:rsidR="003D1E16" w:rsidRPr="00D8758F" w:rsidRDefault="003D1E16" w:rsidP="007439DE">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3D1E16" w:rsidRPr="00D8758F" w:rsidRDefault="003D1E16" w:rsidP="007439DE">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≥24</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3D1E16" w:rsidRPr="00D8758F" w:rsidRDefault="003D1E16" w:rsidP="003D1E16">
      <w:pPr>
        <w:jc w:val="both"/>
        <w:rPr>
          <w:rFonts w:ascii="Times New Roman" w:hAnsi="Times New Roman" w:cs="Times New Roman"/>
          <w:sz w:val="24"/>
          <w:szCs w:val="24"/>
        </w:rPr>
      </w:pP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 xml:space="preserve">-19)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w:t>
      </w:r>
      <w:proofErr w:type="spellStart"/>
      <w:r w:rsidRPr="00D8758F">
        <w:rPr>
          <w:rFonts w:ascii="Times New Roman" w:hAnsi="Times New Roman" w:cs="Times New Roman"/>
          <w:sz w:val="24"/>
          <w:szCs w:val="24"/>
          <w:lang w:val="bg-BG"/>
        </w:rPr>
        <w:t>БТ</w:t>
      </w:r>
      <w:proofErr w:type="spellEnd"/>
      <w:r w:rsidRPr="00D8758F">
        <w:rPr>
          <w:rFonts w:ascii="Times New Roman" w:hAnsi="Times New Roman" w:cs="Times New Roman"/>
          <w:sz w:val="24"/>
          <w:szCs w:val="24"/>
          <w:lang w:val="bg-BG"/>
        </w:rPr>
        <w:t xml:space="preserve"> е водещият фактор. Сегментите &lt;6, ≥</w:t>
      </w:r>
      <w:proofErr w:type="spellStart"/>
      <w:r w:rsidRPr="00D8758F">
        <w:rPr>
          <w:rFonts w:ascii="Times New Roman" w:hAnsi="Times New Roman" w:cs="Times New Roman"/>
          <w:sz w:val="24"/>
          <w:szCs w:val="24"/>
          <w:lang w:val="bg-BG"/>
        </w:rPr>
        <w:t>6</w:t>
      </w:r>
      <w:proofErr w:type="spellEnd"/>
      <w:r w:rsidRPr="00D8758F">
        <w:rPr>
          <w:rFonts w:ascii="Times New Roman" w:hAnsi="Times New Roman" w:cs="Times New Roman"/>
          <w:sz w:val="24"/>
          <w:szCs w:val="24"/>
          <w:lang w:val="bg-BG"/>
        </w:rPr>
        <w:t>&lt;12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1: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3D1E16" w:rsidRPr="00D8758F" w:rsidRDefault="003D1E16" w:rsidP="003D1E16">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3D1E16" w:rsidRPr="00D8758F" w:rsidRDefault="003D1E16" w:rsidP="003D1E16">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10%).</w:t>
      </w:r>
    </w:p>
    <w:p w:rsidR="003D1E16" w:rsidRPr="00D8758F" w:rsidRDefault="003D1E16" w:rsidP="003D1E16">
      <w:pPr>
        <w:spacing w:before="240"/>
        <w:ind w:firstLine="720"/>
        <w:jc w:val="both"/>
        <w:rPr>
          <w:rFonts w:ascii="Times New Roman" w:hAnsi="Times New Roman" w:cs="Times New Roman"/>
          <w:sz w:val="24"/>
          <w:szCs w:val="24"/>
          <w:lang w:val="bg-BG"/>
        </w:rPr>
      </w:pP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Оператор на риболовен кораб кандидатства за 55 дни за компенсация за 2022 г. Информацията от ИАРА показва, че в периода 2017 г. - 2021 г. има средноаритметичен брой 100 дни на море.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2022 г., увеличен с 10%</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2022 г.</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3D1E16" w:rsidRPr="00D8758F" w:rsidRDefault="003D1E16" w:rsidP="003D1E16">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Същата контрола за допустимия брой дни на море ще се прилага и при определяне на  компенсацията на екипажа по следващата точка.</w:t>
      </w:r>
    </w:p>
    <w:p w:rsidR="003D1E16" w:rsidRPr="00D8758F" w:rsidRDefault="003D1E16" w:rsidP="003D1E16">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D8758F">
        <w:rPr>
          <w:rFonts w:ascii="Times New Roman" w:hAnsi="Times New Roman" w:cs="Times New Roman"/>
          <w:sz w:val="24"/>
          <w:szCs w:val="24"/>
          <w:lang w:val="bg-BG"/>
        </w:rPr>
        <w:t>среднодневното</w:t>
      </w:r>
      <w:proofErr w:type="spellEnd"/>
      <w:r w:rsidRPr="00D8758F">
        <w:rPr>
          <w:rFonts w:ascii="Times New Roman" w:hAnsi="Times New Roman" w:cs="Times New Roman"/>
          <w:sz w:val="24"/>
          <w:szCs w:val="24"/>
          <w:lang w:val="bg-BG"/>
        </w:rPr>
        <w:t xml:space="preserve">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3D1E16" w:rsidRPr="00D8758F" w:rsidRDefault="003D1E16" w:rsidP="003D1E16">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3D1E16" w:rsidRPr="00D8758F" w:rsidRDefault="003D1E16" w:rsidP="003D1E16">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3D1E16" w:rsidRPr="00D8758F" w:rsidRDefault="003D1E16" w:rsidP="003D1E16">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Компенсация се предоставя за период, започващ не по-рано от 24.02.2022 г. и не по-късно от 31.12.202</w:t>
      </w:r>
      <w:r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D8758F">
        <w:rPr>
          <w:rFonts w:ascii="Times New Roman" w:hAnsi="Times New Roman" w:cs="Times New Roman"/>
          <w:sz w:val="24"/>
          <w:szCs w:val="24"/>
          <w:lang w:val="bg-BG"/>
        </w:rPr>
        <w:t>дерогациите</w:t>
      </w:r>
      <w:proofErr w:type="spellEnd"/>
      <w:r w:rsidRPr="00D8758F">
        <w:rPr>
          <w:rFonts w:ascii="Times New Roman" w:hAnsi="Times New Roman" w:cs="Times New Roman"/>
          <w:sz w:val="24"/>
          <w:szCs w:val="24"/>
          <w:lang w:val="bg-BG"/>
        </w:rPr>
        <w:t xml:space="preserve"> въведени с параграф 3а на същия член, а именно:</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D8758F">
        <w:rPr>
          <w:rFonts w:ascii="Times New Roman" w:hAnsi="Times New Roman" w:cs="Times New Roman"/>
          <w:sz w:val="24"/>
          <w:szCs w:val="24"/>
          <w:lang w:val="bg-BG"/>
        </w:rPr>
        <w:t>дерогация</w:t>
      </w:r>
      <w:proofErr w:type="spellEnd"/>
      <w:r w:rsidRPr="00D8758F">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D8758F">
        <w:rPr>
          <w:rFonts w:ascii="Times New Roman" w:hAnsi="Times New Roman" w:cs="Times New Roman"/>
          <w:sz w:val="24"/>
          <w:szCs w:val="24"/>
          <w:lang w:val="bg-BG"/>
        </w:rPr>
        <w:t>проверима</w:t>
      </w:r>
      <w:proofErr w:type="spellEnd"/>
      <w:r w:rsidRPr="00D8758F">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засегнати са от прилагането на възможностите за риболов, забрани в изпълнение на мерките на ГКРСМ</w:t>
      </w:r>
      <w:r w:rsidRPr="00D8758F">
        <w:rPr>
          <w:rStyle w:val="FootnoteReference"/>
          <w:rFonts w:ascii="Times New Roman" w:hAnsi="Times New Roman" w:cs="Times New Roman"/>
          <w:sz w:val="24"/>
          <w:szCs w:val="24"/>
          <w:lang w:val="bg-BG"/>
        </w:rPr>
        <w:footnoteReference w:id="3"/>
      </w:r>
      <w:r w:rsidRPr="00D8758F">
        <w:rPr>
          <w:rFonts w:ascii="Times New Roman" w:hAnsi="Times New Roman" w:cs="Times New Roman"/>
          <w:sz w:val="24"/>
          <w:szCs w:val="24"/>
          <w:lang w:val="bg-BG"/>
        </w:rPr>
        <w:t xml:space="preserve"> и пространствено-времеви забрани,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3D1E16" w:rsidRPr="00D8758F" w:rsidRDefault="003D1E16" w:rsidP="003D1E16">
      <w:pPr>
        <w:jc w:val="both"/>
        <w:rPr>
          <w:rFonts w:ascii="Times New Roman" w:hAnsi="Times New Roman" w:cs="Times New Roman"/>
          <w:sz w:val="24"/>
          <w:szCs w:val="24"/>
          <w:lang w:val="bg-BG"/>
        </w:rPr>
      </w:pP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3D1E16" w:rsidRPr="00D8758F" w:rsidRDefault="003D1E16" w:rsidP="003D1E16">
      <w:pPr>
        <w:spacing w:after="0"/>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3D1E16" w:rsidRPr="00D8758F" w:rsidRDefault="003D1E16" w:rsidP="003D1E16">
      <w:pPr>
        <w:pStyle w:val="ListParagraph"/>
        <w:spacing w:after="0" w:line="276" w:lineRule="auto"/>
        <w:ind w:left="0"/>
        <w:jc w:val="both"/>
        <w:rPr>
          <w:b/>
          <w:noProof/>
          <w:szCs w:val="24"/>
          <w:lang w:val="bg-BG"/>
        </w:rPr>
      </w:pPr>
    </w:p>
    <w:p w:rsidR="003D1E16" w:rsidRPr="00D8758F" w:rsidRDefault="003D1E16" w:rsidP="003D1E16">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3D1E16" w:rsidRPr="00D8758F" w:rsidRDefault="003D1E16" w:rsidP="003D1E16">
      <w:pPr>
        <w:spacing w:after="0"/>
        <w:ind w:firstLine="720"/>
        <w:jc w:val="both"/>
        <w:rPr>
          <w:rFonts w:ascii="Times New Roman" w:hAnsi="Times New Roman" w:cs="Times New Roman"/>
          <w:noProof/>
          <w:sz w:val="24"/>
          <w:szCs w:val="24"/>
          <w:lang w:val="bg-BG"/>
        </w:rPr>
      </w:pP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Pr>
          <w:rFonts w:ascii="Times New Roman" w:hAnsi="Times New Roman" w:cs="Times New Roman"/>
          <w:noProof/>
          <w:sz w:val="24"/>
          <w:szCs w:val="24"/>
        </w:rPr>
        <w:t>4</w:t>
      </w:r>
      <w:r w:rsidRPr="00D8758F">
        <w:rPr>
          <w:rFonts w:ascii="Times New Roman" w:hAnsi="Times New Roman" w:cs="Times New Roman"/>
          <w:noProof/>
          <w:sz w:val="24"/>
          <w:szCs w:val="24"/>
          <w:lang w:val="bg-BG"/>
        </w:rPr>
        <w:t>00 000 лева БФП за всеки кандидат</w:t>
      </w:r>
      <w:r>
        <w:rPr>
          <w:rFonts w:ascii="Times New Roman" w:hAnsi="Times New Roman" w:cs="Times New Roman"/>
          <w:noProof/>
          <w:sz w:val="24"/>
          <w:szCs w:val="24"/>
          <w:lang w:val="bg-BG"/>
        </w:rPr>
        <w:t xml:space="preserve"> за съответния подсектор, в който кандидатът има дейност</w:t>
      </w:r>
      <w:r w:rsidRPr="00D8758F">
        <w:rPr>
          <w:rFonts w:ascii="Times New Roman" w:hAnsi="Times New Roman" w:cs="Times New Roman"/>
          <w:noProof/>
          <w:sz w:val="24"/>
          <w:szCs w:val="24"/>
          <w:lang w:val="bg-BG"/>
        </w:rPr>
        <w:t>.</w:t>
      </w:r>
    </w:p>
    <w:p w:rsidR="003D1E16" w:rsidRPr="00D8758F" w:rsidRDefault="003D1E16" w:rsidP="003D1E16">
      <w:pPr>
        <w:pStyle w:val="ListParagraph"/>
        <w:spacing w:after="0" w:line="276" w:lineRule="auto"/>
        <w:ind w:left="0" w:firstLine="720"/>
        <w:jc w:val="both"/>
        <w:rPr>
          <w:noProof/>
          <w:szCs w:val="24"/>
          <w:lang w:val="bg-BG"/>
        </w:rPr>
      </w:pPr>
    </w:p>
    <w:p w:rsidR="003D1E16" w:rsidRPr="00D8758F" w:rsidRDefault="003D1E16" w:rsidP="003D1E16">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3D1E16" w:rsidRPr="00D8758F" w:rsidRDefault="003D1E16" w:rsidP="003D1E16">
      <w:pPr>
        <w:spacing w:after="0"/>
        <w:contextualSpacing/>
        <w:jc w:val="both"/>
        <w:rPr>
          <w:rFonts w:ascii="Times New Roman" w:hAnsi="Times New Roman" w:cs="Times New Roman"/>
          <w:b/>
          <w:i/>
          <w:noProof/>
          <w:sz w:val="24"/>
          <w:szCs w:val="24"/>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Управляващият орган въвежда опростени разходи за изчисляване на компенсацията под формата на плоска ставка.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Ще се предоставят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горивата върху производителността и финансовата жизнеспособност на операторите в сектора, за да спомогне за устойчивостта на бизнеса им.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на съответния разход, спрямо общите приходи от дейността на кандидата за 2022 г.</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Закона за рибарството и аквакултурите</w:t>
      </w:r>
      <w:r w:rsidRPr="00D8758F">
        <w:rPr>
          <w:rStyle w:val="FootnoteReference"/>
          <w:noProof/>
          <w:szCs w:val="24"/>
          <w:lang w:val="bg-BG"/>
        </w:rPr>
        <w:footnoteReference w:id="4"/>
      </w:r>
      <w:r w:rsidRPr="00D8758F">
        <w:rPr>
          <w:noProof/>
          <w:szCs w:val="24"/>
          <w:lang w:val="bg-BG"/>
        </w:rPr>
        <w:t xml:space="preserve"> за три години назад – 2021, 2020 и 2019 г. От тези данни се взима информация за разходите за гориво 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Данните за извършените от операторите разходи за съответните години се съотнасят към всички разходи за дейността на всички оператори в съответния подсектор и се изчислява делът на тези разходи от общите</w:t>
      </w:r>
      <w:r w:rsidRPr="00D8758F">
        <w:rPr>
          <w:noProof/>
          <w:szCs w:val="24"/>
          <w:lang w:val="en-US"/>
        </w:rPr>
        <w:t xml:space="preserve"> </w:t>
      </w:r>
      <w:r w:rsidRPr="00D8758F">
        <w:rPr>
          <w:noProof/>
          <w:szCs w:val="24"/>
          <w:lang w:val="bg-BG"/>
        </w:rPr>
        <w:t xml:space="preserve">в проценти. Имайки предвид, че приходите от дейността са функция на разходите на съответния оператор, увеличени с нормата на печалба, същата пропорция на разходите се запазва и спрямо приходите. </w:t>
      </w:r>
    </w:p>
    <w:p w:rsidR="003D1E16" w:rsidRPr="00D8758F" w:rsidRDefault="003D1E16" w:rsidP="003D1E16">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по реда на чл. 27 от Закона за рибарството и аквакултурите не се отчитат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счетоводна информация (първични и вторични счетоводни документи за годишния разход за горива и общите разходи на предприятието), предоставена от бенефициенти по ПМДР за три години назад – 2021 г., 2020 г. и 2019 г. Използвани са данни от бенефициенти по мерките за компенсация на сектора от икономическите последствия от пандемията от </w:t>
      </w:r>
      <w:r w:rsidRPr="00D8758F">
        <w:rPr>
          <w:noProof/>
          <w:szCs w:val="24"/>
        </w:rPr>
        <w:t>COVID</w:t>
      </w:r>
      <w:r w:rsidRPr="00D8758F">
        <w:rPr>
          <w:noProof/>
          <w:szCs w:val="24"/>
          <w:lang w:val="bg-BG"/>
        </w:rPr>
        <w:t>-19</w:t>
      </w:r>
      <w:r w:rsidRPr="00D8758F">
        <w:rPr>
          <w:noProof/>
          <w:szCs w:val="24"/>
          <w:lang w:val="en-US"/>
        </w:rPr>
        <w:t xml:space="preserve">. </w:t>
      </w:r>
      <w:r w:rsidRPr="00D8758F">
        <w:rPr>
          <w:noProof/>
          <w:szCs w:val="24"/>
          <w:lang w:val="bg-BG"/>
        </w:rPr>
        <w:t xml:space="preserve">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 Данните за извършените от операторите разходи за гориво за съответните години се съотнасят към всичките разходи за дейността им и се изчислява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тази пропорция на разходите се запазва и спрямо приходите. </w:t>
      </w:r>
      <w:r w:rsidRPr="00D8758F">
        <w:rPr>
          <w:lang w:val="bg-BG"/>
        </w:rPr>
        <w:t xml:space="preserve"> </w:t>
      </w:r>
    </w:p>
    <w:p w:rsidR="003D1E16" w:rsidRPr="00D8758F" w:rsidRDefault="003D1E16" w:rsidP="003D1E16">
      <w:pPr>
        <w:pStyle w:val="ListParagraph"/>
        <w:spacing w:after="0" w:line="276" w:lineRule="auto"/>
        <w:ind w:left="0" w:firstLine="720"/>
        <w:jc w:val="both"/>
        <w:rPr>
          <w:noProof/>
          <w:szCs w:val="24"/>
          <w:lang w:val="bg-BG"/>
        </w:rPr>
      </w:pPr>
    </w:p>
    <w:p w:rsidR="003D1E16" w:rsidRPr="00D8758F" w:rsidRDefault="003D1E16" w:rsidP="003D1E16">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3D1E16" w:rsidRPr="00D8758F" w:rsidRDefault="003D1E16" w:rsidP="003D1E16">
      <w:pPr>
        <w:pStyle w:val="ListParagraph"/>
        <w:numPr>
          <w:ilvl w:val="0"/>
          <w:numId w:val="8"/>
        </w:numPr>
        <w:spacing w:after="0" w:line="276" w:lineRule="auto"/>
        <w:ind w:left="540"/>
        <w:contextualSpacing/>
        <w:jc w:val="both"/>
        <w:rPr>
          <w:noProof/>
          <w:szCs w:val="24"/>
          <w:lang w:val="bg-BG"/>
        </w:rPr>
      </w:pPr>
      <w:r w:rsidRPr="00D8758F">
        <w:rPr>
          <w:noProof/>
          <w:szCs w:val="24"/>
          <w:lang w:val="bg-BG"/>
        </w:rPr>
        <w:t xml:space="preserve">За разходи за </w:t>
      </w:r>
      <w:r w:rsidRPr="00D8758F">
        <w:rPr>
          <w:b/>
          <w:noProof/>
          <w:szCs w:val="24"/>
          <w:lang w:val="bg-BG"/>
        </w:rPr>
        <w:t>гориво</w:t>
      </w:r>
      <w:r w:rsidRPr="00D8758F">
        <w:rPr>
          <w:noProof/>
          <w:szCs w:val="24"/>
          <w:lang w:val="bg-BG"/>
        </w:rPr>
        <w:t xml:space="preserve"> се използва осреднена стойност на инфлацията за периода 03.2022 г. - 12.2022 г. от динамичния ред (приложение №1 към методиката) на Средногодишен индекс на потребителските цени предходните 12 месеца = 100 от НСИ – код 07.02.02 - Горива и смазочни материали за ЛТС – 36.67% </w:t>
      </w:r>
      <w:r w:rsidRPr="00D8758F">
        <w:rPr>
          <w:rStyle w:val="FootnoteReference"/>
          <w:rFonts w:eastAsiaTheme="majorEastAsia"/>
          <w:noProof/>
          <w:szCs w:val="24"/>
          <w:lang w:val="bg-BG"/>
        </w:rPr>
        <w:footnoteReference w:id="5"/>
      </w:r>
      <w:r w:rsidRPr="00D8758F">
        <w:rPr>
          <w:noProof/>
          <w:szCs w:val="24"/>
          <w:lang w:val="bg-BG"/>
        </w:rPr>
        <w:t xml:space="preserve">, умножена по тегловия коефициент на разходите за гориво, отнесени към </w:t>
      </w:r>
      <w:r w:rsidRPr="00D8758F">
        <w:rPr>
          <w:lang w:val="bg-BG"/>
        </w:rPr>
        <w:t>нетните приходи от продажби на ред „Продукция“ (код 15110</w:t>
      </w:r>
      <w:r w:rsidRPr="00D8758F">
        <w:rPr>
          <w:lang w:val="en-US"/>
        </w:rPr>
        <w:t>)</w:t>
      </w:r>
      <w:r w:rsidRPr="00D8758F">
        <w:rPr>
          <w:lang w:val="bg-BG"/>
        </w:rPr>
        <w:t xml:space="preserve"> за производители на аквакултури и собственици на риболовни кораби и  отнесен към  </w:t>
      </w:r>
      <w:r w:rsidRPr="00D8758F">
        <w:rPr>
          <w:noProof/>
          <w:szCs w:val="24"/>
          <w:lang w:val="bg-BG"/>
        </w:rPr>
        <w:t xml:space="preserve">към </w:t>
      </w:r>
      <w:r w:rsidRPr="00D8758F">
        <w:rPr>
          <w:lang w:val="bg-BG"/>
        </w:rPr>
        <w:t>нетните приходи от продажби на ред „Продукция“</w:t>
      </w:r>
      <w:r w:rsidRPr="00D8758F">
        <w:rPr>
          <w:lang w:val="en-US"/>
        </w:rPr>
        <w:t xml:space="preserve"> (</w:t>
      </w:r>
      <w:r w:rsidRPr="00D8758F">
        <w:rPr>
          <w:lang w:val="bg-BG"/>
        </w:rPr>
        <w:t>код 15110</w:t>
      </w:r>
      <w:r w:rsidRPr="00D8758F">
        <w:rPr>
          <w:lang w:val="en-US"/>
        </w:rPr>
        <w:t xml:space="preserve">) </w:t>
      </w:r>
      <w:r w:rsidRPr="00D8758F">
        <w:rPr>
          <w:lang w:val="bg-BG"/>
        </w:rPr>
        <w:t>и ред „Стоки“ (</w:t>
      </w:r>
      <w:r w:rsidRPr="00D8758F">
        <w:rPr>
          <w:rFonts w:eastAsia="Calibri"/>
          <w:szCs w:val="24"/>
          <w:lang w:val="bg-BG"/>
        </w:rPr>
        <w:t>код 15120</w:t>
      </w:r>
      <w:r w:rsidRPr="00D8758F">
        <w:rPr>
          <w:lang w:val="bg-BG"/>
        </w:rPr>
        <w:t>)</w:t>
      </w:r>
      <w:r w:rsidRPr="00D8758F">
        <w:rPr>
          <w:lang w:val="en-US"/>
        </w:rPr>
        <w:t xml:space="preserve"> </w:t>
      </w:r>
      <w:r w:rsidRPr="00D8758F">
        <w:rPr>
          <w:rFonts w:eastAsia="Calibri"/>
          <w:szCs w:val="24"/>
          <w:lang w:val="bg-BG"/>
        </w:rPr>
        <w:t>за предприятия за преработка на продукти от риболов и аквакултури</w:t>
      </w:r>
      <w:r w:rsidRPr="00D8758F">
        <w:rPr>
          <w:lang w:val="bg-BG"/>
        </w:rPr>
        <w:t xml:space="preserve">) от приходната част на Отчета за приходи и разходи (ОПР) за 2022 г. </w:t>
      </w:r>
      <w:r w:rsidRPr="00D8758F">
        <w:rPr>
          <w:noProof/>
          <w:szCs w:val="24"/>
          <w:lang w:val="bg-BG"/>
        </w:rPr>
        <w:t>на кандидата;</w:t>
      </w:r>
    </w:p>
    <w:p w:rsidR="003D1E16" w:rsidRPr="00D8758F" w:rsidRDefault="003D1E16" w:rsidP="003D1E16">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фураж</w:t>
      </w:r>
      <w:r w:rsidRPr="00D8758F">
        <w:rPr>
          <w:noProof/>
          <w:szCs w:val="24"/>
          <w:lang w:val="bg-BG"/>
        </w:rPr>
        <w:t xml:space="preserve"> се използва индексът на инфлация за 2022 г. от Индекси на цените на стоки и услуги за текущо потребление в селското стопанство (приложение №2 към методиката)   – код 15 – Фуражи 28.5%</w:t>
      </w:r>
      <w:r w:rsidRPr="00D8758F">
        <w:rPr>
          <w:rStyle w:val="FootnoteReference"/>
          <w:rFonts w:eastAsiaTheme="majorEastAsia"/>
          <w:noProof/>
          <w:szCs w:val="24"/>
          <w:lang w:val="bg-BG"/>
        </w:rPr>
        <w:footnoteReference w:id="6"/>
      </w:r>
      <w:r w:rsidRPr="00D8758F">
        <w:rPr>
          <w:noProof/>
          <w:szCs w:val="24"/>
          <w:lang w:val="bg-BG"/>
        </w:rPr>
        <w:t xml:space="preserve">, умножен по тегловия коефициент на разходите за фураж, отнесени към </w:t>
      </w:r>
      <w:r w:rsidRPr="00D8758F">
        <w:rPr>
          <w:lang w:val="bg-BG"/>
        </w:rPr>
        <w:t>приходите от продажби на ред „Продукция“ (код 15110) от приходната част на Отчета за приходи и разходи (ОПР) за 2022 г.</w:t>
      </w:r>
      <w:r w:rsidRPr="00D8758F">
        <w:rPr>
          <w:noProof/>
          <w:szCs w:val="24"/>
          <w:lang w:val="bg-BG"/>
        </w:rPr>
        <w:t xml:space="preserve"> на кандидата;</w:t>
      </w:r>
    </w:p>
    <w:p w:rsidR="003D1E16" w:rsidRPr="00D8758F" w:rsidRDefault="003D1E16" w:rsidP="003D1E16">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суровина – риба, рибни продукти и др. хидробионти</w:t>
      </w:r>
      <w:r w:rsidRPr="00D8758F">
        <w:rPr>
          <w:noProof/>
          <w:szCs w:val="24"/>
          <w:lang w:val="bg-BG"/>
        </w:rPr>
        <w:t xml:space="preserve"> се използва осреднена стойност на инфлацията за периода 03.2022 г. - 12.2022 г. от динамичния ред (приложение №1 към методиката) на Средногодишен индекс на потребителските цени предходните 12 месеца = 100 от НСИ – код 01.01.03- Риба и други морски храни 7,96% </w:t>
      </w:r>
      <w:r w:rsidRPr="00D8758F">
        <w:rPr>
          <w:rStyle w:val="FootnoteReference"/>
          <w:rFonts w:eastAsiaTheme="majorEastAsia"/>
          <w:noProof/>
          <w:szCs w:val="24"/>
          <w:lang w:val="bg-BG"/>
        </w:rPr>
        <w:footnoteReference w:id="7"/>
      </w:r>
      <w:r w:rsidRPr="00D8758F">
        <w:rPr>
          <w:noProof/>
          <w:szCs w:val="24"/>
          <w:lang w:val="bg-BG"/>
        </w:rPr>
        <w:t xml:space="preserve">, умножена по тегловия коефициент на разходите за суровина, отнесени към </w:t>
      </w:r>
      <w:r w:rsidRPr="00D8758F">
        <w:rPr>
          <w:lang w:val="bg-BG"/>
        </w:rPr>
        <w:t>приходите от продажби на ред „Продукция“ (код 15110) и ред „Стоки“ (</w:t>
      </w:r>
      <w:r w:rsidRPr="00D8758F">
        <w:rPr>
          <w:rFonts w:eastAsia="Calibri"/>
          <w:szCs w:val="24"/>
          <w:lang w:val="bg-BG"/>
        </w:rPr>
        <w:t>код 15120</w:t>
      </w:r>
      <w:r w:rsidRPr="00D8758F">
        <w:rPr>
          <w:lang w:val="bg-BG"/>
        </w:rPr>
        <w:t>) от приходната част на Отчета за приходи и разходи (ОПР) за 2022 г.</w:t>
      </w:r>
      <w:r w:rsidRPr="00D8758F">
        <w:rPr>
          <w:noProof/>
          <w:szCs w:val="24"/>
          <w:lang w:val="bg-BG"/>
        </w:rPr>
        <w:t>;</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Компенсацията се изчислява чрез прилагане на опростен разход на база плоска ставка или като сума от отделните компоненти на допустимите разходи за отделните подсектори, както следва: </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9"/>
        </w:numPr>
        <w:spacing w:after="0"/>
        <w:contextualSpacing/>
        <w:jc w:val="both"/>
        <w:rPr>
          <w:b/>
          <w:noProof/>
          <w:szCs w:val="24"/>
          <w:lang w:val="bg-BG"/>
        </w:rPr>
      </w:pPr>
      <w:r w:rsidRPr="00D8758F">
        <w:rPr>
          <w:b/>
          <w:noProof/>
          <w:szCs w:val="24"/>
          <w:lang w:val="bg-BG"/>
        </w:rPr>
        <w:t>За подсектор риболов са допустими единствено разходи за гориво.</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гориво на риболовни кораби:</w:t>
      </w:r>
      <w:r w:rsidRPr="00D8758F">
        <w:rPr>
          <w:rFonts w:ascii="Times New Roman" w:hAnsi="Times New Roman" w:cs="Times New Roman"/>
          <w:noProof/>
          <w:sz w:val="24"/>
          <w:szCs w:val="24"/>
          <w:lang w:val="bg-BG"/>
        </w:rPr>
        <w:t xml:space="preserve"> БФП = (</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35,20% 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на ред „Продукция“ (код 15110) от приходната част на Отчета за приходи и разходи (ОПР) за 2022 г. на кандидата.</w:t>
      </w: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35,20% х 100 000 лв. (Z) = 1</w:t>
      </w:r>
      <w:r w:rsidRPr="00D8758F">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rPr>
        <w:t>908</w:t>
      </w:r>
      <w:r w:rsidRPr="00D8758F">
        <w:rPr>
          <w:rFonts w:ascii="Times New Roman" w:hAnsi="Times New Roman" w:cs="Times New Roman"/>
          <w:noProof/>
          <w:sz w:val="24"/>
          <w:szCs w:val="24"/>
          <w:lang w:val="bg-BG"/>
        </w:rPr>
        <w:t xml:space="preserve"> лв.</w:t>
      </w:r>
    </w:p>
    <w:p w:rsidR="003D1E16" w:rsidRPr="00D8758F" w:rsidRDefault="003D1E16" w:rsidP="003D1E16">
      <w:pPr>
        <w:pStyle w:val="ListParagraph"/>
        <w:numPr>
          <w:ilvl w:val="0"/>
          <w:numId w:val="9"/>
        </w:numPr>
        <w:contextualSpacing/>
        <w:jc w:val="both"/>
        <w:rPr>
          <w:b/>
          <w:noProof/>
          <w:szCs w:val="24"/>
          <w:lang w:val="bg-BG"/>
        </w:rPr>
      </w:pPr>
      <w:r w:rsidRPr="00D8758F">
        <w:rPr>
          <w:b/>
          <w:noProof/>
          <w:szCs w:val="24"/>
          <w:lang w:val="bg-BG"/>
        </w:rPr>
        <w:t>За подсектор производство на аквакултури са допустими за компенсиране разходи за фураж и разходи за горива.</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фураж се изчислява по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се изчислява както следва: БФП = (</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28,5% индексът на инфлация по днанни от НСИ; </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39,72% теглови коефициент на частта на разходите за фураж, спрямо общите разходи за производството на аквакултури, изчислен, на база декларираните по реда на чл. 27 от Закона за рибарството и аквакултурите средноаритметични данни 2019 г., 2020 г. и  2021 г.;</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от собствено производство на ред „Продукция“ (код 15110 за производители на аквакултури от приходната част на Отчета за приходи и разходи (ОПР) за 2022 г. на кандидата.</w:t>
      </w:r>
    </w:p>
    <w:p w:rsidR="003D1E16" w:rsidRPr="00D8758F" w:rsidRDefault="003D1E16" w:rsidP="003D1E16">
      <w:pPr>
        <w:pStyle w:val="ListParagraph"/>
        <w:ind w:left="420"/>
        <w:contextualSpacing/>
        <w:jc w:val="both"/>
        <w:rPr>
          <w:noProof/>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2022 г. нетни приходи от продажби на ред „Продукция“ (код 15110) на стойност 100 000 лв.</w:t>
      </w:r>
    </w:p>
    <w:p w:rsidR="003D1E16" w:rsidRPr="00D8758F" w:rsidRDefault="003D1E16" w:rsidP="003D1E16">
      <w:pPr>
        <w:pStyle w:val="ListParagraph"/>
        <w:ind w:left="420"/>
        <w:contextualSpacing/>
        <w:jc w:val="both"/>
        <w:rPr>
          <w:rFonts w:eastAsiaTheme="minorEastAsia"/>
          <w:noProof/>
          <w:szCs w:val="24"/>
          <w:lang w:val="bg-BG"/>
        </w:rPr>
      </w:pPr>
    </w:p>
    <w:p w:rsidR="003D1E16" w:rsidRPr="00D8758F" w:rsidRDefault="003D1E16" w:rsidP="003D1E16">
      <w:pPr>
        <w:pStyle w:val="ListParagraph"/>
        <w:ind w:left="420"/>
        <w:contextualSpacing/>
        <w:jc w:val="both"/>
        <w:rPr>
          <w:rFonts w:eastAsiaTheme="minorEastAsia"/>
          <w:noProof/>
          <w:szCs w:val="24"/>
          <w:lang w:val="bg-BG"/>
        </w:rPr>
      </w:pPr>
      <w:r w:rsidRPr="00D8758F">
        <w:rPr>
          <w:rFonts w:eastAsiaTheme="minorEastAsia"/>
          <w:noProof/>
          <w:szCs w:val="24"/>
          <w:lang w:val="bg-BG"/>
        </w:rPr>
        <w:t>Безвъзмездната финансова помощ се формира по следния начин: БФП = 28,5% x 39,72% х 100 000 лв (Z) = 11 320 лв.</w:t>
      </w:r>
    </w:p>
    <w:p w:rsidR="003D1E16" w:rsidRPr="00D8758F" w:rsidRDefault="003D1E16" w:rsidP="003D1E16">
      <w:pPr>
        <w:ind w:left="60"/>
        <w:contextualSpacing/>
        <w:jc w:val="both"/>
        <w:rPr>
          <w:noProof/>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при производство на аквакултури се изчислява по следния метод:</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0,5% теглови коефициент на частта на разходите за гориво, спрямо общите разходи за производството на аквакултури,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от собствено производство на ред „Продукция“ (код 15110) от приходната част на Отчета за приходи и разходи (ОПР) за 2022 г. на кандидата.</w:t>
      </w: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0,5 % х 100 000 лв. (Z) = 183,35 лв.</w:t>
      </w:r>
    </w:p>
    <w:p w:rsidR="003D1E16" w:rsidRPr="00D8758F" w:rsidRDefault="003D1E16" w:rsidP="003D1E16">
      <w:pPr>
        <w:contextualSpacing/>
        <w:jc w:val="both"/>
        <w:rPr>
          <w:rFonts w:ascii="Times New Roman" w:hAnsi="Times New Roman" w:cs="Times New Roman"/>
          <w:b/>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Компенсация за фураж + Компенсация за гориво при производство на аквакултури</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9"/>
        </w:numPr>
        <w:contextualSpacing/>
        <w:jc w:val="both"/>
        <w:rPr>
          <w:b/>
          <w:noProof/>
          <w:szCs w:val="24"/>
          <w:lang w:val="bg-BG"/>
        </w:rPr>
      </w:pPr>
      <w:r w:rsidRPr="00D8758F">
        <w:rPr>
          <w:b/>
          <w:noProof/>
          <w:szCs w:val="24"/>
          <w:lang w:val="bg-BG"/>
        </w:rPr>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contextualSpacing/>
        <w:jc w:val="both"/>
        <w:rPr>
          <w:rFonts w:ascii="Times New Roman" w:hAnsi="Times New Roman" w:cs="Times New Roman"/>
          <w:noProof/>
          <w:sz w:val="24"/>
          <w:szCs w:val="24"/>
        </w:rPr>
      </w:pP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bg-BG"/>
        </w:rPr>
        <w:t>Х е 7,96%  осреднената стойност на инфлацията по днанни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65,41% е теглови коефициент на частта на разходите, спрямо общите разходи за преработка на продукти от риболов и аквакултури, изчислен, на база декларираните по реда на чл. 27 от Закона за рибарството и аквакултурите средноаритметични данни за 2019 г., 2020 г. и  2021 г.;</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за 2022 г. на кандидата.</w:t>
      </w:r>
    </w:p>
    <w:p w:rsidR="003D1E16" w:rsidRPr="00D8758F" w:rsidRDefault="003D1E16" w:rsidP="003D1E16">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2022 г. нетни приходи от продажби на ред „Продукция“ (код 15110) и ред „Стоки“ (код 15120) на стойност 100 000 лв.</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7,96% x 65,41% х 100 000 лв. (Z) = 5</w:t>
      </w:r>
      <w:r w:rsidRPr="00D8758F">
        <w:rPr>
          <w:rFonts w:ascii="Times New Roman" w:hAnsi="Times New Roman" w:cs="Times New Roman"/>
          <w:noProof/>
          <w:sz w:val="24"/>
          <w:szCs w:val="24"/>
        </w:rPr>
        <w:t xml:space="preserve"> </w:t>
      </w:r>
      <w:r w:rsidRPr="00D8758F">
        <w:rPr>
          <w:rFonts w:ascii="Times New Roman" w:hAnsi="Times New Roman" w:cs="Times New Roman"/>
          <w:noProof/>
          <w:sz w:val="24"/>
          <w:szCs w:val="24"/>
          <w:lang w:val="bg-BG"/>
        </w:rPr>
        <w:t>20</w:t>
      </w:r>
      <w:r w:rsidRPr="00D8758F">
        <w:rPr>
          <w:rFonts w:ascii="Times New Roman" w:hAnsi="Times New Roman" w:cs="Times New Roman"/>
          <w:noProof/>
          <w:sz w:val="24"/>
          <w:szCs w:val="24"/>
        </w:rPr>
        <w:t>6</w:t>
      </w:r>
      <w:r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ind w:left="60"/>
        <w:contextualSpacing/>
        <w:jc w:val="both"/>
        <w:rPr>
          <w:noProof/>
          <w:szCs w:val="24"/>
          <w:lang w:val="bg-BG"/>
        </w:rPr>
      </w:pPr>
    </w:p>
    <w:p w:rsidR="003D1E16" w:rsidRPr="00D8758F" w:rsidRDefault="003D1E16" w:rsidP="003D1E16">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днанни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2,75% теглови коефициент на частта на разходите за гориво, спрямо общите разходи за извършването на преработка,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2022 г. на кандидата</w:t>
      </w:r>
    </w:p>
    <w:p w:rsidR="003D1E16" w:rsidRPr="00D8758F" w:rsidRDefault="003D1E16" w:rsidP="003D1E16">
      <w:pPr>
        <w:pStyle w:val="ListParagraph"/>
        <w:ind w:left="420"/>
        <w:contextualSpacing/>
        <w:jc w:val="both"/>
        <w:rPr>
          <w:noProof/>
          <w:szCs w:val="24"/>
          <w:lang w:val="bg-BG"/>
        </w:rPr>
      </w:pPr>
    </w:p>
    <w:p w:rsidR="003D1E16" w:rsidRPr="00D8758F" w:rsidRDefault="003D1E16" w:rsidP="003D1E16">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и ред „Стоки“ (код 15120)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2,75% х 100 000 лв. (Z) =  1</w:t>
      </w:r>
      <w:r w:rsidRPr="00D8758F">
        <w:rPr>
          <w:rFonts w:ascii="Times New Roman" w:hAnsi="Times New Roman" w:cs="Times New Roman"/>
          <w:noProof/>
          <w:sz w:val="24"/>
          <w:szCs w:val="24"/>
        </w:rPr>
        <w:t xml:space="preserve"> </w:t>
      </w:r>
      <w:r w:rsidRPr="00D8758F">
        <w:rPr>
          <w:rFonts w:ascii="Times New Roman" w:hAnsi="Times New Roman" w:cs="Times New Roman"/>
          <w:noProof/>
          <w:sz w:val="24"/>
          <w:szCs w:val="24"/>
          <w:lang w:val="bg-BG"/>
        </w:rPr>
        <w:t>008,42 лв.</w:t>
      </w:r>
    </w:p>
    <w:p w:rsidR="003D1E16" w:rsidRPr="00D8758F" w:rsidRDefault="003D1E16" w:rsidP="003D1E16">
      <w:pPr>
        <w:contextualSpacing/>
        <w:jc w:val="both"/>
        <w:rPr>
          <w:rFonts w:ascii="Times New Roman" w:hAnsi="Times New Roman" w:cs="Times New Roman"/>
          <w:b/>
          <w:noProof/>
          <w:sz w:val="24"/>
          <w:szCs w:val="24"/>
          <w:lang w:val="bg-BG"/>
        </w:rPr>
      </w:pPr>
    </w:p>
    <w:p w:rsidR="003D1E16" w:rsidRPr="00D8758F" w:rsidRDefault="003D1E16" w:rsidP="003D1E16">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Компенсация за суровини + Компенсация за гориво при преработка на продукти от риболов и аквакултури</w:t>
      </w:r>
    </w:p>
    <w:p w:rsidR="003D1E16" w:rsidRPr="00D8758F" w:rsidRDefault="003D1E16" w:rsidP="003D1E16">
      <w:pPr>
        <w:contextualSpacing/>
        <w:jc w:val="both"/>
        <w:rPr>
          <w:noProof/>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и ресурсите, влагани в процеса на създаване на краен продукт.</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или донорски програми на ЕС вследствие на неблагоприятните последици от войната в Украйна.</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Pr="003D1E16" w:rsidRDefault="003D1E16" w:rsidP="003D1E16">
      <w:pPr>
        <w:spacing w:after="0"/>
        <w:jc w:val="both"/>
        <w:rPr>
          <w:rFonts w:ascii="Times New Roman" w:hAnsi="Times New Roman" w:cs="Times New Roman"/>
          <w:sz w:val="24"/>
          <w:szCs w:val="24"/>
        </w:rPr>
      </w:pPr>
      <w:bookmarkStart w:id="0" w:name="_GoBack"/>
      <w:bookmarkEnd w:id="0"/>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Приложения:</w:t>
      </w:r>
    </w:p>
    <w:p w:rsidR="003D1E16" w:rsidRPr="00D8758F" w:rsidRDefault="003D1E16" w:rsidP="003D1E16">
      <w:pPr>
        <w:spacing w:after="0"/>
        <w:jc w:val="both"/>
        <w:rPr>
          <w:rFonts w:ascii="Times New Roman" w:hAnsi="Times New Roman" w:cs="Times New Roman"/>
          <w:i/>
          <w:sz w:val="24"/>
          <w:szCs w:val="24"/>
          <w:lang w:val="bg-BG"/>
        </w:rPr>
      </w:pPr>
    </w:p>
    <w:p w:rsidR="003D1E16" w:rsidRPr="00D8758F" w:rsidRDefault="003D1E16" w:rsidP="003D1E16">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CPI</w:t>
      </w:r>
      <w:r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3D1E16" w:rsidRPr="00D8758F" w:rsidRDefault="003D1E16" w:rsidP="003D1E16">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3D1E16" w:rsidRPr="00D8758F" w:rsidRDefault="003D1E16" w:rsidP="003D1E16">
      <w:pPr>
        <w:rPr>
          <w:rFonts w:ascii="Times New Roman" w:hAnsi="Times New Roman" w:cs="Times New Roman"/>
          <w:sz w:val="24"/>
          <w:szCs w:val="24"/>
          <w:lang w:val="bg-BG"/>
        </w:rPr>
      </w:pPr>
      <w:r w:rsidRPr="00D8758F">
        <w:rPr>
          <w:noProof/>
        </w:rPr>
        <w:drawing>
          <wp:inline distT="0" distB="0" distL="0" distR="0" wp14:anchorId="1A316FC7" wp14:editId="7599E56E">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3D1E16" w:rsidRPr="00D8758F" w:rsidRDefault="003D1E16" w:rsidP="003D1E16">
      <w:pPr>
        <w:rPr>
          <w:rFonts w:ascii="Times New Roman" w:eastAsia="Times New Roman" w:hAnsi="Times New Roman" w:cs="Times New Roman"/>
          <w:sz w:val="16"/>
          <w:szCs w:val="16"/>
          <w:lang w:eastAsia="bg-BG"/>
        </w:rPr>
      </w:pPr>
    </w:p>
    <w:p w:rsidR="003D1E16" w:rsidRPr="00D8758F" w:rsidRDefault="003D1E16" w:rsidP="003D1E16">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прилага детайлната Класификация на индивидуално потребление по цели (КОИКОП-5)</w:t>
      </w:r>
    </w:p>
    <w:p w:rsidR="003D1E16" w:rsidRPr="00D8758F" w:rsidRDefault="003D1E16" w:rsidP="003D1E16">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3D1E16" w:rsidRPr="00D8758F" w:rsidRDefault="003D1E16" w:rsidP="003D1E16">
      <w:pPr>
        <w:rPr>
          <w:rFonts w:ascii="Times New Roman" w:eastAsia="Times New Roman" w:hAnsi="Times New Roman" w:cs="Times New Roman"/>
          <w:sz w:val="16"/>
          <w:szCs w:val="16"/>
          <w:lang w:eastAsia="bg-BG"/>
        </w:rPr>
      </w:pPr>
    </w:p>
    <w:p w:rsidR="003D1E16" w:rsidRPr="00D8758F" w:rsidRDefault="003D1E16" w:rsidP="003D1E16">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3D1E16" w:rsidRPr="00D8758F" w:rsidRDefault="003D1E16" w:rsidP="003D1E16">
      <w:pPr>
        <w:rPr>
          <w:rFonts w:ascii="Ubuntu" w:eastAsia="Times New Roman" w:hAnsi="Ubuntu" w:cs="Lucida Sans Unicode"/>
          <w:b/>
          <w:bCs/>
          <w:caps/>
          <w:sz w:val="26"/>
          <w:szCs w:val="26"/>
        </w:rPr>
      </w:pPr>
    </w:p>
    <w:p w:rsidR="003D1E16" w:rsidRPr="00D8758F" w:rsidRDefault="003D1E16" w:rsidP="003D1E16">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3D1E16" w:rsidRPr="00D8758F" w:rsidRDefault="003D1E16" w:rsidP="003D1E16">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3D1E16" w:rsidRPr="00D8758F" w:rsidTr="007439DE">
        <w:trPr>
          <w:tblHeader/>
          <w:jc w:val="center"/>
        </w:trPr>
        <w:tc>
          <w:tcPr>
            <w:tcW w:w="660"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2022(f)</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3D1E16" w:rsidRPr="00D8758F" w:rsidTr="007439DE">
        <w:trPr>
          <w:trHeight w:val="360"/>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3D1E16" w:rsidRPr="00D8758F" w:rsidTr="007439DE">
        <w:trPr>
          <w:trHeight w:val="378"/>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3D1E16" w:rsidRPr="00D8758F" w:rsidTr="007439DE">
        <w:trPr>
          <w:jc w:val="center"/>
        </w:trPr>
        <w:tc>
          <w:tcPr>
            <w:tcW w:w="660"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Pr>
                <w:rFonts w:ascii="Times New Roman" w:eastAsia="Times New Roman" w:hAnsi="Times New Roman" w:cs="Times New Roman"/>
                <w:sz w:val="20"/>
                <w:szCs w:val="20"/>
                <w:lang w:val="bg-BG" w:eastAsia="bg-BG"/>
              </w:rPr>
              <w:t xml:space="preserve"> </w:t>
            </w:r>
          </w:p>
        </w:tc>
      </w:tr>
      <w:tr w:rsidR="003D1E16" w:rsidRPr="00D8758F" w:rsidTr="007439DE">
        <w:trPr>
          <w:jc w:val="center"/>
        </w:trPr>
        <w:tc>
          <w:tcPr>
            <w:tcW w:w="660"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 = 28,5%</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превозни средства</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3D1E16" w:rsidRPr="00D8758F" w:rsidRDefault="003D1E16" w:rsidP="003D1E16">
      <w:pPr>
        <w:rPr>
          <w:rFonts w:ascii="Times New Roman" w:hAnsi="Times New Roman" w:cs="Times New Roman"/>
          <w:sz w:val="24"/>
          <w:szCs w:val="24"/>
          <w:lang w:val="bg-BG"/>
        </w:rPr>
      </w:pPr>
    </w:p>
    <w:p w:rsidR="00F77791" w:rsidRPr="008925F3" w:rsidRDefault="00F77791" w:rsidP="003D1E16">
      <w:pPr>
        <w:pStyle w:val="ListParagraph"/>
        <w:spacing w:after="200" w:line="276" w:lineRule="auto"/>
        <w:ind w:left="0"/>
        <w:contextualSpacing/>
        <w:jc w:val="both"/>
        <w:rPr>
          <w:szCs w:val="24"/>
          <w:lang w:val="bg-BG"/>
        </w:rPr>
      </w:pPr>
    </w:p>
    <w:sectPr w:rsidR="00F77791" w:rsidRPr="008925F3" w:rsidSect="00AB69C4">
      <w:headerReference w:type="default" r:id="rId10"/>
      <w:headerReference w:type="first" r:id="rId11"/>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9ED" w:rsidRDefault="004019ED" w:rsidP="00AF26D6">
      <w:pPr>
        <w:spacing w:after="0" w:line="240" w:lineRule="auto"/>
      </w:pPr>
      <w:r>
        <w:separator/>
      </w:r>
    </w:p>
  </w:endnote>
  <w:endnote w:type="continuationSeparator" w:id="0">
    <w:p w:rsidR="004019ED" w:rsidRDefault="004019ED"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9ED" w:rsidRDefault="004019ED" w:rsidP="00AF26D6">
      <w:pPr>
        <w:spacing w:after="0" w:line="240" w:lineRule="auto"/>
      </w:pPr>
      <w:r>
        <w:separator/>
      </w:r>
    </w:p>
  </w:footnote>
  <w:footnote w:type="continuationSeparator" w:id="0">
    <w:p w:rsidR="004019ED" w:rsidRDefault="004019ED" w:rsidP="00AF26D6">
      <w:pPr>
        <w:spacing w:after="0" w:line="240" w:lineRule="auto"/>
      </w:pPr>
      <w:r>
        <w:continuationSeparator/>
      </w:r>
    </w:p>
  </w:footnote>
  <w:footnote w:id="1">
    <w:p w:rsidR="003D1E16" w:rsidRPr="00627C35" w:rsidRDefault="003D1E16" w:rsidP="003D1E16">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w:t>
      </w:r>
      <w:proofErr w:type="spellStart"/>
      <w:r w:rsidRPr="00627C35">
        <w:rPr>
          <w:rFonts w:ascii="Times New Roman" w:hAnsi="Times New Roman" w:cs="Times New Roman"/>
          <w:lang w:val="bg-BG"/>
        </w:rPr>
        <w:t>изпозвана</w:t>
      </w:r>
      <w:proofErr w:type="spellEnd"/>
      <w:r w:rsidRPr="00627C35">
        <w:rPr>
          <w:rFonts w:ascii="Times New Roman" w:hAnsi="Times New Roman" w:cs="Times New Roman"/>
          <w:lang w:val="bg-BG"/>
        </w:rPr>
        <w:t xml:space="preserve">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D1E16" w:rsidRPr="00D35A7D" w:rsidRDefault="003D1E16" w:rsidP="003D1E16">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3D1E16" w:rsidRPr="00D424A0" w:rsidRDefault="003D1E16" w:rsidP="003D1E16">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 xml:space="preserve">НСИ. Стойността е определена на база на информация от Държавно предприятие „Рибни  ресурси“ за разходите на </w:t>
      </w:r>
      <w:proofErr w:type="spellStart"/>
      <w:r>
        <w:rPr>
          <w:rFonts w:ascii="Times New Roman" w:hAnsi="Times New Roman" w:cs="Times New Roman"/>
          <w:lang w:val="bg-BG"/>
        </w:rPr>
        <w:t>домуващите</w:t>
      </w:r>
      <w:proofErr w:type="spellEnd"/>
      <w:r>
        <w:rPr>
          <w:rFonts w:ascii="Times New Roman" w:hAnsi="Times New Roman" w:cs="Times New Roman"/>
          <w:lang w:val="bg-BG"/>
        </w:rPr>
        <w:t xml:space="preserve"> кораби на пристанищата, стопанисвани от предприятието към месец май 2020 г..</w:t>
      </w:r>
    </w:p>
  </w:footnote>
  <w:footnote w:id="3">
    <w:p w:rsidR="003D1E16" w:rsidRPr="008908BC" w:rsidRDefault="003D1E16" w:rsidP="003D1E16">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D1E16" w:rsidRPr="00695B3F" w:rsidRDefault="003D1E16" w:rsidP="003D1E16">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D1E16" w:rsidRPr="00D35A7D" w:rsidRDefault="003D1E16" w:rsidP="003D1E16">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D1E16" w:rsidRPr="00D35A7D" w:rsidRDefault="003D1E16" w:rsidP="003D1E16">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D1E16" w:rsidRPr="00D35A7D" w:rsidRDefault="003D1E16" w:rsidP="003D1E16">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LU6fEAAAA2wAAAA8AAABkcnMvZG93bnJldi54bWxEj0FrwkAUhO+C/2F5Qm+6SSgiqWsQQQj1&#10;UGJ76e2Rfc0Gs29jdo1pf71bKPQ4zMw3zLaYbCdGGnzrWEG6SkAQ10633Cj4eD8uNyB8QNbYOSYF&#10;3+Sh2M1nW8y1u3NF4zk0IkLY56jAhNDnUvrakEW/cj1x9L7cYDFEOTRSD3iPcNvJLEnW0mLLccFg&#10;TwdD9eV8swrenn+qsRpPbmOuIf08Hcvq8Foq9bSY9i8gAk3hP/zXLrWCLIPfL/EHyN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LU6fEAAAA2wAAAA8AAAAAAAAAAAAAAAAA&#10;nwIAAGRycy9kb3ducmV2LnhtbFBLBQYAAAAABAAEAPcAAACQAwAAAAA=&#10;">
                  <v:imagedata r:id="rId4"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MqPEAAAA2wAAAA8AAABkcnMvZG93bnJldi54bWxEj09rAjEUxO8Fv0N4Qm8161JEV6PIgtL2&#10;UPAPnh+b52Z187Js0jX99k2h0OMwM79hVptoWzFQ7xvHCqaTDARx5XTDtYLzafcyB+EDssbWMSn4&#10;Jg+b9ehphYV2Dz7QcAy1SBD2BSowIXSFlL4yZNFPXEecvKvrLYYk+1rqHh8JbluZZ9lMWmw4LRjs&#10;qDRU3Y9fVsHdNNuPRTl8zmN5mL3fLvsyXnKlnsdxuwQRKIb/8F/7TSvIX+H3S/oB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cqMqPEAAAA2wAAAA8AAAAAAAAAAAAAAAAA&#10;nwIAAGRycy9kb3ducmV2LnhtbFBLBQYAAAAABAAEAPcAAACQAwAAAAA=&#10;">
                    <v:imagedata r:id="rId5"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mlsUA&#10;AADbAAAADwAAAGRycy9kb3ducmV2LnhtbESP0WrCQBRE3wv9h+UW+mY2SpSSukqxFfoi1rQfcJO9&#10;JrHZuyG7Mcnfu0Khj8PMnGHW29E04kqdqy0rmEcxCOLC6ppLBT/f+9kLCOeRNTaWScFEDrabx4c1&#10;ptoOfKJr5ksRIOxSVFB536ZSuqIigy6yLXHwzrYz6IPsSqk7HALcNHIRxytpsOawUGFLu4qK36w3&#10;Cj6+8ilP5pd98h5PuT4Oh13RH5R6fhrfXkF4Gv1/+K/9qRUslnD/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qaWxQAAANsAAAAPAAAAAAAAAAAAAAAAAJgCAABkcnMv&#10;ZG93bnJldi54bWxQSwUGAAAAAAQABAD1AAAAigM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fmrW/AAAA2gAAAA8AAABkcnMvZG93bnJldi54bWxET02LwjAQvS/4H8II3tZUEZFqFBGEooel&#10;upe9Dc3YFJtJbWKt/vrNQfD4eN+rTW9r0VHrK8cKJuMEBHHhdMWlgt/z/nsBwgdkjbVjUvAkD5v1&#10;4GuFqXYPzqk7hVLEEPYpKjAhNKmUvjBk0Y9dQxy5i2sthgjbUuoWHzHc1nKaJHNpseLYYLChnaHi&#10;erpbBT+zV97l3dEtzC1M/o77LN8dMqVGw367BBGoDx/x251pBXFrvBJvgFz/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S35q1vwAAANoAAAAPAAAAAAAAAAAAAAAAAJ8CAABk&#10;cnMvZG93bnJldi54bWxQSwUGAAAAAAQABAD3AAAAiwMAAAAA&#10;">
                  <v:imagedata r:id="rId4" o:title=""/>
                  <v:path arrowok="t"/>
                </v:shape>
                <v:group id="Group 1" o:spid="_x0000_s1037"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Picture 8" o:spid="_x0000_s1038"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jxfHCAAAA2wAAAA8AAABkcnMvZG93bnJldi54bWxET01rwkAQvQv+h2WE3nTTHMSmrkECStuD&#10;oC2eh+w0myY7G7LbuP33bqHQ2zze52zLaHsx0ehbxwoeVxkI4trplhsFH++H5QaED8gae8ek4Ic8&#10;lLv5bIuFdjc+03QJjUgh7AtUYEIYCil9bciiX7mBOHGfbrQYEhwbqUe8pXDbyzzL1tJiy6nB4ECV&#10;obq7fFsFnWn3b0/VdNrE6rx+/boeq3jNlXpYxP0ziEAx/Iv/3C86zc/h95d0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48XxwgAAANsAAAAPAAAAAAAAAAAAAAAAAJ8C&#10;AABkcnMvZG93bnJldi54bWxQSwUGAAAAAAQABAD3AAAAjgMAAAAA&#10;">
                    <v:imagedata r:id="rId5" o:title=""/>
                    <v:path arrowok="t"/>
                  </v:shape>
                  <v:shape id="TextBox 5" o:spid="_x0000_s1039"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RxMIA&#10;AADbAAAADwAAAGRycy9kb3ducmV2LnhtbERP22rCQBB9F/oPyxT6VjdaKSW6SkkN+CK1th8wyY5J&#10;2uxsyG5uf+8WBN/mcK6z2Y2mFj21rrKsYDGPQBDnVldcKPj5Tp/fQDiPrLG2TAomcrDbPsw2GGs7&#10;8Bf1Z1+IEMIuRgWl900spctLMujmtiEO3MW2Bn2AbSF1i0MIN7VcRtGrNFhxaCixoaSk/O/cGQX7&#10;UzZlq8VvuvqIpkx/Dsck745KPT2O72sQnkZ/F9/cBx3mv8D/L+EAu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z1HEwgAAANsAAAAPAAAAAAAAAAAAAAAAAJgCAABkcnMvZG93&#10;bnJldi54bWxQSwUGAAAAAAQABAD1AAAAhwM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A24A0"/>
    <w:rsid w:val="002A584F"/>
    <w:rsid w:val="002A6554"/>
    <w:rsid w:val="002B08A7"/>
    <w:rsid w:val="002C1132"/>
    <w:rsid w:val="003009F5"/>
    <w:rsid w:val="00335283"/>
    <w:rsid w:val="00337F17"/>
    <w:rsid w:val="003A0A68"/>
    <w:rsid w:val="003A5115"/>
    <w:rsid w:val="003C3852"/>
    <w:rsid w:val="003C569A"/>
    <w:rsid w:val="003D1E16"/>
    <w:rsid w:val="003E0A78"/>
    <w:rsid w:val="004019ED"/>
    <w:rsid w:val="004427E1"/>
    <w:rsid w:val="00454391"/>
    <w:rsid w:val="00463F4B"/>
    <w:rsid w:val="00467707"/>
    <w:rsid w:val="004A531B"/>
    <w:rsid w:val="004A783A"/>
    <w:rsid w:val="005160EE"/>
    <w:rsid w:val="00530421"/>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855F2"/>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C67CF"/>
    <w:rsid w:val="008D3B82"/>
    <w:rsid w:val="008F1DF7"/>
    <w:rsid w:val="00904758"/>
    <w:rsid w:val="00923AD9"/>
    <w:rsid w:val="00926F35"/>
    <w:rsid w:val="00933B83"/>
    <w:rsid w:val="00936FB1"/>
    <w:rsid w:val="009467F6"/>
    <w:rsid w:val="00950725"/>
    <w:rsid w:val="009854A0"/>
    <w:rsid w:val="009B641E"/>
    <w:rsid w:val="009C21B2"/>
    <w:rsid w:val="009F0659"/>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66CE2"/>
    <w:rsid w:val="00BB6864"/>
    <w:rsid w:val="00BB7C21"/>
    <w:rsid w:val="00BC3C2C"/>
    <w:rsid w:val="00BD3D70"/>
    <w:rsid w:val="00BF056F"/>
    <w:rsid w:val="00C43181"/>
    <w:rsid w:val="00C4577E"/>
    <w:rsid w:val="00C50D1C"/>
    <w:rsid w:val="00C9444C"/>
    <w:rsid w:val="00CC03AC"/>
    <w:rsid w:val="00CC3A2D"/>
    <w:rsid w:val="00CE1E11"/>
    <w:rsid w:val="00CF408C"/>
    <w:rsid w:val="00CF7C94"/>
    <w:rsid w:val="00D035C8"/>
    <w:rsid w:val="00D078A7"/>
    <w:rsid w:val="00D23701"/>
    <w:rsid w:val="00D2604D"/>
    <w:rsid w:val="00D30100"/>
    <w:rsid w:val="00D855CF"/>
    <w:rsid w:val="00D93144"/>
    <w:rsid w:val="00DB7790"/>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54B7E"/>
    <w:rsid w:val="00F74415"/>
    <w:rsid w:val="00F77791"/>
    <w:rsid w:val="00F829F4"/>
    <w:rsid w:val="00FA3B29"/>
    <w:rsid w:val="00FB30B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FE946-D93F-482A-9D0F-33BBE740F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4562</Words>
  <Characters>26006</Characters>
  <Application>Microsoft Office Word</Application>
  <DocSecurity>0</DocSecurity>
  <Lines>216</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19</cp:revision>
  <dcterms:created xsi:type="dcterms:W3CDTF">2022-11-30T15:29:00Z</dcterms:created>
  <dcterms:modified xsi:type="dcterms:W3CDTF">2023-02-17T14:07:00Z</dcterms:modified>
</cp:coreProperties>
</file>