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20" w:type="dxa"/>
        <w:tblInd w:w="-179" w:type="dxa"/>
        <w:tblLayout w:type="fixed"/>
        <w:tblCellMar>
          <w:left w:w="0" w:type="dxa"/>
          <w:right w:w="0" w:type="dxa"/>
        </w:tblCellMar>
        <w:tblLook w:val="0000" w:firstRow="0" w:lastRow="0" w:firstColumn="0" w:lastColumn="0" w:noHBand="0" w:noVBand="0"/>
      </w:tblPr>
      <w:tblGrid>
        <w:gridCol w:w="5116"/>
        <w:gridCol w:w="1217"/>
        <w:gridCol w:w="4337"/>
        <w:gridCol w:w="2650"/>
      </w:tblGrid>
      <w:tr w:rsidR="00025E58" w:rsidRPr="00144A1F" w:rsidTr="007700FA">
        <w:trPr>
          <w:trHeight w:val="1256"/>
          <w:tblHeader/>
        </w:trPr>
        <w:tc>
          <w:tcPr>
            <w:tcW w:w="5116" w:type="dxa"/>
            <w:vMerge w:val="restart"/>
            <w:tcBorders>
              <w:top w:val="single" w:sz="1" w:space="0" w:color="000000"/>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Pr="004322ED">
              <w:rPr>
                <w:rFonts w:eastAsia="HG Mincho Light J"/>
                <w:b/>
                <w:color w:val="000000"/>
                <w:sz w:val="20"/>
                <w:szCs w:val="20"/>
                <w:lang w:val="bg-BG"/>
              </w:rPr>
              <w:t>земеделието</w:t>
            </w:r>
          </w:p>
          <w:p w:rsidR="00025E58" w:rsidRPr="00144A1F" w:rsidRDefault="00025E58"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650"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7700FA">
        <w:trPr>
          <w:trHeight w:val="74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DC2E70">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sidR="00DC2E70">
              <w:rPr>
                <w:rFonts w:eastAsia="HG Mincho Light J"/>
                <w:b/>
                <w:color w:val="000000"/>
                <w:sz w:val="20"/>
                <w:szCs w:val="20"/>
                <w:lang w:val="bg-BG"/>
              </w:rPr>
              <w:t>13</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DC2E70">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w:t>
            </w:r>
            <w:r w:rsidR="00DC2E70">
              <w:rPr>
                <w:b/>
                <w:iCs/>
                <w:sz w:val="20"/>
                <w:szCs w:val="20"/>
                <w:lang w:val="bg-BG"/>
              </w:rPr>
              <w:t xml:space="preserve">Списък на </w:t>
            </w:r>
            <w:r w:rsidR="00DC2E70" w:rsidRPr="00DC2E70">
              <w:rPr>
                <w:b/>
                <w:iCs/>
                <w:sz w:val="20"/>
                <w:szCs w:val="20"/>
                <w:lang w:val="bg-BG"/>
              </w:rPr>
              <w:t>предложените за отхвърляне проектни предложения</w:t>
            </w:r>
          </w:p>
        </w:tc>
        <w:tc>
          <w:tcPr>
            <w:tcW w:w="2650"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sidR="009C4EBC">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sidR="009C4EBC">
              <w:rPr>
                <w:rStyle w:val="PageNumber"/>
                <w:noProof/>
                <w:sz w:val="20"/>
                <w:szCs w:val="20"/>
                <w:lang w:val="bg-BG"/>
              </w:rPr>
              <w:t>82</w:t>
            </w:r>
            <w:r w:rsidRPr="00144A1F">
              <w:rPr>
                <w:rStyle w:val="PageNumber"/>
                <w:sz w:val="20"/>
                <w:szCs w:val="20"/>
                <w:lang w:val="bg-BG"/>
              </w:rPr>
              <w:fldChar w:fldCharType="end"/>
            </w:r>
          </w:p>
        </w:tc>
      </w:tr>
      <w:tr w:rsidR="00025E58" w:rsidRPr="00144A1F" w:rsidTr="007700FA">
        <w:trPr>
          <w:trHeight w:val="69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650"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F97D8C"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7700FA">
        <w:trPr>
          <w:trHeight w:val="697"/>
        </w:trPr>
        <w:tc>
          <w:tcPr>
            <w:tcW w:w="5116"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650"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7D64DB" w:rsidRDefault="007F2901">
      <w:pPr>
        <w:rPr>
          <w:lang w:val="bg-BG"/>
        </w:rPr>
      </w:pPr>
    </w:p>
    <w:p w:rsidR="00025E58" w:rsidRDefault="00025E58">
      <w:pPr>
        <w:rPr>
          <w:lang w:val="bg-BG"/>
        </w:rPr>
      </w:pPr>
    </w:p>
    <w:p w:rsidR="00025E58" w:rsidRDefault="00025E58">
      <w:pPr>
        <w:rPr>
          <w:lang w:val="bg-BG"/>
        </w:rPr>
      </w:pPr>
    </w:p>
    <w:p w:rsidR="009C4EBC" w:rsidRDefault="00DC2E70" w:rsidP="00806732">
      <w:pPr>
        <w:jc w:val="center"/>
        <w:rPr>
          <w:b/>
          <w:lang w:val="bg-BG"/>
        </w:rPr>
      </w:pPr>
      <w:r w:rsidRPr="00DC2E70">
        <w:rPr>
          <w:b/>
          <w:lang w:val="bg-BG"/>
        </w:rPr>
        <w:t xml:space="preserve">Списък на </w:t>
      </w:r>
      <w:r w:rsidR="00E3156B">
        <w:rPr>
          <w:b/>
          <w:lang w:val="bg-BG"/>
        </w:rPr>
        <w:t xml:space="preserve">проектните предложения, </w:t>
      </w:r>
      <w:r w:rsidR="00E3156B" w:rsidRPr="00E3156B">
        <w:rPr>
          <w:b/>
          <w:lang w:val="bg-BG"/>
        </w:rPr>
        <w:t xml:space="preserve">които не се допускат до техническа и финансова оценка </w:t>
      </w:r>
      <w:r w:rsidR="00E3156B">
        <w:rPr>
          <w:b/>
          <w:lang w:val="bg-BG"/>
        </w:rPr>
        <w:t>по процедура</w:t>
      </w:r>
      <w:r w:rsidRPr="00DC2E70">
        <w:rPr>
          <w:b/>
          <w:lang w:val="bg-BG"/>
        </w:rPr>
        <w:t xml:space="preserve"> № </w:t>
      </w:r>
      <w:r w:rsidR="007430E8" w:rsidRPr="007430E8">
        <w:rPr>
          <w:b/>
          <w:lang w:val="bg-BG"/>
        </w:rPr>
        <w:t xml:space="preserve">BG14MFOP001-2.020-S2 „Продуктивни инвестиции в </w:t>
      </w:r>
      <w:proofErr w:type="spellStart"/>
      <w:r w:rsidR="007430E8" w:rsidRPr="007430E8">
        <w:rPr>
          <w:b/>
          <w:lang w:val="bg-BG"/>
        </w:rPr>
        <w:t>аквакултурите</w:t>
      </w:r>
      <w:proofErr w:type="spellEnd"/>
      <w:r w:rsidR="007430E8" w:rsidRPr="007430E8">
        <w:rPr>
          <w:b/>
          <w:lang w:val="bg-BG"/>
        </w:rPr>
        <w:t xml:space="preserve">“, Сектор „Малки проекти”, мярка 2.2  „Продуктивни инвестиции в </w:t>
      </w:r>
      <w:proofErr w:type="spellStart"/>
      <w:r w:rsidR="007430E8" w:rsidRPr="007430E8">
        <w:rPr>
          <w:b/>
          <w:lang w:val="bg-BG"/>
        </w:rPr>
        <w:t>аквакултурите</w:t>
      </w:r>
      <w:proofErr w:type="spellEnd"/>
      <w:r w:rsidR="007430E8" w:rsidRPr="007430E8">
        <w:rPr>
          <w:b/>
          <w:lang w:val="bg-BG"/>
        </w:rPr>
        <w:t xml:space="preserve">“ </w:t>
      </w:r>
      <w:r w:rsidR="00E3156B" w:rsidRPr="00E3156B">
        <w:rPr>
          <w:b/>
          <w:lang w:val="bg-BG"/>
        </w:rPr>
        <w:t>по Програмата за морско дело и рибарство 2014-2020 г.</w:t>
      </w:r>
      <w:r w:rsidR="00E3156B">
        <w:rPr>
          <w:b/>
          <w:lang w:val="bg-BG"/>
        </w:rPr>
        <w:t xml:space="preserve"> </w:t>
      </w:r>
    </w:p>
    <w:p w:rsidR="000051DF" w:rsidRDefault="000051DF" w:rsidP="00806732">
      <w:pPr>
        <w:jc w:val="center"/>
        <w:rPr>
          <w:b/>
          <w:lang w:val="bg-BG"/>
        </w:rPr>
      </w:pPr>
    </w:p>
    <w:p w:rsidR="00E3156B" w:rsidRDefault="00E3156B" w:rsidP="00806732">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088"/>
        <w:gridCol w:w="2318"/>
        <w:gridCol w:w="2932"/>
        <w:gridCol w:w="5084"/>
      </w:tblGrid>
      <w:tr w:rsidR="00025E58" w:rsidRPr="00E76FC7" w:rsidTr="00C171C9">
        <w:tc>
          <w:tcPr>
            <w:tcW w:w="600" w:type="dxa"/>
            <w:shd w:val="clear" w:color="auto" w:fill="auto"/>
          </w:tcPr>
          <w:p w:rsidR="00025E58" w:rsidRPr="005C45BA" w:rsidRDefault="00025E58" w:rsidP="00E756A6">
            <w:pPr>
              <w:jc w:val="center"/>
              <w:rPr>
                <w:b/>
                <w:sz w:val="20"/>
                <w:szCs w:val="20"/>
                <w:lang w:val="bg-BG"/>
              </w:rPr>
            </w:pPr>
            <w:r w:rsidRPr="005C45BA">
              <w:rPr>
                <w:b/>
                <w:sz w:val="20"/>
                <w:szCs w:val="20"/>
                <w:lang w:val="bg-BG"/>
              </w:rPr>
              <w:t>№</w:t>
            </w:r>
          </w:p>
        </w:tc>
        <w:tc>
          <w:tcPr>
            <w:tcW w:w="2112" w:type="dxa"/>
            <w:shd w:val="clear" w:color="auto" w:fill="auto"/>
          </w:tcPr>
          <w:p w:rsidR="00025E58" w:rsidRPr="005C45BA" w:rsidRDefault="00025E58" w:rsidP="00E756A6">
            <w:pPr>
              <w:jc w:val="center"/>
              <w:rPr>
                <w:b/>
                <w:sz w:val="20"/>
                <w:szCs w:val="20"/>
                <w:lang w:val="bg-BG"/>
              </w:rPr>
            </w:pPr>
            <w:r w:rsidRPr="005C45BA">
              <w:rPr>
                <w:b/>
                <w:sz w:val="20"/>
                <w:szCs w:val="20"/>
                <w:lang w:val="bg-BG"/>
              </w:rPr>
              <w:t xml:space="preserve">Рег. № на проектното предложение </w:t>
            </w:r>
          </w:p>
        </w:tc>
        <w:tc>
          <w:tcPr>
            <w:tcW w:w="2318"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кандидата</w:t>
            </w:r>
          </w:p>
        </w:tc>
        <w:tc>
          <w:tcPr>
            <w:tcW w:w="2959"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проектното предложение</w:t>
            </w:r>
          </w:p>
        </w:tc>
        <w:tc>
          <w:tcPr>
            <w:tcW w:w="5233" w:type="dxa"/>
            <w:shd w:val="clear" w:color="auto" w:fill="auto"/>
          </w:tcPr>
          <w:p w:rsidR="00025E58" w:rsidRPr="005D311A" w:rsidRDefault="00025E58" w:rsidP="00E756A6">
            <w:pPr>
              <w:jc w:val="center"/>
              <w:rPr>
                <w:b/>
                <w:sz w:val="20"/>
                <w:szCs w:val="20"/>
                <w:lang w:val="bg-BG"/>
              </w:rPr>
            </w:pPr>
            <w:r w:rsidRPr="005D311A">
              <w:rPr>
                <w:b/>
                <w:sz w:val="20"/>
                <w:szCs w:val="20"/>
                <w:lang w:val="bg-BG"/>
              </w:rPr>
              <w:t>Основание за отхвърляне</w:t>
            </w:r>
          </w:p>
          <w:p w:rsidR="00025E58" w:rsidRPr="00877A5F" w:rsidRDefault="00025E58" w:rsidP="00E756A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25E58" w:rsidRPr="00E76FC7" w:rsidTr="00C171C9">
        <w:tc>
          <w:tcPr>
            <w:tcW w:w="600" w:type="dxa"/>
            <w:shd w:val="clear" w:color="auto" w:fill="auto"/>
          </w:tcPr>
          <w:p w:rsidR="00025E58" w:rsidRPr="005C45BA" w:rsidRDefault="00025E58" w:rsidP="00E756A6">
            <w:pPr>
              <w:jc w:val="center"/>
              <w:rPr>
                <w:b/>
                <w:lang w:val="bg-BG"/>
              </w:rPr>
            </w:pPr>
          </w:p>
          <w:p w:rsidR="00025E58" w:rsidRPr="005C45BA" w:rsidRDefault="00025E58" w:rsidP="00E756A6">
            <w:pPr>
              <w:jc w:val="center"/>
              <w:rPr>
                <w:b/>
                <w:lang w:val="bg-BG"/>
              </w:rPr>
            </w:pPr>
            <w:r w:rsidRPr="005C45BA">
              <w:rPr>
                <w:b/>
                <w:lang w:val="bg-BG"/>
              </w:rPr>
              <w:t>1.</w:t>
            </w:r>
          </w:p>
          <w:p w:rsidR="00025E58" w:rsidRPr="005C45BA" w:rsidRDefault="00025E58" w:rsidP="00E756A6">
            <w:pPr>
              <w:jc w:val="center"/>
              <w:rPr>
                <w:b/>
                <w:lang w:val="bg-BG"/>
              </w:rPr>
            </w:pPr>
          </w:p>
        </w:tc>
        <w:tc>
          <w:tcPr>
            <w:tcW w:w="2112" w:type="dxa"/>
            <w:shd w:val="clear" w:color="auto" w:fill="auto"/>
          </w:tcPr>
          <w:p w:rsidR="00025E58" w:rsidRPr="005C45BA" w:rsidRDefault="00025E58" w:rsidP="00E756A6">
            <w:pPr>
              <w:jc w:val="center"/>
              <w:rPr>
                <w:b/>
                <w:lang w:val="bg-BG"/>
              </w:rPr>
            </w:pPr>
          </w:p>
          <w:p w:rsidR="00025E58" w:rsidRPr="005C45BA" w:rsidRDefault="007430E8" w:rsidP="0033082C">
            <w:pPr>
              <w:jc w:val="center"/>
              <w:rPr>
                <w:b/>
                <w:lang w:val="bg-BG"/>
              </w:rPr>
            </w:pPr>
            <w:r w:rsidRPr="007430E8">
              <w:rPr>
                <w:b/>
                <w:lang w:val="bg-BG"/>
              </w:rPr>
              <w:t>BG14MFOP001-2.020-0005</w:t>
            </w:r>
          </w:p>
        </w:tc>
        <w:tc>
          <w:tcPr>
            <w:tcW w:w="2318" w:type="dxa"/>
            <w:shd w:val="clear" w:color="auto" w:fill="auto"/>
          </w:tcPr>
          <w:p w:rsidR="00025E58" w:rsidRPr="005C45BA" w:rsidRDefault="00025E58" w:rsidP="00E756A6">
            <w:pPr>
              <w:jc w:val="center"/>
              <w:rPr>
                <w:b/>
                <w:lang w:val="bg-BG"/>
              </w:rPr>
            </w:pPr>
          </w:p>
          <w:p w:rsidR="00025E58" w:rsidRPr="00AF27A9" w:rsidRDefault="0085198C" w:rsidP="007430E8">
            <w:pPr>
              <w:jc w:val="center"/>
              <w:rPr>
                <w:b/>
                <w:lang w:val="bg-BG"/>
              </w:rPr>
            </w:pPr>
            <w:r w:rsidRPr="00AF27A9">
              <w:rPr>
                <w:b/>
                <w:lang w:val="bg-BG"/>
              </w:rPr>
              <w:t>„</w:t>
            </w:r>
            <w:r w:rsidR="007430E8">
              <w:rPr>
                <w:b/>
                <w:lang w:val="bg-BG"/>
              </w:rPr>
              <w:t>ИНТЕР ФИНАНС ДИВЕЛОПМЪНТ</w:t>
            </w:r>
            <w:r w:rsidR="00AF27A9" w:rsidRPr="00AF27A9">
              <w:rPr>
                <w:b/>
                <w:lang w:val="bg-BG"/>
              </w:rPr>
              <w:t>“</w:t>
            </w:r>
            <w:r w:rsidRPr="00AF27A9">
              <w:rPr>
                <w:b/>
                <w:lang w:val="bg-BG"/>
              </w:rPr>
              <w:t xml:space="preserve"> </w:t>
            </w:r>
            <w:r w:rsidR="007430E8">
              <w:rPr>
                <w:b/>
                <w:lang w:val="bg-BG"/>
              </w:rPr>
              <w:t>АД</w:t>
            </w:r>
          </w:p>
        </w:tc>
        <w:tc>
          <w:tcPr>
            <w:tcW w:w="2959" w:type="dxa"/>
            <w:shd w:val="clear" w:color="auto" w:fill="auto"/>
          </w:tcPr>
          <w:p w:rsidR="007430E8" w:rsidRDefault="007430E8" w:rsidP="000D421C">
            <w:pPr>
              <w:jc w:val="both"/>
              <w:rPr>
                <w:lang w:val="bg-BG"/>
              </w:rPr>
            </w:pPr>
          </w:p>
          <w:p w:rsidR="00025E58" w:rsidRPr="005C45BA" w:rsidRDefault="0093219F" w:rsidP="000D421C">
            <w:pPr>
              <w:jc w:val="both"/>
              <w:rPr>
                <w:lang w:val="bg-BG"/>
              </w:rPr>
            </w:pPr>
            <w:r w:rsidRPr="0093219F">
              <w:rPr>
                <w:lang w:val="bg-BG"/>
              </w:rPr>
              <w:t>„</w:t>
            </w:r>
            <w:r w:rsidR="007430E8" w:rsidRPr="007430E8">
              <w:rPr>
                <w:lang w:val="bg-BG"/>
              </w:rPr>
              <w:t xml:space="preserve">Рибовъдно стопанство за отглеждане на риба в </w:t>
            </w:r>
            <w:proofErr w:type="spellStart"/>
            <w:r w:rsidR="007430E8" w:rsidRPr="007430E8">
              <w:rPr>
                <w:lang w:val="bg-BG"/>
              </w:rPr>
              <w:t>садки</w:t>
            </w:r>
            <w:proofErr w:type="spellEnd"/>
            <w:r w:rsidR="007430E8" w:rsidRPr="007430E8">
              <w:rPr>
                <w:lang w:val="bg-BG"/>
              </w:rPr>
              <w:t xml:space="preserve"> в язовир „Каменец</w:t>
            </w:r>
            <w:r w:rsidRPr="0093219F">
              <w:rPr>
                <w:lang w:val="bg-BG"/>
              </w:rPr>
              <w:t>“</w:t>
            </w:r>
          </w:p>
        </w:tc>
        <w:tc>
          <w:tcPr>
            <w:tcW w:w="5233" w:type="dxa"/>
            <w:shd w:val="clear" w:color="auto" w:fill="auto"/>
          </w:tcPr>
          <w:p w:rsidR="007430E8" w:rsidRPr="009652DC" w:rsidRDefault="007430E8" w:rsidP="007430E8">
            <w:pPr>
              <w:jc w:val="both"/>
              <w:rPr>
                <w:lang w:val="bg-BG"/>
              </w:rPr>
            </w:pPr>
            <w:r w:rsidRPr="009652DC">
              <w:rPr>
                <w:lang w:val="bg-BG"/>
              </w:rPr>
              <w:t>След извършване на оценка за административно съответствие и допустимост на проектно предложение № BG14MFOP001-</w:t>
            </w:r>
            <w:r>
              <w:rPr>
                <w:lang w:val="bg-BG"/>
              </w:rPr>
              <w:t>2.</w:t>
            </w:r>
            <w:r w:rsidRPr="009652DC">
              <w:rPr>
                <w:lang w:val="bg-BG"/>
              </w:rPr>
              <w:t>0</w:t>
            </w:r>
            <w:r>
              <w:rPr>
                <w:lang w:val="bg-BG"/>
              </w:rPr>
              <w:t>20</w:t>
            </w:r>
            <w:r w:rsidRPr="009652DC">
              <w:rPr>
                <w:lang w:val="bg-BG"/>
              </w:rPr>
              <w:t>-000</w:t>
            </w:r>
            <w:r>
              <w:rPr>
                <w:lang w:val="bg-BG"/>
              </w:rPr>
              <w:t>5,</w:t>
            </w:r>
            <w:r w:rsidRPr="009652DC">
              <w:rPr>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w:t>
            </w:r>
            <w:r w:rsidRPr="009652DC">
              <w:rPr>
                <w:lang w:val="bg-BG"/>
              </w:rPr>
              <w:lastRenderedPageBreak/>
              <w:t>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7430E8" w:rsidRPr="009652DC" w:rsidRDefault="007430E8" w:rsidP="007430E8">
            <w:pPr>
              <w:jc w:val="both"/>
              <w:rPr>
                <w:lang w:val="bg-BG"/>
              </w:rPr>
            </w:pPr>
            <w:r w:rsidRPr="009652DC">
              <w:rPr>
                <w:lang w:val="bg-BG"/>
              </w:rPr>
              <w:t xml:space="preserve">Проектното предложение не отговаря на Критерий № </w:t>
            </w:r>
            <w:r>
              <w:rPr>
                <w:lang w:val="bg-BG"/>
              </w:rPr>
              <w:t>2</w:t>
            </w:r>
            <w:r w:rsidRPr="009652DC">
              <w:rPr>
                <w:lang w:val="bg-BG"/>
              </w:rPr>
              <w:t xml:space="preserve"> „Налице са всички изискуеми документи и са попълнени съгласн</w:t>
            </w:r>
            <w:r>
              <w:rPr>
                <w:lang w:val="bg-BG"/>
              </w:rPr>
              <w:t>о изискванията, посочени в т. 24</w:t>
            </w:r>
            <w:r w:rsidRPr="009652DC">
              <w:rPr>
                <w:lang w:val="bg-BG"/>
              </w:rPr>
              <w:t xml:space="preserve">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BG14MFOP001-</w:t>
            </w:r>
            <w:r>
              <w:rPr>
                <w:lang w:val="bg-BG"/>
              </w:rPr>
              <w:t>2</w:t>
            </w:r>
            <w:r w:rsidRPr="009652DC">
              <w:rPr>
                <w:lang w:val="bg-BG"/>
              </w:rPr>
              <w:t>.0</w:t>
            </w:r>
            <w:r>
              <w:rPr>
                <w:lang w:val="bg-BG"/>
              </w:rPr>
              <w:t xml:space="preserve">20 </w:t>
            </w:r>
            <w:r w:rsidRPr="003670E4">
              <w:rPr>
                <w:lang w:val="bg-BG"/>
              </w:rPr>
              <w:t xml:space="preserve">„Продуктивни инвестиции в </w:t>
            </w:r>
            <w:proofErr w:type="spellStart"/>
            <w:r w:rsidRPr="003670E4">
              <w:rPr>
                <w:lang w:val="bg-BG"/>
              </w:rPr>
              <w:t>аквакулту</w:t>
            </w:r>
            <w:r>
              <w:rPr>
                <w:lang w:val="bg-BG"/>
              </w:rPr>
              <w:t>рите</w:t>
            </w:r>
            <w:proofErr w:type="spellEnd"/>
            <w:r>
              <w:rPr>
                <w:lang w:val="bg-BG"/>
              </w:rPr>
              <w:t>“, сектор “Малки проекти”, м</w:t>
            </w:r>
            <w:r w:rsidRPr="003670E4">
              <w:rPr>
                <w:lang w:val="bg-BG"/>
              </w:rPr>
              <w:t xml:space="preserve">ярка 2.2  „Продуктивни инвестиции в </w:t>
            </w:r>
            <w:proofErr w:type="spellStart"/>
            <w:r w:rsidRPr="003670E4">
              <w:rPr>
                <w:lang w:val="bg-BG"/>
              </w:rPr>
              <w:t>аквакултурите</w:t>
            </w:r>
            <w:proofErr w:type="spellEnd"/>
            <w:r w:rsidRPr="003670E4">
              <w:rPr>
                <w:lang w:val="bg-BG"/>
              </w:rPr>
              <w:t>“</w:t>
            </w:r>
            <w:r w:rsidRPr="009652DC">
              <w:rPr>
                <w:lang w:val="bg-BG"/>
              </w:rPr>
              <w:t xml:space="preserve">. </w:t>
            </w:r>
          </w:p>
          <w:p w:rsidR="007430E8" w:rsidRPr="009652DC" w:rsidRDefault="007430E8" w:rsidP="007430E8">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В</w:t>
            </w:r>
            <w:r w:rsidRPr="009652DC">
              <w:rPr>
                <w:lang w:val="bg-BG"/>
              </w:rPr>
              <w:t>ъв връзка с точка 2</w:t>
            </w:r>
            <w:r>
              <w:rPr>
                <w:lang w:val="bg-BG"/>
              </w:rPr>
              <w:t>4</w:t>
            </w:r>
            <w:r w:rsidRPr="009652DC">
              <w:rPr>
                <w:lang w:val="bg-BG"/>
              </w:rPr>
              <w:t xml:space="preserve">. „Списък на документите, които се подават на етап кандидатстване“ от Условия за кандидатстване, </w:t>
            </w:r>
            <w:r>
              <w:rPr>
                <w:lang w:val="bg-BG"/>
              </w:rPr>
              <w:lastRenderedPageBreak/>
              <w:t>на 28</w:t>
            </w:r>
            <w:r w:rsidRPr="00613D3F">
              <w:rPr>
                <w:lang w:val="bg-BG"/>
              </w:rPr>
              <w:t>.1</w:t>
            </w:r>
            <w:r>
              <w:rPr>
                <w:lang w:val="bg-BG"/>
              </w:rPr>
              <w:t>1</w:t>
            </w:r>
            <w:r w:rsidRPr="00613D3F">
              <w:rPr>
                <w:lang w:val="bg-BG"/>
              </w:rPr>
              <w:t>.2022 г. чрез Модул „Комуникация“ в ИСУН 2020 е изпратено уведомление с регистрационен номер BG14MFOP001-2.020-000</w:t>
            </w:r>
            <w:r>
              <w:rPr>
                <w:lang w:val="bg-BG"/>
              </w:rPr>
              <w:t>5</w:t>
            </w:r>
            <w:r w:rsidRPr="00613D3F">
              <w:rPr>
                <w:lang w:val="bg-BG"/>
              </w:rPr>
              <w:t xml:space="preserve">-M001, с което е поискана допълнителна информация от кандидата. Указан е срок до </w:t>
            </w:r>
            <w:r>
              <w:rPr>
                <w:lang w:val="bg-BG"/>
              </w:rPr>
              <w:t>08</w:t>
            </w:r>
            <w:r w:rsidRPr="00613D3F">
              <w:rPr>
                <w:lang w:val="bg-BG"/>
              </w:rPr>
              <w:t>.1</w:t>
            </w:r>
            <w:r>
              <w:rPr>
                <w:lang w:val="bg-BG"/>
              </w:rPr>
              <w:t>2</w:t>
            </w:r>
            <w:r w:rsidRPr="00613D3F">
              <w:rPr>
                <w:lang w:val="bg-BG"/>
              </w:rPr>
              <w:t>.2022 г., в който да бъдат предоставени долуописаните липсващи документи и информация, а именно:</w:t>
            </w:r>
            <w:r w:rsidRPr="009652DC">
              <w:rPr>
                <w:lang w:val="bg-BG"/>
              </w:rPr>
              <w:t xml:space="preserve"> </w:t>
            </w:r>
          </w:p>
          <w:p w:rsidR="007430E8" w:rsidRPr="00935FFD" w:rsidRDefault="007430E8" w:rsidP="007430E8">
            <w:pPr>
              <w:numPr>
                <w:ilvl w:val="0"/>
                <w:numId w:val="7"/>
              </w:numPr>
              <w:spacing w:after="160" w:line="259" w:lineRule="auto"/>
              <w:jc w:val="both"/>
              <w:rPr>
                <w:lang w:val="bg-BG"/>
              </w:rPr>
            </w:pPr>
            <w:r w:rsidRPr="00935FFD">
              <w:rPr>
                <w:lang w:val="bg-BG"/>
              </w:rPr>
              <w:t>Във връзка с изискването на Условията за кандидатстване (УК) за определяне на пазарния потенциал и реализация на произвежданата от Вас риба, текст „Важно“ от т. 13.1: „</w:t>
            </w:r>
            <w:r w:rsidRPr="00935FFD">
              <w:rPr>
                <w:i/>
                <w:lang w:val="bg-BG"/>
              </w:rPr>
              <w:t>В съответствие с чл. 46, параграф 2 от  Регламент (ЕС) № 508/2014, безвъзмездната финансова помощ се предоставя на кандидат само ако бъде ясно доказано чрез независим маркетингов доклад, че съществуват добри и устойчиви перспективи за пазарна реализация на продукта  (Приложение №6 – Маркетингов доклад  за видовете риба и рибни продукти с много добър и добър пазарен потенциал) или допълнително представен независим маркетингов доклад с вид, който не е включен в обхвата на Приложение № 6, доказващ добри и устойчиви перспективи за пазарна реализация</w:t>
            </w:r>
            <w:r w:rsidRPr="00935FFD">
              <w:rPr>
                <w:lang w:val="bg-BG"/>
              </w:rPr>
              <w:t xml:space="preserve">“, </w:t>
            </w:r>
            <w:r>
              <w:rPr>
                <w:lang w:val="bg-BG"/>
              </w:rPr>
              <w:t>е изискан да се представи</w:t>
            </w:r>
            <w:r w:rsidRPr="00935FFD">
              <w:rPr>
                <w:lang w:val="bg-BG"/>
              </w:rPr>
              <w:t xml:space="preserve"> технологичен проект или друг еквивалентен официален документ, от който да е видно вида  на </w:t>
            </w:r>
            <w:r w:rsidRPr="00935FFD">
              <w:rPr>
                <w:lang w:val="bg-BG"/>
              </w:rPr>
              <w:lastRenderedPageBreak/>
              <w:t>рибата, която се отглежда на територията на рибното стопанство.</w:t>
            </w:r>
          </w:p>
          <w:p w:rsidR="007430E8" w:rsidRPr="00935FFD" w:rsidRDefault="007430E8" w:rsidP="007430E8">
            <w:pPr>
              <w:numPr>
                <w:ilvl w:val="0"/>
                <w:numId w:val="7"/>
              </w:numPr>
              <w:spacing w:after="160" w:line="259" w:lineRule="auto"/>
              <w:jc w:val="both"/>
              <w:rPr>
                <w:lang w:val="bg-BG"/>
              </w:rPr>
            </w:pPr>
            <w:r w:rsidRPr="00935FFD">
              <w:rPr>
                <w:lang w:val="bg-BG"/>
              </w:rPr>
              <w:t>Удостоверение за регистрация на животновъден обект от БАБХ /от съответната ОДБХ/, съгласно чл. 137 от Закона за вет</w:t>
            </w:r>
            <w:r>
              <w:rPr>
                <w:lang w:val="bg-BG"/>
              </w:rPr>
              <w:t xml:space="preserve">еринарномедицинската дейност </w:t>
            </w:r>
            <w:r w:rsidRPr="00935FFD">
              <w:rPr>
                <w:lang w:val="bg-BG"/>
              </w:rPr>
              <w:t>съгласно изискването на т. 9 от т. 24 от УК.</w:t>
            </w:r>
          </w:p>
          <w:p w:rsidR="007430E8" w:rsidRPr="00935FFD" w:rsidRDefault="007430E8" w:rsidP="007430E8">
            <w:pPr>
              <w:numPr>
                <w:ilvl w:val="0"/>
                <w:numId w:val="7"/>
              </w:numPr>
              <w:spacing w:after="160" w:line="259" w:lineRule="auto"/>
              <w:jc w:val="both"/>
              <w:rPr>
                <w:lang w:val="bg-BG"/>
              </w:rPr>
            </w:pPr>
            <w:r w:rsidRPr="00935FFD">
              <w:rPr>
                <w:lang w:val="bg-BG"/>
              </w:rPr>
              <w:t>Съгласно представената информация в раздел 1 в ИСУН 2020, както и представе</w:t>
            </w:r>
            <w:r>
              <w:rPr>
                <w:lang w:val="bg-BG"/>
              </w:rPr>
              <w:t xml:space="preserve">ното становище от РИОСВ Плевен </w:t>
            </w:r>
            <w:r w:rsidRPr="00935FFD">
              <w:rPr>
                <w:lang w:val="bg-BG"/>
              </w:rPr>
              <w:t xml:space="preserve">с настоящето проектно предложение </w:t>
            </w:r>
            <w:r>
              <w:rPr>
                <w:lang w:val="bg-BG"/>
              </w:rPr>
              <w:t>се предвижда създаването на</w:t>
            </w:r>
            <w:r w:rsidRPr="00935FFD">
              <w:rPr>
                <w:lang w:val="bg-BG"/>
              </w:rPr>
              <w:t xml:space="preserve"> ново рибовъдно стопанство</w:t>
            </w:r>
            <w:r>
              <w:rPr>
                <w:lang w:val="bg-BG"/>
              </w:rPr>
              <w:t xml:space="preserve">. Изискана е </w:t>
            </w:r>
            <w:r w:rsidRPr="00935FFD">
              <w:rPr>
                <w:lang w:val="bg-BG"/>
              </w:rPr>
              <w:t xml:space="preserve">обосновка как </w:t>
            </w:r>
            <w:r>
              <w:rPr>
                <w:lang w:val="bg-BG"/>
              </w:rPr>
              <w:t>е</w:t>
            </w:r>
            <w:r w:rsidRPr="00935FFD">
              <w:rPr>
                <w:lang w:val="bg-BG"/>
              </w:rPr>
              <w:t xml:space="preserve"> осъществява</w:t>
            </w:r>
            <w:r>
              <w:rPr>
                <w:lang w:val="bg-BG"/>
              </w:rPr>
              <w:t>л кандидата</w:t>
            </w:r>
            <w:r w:rsidRPr="00935FFD">
              <w:rPr>
                <w:lang w:val="bg-BG"/>
              </w:rPr>
              <w:t xml:space="preserve"> дейността си като рибовъдно стопанство, което е основно изискване за допустимост съгласно т. 15 от УК</w:t>
            </w:r>
            <w:r>
              <w:rPr>
                <w:lang w:val="bg-BG"/>
              </w:rPr>
              <w:t xml:space="preserve"> - </w:t>
            </w:r>
            <w:r w:rsidRPr="00935FFD">
              <w:rPr>
                <w:lang w:val="bg-BG"/>
              </w:rPr>
              <w:t>проектът е за модернизиране на съществуващи ферми, без да води до увеличаване на капацитета на стопанството.</w:t>
            </w:r>
          </w:p>
          <w:p w:rsidR="007430E8" w:rsidRPr="00935FFD" w:rsidRDefault="007430E8" w:rsidP="007430E8">
            <w:pPr>
              <w:numPr>
                <w:ilvl w:val="0"/>
                <w:numId w:val="7"/>
              </w:numPr>
              <w:spacing w:after="160" w:line="259" w:lineRule="auto"/>
              <w:jc w:val="both"/>
              <w:rPr>
                <w:lang w:val="bg-BG"/>
              </w:rPr>
            </w:pPr>
            <w:r w:rsidRPr="00935FFD">
              <w:rPr>
                <w:lang w:val="bg-BG"/>
              </w:rPr>
              <w:t>Основно изискване за допустимост съгласно т. 15 от УК е проектът за модернизиране на съще</w:t>
            </w:r>
            <w:r>
              <w:rPr>
                <w:lang w:val="bg-BG"/>
              </w:rPr>
              <w:t xml:space="preserve">ствуващи ферми </w:t>
            </w:r>
            <w:r w:rsidRPr="00935FFD">
              <w:rPr>
                <w:lang w:val="bg-BG"/>
              </w:rPr>
              <w:t xml:space="preserve">да не води до увеличаване на капацитета на стопанството. </w:t>
            </w:r>
            <w:r>
              <w:rPr>
                <w:lang w:val="bg-BG"/>
              </w:rPr>
              <w:t>Изискано е обяснение за</w:t>
            </w:r>
            <w:r w:rsidRPr="00935FFD">
              <w:rPr>
                <w:lang w:val="bg-BG"/>
              </w:rPr>
              <w:t xml:space="preserve"> липсата на „увеличаване на капацитета на стопанството“ в </w:t>
            </w:r>
            <w:r w:rsidRPr="00935FFD">
              <w:rPr>
                <w:lang w:val="bg-BG"/>
              </w:rPr>
              <w:lastRenderedPageBreak/>
              <w:t xml:space="preserve">заложените индикатори „Промяна в нетната печалба“ и „Промяна в стойността на продукцията от </w:t>
            </w:r>
            <w:proofErr w:type="spellStart"/>
            <w:r w:rsidRPr="00935FFD">
              <w:rPr>
                <w:lang w:val="bg-BG"/>
              </w:rPr>
              <w:t>аквакултури</w:t>
            </w:r>
            <w:proofErr w:type="spellEnd"/>
            <w:r w:rsidRPr="00935FFD">
              <w:rPr>
                <w:lang w:val="bg-BG"/>
              </w:rPr>
              <w:t>“.</w:t>
            </w:r>
          </w:p>
          <w:p w:rsidR="007430E8" w:rsidRPr="00935FFD" w:rsidRDefault="007430E8" w:rsidP="007430E8">
            <w:pPr>
              <w:numPr>
                <w:ilvl w:val="0"/>
                <w:numId w:val="7"/>
              </w:numPr>
              <w:spacing w:after="160" w:line="259" w:lineRule="auto"/>
              <w:jc w:val="both"/>
              <w:rPr>
                <w:lang w:val="bg-BG"/>
              </w:rPr>
            </w:pPr>
            <w:r w:rsidRPr="00935FFD">
              <w:rPr>
                <w:lang w:val="bg-BG"/>
              </w:rPr>
              <w:t>Съгласно УК, раздел 13: „</w:t>
            </w:r>
            <w:r w:rsidRPr="00935FFD">
              <w:rPr>
                <w:i/>
                <w:lang w:val="bg-BG"/>
              </w:rPr>
              <w:t>В проектното предложение (ПП) следва да е налице логична връзка и съответствие между цели и нужди, както и между цели и дейности</w:t>
            </w:r>
            <w:r w:rsidRPr="00935FFD">
              <w:rPr>
                <w:lang w:val="bg-BG"/>
              </w:rPr>
              <w:t xml:space="preserve">“. </w:t>
            </w:r>
            <w:r>
              <w:rPr>
                <w:lang w:val="bg-BG"/>
              </w:rPr>
              <w:t>Изискана е</w:t>
            </w:r>
            <w:r w:rsidRPr="00935FFD">
              <w:rPr>
                <w:lang w:val="bg-BG"/>
              </w:rPr>
              <w:t xml:space="preserve"> обосновка, от която да става ясно каква е необходимостта от извършване на заявените разходи, както и каква е връзката им с целите на мярката и дейността на </w:t>
            </w:r>
            <w:proofErr w:type="spellStart"/>
            <w:r>
              <w:rPr>
                <w:lang w:val="bg-BG"/>
              </w:rPr>
              <w:t>кандидатсващото</w:t>
            </w:r>
            <w:proofErr w:type="spellEnd"/>
            <w:r w:rsidRPr="00935FFD">
              <w:rPr>
                <w:lang w:val="bg-BG"/>
              </w:rPr>
              <w:t xml:space="preserve"> дружество.</w:t>
            </w:r>
          </w:p>
          <w:p w:rsidR="007430E8" w:rsidRPr="00935FFD" w:rsidRDefault="007430E8" w:rsidP="007430E8">
            <w:pPr>
              <w:numPr>
                <w:ilvl w:val="0"/>
                <w:numId w:val="7"/>
              </w:numPr>
              <w:spacing w:after="160" w:line="259" w:lineRule="auto"/>
              <w:jc w:val="both"/>
              <w:rPr>
                <w:lang w:val="bg-BG"/>
              </w:rPr>
            </w:pPr>
            <w:r w:rsidRPr="00935FFD">
              <w:rPr>
                <w:lang w:val="bg-BG"/>
              </w:rPr>
              <w:t>Годишен финансов отчет за последните 3 (три) финансови години 2019, 2020, 2021 - прикачен в ИСУН 2020.</w:t>
            </w:r>
          </w:p>
          <w:p w:rsidR="007430E8" w:rsidRPr="00935FFD" w:rsidRDefault="007430E8" w:rsidP="007430E8">
            <w:pPr>
              <w:ind w:left="426"/>
              <w:jc w:val="both"/>
              <w:rPr>
                <w:b/>
                <w:i/>
                <w:lang w:val="bg-BG"/>
              </w:rPr>
            </w:pPr>
            <w:r w:rsidRPr="00935FFD">
              <w:rPr>
                <w:b/>
                <w:i/>
                <w:lang w:val="bg-BG"/>
              </w:rPr>
              <w:t xml:space="preserve">Документът е задължителен за всички кандидати, които са с основна дейност от </w:t>
            </w:r>
            <w:proofErr w:type="spellStart"/>
            <w:r w:rsidRPr="00935FFD">
              <w:rPr>
                <w:b/>
                <w:i/>
                <w:lang w:val="bg-BG"/>
              </w:rPr>
              <w:t>аквакултура</w:t>
            </w:r>
            <w:proofErr w:type="spellEnd"/>
            <w:r w:rsidRPr="00935FFD">
              <w:rPr>
                <w:b/>
                <w:i/>
                <w:lang w:val="bg-BG"/>
              </w:rPr>
              <w:t xml:space="preserve"> над 50% за всяка една от предходните 3/три/ финансови години </w:t>
            </w:r>
          </w:p>
          <w:p w:rsidR="007430E8" w:rsidRPr="00935FFD" w:rsidRDefault="007430E8" w:rsidP="007430E8">
            <w:pPr>
              <w:jc w:val="both"/>
              <w:rPr>
                <w:lang w:val="bg-BG"/>
              </w:rPr>
            </w:pPr>
            <w:r w:rsidRPr="00935FFD">
              <w:rPr>
                <w:lang w:val="bg-BG"/>
              </w:rPr>
              <w:t xml:space="preserve">или </w:t>
            </w:r>
          </w:p>
          <w:p w:rsidR="007430E8" w:rsidRPr="00935FFD" w:rsidRDefault="007430E8" w:rsidP="007430E8">
            <w:pPr>
              <w:ind w:firstLine="426"/>
              <w:jc w:val="both"/>
              <w:rPr>
                <w:lang w:val="bg-BG"/>
              </w:rPr>
            </w:pPr>
            <w:r w:rsidRPr="00935FFD">
              <w:rPr>
                <w:lang w:val="bg-BG"/>
              </w:rPr>
              <w:t xml:space="preserve">Годишен финансов отчет за последната финансова година, за кандидати, собственици на съществуващи стопанства, а когато кандидатът е </w:t>
            </w:r>
            <w:proofErr w:type="spellStart"/>
            <w:r w:rsidRPr="00935FFD">
              <w:rPr>
                <w:lang w:val="bg-BG"/>
              </w:rPr>
              <w:t>новорегистриран</w:t>
            </w:r>
            <w:proofErr w:type="spellEnd"/>
            <w:r w:rsidRPr="00935FFD">
              <w:rPr>
                <w:lang w:val="bg-BG"/>
              </w:rPr>
              <w:t xml:space="preserve">/новосъздаден се предоставят документи за периода от регистрацията на кандидата до момента на </w:t>
            </w:r>
            <w:r w:rsidRPr="00935FFD">
              <w:rPr>
                <w:lang w:val="bg-BG"/>
              </w:rPr>
              <w:lastRenderedPageBreak/>
              <w:t xml:space="preserve">кандидатстване. Документът следва да е прикачен в ИСУН 2020. </w:t>
            </w:r>
          </w:p>
          <w:p w:rsidR="007430E8" w:rsidRPr="00935FFD" w:rsidRDefault="007430E8" w:rsidP="007430E8">
            <w:pPr>
              <w:ind w:left="426"/>
              <w:jc w:val="both"/>
              <w:rPr>
                <w:lang w:val="bg-BG"/>
              </w:rPr>
            </w:pPr>
            <w:r w:rsidRPr="00935FFD">
              <w:rPr>
                <w:b/>
                <w:i/>
                <w:lang w:val="bg-BG"/>
              </w:rPr>
              <w:t>Документът е задължителен за всички проектни предложения, различни от горецитираните</w:t>
            </w:r>
            <w:r w:rsidRPr="00935FFD">
              <w:rPr>
                <w:lang w:val="bg-BG"/>
              </w:rPr>
              <w:t>.</w:t>
            </w:r>
          </w:p>
          <w:p w:rsidR="007430E8" w:rsidRPr="00935FFD" w:rsidRDefault="007430E8" w:rsidP="007430E8">
            <w:pPr>
              <w:numPr>
                <w:ilvl w:val="0"/>
                <w:numId w:val="7"/>
              </w:numPr>
              <w:spacing w:after="160" w:line="259" w:lineRule="auto"/>
              <w:jc w:val="both"/>
              <w:rPr>
                <w:lang w:val="bg-BG"/>
              </w:rPr>
            </w:pPr>
            <w:r>
              <w:rPr>
                <w:lang w:val="bg-BG"/>
              </w:rPr>
              <w:t>С</w:t>
            </w:r>
            <w:r w:rsidRPr="00935FFD">
              <w:rPr>
                <w:lang w:val="bg-BG"/>
              </w:rPr>
              <w:t>правка за приходите и разходите по видове и икономически дейности за последните 3 /три/ финансови години 2019 г., 2020 г., 2021 г. в съответствие с изискването на т. 7 от т. 24 от УК.</w:t>
            </w:r>
          </w:p>
          <w:p w:rsidR="007430E8" w:rsidRPr="00935FFD" w:rsidRDefault="007430E8" w:rsidP="007430E8">
            <w:pPr>
              <w:ind w:left="426"/>
              <w:jc w:val="both"/>
              <w:rPr>
                <w:lang w:val="bg-BG"/>
              </w:rPr>
            </w:pPr>
            <w:r w:rsidRPr="00935FFD">
              <w:rPr>
                <w:b/>
                <w:i/>
                <w:lang w:val="bg-BG"/>
              </w:rPr>
              <w:t xml:space="preserve">Документът е задължителен за всички кандидати, които са с основна дейност от </w:t>
            </w:r>
            <w:proofErr w:type="spellStart"/>
            <w:r w:rsidRPr="00935FFD">
              <w:rPr>
                <w:b/>
                <w:i/>
                <w:lang w:val="bg-BG"/>
              </w:rPr>
              <w:t>аквакултура</w:t>
            </w:r>
            <w:proofErr w:type="spellEnd"/>
            <w:r w:rsidRPr="00935FFD">
              <w:rPr>
                <w:b/>
                <w:i/>
                <w:lang w:val="bg-BG"/>
              </w:rPr>
              <w:t xml:space="preserve"> над 50% за предходните 3/три/ финансови години</w:t>
            </w:r>
            <w:r w:rsidRPr="00935FFD">
              <w:rPr>
                <w:lang w:val="bg-BG"/>
              </w:rPr>
              <w:t>.</w:t>
            </w:r>
          </w:p>
          <w:p w:rsidR="007430E8" w:rsidRPr="00935FFD" w:rsidRDefault="007430E8" w:rsidP="007430E8">
            <w:pPr>
              <w:numPr>
                <w:ilvl w:val="0"/>
                <w:numId w:val="7"/>
              </w:numPr>
              <w:spacing w:after="160" w:line="259" w:lineRule="auto"/>
              <w:jc w:val="both"/>
              <w:rPr>
                <w:i/>
                <w:lang w:val="bg-BG"/>
              </w:rPr>
            </w:pPr>
            <w:r w:rsidRPr="00935FFD">
              <w:rPr>
                <w:lang w:val="bg-BG"/>
              </w:rPr>
              <w:t>Съгласно УК, т. 6: „</w:t>
            </w:r>
            <w:r w:rsidRPr="00935FFD">
              <w:rPr>
                <w:i/>
                <w:lang w:val="bg-BG"/>
              </w:rPr>
              <w:t>Чрез прилагане на тези дейности се цели:</w:t>
            </w:r>
          </w:p>
          <w:p w:rsidR="007430E8" w:rsidRPr="00935FFD" w:rsidRDefault="007430E8" w:rsidP="007430E8">
            <w:pPr>
              <w:numPr>
                <w:ilvl w:val="0"/>
                <w:numId w:val="8"/>
              </w:numPr>
              <w:spacing w:after="160" w:line="259" w:lineRule="auto"/>
              <w:jc w:val="both"/>
              <w:rPr>
                <w:i/>
                <w:lang w:val="bg-BG"/>
              </w:rPr>
            </w:pPr>
            <w:r w:rsidRPr="00935FFD">
              <w:rPr>
                <w:i/>
                <w:lang w:val="bg-BG"/>
              </w:rPr>
              <w:t xml:space="preserve"> модернизиране на съществуващите стопанства; </w:t>
            </w:r>
          </w:p>
          <w:p w:rsidR="007430E8" w:rsidRPr="00935FFD" w:rsidRDefault="007430E8" w:rsidP="007430E8">
            <w:pPr>
              <w:numPr>
                <w:ilvl w:val="0"/>
                <w:numId w:val="8"/>
              </w:numPr>
              <w:spacing w:after="160" w:line="259" w:lineRule="auto"/>
              <w:jc w:val="both"/>
              <w:rPr>
                <w:lang w:val="bg-BG"/>
              </w:rPr>
            </w:pPr>
            <w:r w:rsidRPr="00935FFD">
              <w:rPr>
                <w:i/>
                <w:lang w:val="bg-BG"/>
              </w:rPr>
              <w:t>подобряване на производствените характеристики на стопанството, които не водят до увеличаване на капацитета на производството</w:t>
            </w:r>
            <w:r w:rsidRPr="00935FFD">
              <w:rPr>
                <w:lang w:val="bg-BG"/>
              </w:rPr>
              <w:t>“.</w:t>
            </w:r>
          </w:p>
          <w:p w:rsidR="007430E8" w:rsidRPr="00935FFD" w:rsidRDefault="007430E8" w:rsidP="007430E8">
            <w:pPr>
              <w:ind w:firstLine="426"/>
              <w:jc w:val="both"/>
              <w:rPr>
                <w:lang w:val="bg-BG"/>
              </w:rPr>
            </w:pPr>
            <w:r w:rsidRPr="00935FFD">
              <w:rPr>
                <w:lang w:val="bg-BG"/>
              </w:rPr>
              <w:t>След извършена служебна справка, е установено, че за 2019 г., 2020 г. и 2021 г. дружеството</w:t>
            </w:r>
            <w:r>
              <w:rPr>
                <w:lang w:val="bg-BG"/>
              </w:rPr>
              <w:t xml:space="preserve"> „Интер </w:t>
            </w:r>
            <w:proofErr w:type="spellStart"/>
            <w:r>
              <w:rPr>
                <w:lang w:val="bg-BG"/>
              </w:rPr>
              <w:t>финанс</w:t>
            </w:r>
            <w:proofErr w:type="spellEnd"/>
            <w:r>
              <w:rPr>
                <w:lang w:val="bg-BG"/>
              </w:rPr>
              <w:t xml:space="preserve"> </w:t>
            </w:r>
            <w:proofErr w:type="spellStart"/>
            <w:r>
              <w:rPr>
                <w:lang w:val="bg-BG"/>
              </w:rPr>
              <w:t>дивелопмънт</w:t>
            </w:r>
            <w:proofErr w:type="spellEnd"/>
            <w:r w:rsidRPr="00285251">
              <w:rPr>
                <w:lang w:val="bg-BG"/>
              </w:rPr>
              <w:t xml:space="preserve">“ </w:t>
            </w:r>
            <w:r>
              <w:rPr>
                <w:lang w:val="bg-BG"/>
              </w:rPr>
              <w:t>А</w:t>
            </w:r>
            <w:r w:rsidRPr="00285251">
              <w:rPr>
                <w:lang w:val="bg-BG"/>
              </w:rPr>
              <w:t>Д</w:t>
            </w:r>
            <w:r w:rsidRPr="00935FFD">
              <w:rPr>
                <w:lang w:val="bg-BG"/>
              </w:rPr>
              <w:t xml:space="preserve"> не е осъществявало дейност. </w:t>
            </w:r>
            <w:r>
              <w:rPr>
                <w:lang w:val="bg-BG"/>
              </w:rPr>
              <w:t>Изискана е</w:t>
            </w:r>
            <w:r w:rsidRPr="00935FFD">
              <w:rPr>
                <w:lang w:val="bg-BG"/>
              </w:rPr>
              <w:t xml:space="preserve"> мотивирана обосновка за установеното несъответствие и недопустимост съгласно УК.</w:t>
            </w:r>
          </w:p>
          <w:p w:rsidR="007430E8" w:rsidRPr="00935FFD" w:rsidRDefault="007430E8" w:rsidP="007430E8">
            <w:pPr>
              <w:numPr>
                <w:ilvl w:val="0"/>
                <w:numId w:val="7"/>
              </w:numPr>
              <w:spacing w:after="160" w:line="259" w:lineRule="auto"/>
              <w:jc w:val="both"/>
              <w:rPr>
                <w:lang w:val="bg-BG"/>
              </w:rPr>
            </w:pPr>
            <w:r w:rsidRPr="00935FFD">
              <w:rPr>
                <w:lang w:val="bg-BG"/>
              </w:rPr>
              <w:t xml:space="preserve">Отчет за заетите лица, средствата за работна заплата и други разходи за труд </w:t>
            </w:r>
            <w:r w:rsidRPr="00935FFD">
              <w:rPr>
                <w:lang w:val="bg-BG"/>
              </w:rPr>
              <w:lastRenderedPageBreak/>
              <w:t xml:space="preserve">за последната финансова година, а когато кандидатът е </w:t>
            </w:r>
            <w:proofErr w:type="spellStart"/>
            <w:r w:rsidRPr="00935FFD">
              <w:rPr>
                <w:lang w:val="bg-BG"/>
              </w:rPr>
              <w:t>новорегистриран</w:t>
            </w:r>
            <w:proofErr w:type="spellEnd"/>
            <w:r w:rsidRPr="00935FFD">
              <w:rPr>
                <w:lang w:val="bg-BG"/>
              </w:rPr>
              <w:t>/новосъздаден се предоставят документи за периода от регистрацията на кандидата до момента на кандидатстване съгласно изискването, посочено в т. 8 от т. 24 от УК.</w:t>
            </w:r>
          </w:p>
          <w:p w:rsidR="007430E8" w:rsidRPr="00935FFD" w:rsidRDefault="007430E8" w:rsidP="007430E8">
            <w:pPr>
              <w:numPr>
                <w:ilvl w:val="0"/>
                <w:numId w:val="7"/>
              </w:numPr>
              <w:spacing w:after="160" w:line="259" w:lineRule="auto"/>
              <w:jc w:val="both"/>
              <w:rPr>
                <w:lang w:val="bg-BG"/>
              </w:rPr>
            </w:pPr>
            <w:r w:rsidRPr="00935FFD">
              <w:rPr>
                <w:lang w:val="bg-BG"/>
              </w:rPr>
              <w:t>Във връзка с изискването в УК за всички предварителни разходи по т. 14.1.3,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w:t>
            </w:r>
            <w:r>
              <w:rPr>
                <w:lang w:val="bg-BG"/>
              </w:rPr>
              <w:t>бивка на разходите по дейности, както и д</w:t>
            </w:r>
            <w:r w:rsidRPr="00935FFD">
              <w:rPr>
                <w:lang w:val="bg-BG"/>
              </w:rPr>
              <w:t>екларация, подписана от счетоводителя и от лицето, представляващо по закон оферента във връзка с изискване за доказване на специфичен оборот от двамата оференти.</w:t>
            </w:r>
            <w:r>
              <w:rPr>
                <w:lang w:val="bg-BG"/>
              </w:rPr>
              <w:t xml:space="preserve"> Изискани са описаните задължително изискуеми документи.</w:t>
            </w:r>
          </w:p>
          <w:p w:rsidR="007430E8" w:rsidRPr="00935FFD" w:rsidRDefault="007430E8" w:rsidP="007430E8">
            <w:pPr>
              <w:numPr>
                <w:ilvl w:val="0"/>
                <w:numId w:val="7"/>
              </w:numPr>
              <w:spacing w:after="160" w:line="259" w:lineRule="auto"/>
              <w:jc w:val="both"/>
              <w:rPr>
                <w:lang w:val="bg-BG"/>
              </w:rPr>
            </w:pPr>
            <w:r w:rsidRPr="00935FFD">
              <w:rPr>
                <w:lang w:val="bg-BG"/>
              </w:rPr>
              <w:t>Представения</w:t>
            </w:r>
            <w:r>
              <w:rPr>
                <w:lang w:val="bg-BG"/>
              </w:rPr>
              <w:t>т</w:t>
            </w:r>
            <w:r w:rsidRPr="00935FFD">
              <w:rPr>
                <w:lang w:val="bg-BG"/>
              </w:rPr>
              <w:t xml:space="preserve"> договор за консултантски услуги е на стойност 5 000,00 лева, сума която не съответства на заложената в бюджета на проекта в </w:t>
            </w:r>
            <w:r w:rsidRPr="00935FFD">
              <w:rPr>
                <w:lang w:val="bg-BG"/>
              </w:rPr>
              <w:lastRenderedPageBreak/>
              <w:t xml:space="preserve">ИСУН 2020. </w:t>
            </w:r>
            <w:r>
              <w:rPr>
                <w:lang w:val="bg-BG"/>
              </w:rPr>
              <w:t>Изискано е обяснение за</w:t>
            </w:r>
            <w:r w:rsidRPr="00935FFD">
              <w:rPr>
                <w:lang w:val="bg-BG"/>
              </w:rPr>
              <w:t xml:space="preserve"> установеното несъответствие.</w:t>
            </w:r>
          </w:p>
          <w:p w:rsidR="007430E8" w:rsidRPr="00935FFD" w:rsidRDefault="007430E8" w:rsidP="007430E8">
            <w:pPr>
              <w:numPr>
                <w:ilvl w:val="0"/>
                <w:numId w:val="7"/>
              </w:numPr>
              <w:spacing w:after="160" w:line="259" w:lineRule="auto"/>
              <w:jc w:val="both"/>
              <w:rPr>
                <w:lang w:val="bg-BG"/>
              </w:rPr>
            </w:pPr>
            <w:r>
              <w:rPr>
                <w:lang w:val="bg-BG"/>
              </w:rPr>
              <w:t>П</w:t>
            </w:r>
            <w:r w:rsidRPr="00935FFD">
              <w:rPr>
                <w:lang w:val="bg-BG"/>
              </w:rPr>
              <w:t>одписан Договор за консултантски услуги и от страна на възложителя. Подписано е само Приложението към договора.</w:t>
            </w:r>
          </w:p>
          <w:p w:rsidR="007430E8" w:rsidRPr="00935FFD" w:rsidRDefault="007430E8" w:rsidP="007430E8">
            <w:pPr>
              <w:numPr>
                <w:ilvl w:val="0"/>
                <w:numId w:val="7"/>
              </w:numPr>
              <w:spacing w:after="160" w:line="259" w:lineRule="auto"/>
              <w:jc w:val="both"/>
              <w:rPr>
                <w:lang w:val="bg-BG"/>
              </w:rPr>
            </w:pPr>
            <w:r w:rsidRPr="00935FFD">
              <w:rPr>
                <w:lang w:val="bg-BG"/>
              </w:rPr>
              <w:t xml:space="preserve">Съгласно УК, оборотът, който се декларира в справката-декларация на оферентите, трябва да се докаже с копия на финансови и счетоводни документи, които се прилагат към справката- декларация. </w:t>
            </w:r>
            <w:r>
              <w:rPr>
                <w:lang w:val="bg-BG"/>
              </w:rPr>
              <w:t>Изискано е представянето на</w:t>
            </w:r>
            <w:r w:rsidRPr="00935FFD">
              <w:rPr>
                <w:lang w:val="bg-BG"/>
              </w:rPr>
              <w:t xml:space="preserve"> доказателства за декларирания специфичен оборот от всички оференти - фактури, годишни данъчни декларации, договори и др.</w:t>
            </w:r>
          </w:p>
          <w:p w:rsidR="007430E8" w:rsidRPr="00935FFD" w:rsidRDefault="007430E8" w:rsidP="007430E8">
            <w:pPr>
              <w:numPr>
                <w:ilvl w:val="0"/>
                <w:numId w:val="7"/>
              </w:numPr>
              <w:spacing w:after="160" w:line="259" w:lineRule="auto"/>
              <w:jc w:val="both"/>
              <w:rPr>
                <w:lang w:val="bg-BG"/>
              </w:rPr>
            </w:pPr>
            <w:r w:rsidRPr="00935FFD">
              <w:rPr>
                <w:lang w:val="bg-BG"/>
              </w:rPr>
              <w:t xml:space="preserve">Съгласно извършената служебна проверка в Търговския регистър  и справка в ОПР за 2021 г. от оферента </w:t>
            </w:r>
            <w:proofErr w:type="spellStart"/>
            <w:r w:rsidRPr="00935FFD">
              <w:rPr>
                <w:lang w:val="bg-BG"/>
              </w:rPr>
              <w:t>Фидем</w:t>
            </w:r>
            <w:proofErr w:type="spellEnd"/>
            <w:r w:rsidRPr="00935FFD">
              <w:rPr>
                <w:lang w:val="bg-BG"/>
              </w:rPr>
              <w:t xml:space="preserve"> ООД, всичките приходи са отнесени към код Други непрофесионални дейности, неквалифицирани другаде. Представената оферта е за консултантски услуги. </w:t>
            </w:r>
            <w:r>
              <w:rPr>
                <w:lang w:val="bg-BG"/>
              </w:rPr>
              <w:t>Изискано е обяснение за</w:t>
            </w:r>
            <w:r w:rsidRPr="00935FFD">
              <w:rPr>
                <w:lang w:val="bg-BG"/>
              </w:rPr>
              <w:t xml:space="preserve"> установеното несъответствие.</w:t>
            </w:r>
          </w:p>
          <w:p w:rsidR="007430E8" w:rsidRPr="00935FFD" w:rsidRDefault="007430E8" w:rsidP="007430E8">
            <w:pPr>
              <w:numPr>
                <w:ilvl w:val="0"/>
                <w:numId w:val="7"/>
              </w:numPr>
              <w:spacing w:after="160" w:line="259" w:lineRule="auto"/>
              <w:jc w:val="both"/>
              <w:rPr>
                <w:lang w:val="bg-BG"/>
              </w:rPr>
            </w:pPr>
            <w:r w:rsidRPr="00935FFD">
              <w:rPr>
                <w:lang w:val="bg-BG"/>
              </w:rPr>
              <w:t xml:space="preserve">Счетоводна справка и/или инвентарна книга за дълготрайните материални </w:t>
            </w:r>
            <w:r w:rsidRPr="00935FFD">
              <w:rPr>
                <w:lang w:val="bg-BG"/>
              </w:rPr>
              <w:lastRenderedPageBreak/>
              <w:t xml:space="preserve">активи </w:t>
            </w:r>
            <w:r w:rsidRPr="005464CB">
              <w:rPr>
                <w:lang w:val="bg-BG"/>
              </w:rPr>
              <w:t>към датата на подаване на ФК</w:t>
            </w:r>
            <w:r w:rsidRPr="00935FFD">
              <w:rPr>
                <w:lang w:val="bg-BG"/>
              </w:rPr>
              <w:t xml:space="preserve">, с разбивка по активи, дата на придобиване и покупна цена. Представената инвентарна книга не е към </w:t>
            </w:r>
            <w:r>
              <w:rPr>
                <w:lang w:val="bg-BG"/>
              </w:rPr>
              <w:t xml:space="preserve">датата на подаване на проектното предложение </w:t>
            </w:r>
            <w:r w:rsidRPr="00935FFD">
              <w:rPr>
                <w:lang w:val="bg-BG"/>
              </w:rPr>
              <w:t>19.09.2022 г.</w:t>
            </w:r>
          </w:p>
          <w:p w:rsidR="007430E8" w:rsidRPr="00935FFD" w:rsidRDefault="007430E8" w:rsidP="007430E8">
            <w:pPr>
              <w:numPr>
                <w:ilvl w:val="0"/>
                <w:numId w:val="7"/>
              </w:numPr>
              <w:spacing w:after="160" w:line="259" w:lineRule="auto"/>
              <w:jc w:val="both"/>
              <w:rPr>
                <w:lang w:val="bg-BG"/>
              </w:rPr>
            </w:pPr>
            <w:r w:rsidRPr="00935FFD">
              <w:rPr>
                <w:lang w:val="bg-BG"/>
              </w:rPr>
              <w:t xml:space="preserve">Представената </w:t>
            </w:r>
            <w:r>
              <w:rPr>
                <w:lang w:val="bg-BG"/>
              </w:rPr>
              <w:t>декларация</w:t>
            </w:r>
            <w:r w:rsidRPr="00935FFD">
              <w:rPr>
                <w:lang w:val="bg-BG"/>
              </w:rPr>
              <w:t xml:space="preserve"> за обстоятелствата по чл. 3 и чл. 4 от Закона за малките и средните предприятия не е приложена в цялост, като отсъства приложението към нея – справка за обобщените параметри на предприятието, което подава декларация по чл. 3 и чл. 4 на ЗМСП. </w:t>
            </w:r>
            <w:r>
              <w:rPr>
                <w:lang w:val="bg-BG"/>
              </w:rPr>
              <w:t xml:space="preserve">Изискана е да </w:t>
            </w:r>
            <w:r w:rsidRPr="00935FFD">
              <w:rPr>
                <w:lang w:val="bg-BG"/>
              </w:rPr>
              <w:t xml:space="preserve">бъде представена в </w:t>
            </w:r>
            <w:r>
              <w:rPr>
                <w:lang w:val="bg-BG"/>
              </w:rPr>
              <w:t xml:space="preserve">цялост и  в </w:t>
            </w:r>
            <w:r w:rsidRPr="00935FFD">
              <w:rPr>
                <w:lang w:val="bg-BG"/>
              </w:rPr>
              <w:t>съответствие с т. 19 от т. 24 от УК, както и приложенията за попълване към УК.</w:t>
            </w:r>
          </w:p>
          <w:p w:rsidR="007430E8" w:rsidRPr="00935FFD" w:rsidRDefault="007430E8" w:rsidP="007430E8">
            <w:pPr>
              <w:numPr>
                <w:ilvl w:val="0"/>
                <w:numId w:val="7"/>
              </w:numPr>
              <w:spacing w:after="160" w:line="259" w:lineRule="auto"/>
              <w:jc w:val="both"/>
              <w:rPr>
                <w:lang w:val="bg-BG"/>
              </w:rPr>
            </w:pPr>
            <w:r w:rsidRPr="00935FFD">
              <w:rPr>
                <w:lang w:val="bg-BG"/>
              </w:rPr>
              <w:t>Декларация № 2 по чл. 25, ал. 2 от Закона за управление на средствата от европейските структурни и инвестиционни фондове и чл. 7 от ПМС № 162/2016 г., която се попълва и се подписва от всички лица с право да представляват кандидата (независимо от това дали заедно и/или поотделно, и/или по друг начин) и от г-н Марио Георгиев Шопов.</w:t>
            </w:r>
          </w:p>
          <w:p w:rsidR="007430E8" w:rsidRPr="009652DC" w:rsidRDefault="007430E8" w:rsidP="007430E8">
            <w:pPr>
              <w:jc w:val="both"/>
              <w:rPr>
                <w:lang w:val="bg-BG"/>
              </w:rPr>
            </w:pPr>
            <w:r w:rsidRPr="009652DC">
              <w:rPr>
                <w:lang w:val="bg-BG"/>
              </w:rPr>
              <w:t xml:space="preserve">Кандидатът не е отговорил на комуникацията в регламентирания срок, не е предоставил </w:t>
            </w:r>
            <w:r w:rsidRPr="009652DC">
              <w:rPr>
                <w:lang w:val="bg-BG"/>
              </w:rPr>
              <w:lastRenderedPageBreak/>
              <w:t>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w:t>
            </w:r>
            <w:r>
              <w:rPr>
                <w:lang w:val="bg-BG"/>
              </w:rPr>
              <w:t>стване на процедурата, раздел 24</w:t>
            </w:r>
            <w:r w:rsidRPr="009652DC">
              <w:rPr>
                <w:lang w:val="bg-BG"/>
              </w:rPr>
              <w:t>: „</w:t>
            </w:r>
            <w:r w:rsidRPr="003A3E5C">
              <w:rPr>
                <w:lang w:val="bg-BG"/>
              </w:rPr>
              <w:t xml:space="preserve">При </w:t>
            </w:r>
            <w:proofErr w:type="spellStart"/>
            <w:r w:rsidRPr="003A3E5C">
              <w:rPr>
                <w:lang w:val="bg-BG"/>
              </w:rPr>
              <w:t>непредставяне</w:t>
            </w:r>
            <w:proofErr w:type="spellEnd"/>
            <w:r w:rsidRPr="003A3E5C">
              <w:rPr>
                <w:lang w:val="bg-BG"/>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r w:rsidRPr="009652DC">
              <w:rPr>
                <w:lang w:val="bg-BG"/>
              </w:rPr>
              <w:t>“</w:t>
            </w:r>
            <w:r>
              <w:rPr>
                <w:lang w:val="bg-BG"/>
              </w:rPr>
              <w:t>.</w:t>
            </w:r>
          </w:p>
          <w:p w:rsidR="007430E8" w:rsidRPr="009652DC" w:rsidRDefault="007430E8" w:rsidP="007430E8">
            <w:pPr>
              <w:jc w:val="both"/>
              <w:rPr>
                <w:lang w:val="bg-BG"/>
              </w:rPr>
            </w:pPr>
            <w:r w:rsidRPr="009652DC">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7430E8" w:rsidRPr="009652DC" w:rsidRDefault="007430E8" w:rsidP="007430E8">
            <w:pPr>
              <w:jc w:val="both"/>
              <w:rPr>
                <w:lang w:val="bg-BG"/>
              </w:rPr>
            </w:pPr>
            <w:r w:rsidRPr="009652DC">
              <w:rPr>
                <w:lang w:val="bg-BG"/>
              </w:rPr>
              <w:t xml:space="preserve">В допълнение, </w:t>
            </w:r>
            <w:r>
              <w:rPr>
                <w:lang w:val="bg-BG"/>
              </w:rPr>
              <w:t xml:space="preserve">поради </w:t>
            </w:r>
            <w:r w:rsidRPr="009652DC">
              <w:rPr>
                <w:lang w:val="bg-BG"/>
              </w:rPr>
              <w:t xml:space="preserve">липсата на </w:t>
            </w:r>
            <w:r>
              <w:rPr>
                <w:lang w:val="bg-BG"/>
              </w:rPr>
              <w:t xml:space="preserve">приложено към Формуляра за кандидатстване </w:t>
            </w:r>
            <w:r w:rsidRPr="003670E4">
              <w:rPr>
                <w:lang w:val="bg-BG"/>
              </w:rPr>
              <w:t>Удостоверение за регистрация на животновъден обект от БАБХ /от съответната ОДБХ/, съгласно чл. 137 от Закона за ветеринарномедицинската дейност</w:t>
            </w:r>
            <w:r w:rsidRPr="009652DC">
              <w:rPr>
                <w:lang w:val="bg-BG"/>
              </w:rPr>
              <w:t xml:space="preserve">, </w:t>
            </w:r>
            <w:r>
              <w:rPr>
                <w:lang w:val="bg-BG"/>
              </w:rPr>
              <w:t>и</w:t>
            </w:r>
            <w:r w:rsidRPr="009652DC">
              <w:rPr>
                <w:lang w:val="bg-BG"/>
              </w:rPr>
              <w:t xml:space="preserve"> във връзка </w:t>
            </w:r>
            <w:r>
              <w:rPr>
                <w:lang w:val="bg-BG"/>
              </w:rPr>
              <w:t xml:space="preserve">със </w:t>
            </w:r>
            <w:r w:rsidRPr="009652DC">
              <w:rPr>
                <w:lang w:val="bg-BG"/>
              </w:rPr>
              <w:t>следният текст в раздел 1</w:t>
            </w:r>
            <w:r>
              <w:rPr>
                <w:lang w:val="bg-BG"/>
              </w:rPr>
              <w:t>1</w:t>
            </w:r>
            <w:r w:rsidRPr="009652DC">
              <w:rPr>
                <w:lang w:val="bg-BG"/>
              </w:rPr>
              <w:t xml:space="preserve"> от УК: „</w:t>
            </w:r>
            <w:r w:rsidRPr="00207ADA">
              <w:rPr>
                <w:i/>
                <w:lang w:val="bg-BG"/>
              </w:rPr>
              <w:t>За да отговаря на условията за получаване на финансиране по мярката, кандидатът трябва да отговаря на следните условия:…</w:t>
            </w:r>
            <w:r w:rsidRPr="00207ADA">
              <w:rPr>
                <w:i/>
              </w:rPr>
              <w:t xml:space="preserve">.. 11.1.3. </w:t>
            </w:r>
            <w:proofErr w:type="spellStart"/>
            <w:proofErr w:type="gramStart"/>
            <w:r w:rsidRPr="00207ADA">
              <w:rPr>
                <w:i/>
              </w:rPr>
              <w:t>да</w:t>
            </w:r>
            <w:proofErr w:type="spellEnd"/>
            <w:proofErr w:type="gramEnd"/>
            <w:r w:rsidRPr="00207ADA">
              <w:rPr>
                <w:i/>
              </w:rPr>
              <w:t xml:space="preserve"> </w:t>
            </w:r>
            <w:proofErr w:type="spellStart"/>
            <w:r w:rsidRPr="00207ADA">
              <w:rPr>
                <w:i/>
              </w:rPr>
              <w:t>са</w:t>
            </w:r>
            <w:proofErr w:type="spellEnd"/>
            <w:r w:rsidRPr="00207ADA">
              <w:rPr>
                <w:i/>
              </w:rPr>
              <w:t xml:space="preserve"> </w:t>
            </w:r>
            <w:proofErr w:type="spellStart"/>
            <w:r w:rsidRPr="00207ADA">
              <w:rPr>
                <w:i/>
              </w:rPr>
              <w:t>регистрирани</w:t>
            </w:r>
            <w:proofErr w:type="spellEnd"/>
            <w:r w:rsidRPr="00207ADA">
              <w:rPr>
                <w:i/>
              </w:rPr>
              <w:t xml:space="preserve"> </w:t>
            </w:r>
            <w:proofErr w:type="spellStart"/>
            <w:r w:rsidRPr="00207ADA">
              <w:rPr>
                <w:i/>
              </w:rPr>
              <w:t>по</w:t>
            </w:r>
            <w:proofErr w:type="spellEnd"/>
            <w:r w:rsidRPr="00207ADA">
              <w:rPr>
                <w:i/>
              </w:rPr>
              <w:t xml:space="preserve"> </w:t>
            </w:r>
            <w:proofErr w:type="spellStart"/>
            <w:r w:rsidRPr="00207ADA">
              <w:rPr>
                <w:i/>
              </w:rPr>
              <w:t>реда</w:t>
            </w:r>
            <w:proofErr w:type="spellEnd"/>
            <w:r w:rsidRPr="00207ADA">
              <w:rPr>
                <w:i/>
              </w:rPr>
              <w:t xml:space="preserve"> </w:t>
            </w:r>
            <w:proofErr w:type="spellStart"/>
            <w:r w:rsidRPr="00207ADA">
              <w:rPr>
                <w:i/>
              </w:rPr>
              <w:t>на</w:t>
            </w:r>
            <w:proofErr w:type="spellEnd"/>
            <w:r w:rsidRPr="00207ADA">
              <w:rPr>
                <w:i/>
              </w:rPr>
              <w:t xml:space="preserve"> </w:t>
            </w:r>
            <w:proofErr w:type="spellStart"/>
            <w:r w:rsidRPr="00207ADA">
              <w:rPr>
                <w:i/>
              </w:rPr>
              <w:t>чл</w:t>
            </w:r>
            <w:proofErr w:type="spellEnd"/>
            <w:r w:rsidRPr="00207ADA">
              <w:rPr>
                <w:i/>
              </w:rPr>
              <w:t xml:space="preserve">. 137 </w:t>
            </w:r>
            <w:proofErr w:type="spellStart"/>
            <w:r w:rsidRPr="00207ADA">
              <w:rPr>
                <w:i/>
              </w:rPr>
              <w:t>от</w:t>
            </w:r>
            <w:proofErr w:type="spellEnd"/>
            <w:r w:rsidRPr="00207ADA">
              <w:rPr>
                <w:i/>
              </w:rPr>
              <w:t xml:space="preserve"> </w:t>
            </w:r>
            <w:proofErr w:type="spellStart"/>
            <w:r w:rsidRPr="00207ADA">
              <w:rPr>
                <w:i/>
              </w:rPr>
              <w:t>Закона</w:t>
            </w:r>
            <w:proofErr w:type="spellEnd"/>
            <w:r w:rsidRPr="00207ADA">
              <w:rPr>
                <w:i/>
              </w:rPr>
              <w:t xml:space="preserve"> </w:t>
            </w:r>
            <w:proofErr w:type="spellStart"/>
            <w:r w:rsidRPr="00207ADA">
              <w:rPr>
                <w:i/>
              </w:rPr>
              <w:t>за</w:t>
            </w:r>
            <w:proofErr w:type="spellEnd"/>
            <w:r w:rsidRPr="00207ADA">
              <w:rPr>
                <w:i/>
              </w:rPr>
              <w:t xml:space="preserve"> </w:t>
            </w:r>
            <w:proofErr w:type="spellStart"/>
            <w:r w:rsidRPr="00207ADA">
              <w:rPr>
                <w:i/>
              </w:rPr>
              <w:t>ветеринарномедицинската</w:t>
            </w:r>
            <w:proofErr w:type="spellEnd"/>
            <w:r w:rsidRPr="00207ADA">
              <w:rPr>
                <w:i/>
              </w:rPr>
              <w:t xml:space="preserve"> </w:t>
            </w:r>
            <w:proofErr w:type="spellStart"/>
            <w:r w:rsidRPr="00207ADA">
              <w:rPr>
                <w:i/>
              </w:rPr>
              <w:t>дейност</w:t>
            </w:r>
            <w:proofErr w:type="spellEnd"/>
            <w:r w:rsidRPr="00207ADA">
              <w:rPr>
                <w:i/>
              </w:rPr>
              <w:t xml:space="preserve"> (ЗВД)</w:t>
            </w:r>
            <w:r w:rsidRPr="009652DC">
              <w:rPr>
                <w:lang w:val="bg-BG"/>
              </w:rPr>
              <w:t xml:space="preserve">“, не може да бъде направено заключение, че </w:t>
            </w:r>
            <w:r w:rsidRPr="009652DC">
              <w:rPr>
                <w:lang w:val="bg-BG"/>
              </w:rPr>
              <w:lastRenderedPageBreak/>
              <w:t>„</w:t>
            </w:r>
            <w:r w:rsidRPr="0084240C">
              <w:rPr>
                <w:lang w:val="bg-BG"/>
              </w:rPr>
              <w:t xml:space="preserve">Интер </w:t>
            </w:r>
            <w:proofErr w:type="spellStart"/>
            <w:r w:rsidRPr="0084240C">
              <w:rPr>
                <w:lang w:val="bg-BG"/>
              </w:rPr>
              <w:t>финанс</w:t>
            </w:r>
            <w:proofErr w:type="spellEnd"/>
            <w:r w:rsidRPr="0084240C">
              <w:rPr>
                <w:lang w:val="bg-BG"/>
              </w:rPr>
              <w:t xml:space="preserve"> </w:t>
            </w:r>
            <w:proofErr w:type="spellStart"/>
            <w:r w:rsidRPr="0084240C">
              <w:rPr>
                <w:lang w:val="bg-BG"/>
              </w:rPr>
              <w:t>дивелопмънт</w:t>
            </w:r>
            <w:proofErr w:type="spellEnd"/>
            <w:r w:rsidRPr="0084240C">
              <w:rPr>
                <w:lang w:val="bg-BG"/>
              </w:rPr>
              <w:t xml:space="preserve">“ АД </w:t>
            </w:r>
            <w:r w:rsidRPr="009652DC">
              <w:rPr>
                <w:lang w:val="bg-BG"/>
              </w:rPr>
              <w:t xml:space="preserve">отговаря на Критерий № </w:t>
            </w:r>
            <w:r>
              <w:rPr>
                <w:lang w:val="bg-BG"/>
              </w:rPr>
              <w:t>3</w:t>
            </w:r>
            <w:r w:rsidRPr="009652DC">
              <w:rPr>
                <w:lang w:val="bg-BG"/>
              </w:rPr>
              <w:t xml:space="preserve"> „Кандидатът е допустим съгласно изискванията в т. 11 от Условия за кандидатстване по настоящата процедура“ от Приложение № 4 към УК.</w:t>
            </w:r>
          </w:p>
          <w:p w:rsidR="007430E8" w:rsidRPr="009652DC" w:rsidRDefault="007430E8" w:rsidP="007430E8">
            <w:pPr>
              <w:jc w:val="both"/>
              <w:rPr>
                <w:lang w:val="bg-BG"/>
              </w:rPr>
            </w:pPr>
            <w:r w:rsidRPr="009652DC">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7430E8" w:rsidRPr="00E007E1" w:rsidRDefault="007430E8" w:rsidP="007430E8">
            <w:pPr>
              <w:jc w:val="both"/>
              <w:rPr>
                <w:highlight w:val="green"/>
                <w:lang w:val="bg-BG"/>
              </w:rPr>
            </w:pPr>
            <w:r w:rsidRPr="009652DC">
              <w:rPr>
                <w:lang w:val="bg-BG"/>
              </w:rPr>
              <w:t>Поради изложените по-горе аргументи, проектно пред</w:t>
            </w:r>
            <w:r>
              <w:rPr>
                <w:lang w:val="bg-BG"/>
              </w:rPr>
              <w:t>ложение с рег. № BG14MFOP001-</w:t>
            </w:r>
            <w:r>
              <w:t>2</w:t>
            </w:r>
            <w:r>
              <w:rPr>
                <w:lang w:val="bg-BG"/>
              </w:rPr>
              <w:t>.</w:t>
            </w:r>
            <w:r w:rsidRPr="009652DC">
              <w:rPr>
                <w:lang w:val="bg-BG"/>
              </w:rPr>
              <w:t>0</w:t>
            </w:r>
            <w:r>
              <w:t>20</w:t>
            </w:r>
            <w:r w:rsidRPr="009652DC">
              <w:rPr>
                <w:lang w:val="bg-BG"/>
              </w:rPr>
              <w:t>-000</w:t>
            </w:r>
            <w:r>
              <w:rPr>
                <w:lang w:val="bg-BG"/>
              </w:rPr>
              <w:t>5</w:t>
            </w:r>
            <w:r w:rsidRPr="009652DC">
              <w:rPr>
                <w:lang w:val="bg-BG"/>
              </w:rPr>
              <w:t xml:space="preserve"> е включено в Списъка на проектните предложения, които не се допускат до етап Техническа и финансова оценка, по настоящата процедура.</w:t>
            </w:r>
          </w:p>
        </w:tc>
      </w:tr>
      <w:tr w:rsidR="000051DF" w:rsidRPr="00E76FC7" w:rsidTr="00C171C9">
        <w:tc>
          <w:tcPr>
            <w:tcW w:w="600" w:type="dxa"/>
            <w:shd w:val="clear" w:color="auto" w:fill="auto"/>
          </w:tcPr>
          <w:p w:rsidR="000051DF" w:rsidRDefault="000051DF" w:rsidP="00E756A6">
            <w:pPr>
              <w:jc w:val="center"/>
              <w:rPr>
                <w:b/>
                <w:lang w:val="bg-BG"/>
              </w:rPr>
            </w:pPr>
          </w:p>
          <w:p w:rsidR="000051DF" w:rsidRDefault="000051DF" w:rsidP="00E756A6">
            <w:pPr>
              <w:jc w:val="center"/>
              <w:rPr>
                <w:b/>
                <w:lang w:val="bg-BG"/>
              </w:rPr>
            </w:pPr>
            <w:r>
              <w:rPr>
                <w:b/>
                <w:lang w:val="bg-BG"/>
              </w:rPr>
              <w:t>2.</w:t>
            </w:r>
          </w:p>
          <w:p w:rsidR="000051DF" w:rsidRDefault="000051DF" w:rsidP="00E756A6">
            <w:pPr>
              <w:jc w:val="center"/>
              <w:rPr>
                <w:b/>
                <w:lang w:val="bg-BG"/>
              </w:rPr>
            </w:pPr>
          </w:p>
          <w:p w:rsidR="000051DF" w:rsidRDefault="000051DF" w:rsidP="00E756A6">
            <w:pPr>
              <w:jc w:val="center"/>
              <w:rPr>
                <w:b/>
                <w:lang w:val="bg-BG"/>
              </w:rPr>
            </w:pPr>
          </w:p>
          <w:p w:rsidR="000051DF" w:rsidRDefault="000051DF" w:rsidP="00E756A6">
            <w:pPr>
              <w:jc w:val="center"/>
              <w:rPr>
                <w:b/>
                <w:lang w:val="bg-BG"/>
              </w:rPr>
            </w:pPr>
          </w:p>
          <w:p w:rsidR="000051DF" w:rsidRPr="005C45BA" w:rsidRDefault="000051DF" w:rsidP="00E756A6">
            <w:pPr>
              <w:jc w:val="center"/>
              <w:rPr>
                <w:b/>
                <w:lang w:val="bg-BG"/>
              </w:rPr>
            </w:pPr>
          </w:p>
        </w:tc>
        <w:tc>
          <w:tcPr>
            <w:tcW w:w="2112" w:type="dxa"/>
            <w:shd w:val="clear" w:color="auto" w:fill="auto"/>
          </w:tcPr>
          <w:p w:rsidR="000051DF" w:rsidRDefault="000051DF" w:rsidP="00E756A6">
            <w:pPr>
              <w:jc w:val="center"/>
              <w:rPr>
                <w:b/>
                <w:lang w:val="bg-BG"/>
              </w:rPr>
            </w:pPr>
          </w:p>
          <w:p w:rsidR="000051DF" w:rsidRPr="005C45BA" w:rsidRDefault="00B25696" w:rsidP="00E756A6">
            <w:pPr>
              <w:jc w:val="center"/>
              <w:rPr>
                <w:b/>
                <w:lang w:val="bg-BG"/>
              </w:rPr>
            </w:pPr>
            <w:r w:rsidRPr="00B25696">
              <w:rPr>
                <w:b/>
                <w:lang w:val="bg-BG"/>
              </w:rPr>
              <w:t>BG14MFOP001-2.020-0006</w:t>
            </w:r>
          </w:p>
        </w:tc>
        <w:tc>
          <w:tcPr>
            <w:tcW w:w="2318" w:type="dxa"/>
            <w:shd w:val="clear" w:color="auto" w:fill="auto"/>
          </w:tcPr>
          <w:p w:rsidR="000051DF" w:rsidRDefault="000051DF" w:rsidP="00E756A6">
            <w:pPr>
              <w:jc w:val="center"/>
              <w:rPr>
                <w:b/>
                <w:lang w:val="bg-BG"/>
              </w:rPr>
            </w:pPr>
          </w:p>
          <w:p w:rsidR="000051DF" w:rsidRPr="005C45BA" w:rsidRDefault="005464CB" w:rsidP="00B25696">
            <w:pPr>
              <w:jc w:val="center"/>
              <w:rPr>
                <w:b/>
                <w:lang w:val="bg-BG"/>
              </w:rPr>
            </w:pPr>
            <w:r>
              <w:rPr>
                <w:b/>
                <w:lang w:val="bg-BG"/>
              </w:rPr>
              <w:t>„</w:t>
            </w:r>
            <w:r w:rsidR="00B25696" w:rsidRPr="00B25696">
              <w:rPr>
                <w:b/>
                <w:lang w:val="bg-BG"/>
              </w:rPr>
              <w:t>ДИЗМАТ</w:t>
            </w:r>
            <w:r w:rsidR="000051DF">
              <w:rPr>
                <w:b/>
                <w:lang w:val="bg-BG"/>
              </w:rPr>
              <w:t>“</w:t>
            </w:r>
            <w:r w:rsidR="00B25696">
              <w:rPr>
                <w:b/>
                <w:lang w:val="bg-BG"/>
              </w:rPr>
              <w:t xml:space="preserve"> ЕООД</w:t>
            </w:r>
          </w:p>
        </w:tc>
        <w:tc>
          <w:tcPr>
            <w:tcW w:w="2959" w:type="dxa"/>
            <w:shd w:val="clear" w:color="auto" w:fill="auto"/>
          </w:tcPr>
          <w:p w:rsidR="000051DF" w:rsidRDefault="000051DF" w:rsidP="000D421C">
            <w:pPr>
              <w:jc w:val="both"/>
              <w:rPr>
                <w:lang w:val="bg-BG"/>
              </w:rPr>
            </w:pPr>
          </w:p>
          <w:p w:rsidR="000051DF" w:rsidRPr="0093219F" w:rsidRDefault="000051DF" w:rsidP="000D421C">
            <w:pPr>
              <w:jc w:val="both"/>
              <w:rPr>
                <w:lang w:val="bg-BG"/>
              </w:rPr>
            </w:pPr>
            <w:r>
              <w:rPr>
                <w:lang w:val="bg-BG"/>
              </w:rPr>
              <w:t>„</w:t>
            </w:r>
            <w:r w:rsidR="00B25696" w:rsidRPr="00B25696">
              <w:rPr>
                <w:lang w:val="bg-BG"/>
              </w:rPr>
              <w:t>Модернизация на битова сграда и закупуване на предпазно облекло за нуждите на рибовъдно стопанство в</w:t>
            </w:r>
            <w:r w:rsidR="00B25696">
              <w:rPr>
                <w:lang w:val="bg-BG"/>
              </w:rPr>
              <w:t xml:space="preserve"> с. Хаджидимитрово, общ. Свищов</w:t>
            </w:r>
            <w:r>
              <w:rPr>
                <w:lang w:val="bg-BG"/>
              </w:rPr>
              <w:t>“</w:t>
            </w:r>
          </w:p>
        </w:tc>
        <w:tc>
          <w:tcPr>
            <w:tcW w:w="5233" w:type="dxa"/>
            <w:shd w:val="clear" w:color="auto" w:fill="auto"/>
          </w:tcPr>
          <w:p w:rsidR="00B25696" w:rsidRPr="00B25696" w:rsidRDefault="00B25696" w:rsidP="00B25696">
            <w:pPr>
              <w:spacing w:after="160" w:line="259" w:lineRule="auto"/>
              <w:jc w:val="both"/>
              <w:rPr>
                <w:lang w:val="bg-BG"/>
              </w:rPr>
            </w:pPr>
            <w:r w:rsidRPr="00B25696">
              <w:rPr>
                <w:lang w:val="bg-BG"/>
              </w:rPr>
              <w:t>След извършване на оценка за административно съответствие и допустимост на проектно предложение № BG14MFOP001-2.020-0006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B25696">
              <w:rPr>
                <w:lang w:val="bg-BG"/>
              </w:rPr>
              <w:t>Обн</w:t>
            </w:r>
            <w:proofErr w:type="spellEnd"/>
            <w:r w:rsidRPr="00B25696">
              <w:rPr>
                <w:lang w:val="bg-BG"/>
              </w:rPr>
              <w:t xml:space="preserve">. ДВ, бр. 51 от 2022 г.), е установено следното: </w:t>
            </w:r>
          </w:p>
          <w:p w:rsidR="00B25696" w:rsidRPr="00B25696" w:rsidRDefault="00B25696" w:rsidP="00B25696">
            <w:pPr>
              <w:spacing w:after="160" w:line="259" w:lineRule="auto"/>
              <w:jc w:val="both"/>
              <w:rPr>
                <w:lang w:val="bg-BG"/>
              </w:rPr>
            </w:pPr>
            <w:r w:rsidRPr="00B25696">
              <w:rPr>
                <w:lang w:val="bg-BG"/>
              </w:rPr>
              <w:t xml:space="preserve">Проектното предложение не отговаря на Критерий № 2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w:t>
            </w:r>
            <w:r w:rsidRPr="00B25696">
              <w:rPr>
                <w:lang w:val="bg-BG"/>
              </w:rPr>
              <w:lastRenderedPageBreak/>
              <w:t>оценка на проектните предложения по процедура за подбор</w:t>
            </w:r>
            <w:r>
              <w:rPr>
                <w:lang w:val="bg-BG"/>
              </w:rPr>
              <w:t xml:space="preserve"> на проекти № BG14MFOP001-2.020-</w:t>
            </w:r>
            <w:r w:rsidRPr="00B25696">
              <w:rPr>
                <w:lang w:val="bg-BG"/>
              </w:rPr>
              <w:t>S2</w:t>
            </w:r>
            <w:r>
              <w:rPr>
                <w:lang w:val="bg-BG"/>
              </w:rPr>
              <w:t xml:space="preserve"> </w:t>
            </w:r>
            <w:r w:rsidRPr="00B25696">
              <w:rPr>
                <w:lang w:val="bg-BG"/>
              </w:rPr>
              <w:t xml:space="preserve">„Продуктивни инвестиции в </w:t>
            </w:r>
            <w:proofErr w:type="spellStart"/>
            <w:r w:rsidRPr="00B25696">
              <w:rPr>
                <w:lang w:val="bg-BG"/>
              </w:rPr>
              <w:t>аквакултурите</w:t>
            </w:r>
            <w:proofErr w:type="spellEnd"/>
            <w:r w:rsidRPr="00B25696">
              <w:rPr>
                <w:lang w:val="bg-BG"/>
              </w:rPr>
              <w:t xml:space="preserve">“, сектор “Малки проекти”, мярка 2.2  „Продуктивни инвестиции в </w:t>
            </w:r>
            <w:proofErr w:type="spellStart"/>
            <w:r w:rsidRPr="00B25696">
              <w:rPr>
                <w:lang w:val="bg-BG"/>
              </w:rPr>
              <w:t>аквакултурите</w:t>
            </w:r>
            <w:proofErr w:type="spellEnd"/>
            <w:r w:rsidRPr="00B25696">
              <w:rPr>
                <w:lang w:val="bg-BG"/>
              </w:rPr>
              <w:t xml:space="preserve">“. </w:t>
            </w:r>
          </w:p>
          <w:p w:rsidR="00B25696" w:rsidRPr="00B25696" w:rsidRDefault="00B25696" w:rsidP="00B25696">
            <w:pPr>
              <w:spacing w:after="160" w:line="259" w:lineRule="auto"/>
              <w:jc w:val="both"/>
              <w:rPr>
                <w:lang w:val="bg-BG"/>
              </w:rPr>
            </w:pPr>
            <w:r w:rsidRPr="00B25696">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B25696">
              <w:rPr>
                <w:lang w:val="bg-BG"/>
              </w:rPr>
              <w:t>нередовности</w:t>
            </w:r>
            <w:proofErr w:type="spellEnd"/>
            <w:r w:rsidRPr="00B25696">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w:t>
            </w:r>
            <w:proofErr w:type="spellStart"/>
            <w:r w:rsidRPr="00B25696">
              <w:rPr>
                <w:lang w:val="bg-BG"/>
              </w:rPr>
              <w:t>нередовностите</w:t>
            </w:r>
            <w:proofErr w:type="spellEnd"/>
            <w:r w:rsidRPr="00B25696">
              <w:rPr>
                <w:lang w:val="bg-BG"/>
              </w:rPr>
              <w:t xml:space="preserve"> в срок може да доведе до прекратяване на производството по отношение на кандидата. Отстраняването на </w:t>
            </w:r>
            <w:proofErr w:type="spellStart"/>
            <w:r w:rsidRPr="00B25696">
              <w:rPr>
                <w:lang w:val="bg-BG"/>
              </w:rPr>
              <w:t>нередовностите</w:t>
            </w:r>
            <w:proofErr w:type="spellEnd"/>
            <w:r w:rsidRPr="00B25696">
              <w:rPr>
                <w:lang w:val="bg-BG"/>
              </w:rPr>
              <w:t xml:space="preserve">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на 28.11.2022 г. чрез Модул „Комуникация“ в ИСУН 2020</w:t>
            </w:r>
            <w:r>
              <w:rPr>
                <w:lang w:val="bg-BG"/>
              </w:rPr>
              <w:t>,</w:t>
            </w:r>
            <w:r w:rsidRPr="00B25696">
              <w:rPr>
                <w:lang w:val="bg-BG"/>
              </w:rPr>
              <w:t xml:space="preserve"> е изпратено уведомление с регистрационен номер BG14MFOP001-2.020-0006-M001, с което е поискана допълнителна информация от кандидата. Указан е срок до 08.12.2022 г., в който да бъдат предоставени </w:t>
            </w:r>
            <w:r w:rsidRPr="00B25696">
              <w:rPr>
                <w:lang w:val="bg-BG"/>
              </w:rPr>
              <w:lastRenderedPageBreak/>
              <w:t xml:space="preserve">долуописаните липсващи документи и информация, а именно: </w:t>
            </w:r>
          </w:p>
          <w:p w:rsidR="00B25696" w:rsidRPr="00B25696" w:rsidRDefault="00B25696" w:rsidP="00B25696">
            <w:pPr>
              <w:spacing w:after="160" w:line="259" w:lineRule="auto"/>
              <w:jc w:val="both"/>
              <w:rPr>
                <w:lang w:val="bg-BG"/>
              </w:rPr>
            </w:pPr>
            <w:r w:rsidRPr="00B25696">
              <w:rPr>
                <w:lang w:val="bg-BG"/>
              </w:rPr>
              <w:t>1.</w:t>
            </w:r>
            <w:r w:rsidRPr="00B25696">
              <w:rPr>
                <w:lang w:val="bg-BG"/>
              </w:rPr>
              <w:tab/>
              <w:t>Съгласно УК, раздел 13: „В проектното предложение (ПП) следва да е налице логична връзка и съответствие между цели и нужди, както и между цели и дейности“. Изискана е обосновка, от която да става ясно каква е необходимостта от извършване на заявените разходи, както и каква е връзката им с целите на мярката и дейността на кандидата.</w:t>
            </w:r>
          </w:p>
          <w:p w:rsidR="00B25696" w:rsidRPr="00B25696" w:rsidRDefault="00B25696" w:rsidP="00B25696">
            <w:pPr>
              <w:spacing w:after="160" w:line="259" w:lineRule="auto"/>
              <w:jc w:val="both"/>
              <w:rPr>
                <w:lang w:val="bg-BG"/>
              </w:rPr>
            </w:pPr>
            <w:r w:rsidRPr="00B25696">
              <w:rPr>
                <w:lang w:val="bg-BG"/>
              </w:rPr>
              <w:t>2.</w:t>
            </w:r>
            <w:r w:rsidRPr="00B25696">
              <w:rPr>
                <w:lang w:val="bg-BG"/>
              </w:rPr>
              <w:tab/>
              <w:t>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w:t>
            </w:r>
            <w:proofErr w:type="spellStart"/>
            <w:r w:rsidRPr="00B25696">
              <w:rPr>
                <w:lang w:val="bg-BG"/>
              </w:rPr>
              <w:t>обн</w:t>
            </w:r>
            <w:proofErr w:type="spellEnd"/>
            <w:r w:rsidRPr="00B25696">
              <w:rPr>
                <w:lang w:val="bg-BG"/>
              </w:rPr>
              <w:t>. ДВ, бр. 73 от 11.09.2007г.) само за проекти, включващи инвестиции в местата по националната екологична мрежа НАТУРА 2000 на вх. № 3432/15.09.2022 г.</w:t>
            </w:r>
          </w:p>
          <w:p w:rsidR="00B25696" w:rsidRPr="00B25696" w:rsidRDefault="00B25696" w:rsidP="00B25696">
            <w:pPr>
              <w:spacing w:after="160" w:line="259" w:lineRule="auto"/>
              <w:jc w:val="both"/>
              <w:rPr>
                <w:lang w:val="bg-BG"/>
              </w:rPr>
            </w:pPr>
            <w:r w:rsidRPr="00B25696">
              <w:rPr>
                <w:lang w:val="bg-BG"/>
              </w:rPr>
              <w:t>3.</w:t>
            </w:r>
            <w:r w:rsidRPr="00B25696">
              <w:rPr>
                <w:lang w:val="bg-BG"/>
              </w:rPr>
              <w:tab/>
              <w:t>Уточнение относно точното място на изграждане на фотоволтаичната централа.</w:t>
            </w:r>
          </w:p>
          <w:p w:rsidR="00B25696" w:rsidRPr="00B25696" w:rsidRDefault="00B25696" w:rsidP="00B25696">
            <w:pPr>
              <w:spacing w:after="160" w:line="259" w:lineRule="auto"/>
              <w:jc w:val="both"/>
              <w:rPr>
                <w:lang w:val="bg-BG"/>
              </w:rPr>
            </w:pPr>
            <w:r w:rsidRPr="00B25696">
              <w:rPr>
                <w:lang w:val="bg-BG"/>
              </w:rPr>
              <w:t>4.</w:t>
            </w:r>
            <w:r w:rsidRPr="00B25696">
              <w:rPr>
                <w:lang w:val="bg-BG"/>
              </w:rPr>
              <w:tab/>
              <w:t xml:space="preserve">Копие на технологичен проект с обосновка на съответствието на капацитета на инсталацията с енергийните нужди на </w:t>
            </w:r>
            <w:proofErr w:type="spellStart"/>
            <w:r w:rsidRPr="00B25696">
              <w:rPr>
                <w:lang w:val="bg-BG"/>
              </w:rPr>
              <w:t>аквакултурното</w:t>
            </w:r>
            <w:proofErr w:type="spellEnd"/>
            <w:r w:rsidRPr="00B25696">
              <w:rPr>
                <w:lang w:val="bg-BG"/>
              </w:rPr>
              <w:t xml:space="preserve"> стопанство, в случаите, когато се кандидатства за инвестиции, свързани с </w:t>
            </w:r>
            <w:r w:rsidRPr="00B25696">
              <w:rPr>
                <w:lang w:val="bg-BG"/>
              </w:rPr>
              <w:lastRenderedPageBreak/>
              <w:t xml:space="preserve">изграждане на ВЕИ съгласно изискването на т. 11 от т. 24 от УК. </w:t>
            </w:r>
          </w:p>
          <w:p w:rsidR="00B25696" w:rsidRPr="00B25696" w:rsidRDefault="00B25696" w:rsidP="00B25696">
            <w:pPr>
              <w:spacing w:after="160" w:line="259" w:lineRule="auto"/>
              <w:jc w:val="both"/>
              <w:rPr>
                <w:lang w:val="bg-BG"/>
              </w:rPr>
            </w:pPr>
            <w:r w:rsidRPr="00B25696">
              <w:rPr>
                <w:lang w:val="bg-BG"/>
              </w:rPr>
              <w:t xml:space="preserve">Изискано е и пояснение за предназначението на битовата сграда, за която е </w:t>
            </w:r>
            <w:proofErr w:type="spellStart"/>
            <w:r w:rsidRPr="00B25696">
              <w:rPr>
                <w:lang w:val="bg-BG"/>
              </w:rPr>
              <w:t>фотоволтаичнота</w:t>
            </w:r>
            <w:proofErr w:type="spellEnd"/>
            <w:r w:rsidRPr="00B25696">
              <w:rPr>
                <w:lang w:val="bg-BG"/>
              </w:rPr>
              <w:t xml:space="preserve"> централа в </w:t>
            </w:r>
            <w:proofErr w:type="spellStart"/>
            <w:r w:rsidRPr="00B25696">
              <w:rPr>
                <w:lang w:val="bg-BG"/>
              </w:rPr>
              <w:t>аквакултурното</w:t>
            </w:r>
            <w:proofErr w:type="spellEnd"/>
            <w:r w:rsidRPr="00B25696">
              <w:rPr>
                <w:lang w:val="bg-BG"/>
              </w:rPr>
              <w:t xml:space="preserve"> стопанство.</w:t>
            </w:r>
          </w:p>
          <w:p w:rsidR="00B25696" w:rsidRPr="00B25696" w:rsidRDefault="00B25696" w:rsidP="00B25696">
            <w:pPr>
              <w:spacing w:after="160" w:line="259" w:lineRule="auto"/>
              <w:jc w:val="both"/>
              <w:rPr>
                <w:lang w:val="bg-BG"/>
              </w:rPr>
            </w:pPr>
            <w:r w:rsidRPr="00B25696">
              <w:rPr>
                <w:lang w:val="bg-BG"/>
              </w:rPr>
              <w:t>5.</w:t>
            </w:r>
            <w:r w:rsidRPr="00B25696">
              <w:rPr>
                <w:lang w:val="bg-BG"/>
              </w:rPr>
              <w:tab/>
              <w:t>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/за проекти, в които са предвиден разходи и дейности свързани с енергийната ефективност  в чийто енергиен одит или резюмето на доклада от обследване за енергийна ефективност на предприятие/промишлена система следва да е доказано,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 съгласно изискването на т. 12 от т. 24 от УК.</w:t>
            </w:r>
          </w:p>
          <w:p w:rsidR="00B25696" w:rsidRPr="00B25696" w:rsidRDefault="00B25696" w:rsidP="00B25696">
            <w:pPr>
              <w:spacing w:after="160" w:line="259" w:lineRule="auto"/>
              <w:jc w:val="both"/>
              <w:rPr>
                <w:lang w:val="bg-BG"/>
              </w:rPr>
            </w:pPr>
            <w:r w:rsidRPr="00B25696">
              <w:rPr>
                <w:lang w:val="bg-BG"/>
              </w:rPr>
              <w:lastRenderedPageBreak/>
              <w:t>6.</w:t>
            </w:r>
            <w:r w:rsidRPr="00B25696">
              <w:rPr>
                <w:lang w:val="bg-BG"/>
              </w:rPr>
              <w:tab/>
              <w:t>Влязло в сила разрешение за строеж, издадено от главен архитект на съответната община или становище от главен архитект на общината, че обектът „Доставка на фотоволтаична електроцентрала покривен тип“, посочен в бюджетен ред 1.1. не се нуждае от разрешение за строеж.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 съгласно т. 23 от т. 24 от УК.</w:t>
            </w:r>
          </w:p>
          <w:p w:rsidR="00B25696" w:rsidRPr="00B25696" w:rsidRDefault="00B25696" w:rsidP="00B25696">
            <w:pPr>
              <w:spacing w:after="160" w:line="259" w:lineRule="auto"/>
              <w:jc w:val="both"/>
              <w:rPr>
                <w:lang w:val="bg-BG"/>
              </w:rPr>
            </w:pPr>
            <w:r w:rsidRPr="00B25696">
              <w:rPr>
                <w:lang w:val="bg-BG"/>
              </w:rPr>
              <w:t>Документът е задължителен за всички проектни предложения, включващи разходи за строително-монтажни работи за ВЕИ до 1 МW.</w:t>
            </w:r>
          </w:p>
          <w:p w:rsidR="00B25696" w:rsidRPr="00B25696" w:rsidRDefault="00B25696" w:rsidP="00B25696">
            <w:pPr>
              <w:spacing w:after="160" w:line="259" w:lineRule="auto"/>
              <w:jc w:val="both"/>
              <w:rPr>
                <w:lang w:val="bg-BG"/>
              </w:rPr>
            </w:pPr>
            <w:r w:rsidRPr="00B25696">
              <w:rPr>
                <w:lang w:val="bg-BG"/>
              </w:rPr>
              <w:t>7.</w:t>
            </w:r>
            <w:r w:rsidRPr="00B25696">
              <w:rPr>
                <w:lang w:val="bg-BG"/>
              </w:rPr>
              <w:tab/>
              <w:t xml:space="preserve">Съгласно представения идеен проект за „Доставка на фотоволтаична електроцентрала покривен тип“ на страница 7 е описано, че изградената централа ще се свърже с електропреносната мрежа на мрежовия оператор. Във връзка с изискването „капацитета на инсталацията да съответства на енергийните нужди на </w:t>
            </w:r>
            <w:proofErr w:type="spellStart"/>
            <w:r w:rsidRPr="00B25696">
              <w:rPr>
                <w:lang w:val="bg-BG"/>
              </w:rPr>
              <w:t>аквакултурното</w:t>
            </w:r>
            <w:proofErr w:type="spellEnd"/>
            <w:r w:rsidRPr="00B25696">
              <w:rPr>
                <w:lang w:val="bg-BG"/>
              </w:rPr>
              <w:t xml:space="preserve"> стопанство“ е изискано обяснение какво налага свързването на централата с електропреносната система.</w:t>
            </w:r>
          </w:p>
          <w:p w:rsidR="00B25696" w:rsidRPr="00B25696" w:rsidRDefault="00B25696" w:rsidP="00B25696">
            <w:pPr>
              <w:spacing w:after="160" w:line="259" w:lineRule="auto"/>
              <w:jc w:val="both"/>
              <w:rPr>
                <w:lang w:val="bg-BG"/>
              </w:rPr>
            </w:pPr>
            <w:r w:rsidRPr="00B25696">
              <w:rPr>
                <w:lang w:val="bg-BG"/>
              </w:rPr>
              <w:t>8.</w:t>
            </w:r>
            <w:r w:rsidRPr="00B25696">
              <w:rPr>
                <w:lang w:val="bg-BG"/>
              </w:rPr>
              <w:tab/>
              <w:t xml:space="preserve">В представения идеен проект за „Доставка на фотоволтаична електроцентрала покривен тип“ техническите характеристики на </w:t>
            </w:r>
            <w:r w:rsidRPr="00B25696">
              <w:rPr>
                <w:lang w:val="bg-BG"/>
              </w:rPr>
              <w:lastRenderedPageBreak/>
              <w:t>елементите на централа са на чужд език, което противоречи на изискванията на т. 23 от УК: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w:t>
            </w:r>
            <w:r>
              <w:rPr>
                <w:lang w:val="bg-BG"/>
              </w:rPr>
              <w:t>.</w:t>
            </w:r>
            <w:r w:rsidRPr="00B25696">
              <w:rPr>
                <w:lang w:val="bg-BG"/>
              </w:rPr>
              <w:t xml:space="preserve"> Изискано е представянето на документите на български език.</w:t>
            </w:r>
          </w:p>
          <w:p w:rsidR="00B25696" w:rsidRPr="00B25696" w:rsidRDefault="00B25696" w:rsidP="00B25696">
            <w:pPr>
              <w:spacing w:after="160" w:line="259" w:lineRule="auto"/>
              <w:jc w:val="both"/>
              <w:rPr>
                <w:lang w:val="bg-BG"/>
              </w:rPr>
            </w:pPr>
            <w:r w:rsidRPr="00B25696">
              <w:rPr>
                <w:lang w:val="bg-BG"/>
              </w:rPr>
              <w:t>9.</w:t>
            </w:r>
            <w:r w:rsidRPr="00B25696">
              <w:rPr>
                <w:lang w:val="bg-BG"/>
              </w:rPr>
              <w:tab/>
              <w:t>С оглед определяне на произхода на цените на предвидените разходи за закупуване на активи, е изискана подписана от оферента оферта за закупуване на гумени гащеризони, както и да уточнение на срока на валидност на офертата.</w:t>
            </w:r>
          </w:p>
          <w:p w:rsidR="00B25696" w:rsidRPr="00B25696" w:rsidRDefault="00B25696" w:rsidP="00B25696">
            <w:pPr>
              <w:spacing w:after="160" w:line="259" w:lineRule="auto"/>
              <w:jc w:val="both"/>
              <w:rPr>
                <w:lang w:val="bg-BG"/>
              </w:rPr>
            </w:pPr>
            <w:r w:rsidRPr="00B25696">
              <w:rPr>
                <w:lang w:val="bg-BG"/>
              </w:rPr>
              <w:t>Офертата следва да отговаря на изискванията, посочени в т. 3 от т. 24 от УК, както и да бъде придружена от справка-декларация подписана от счетоводителя и лицето представляващо по закон оферента във връзка с изискване за доказване на специфичен оборот от оферента (свободен текст) съгласно т. 15 от т. 24 от УК. Документите са задължителни за всеки разход от инвестицията в проектното предложение.</w:t>
            </w:r>
          </w:p>
          <w:p w:rsidR="00B25696" w:rsidRPr="00B25696" w:rsidRDefault="00B25696" w:rsidP="00B25696">
            <w:pPr>
              <w:spacing w:after="160" w:line="259" w:lineRule="auto"/>
              <w:jc w:val="both"/>
              <w:rPr>
                <w:lang w:val="bg-BG"/>
              </w:rPr>
            </w:pPr>
            <w:r w:rsidRPr="00B25696">
              <w:rPr>
                <w:lang w:val="bg-BG"/>
              </w:rPr>
              <w:t>10.</w:t>
            </w:r>
            <w:r w:rsidRPr="00B25696">
              <w:rPr>
                <w:lang w:val="bg-BG"/>
              </w:rPr>
              <w:tab/>
              <w:t xml:space="preserve">Декларация, подписана от счетоводителя, не само от лицето, представляващо по закон оферента във връзка с изискване за доказване на специфичен оборот от оферента </w:t>
            </w:r>
            <w:r>
              <w:rPr>
                <w:lang w:val="bg-BG"/>
              </w:rPr>
              <w:t>„</w:t>
            </w:r>
            <w:r w:rsidRPr="00B25696">
              <w:rPr>
                <w:lang w:val="bg-BG"/>
              </w:rPr>
              <w:t xml:space="preserve">Преспа </w:t>
            </w:r>
            <w:proofErr w:type="spellStart"/>
            <w:r w:rsidRPr="00B25696">
              <w:rPr>
                <w:lang w:val="bg-BG"/>
              </w:rPr>
              <w:t>инвест</w:t>
            </w:r>
            <w:proofErr w:type="spellEnd"/>
            <w:r>
              <w:rPr>
                <w:lang w:val="bg-BG"/>
              </w:rPr>
              <w:t>“</w:t>
            </w:r>
            <w:r w:rsidRPr="00B25696">
              <w:rPr>
                <w:lang w:val="bg-BG"/>
              </w:rPr>
              <w:t xml:space="preserve"> ЕООД.</w:t>
            </w:r>
          </w:p>
          <w:p w:rsidR="00B25696" w:rsidRPr="00B25696" w:rsidRDefault="00B25696" w:rsidP="00B25696">
            <w:pPr>
              <w:spacing w:after="160" w:line="259" w:lineRule="auto"/>
              <w:jc w:val="both"/>
              <w:rPr>
                <w:lang w:val="bg-BG"/>
              </w:rPr>
            </w:pPr>
            <w:r w:rsidRPr="00B25696">
              <w:rPr>
                <w:lang w:val="bg-BG"/>
              </w:rPr>
              <w:lastRenderedPageBreak/>
              <w:t>11.</w:t>
            </w:r>
            <w:r w:rsidRPr="00B25696">
              <w:rPr>
                <w:lang w:val="bg-BG"/>
              </w:rPr>
              <w:tab/>
              <w:t xml:space="preserve">Съгласно представения ОПР за 2020 г. от оферента </w:t>
            </w:r>
            <w:r>
              <w:rPr>
                <w:lang w:val="bg-BG"/>
              </w:rPr>
              <w:t>„</w:t>
            </w:r>
            <w:r w:rsidRPr="00B25696">
              <w:rPr>
                <w:lang w:val="bg-BG"/>
              </w:rPr>
              <w:t>Риск</w:t>
            </w:r>
            <w:r>
              <w:rPr>
                <w:lang w:val="bg-BG"/>
              </w:rPr>
              <w:t>“</w:t>
            </w:r>
            <w:r w:rsidRPr="00B25696">
              <w:rPr>
                <w:lang w:val="bg-BG"/>
              </w:rPr>
              <w:t xml:space="preserve"> ЕООД, всичките приходи са отнесени към код 4764 Търговия на дребно със спортни стоки. Представената оферта е за гумени гащеризони. Изискано е обяснение относно установеното несъответствие.</w:t>
            </w:r>
          </w:p>
          <w:p w:rsidR="00B25696" w:rsidRPr="00B25696" w:rsidRDefault="00B25696" w:rsidP="00B25696">
            <w:pPr>
              <w:spacing w:after="160" w:line="259" w:lineRule="auto"/>
              <w:jc w:val="both"/>
              <w:rPr>
                <w:lang w:val="bg-BG"/>
              </w:rPr>
            </w:pPr>
            <w:r w:rsidRPr="00B25696">
              <w:rPr>
                <w:lang w:val="bg-BG"/>
              </w:rPr>
              <w:t>12.</w:t>
            </w:r>
            <w:r w:rsidRPr="00B25696">
              <w:rPr>
                <w:lang w:val="bg-BG"/>
              </w:rPr>
              <w:tab/>
              <w:t xml:space="preserve">Декларация, подписана от счетоводителя и лицето, представляващо по закон оферента във връзка с изискване за доказване на специфичен оборот от оферента </w:t>
            </w:r>
            <w:r>
              <w:rPr>
                <w:lang w:val="bg-BG"/>
              </w:rPr>
              <w:t>„</w:t>
            </w:r>
            <w:r w:rsidRPr="00B25696">
              <w:rPr>
                <w:lang w:val="bg-BG"/>
              </w:rPr>
              <w:t>Риск</w:t>
            </w:r>
            <w:r>
              <w:rPr>
                <w:lang w:val="bg-BG"/>
              </w:rPr>
              <w:t xml:space="preserve">“ ЕООД, </w:t>
            </w:r>
            <w:r w:rsidRPr="00B25696">
              <w:rPr>
                <w:lang w:val="bg-BG"/>
              </w:rPr>
              <w:t xml:space="preserve"> придружена от Отчет за приходите и разходите за последните три приключили финансови години, в зависимост от датата на която оферентът е учреден или е започнал дейността си. </w:t>
            </w:r>
          </w:p>
          <w:p w:rsidR="00B25696" w:rsidRPr="00B25696" w:rsidRDefault="00B25696" w:rsidP="00B25696">
            <w:pPr>
              <w:spacing w:after="160" w:line="259" w:lineRule="auto"/>
              <w:jc w:val="both"/>
              <w:rPr>
                <w:lang w:val="bg-BG"/>
              </w:rPr>
            </w:pPr>
            <w:r w:rsidRPr="00B25696">
              <w:rPr>
                <w:lang w:val="bg-BG"/>
              </w:rPr>
              <w:t>13.</w:t>
            </w:r>
            <w:r w:rsidRPr="00B25696">
              <w:rPr>
                <w:lang w:val="bg-BG"/>
              </w:rPr>
              <w:tab/>
              <w:t>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Представената инвентарна книга е към месец септември 2022 г. и не е разписана</w:t>
            </w:r>
            <w:r>
              <w:rPr>
                <w:lang w:val="bg-BG"/>
              </w:rPr>
              <w:t>.</w:t>
            </w:r>
          </w:p>
          <w:p w:rsidR="00B25696" w:rsidRPr="00B25696" w:rsidRDefault="00B25696" w:rsidP="00B25696">
            <w:pPr>
              <w:spacing w:after="160" w:line="259" w:lineRule="auto"/>
              <w:jc w:val="both"/>
              <w:rPr>
                <w:lang w:val="bg-BG"/>
              </w:rPr>
            </w:pPr>
            <w:r w:rsidRPr="00B25696">
              <w:rPr>
                <w:lang w:val="bg-BG"/>
              </w:rPr>
              <w:t>14.</w:t>
            </w:r>
            <w:r w:rsidRPr="00B25696">
              <w:rPr>
                <w:lang w:val="bg-BG"/>
              </w:rPr>
              <w:tab/>
              <w:t>Представеното Приложение № 8 – Декларации към УК не е подписано с КЕП съгласно изискванията, посочени в т. 21 от т. 24 от УК. Изискано е представянето на подписани от законния представител на кандидата декларации – част от Приложение № 8.</w:t>
            </w:r>
          </w:p>
          <w:p w:rsidR="00B25696" w:rsidRPr="00B25696" w:rsidRDefault="00B25696" w:rsidP="00B25696">
            <w:pPr>
              <w:spacing w:after="160" w:line="259" w:lineRule="auto"/>
              <w:jc w:val="both"/>
              <w:rPr>
                <w:lang w:val="bg-BG"/>
              </w:rPr>
            </w:pPr>
            <w:r w:rsidRPr="00B25696">
              <w:rPr>
                <w:lang w:val="bg-BG"/>
              </w:rPr>
              <w:t>15.</w:t>
            </w:r>
            <w:r w:rsidRPr="00B25696">
              <w:rPr>
                <w:lang w:val="bg-BG"/>
              </w:rPr>
              <w:tab/>
              <w:t xml:space="preserve">Допълнение към представените оферти за фотоволтаична централа и за закупуване на </w:t>
            </w:r>
            <w:r w:rsidRPr="00B25696">
              <w:rPr>
                <w:lang w:val="bg-BG"/>
              </w:rPr>
              <w:lastRenderedPageBreak/>
              <w:t>гумени гащеризони с подробна разбивка и/или технически спецификации на отделните елементи.</w:t>
            </w:r>
          </w:p>
          <w:p w:rsidR="00B25696" w:rsidRDefault="00B25696" w:rsidP="00B25696">
            <w:pPr>
              <w:spacing w:after="160" w:line="259" w:lineRule="auto"/>
              <w:jc w:val="both"/>
              <w:rPr>
                <w:lang w:val="bg-BG"/>
              </w:rPr>
            </w:pPr>
            <w:r w:rsidRPr="00B25696">
              <w:rPr>
                <w:lang w:val="bg-BG"/>
              </w:rPr>
              <w:t>16.</w:t>
            </w:r>
            <w:r w:rsidRPr="00B25696">
              <w:rPr>
                <w:lang w:val="bg-BG"/>
              </w:rPr>
              <w:tab/>
              <w:t>Съгласно УК, оборотът, който се декларира в справката-декларация на оферентите, трябва да се докаже с копия на финансови и счетоводни документи, които се прилагат към справката - декларация. Изискани са доказателства за декларирания специфичен оборот от всички оференти - фактури, годишни данъчни декларации, договори и др.</w:t>
            </w:r>
          </w:p>
          <w:p w:rsidR="00B25696" w:rsidRPr="00B25696" w:rsidRDefault="00B25696" w:rsidP="00B25696">
            <w:pPr>
              <w:spacing w:after="160" w:line="259" w:lineRule="auto"/>
              <w:jc w:val="both"/>
              <w:rPr>
                <w:lang w:val="bg-BG"/>
              </w:rPr>
            </w:pPr>
            <w:r w:rsidRPr="00B25696">
              <w:rPr>
                <w:lang w:val="bg-BG"/>
              </w:rPr>
              <w:t xml:space="preserve">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w:t>
            </w:r>
            <w:proofErr w:type="spellStart"/>
            <w:r w:rsidRPr="00B25696">
              <w:rPr>
                <w:lang w:val="bg-BG"/>
              </w:rPr>
              <w:t>непредставяне</w:t>
            </w:r>
            <w:proofErr w:type="spellEnd"/>
            <w:r w:rsidRPr="00B25696">
              <w:rPr>
                <w:lang w:val="bg-BG"/>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B25696" w:rsidRPr="00B25696" w:rsidRDefault="00B25696" w:rsidP="00B25696">
            <w:pPr>
              <w:spacing w:after="160" w:line="259" w:lineRule="auto"/>
              <w:jc w:val="both"/>
              <w:rPr>
                <w:lang w:val="bg-BG"/>
              </w:rPr>
            </w:pPr>
            <w:r w:rsidRPr="00B25696">
              <w:rPr>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w:t>
            </w:r>
            <w:r w:rsidRPr="00B25696">
              <w:rPr>
                <w:lang w:val="bg-BG"/>
              </w:rPr>
              <w:lastRenderedPageBreak/>
              <w:t>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B25696" w:rsidRPr="00B25696" w:rsidRDefault="00B25696" w:rsidP="00B25696">
            <w:pPr>
              <w:spacing w:after="160" w:line="259" w:lineRule="auto"/>
              <w:jc w:val="both"/>
              <w:rPr>
                <w:lang w:val="bg-BG"/>
              </w:rPr>
            </w:pPr>
            <w:r w:rsidRPr="00B25696">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0051DF" w:rsidRPr="00E007E1" w:rsidRDefault="00B25696" w:rsidP="00B25696">
            <w:pPr>
              <w:spacing w:after="160" w:line="259" w:lineRule="auto"/>
              <w:jc w:val="both"/>
              <w:rPr>
                <w:highlight w:val="green"/>
                <w:lang w:val="bg-BG"/>
              </w:rPr>
            </w:pPr>
            <w:r w:rsidRPr="00B25696">
              <w:rPr>
                <w:lang w:val="bg-BG"/>
              </w:rPr>
              <w:t>Поради изложените по-горе аргументи, проектно предложение с рег. № BG14MFOP001-2.020-0006 на кандидата „</w:t>
            </w:r>
            <w:proofErr w:type="spellStart"/>
            <w:r w:rsidRPr="00B25696">
              <w:rPr>
                <w:lang w:val="bg-BG"/>
              </w:rPr>
              <w:t>Дизмат</w:t>
            </w:r>
            <w:proofErr w:type="spellEnd"/>
            <w:r w:rsidRPr="00B25696">
              <w:rPr>
                <w:lang w:val="bg-BG"/>
              </w:rPr>
              <w:t>“ ЕООД е включено в Списъка на проектните предложения, които не се допускат до етап Техническа и финансова оценка, по настоящата процедура.</w:t>
            </w:r>
          </w:p>
        </w:tc>
      </w:tr>
      <w:tr w:rsidR="00B25696" w:rsidRPr="00E76FC7" w:rsidTr="00C171C9">
        <w:tc>
          <w:tcPr>
            <w:tcW w:w="600" w:type="dxa"/>
            <w:shd w:val="clear" w:color="auto" w:fill="auto"/>
          </w:tcPr>
          <w:p w:rsidR="00B25696" w:rsidRDefault="00B25696" w:rsidP="00E756A6">
            <w:pPr>
              <w:jc w:val="center"/>
              <w:rPr>
                <w:b/>
                <w:lang w:val="bg-BG"/>
              </w:rPr>
            </w:pPr>
          </w:p>
          <w:p w:rsidR="00B25696" w:rsidRDefault="00B25696" w:rsidP="00B25696">
            <w:pPr>
              <w:rPr>
                <w:b/>
                <w:lang w:val="bg-BG"/>
              </w:rPr>
            </w:pPr>
            <w:r>
              <w:rPr>
                <w:b/>
                <w:lang w:val="bg-BG"/>
              </w:rPr>
              <w:t xml:space="preserve">3. </w:t>
            </w:r>
          </w:p>
        </w:tc>
        <w:tc>
          <w:tcPr>
            <w:tcW w:w="2112" w:type="dxa"/>
            <w:shd w:val="clear" w:color="auto" w:fill="auto"/>
          </w:tcPr>
          <w:p w:rsidR="00B25696" w:rsidRDefault="00B25696" w:rsidP="00E756A6">
            <w:pPr>
              <w:jc w:val="center"/>
              <w:rPr>
                <w:b/>
                <w:lang w:val="bg-BG"/>
              </w:rPr>
            </w:pPr>
          </w:p>
          <w:p w:rsidR="00B25696" w:rsidRDefault="00B25696" w:rsidP="00E756A6">
            <w:pPr>
              <w:jc w:val="center"/>
              <w:rPr>
                <w:b/>
                <w:lang w:val="bg-BG"/>
              </w:rPr>
            </w:pPr>
            <w:r w:rsidRPr="00B25696">
              <w:rPr>
                <w:b/>
                <w:lang w:val="bg-BG"/>
              </w:rPr>
              <w:t>BG14MFOP001-2.020-0008</w:t>
            </w:r>
          </w:p>
        </w:tc>
        <w:tc>
          <w:tcPr>
            <w:tcW w:w="2318" w:type="dxa"/>
            <w:shd w:val="clear" w:color="auto" w:fill="auto"/>
          </w:tcPr>
          <w:p w:rsidR="00B25696" w:rsidRDefault="00B25696" w:rsidP="00E756A6">
            <w:pPr>
              <w:jc w:val="center"/>
              <w:rPr>
                <w:b/>
                <w:lang w:val="bg-BG"/>
              </w:rPr>
            </w:pPr>
          </w:p>
          <w:p w:rsidR="00B25696" w:rsidRDefault="00B25696" w:rsidP="00EB6A99">
            <w:pPr>
              <w:jc w:val="center"/>
              <w:rPr>
                <w:b/>
                <w:lang w:val="bg-BG"/>
              </w:rPr>
            </w:pPr>
            <w:r>
              <w:rPr>
                <w:b/>
                <w:lang w:val="bg-BG"/>
              </w:rPr>
              <w:t>„</w:t>
            </w:r>
            <w:r w:rsidRPr="00B25696">
              <w:rPr>
                <w:b/>
                <w:lang w:val="bg-BG"/>
              </w:rPr>
              <w:t xml:space="preserve">НА СЛУКА </w:t>
            </w:r>
            <w:r>
              <w:rPr>
                <w:b/>
                <w:lang w:val="bg-BG"/>
              </w:rPr>
              <w:t>–</w:t>
            </w:r>
            <w:r w:rsidRPr="00B25696">
              <w:rPr>
                <w:b/>
                <w:lang w:val="bg-BG"/>
              </w:rPr>
              <w:t xml:space="preserve"> 150</w:t>
            </w:r>
            <w:r w:rsidR="00EB6A99">
              <w:rPr>
                <w:b/>
                <w:lang w:val="bg-BG"/>
              </w:rPr>
              <w:t>“</w:t>
            </w:r>
            <w:r>
              <w:rPr>
                <w:b/>
                <w:lang w:val="bg-BG"/>
              </w:rPr>
              <w:t xml:space="preserve"> ЕООД</w:t>
            </w:r>
          </w:p>
        </w:tc>
        <w:tc>
          <w:tcPr>
            <w:tcW w:w="2959" w:type="dxa"/>
            <w:shd w:val="clear" w:color="auto" w:fill="auto"/>
          </w:tcPr>
          <w:p w:rsidR="00B25696" w:rsidRDefault="00B25696" w:rsidP="000D421C">
            <w:pPr>
              <w:jc w:val="both"/>
              <w:rPr>
                <w:lang w:val="bg-BG"/>
              </w:rPr>
            </w:pPr>
          </w:p>
          <w:p w:rsidR="00B25696" w:rsidRDefault="00B25696" w:rsidP="000D421C">
            <w:pPr>
              <w:jc w:val="both"/>
              <w:rPr>
                <w:lang w:val="bg-BG"/>
              </w:rPr>
            </w:pPr>
            <w:r>
              <w:rPr>
                <w:lang w:val="bg-BG"/>
              </w:rPr>
              <w:t>„П</w:t>
            </w:r>
            <w:r w:rsidRPr="00B25696">
              <w:rPr>
                <w:lang w:val="bg-BG"/>
              </w:rPr>
              <w:t>одобряване на конкурентоспосо</w:t>
            </w:r>
            <w:r>
              <w:rPr>
                <w:lang w:val="bg-BG"/>
              </w:rPr>
              <w:t>бността и жизнеспособността на „НА СЛУКА 150“</w:t>
            </w:r>
            <w:r w:rsidRPr="00B25696">
              <w:rPr>
                <w:lang w:val="bg-BG"/>
              </w:rPr>
              <w:t xml:space="preserve"> ЕООД, включително подобряване на безопасността и условията на труд и ефективно използване на ресурсите</w:t>
            </w:r>
            <w:r>
              <w:rPr>
                <w:lang w:val="bg-BG"/>
              </w:rPr>
              <w:t>“</w:t>
            </w:r>
          </w:p>
        </w:tc>
        <w:tc>
          <w:tcPr>
            <w:tcW w:w="5233" w:type="dxa"/>
            <w:shd w:val="clear" w:color="auto" w:fill="auto"/>
          </w:tcPr>
          <w:p w:rsidR="007F2901" w:rsidRPr="007F2901" w:rsidRDefault="007F2901" w:rsidP="007F2901">
            <w:pPr>
              <w:spacing w:after="160" w:line="259" w:lineRule="auto"/>
              <w:jc w:val="both"/>
              <w:rPr>
                <w:lang w:val="bg-BG"/>
              </w:rPr>
            </w:pPr>
            <w:r w:rsidRPr="007F2901">
              <w:rPr>
                <w:lang w:val="bg-BG"/>
              </w:rPr>
              <w:t>След извършване на оценка за административно съответствие и допустимост на проектно предложение № BG14MFOP001-2.020-0008, в съответствие с чл. 29, ал. 2, т. 1, буква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7F2901">
              <w:rPr>
                <w:lang w:val="bg-BG"/>
              </w:rPr>
              <w:t>Обн</w:t>
            </w:r>
            <w:proofErr w:type="spellEnd"/>
            <w:r w:rsidRPr="007F2901">
              <w:rPr>
                <w:lang w:val="bg-BG"/>
              </w:rPr>
              <w:t xml:space="preserve">. ДВ, бр. 51 от 2022 г.), е установено следното: </w:t>
            </w:r>
          </w:p>
          <w:p w:rsidR="007F2901" w:rsidRPr="007F2901" w:rsidRDefault="007F2901" w:rsidP="007F2901">
            <w:pPr>
              <w:spacing w:after="160" w:line="259" w:lineRule="auto"/>
              <w:jc w:val="both"/>
              <w:rPr>
                <w:lang w:val="bg-BG"/>
              </w:rPr>
            </w:pPr>
            <w:r w:rsidRPr="007F2901">
              <w:rPr>
                <w:lang w:val="bg-BG"/>
              </w:rPr>
              <w:t xml:space="preserve">Проектното предложение не отговаря на Критерий № 1 „Проектното предложение е </w:t>
            </w:r>
            <w:r w:rsidRPr="007F2901">
              <w:rPr>
                <w:lang w:val="bg-BG"/>
              </w:rPr>
              <w:lastRenderedPageBreak/>
              <w:t xml:space="preserve">подадено по реда, определен от Управляващия орган (УО) на Програмата за морско дело и рибарство 2014-2020 (ПМДР) в Условията за кандидатстване (УК) по настоящата процедура“ и Критерий № 2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BG14MFOP001-2.020 „Продуктивни инвестиции в </w:t>
            </w:r>
            <w:proofErr w:type="spellStart"/>
            <w:r w:rsidRPr="007F2901">
              <w:rPr>
                <w:lang w:val="bg-BG"/>
              </w:rPr>
              <w:t>аквакултурите</w:t>
            </w:r>
            <w:proofErr w:type="spellEnd"/>
            <w:r w:rsidRPr="007F2901">
              <w:rPr>
                <w:lang w:val="bg-BG"/>
              </w:rPr>
              <w:t xml:space="preserve">“, мярка 2.2 „Продуктивни инвестиции в </w:t>
            </w:r>
            <w:proofErr w:type="spellStart"/>
            <w:r w:rsidRPr="007F2901">
              <w:rPr>
                <w:lang w:val="bg-BG"/>
              </w:rPr>
              <w:t>аквакултурите</w:t>
            </w:r>
            <w:proofErr w:type="spellEnd"/>
            <w:r w:rsidRPr="007F2901">
              <w:rPr>
                <w:lang w:val="bg-BG"/>
              </w:rPr>
              <w:t>“, сектор „Малки проекти”, поради следните причини:</w:t>
            </w:r>
          </w:p>
          <w:p w:rsidR="007F2901" w:rsidRPr="007F2901" w:rsidRDefault="007F2901" w:rsidP="007F2901">
            <w:pPr>
              <w:spacing w:after="160" w:line="259" w:lineRule="auto"/>
              <w:jc w:val="both"/>
              <w:rPr>
                <w:lang w:val="bg-BG"/>
              </w:rPr>
            </w:pPr>
            <w:r w:rsidRPr="007F2901">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7F2901">
              <w:rPr>
                <w:lang w:val="bg-BG"/>
              </w:rPr>
              <w:t>нередовности</w:t>
            </w:r>
            <w:proofErr w:type="spellEnd"/>
            <w:r w:rsidRPr="007F2901">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7F2901">
              <w:rPr>
                <w:lang w:val="bg-BG"/>
              </w:rPr>
              <w:t>неотстраняването</w:t>
            </w:r>
            <w:proofErr w:type="spellEnd"/>
            <w:r w:rsidRPr="007F2901">
              <w:rPr>
                <w:lang w:val="bg-BG"/>
              </w:rPr>
              <w:t xml:space="preserve"> на </w:t>
            </w:r>
            <w:proofErr w:type="spellStart"/>
            <w:r w:rsidRPr="007F2901">
              <w:rPr>
                <w:lang w:val="bg-BG"/>
              </w:rPr>
              <w:t>нередовностите</w:t>
            </w:r>
            <w:proofErr w:type="spellEnd"/>
            <w:r w:rsidRPr="007F2901">
              <w:rPr>
                <w:lang w:val="bg-BG"/>
              </w:rPr>
              <w:t xml:space="preserve"> в срок може да доведе до прекратяване на производството по отношение на кандидата. Отстраняването на </w:t>
            </w:r>
            <w:proofErr w:type="spellStart"/>
            <w:r w:rsidRPr="007F2901">
              <w:rPr>
                <w:lang w:val="bg-BG"/>
              </w:rPr>
              <w:t>нередовностите</w:t>
            </w:r>
            <w:proofErr w:type="spellEnd"/>
            <w:r w:rsidRPr="007F2901">
              <w:rPr>
                <w:lang w:val="bg-BG"/>
              </w:rPr>
              <w:t xml:space="preserve"> не може да води до </w:t>
            </w:r>
            <w:r w:rsidRPr="007F2901">
              <w:rPr>
                <w:lang w:val="bg-BG"/>
              </w:rPr>
              <w:lastRenderedPageBreak/>
              <w:t>подобряване на качеството на проектното предложение“.</w:t>
            </w:r>
          </w:p>
          <w:p w:rsidR="007F2901" w:rsidRPr="007F2901" w:rsidRDefault="007F2901" w:rsidP="007F2901">
            <w:pPr>
              <w:spacing w:after="160" w:line="259" w:lineRule="auto"/>
              <w:jc w:val="both"/>
              <w:rPr>
                <w:lang w:val="bg-BG"/>
              </w:rPr>
            </w:pPr>
            <w:r w:rsidRPr="007F2901">
              <w:rPr>
                <w:lang w:val="bg-BG"/>
              </w:rPr>
              <w:t>Във връзка с констатирани несъответствия, на 28.11.2022 г. е изпратено уведомление с регистрационен номер BG14MFOP001-2.020-0008-M001, с което е поискана допълнителна информация и документи от кандидата чрез Модул „Комуникация“ в ИСУН 2020. Указан е срок до 08.12.2022 г. (десетдневен срок), в който да бъде предоставена обосновка на открити несъответствия, както и липсващи документи. Отговор от кандидата е получен на 08.12.2022 г., като следните от предоставените документи не са съгласно изискванията, посочени в Условията за кандидатстване (УК) на процедурата:</w:t>
            </w:r>
          </w:p>
          <w:p w:rsidR="007F2901" w:rsidRPr="007F2901" w:rsidRDefault="007F2901" w:rsidP="007F2901">
            <w:pPr>
              <w:spacing w:after="160" w:line="259" w:lineRule="auto"/>
              <w:jc w:val="both"/>
              <w:rPr>
                <w:lang w:val="bg-BG"/>
              </w:rPr>
            </w:pPr>
            <w:r w:rsidRPr="007F2901">
              <w:rPr>
                <w:lang w:val="bg-BG"/>
              </w:rPr>
              <w:t xml:space="preserve">- Съгласно т. 23. „Начин на подаване на проектните предложения/концепциите за проектни предложения“ УК по настоящата процедура: „Проектното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 </w:t>
            </w:r>
            <w:r w:rsidRPr="007F2901">
              <w:rPr>
                <w:lang w:val="bg-BG"/>
              </w:rPr>
              <w:lastRenderedPageBreak/>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7F2901" w:rsidRPr="007F2901" w:rsidRDefault="007F2901" w:rsidP="007F2901">
            <w:pPr>
              <w:spacing w:after="160" w:line="259" w:lineRule="auto"/>
              <w:jc w:val="both"/>
              <w:rPr>
                <w:lang w:val="bg-BG"/>
              </w:rPr>
            </w:pPr>
            <w:r w:rsidRPr="007F2901">
              <w:rPr>
                <w:lang w:val="bg-BG"/>
              </w:rPr>
              <w:t xml:space="preserve">При направена служебна справка в Търговския регистър е установено, че управител и едноличен собственик на капитала на  „На слука–150“ ЕООД е Христо Янков Христов. Към формуляра за кандидатстване е предоставеното пълномощно от Христо Янков Христов, с което управителят упълномощава ЕТ „Рая Асенова Коева-Вълкова“ да подаде формуляр за кандидатстване по Процедура за подбор на проекти BG14MFOP001-2.020, както и да отговаря на постъпили от страна на оценителната комисия въпроси, свързани с оценката на подаденото проектно предложение. Пълномощното е подписано с </w:t>
            </w:r>
            <w:r w:rsidRPr="007F2901">
              <w:rPr>
                <w:lang w:val="bg-BG"/>
              </w:rPr>
              <w:lastRenderedPageBreak/>
              <w:t>КЕП не от Христо Янков Христов, а от Николай Янков Енчев, който съгласно служебна справка в Търговския регистър не се явява лице с право да представлява кандидата.</w:t>
            </w:r>
          </w:p>
          <w:p w:rsidR="007F2901" w:rsidRPr="007F2901" w:rsidRDefault="007F2901" w:rsidP="007F2901">
            <w:pPr>
              <w:spacing w:after="160" w:line="259" w:lineRule="auto"/>
              <w:jc w:val="both"/>
              <w:rPr>
                <w:lang w:val="bg-BG"/>
              </w:rPr>
            </w:pPr>
            <w:r w:rsidRPr="007F2901">
              <w:rPr>
                <w:lang w:val="bg-BG"/>
              </w:rPr>
              <w:t>Съгласно Закона за задълженията и договорите, пълномощното представлява  едностранно волеизявление и не би могло да бъде подписано от друг освен от упълномощителя. В тази връзка, предоставеното от Христо Янков Христов пълномощно не е законосъобразно, както по Закона за задълженията и договорите, така и по УК по настоящата процедура.</w:t>
            </w:r>
          </w:p>
          <w:p w:rsidR="007F2901" w:rsidRPr="007F2901" w:rsidRDefault="007F2901" w:rsidP="007F2901">
            <w:pPr>
              <w:spacing w:after="160" w:line="259" w:lineRule="auto"/>
              <w:jc w:val="both"/>
              <w:rPr>
                <w:lang w:val="bg-BG"/>
              </w:rPr>
            </w:pPr>
            <w:r w:rsidRPr="007F2901">
              <w:rPr>
                <w:lang w:val="bg-BG"/>
              </w:rPr>
              <w:t>- Към предоставената Декларация № 1 за обстоятелства по чл. 3 и чл. 4 от Закона за малките и средните предприятия, липсва справка за обобщените параметри на предприятието, което подава декларация по чл. 3 и чл. 4 на ЗМСП.</w:t>
            </w:r>
          </w:p>
          <w:p w:rsidR="007F2901" w:rsidRPr="007F2901" w:rsidRDefault="007F2901" w:rsidP="007F2901">
            <w:pPr>
              <w:spacing w:after="160" w:line="259" w:lineRule="auto"/>
              <w:jc w:val="both"/>
              <w:rPr>
                <w:lang w:val="bg-BG"/>
              </w:rPr>
            </w:pPr>
            <w:r w:rsidRPr="007F2901">
              <w:rPr>
                <w:lang w:val="bg-BG"/>
              </w:rPr>
              <w:t xml:space="preserve">- Съгласно т. 3 от раздел 24 от УК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w:t>
            </w:r>
            <w:r w:rsidRPr="007F2901">
              <w:rPr>
                <w:lang w:val="bg-BG"/>
              </w:rPr>
              <w:lastRenderedPageBreak/>
              <w:t xml:space="preserve">представител на оферента“. За разход „ДОСТАВКА НА ВЪНШНО ОСВЕТЛЕНИЕ“, който е на стойност 14 087,14 лв. е предоставена оферта от „ОЛИМПС“ ЕООД, като декларираният от оферента специфичен оборот в справката-декларация се равнява на 6 166,86 лв., с което не отговаря на изискването на УК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w:t>
            </w:r>
          </w:p>
          <w:p w:rsidR="007F2901" w:rsidRPr="007F2901" w:rsidRDefault="007F2901" w:rsidP="007F2901">
            <w:pPr>
              <w:spacing w:after="160" w:line="259" w:lineRule="auto"/>
              <w:jc w:val="both"/>
              <w:rPr>
                <w:lang w:val="bg-BG"/>
              </w:rPr>
            </w:pPr>
            <w:r w:rsidRPr="007F2901">
              <w:rPr>
                <w:lang w:val="bg-BG"/>
              </w:rPr>
              <w:t>В тази връзка за разход „ДОСТАВКА НА ВЪНШНО ОСВЕТЛЕНИЕ“ не е предоставена оферта от оферент, отговарящ на УК и съответно разходът се редуцира служебно. В допълнение, голяма част от разходите по същата оферта представляват строително-монтажни работи, които са недопустими разходи по настоящата процедура.</w:t>
            </w:r>
          </w:p>
          <w:p w:rsidR="007F2901" w:rsidRPr="007F2901" w:rsidRDefault="007F2901" w:rsidP="007F2901">
            <w:pPr>
              <w:spacing w:after="160" w:line="259" w:lineRule="auto"/>
              <w:jc w:val="both"/>
              <w:rPr>
                <w:lang w:val="bg-BG"/>
              </w:rPr>
            </w:pPr>
            <w:r w:rsidRPr="007F2901">
              <w:rPr>
                <w:lang w:val="bg-BG"/>
              </w:rPr>
              <w:t xml:space="preserve">- С оглед определяне на произхода на цените не е предоставена оферта за разход „ДОСТАВКА НА МАТЕРИАЛИ“. След поискана допълнителна информация от кандидата чрез Модул „Комуникация“, същият предоставя оферта за доставка на шаран за консумация, което не е допустим разход, както съгласно изискванията на УК по настоящата процедура, </w:t>
            </w:r>
            <w:r w:rsidRPr="007F2901">
              <w:rPr>
                <w:lang w:val="bg-BG"/>
              </w:rPr>
              <w:lastRenderedPageBreak/>
              <w:t>така и съгласно член 11 „Недопустими операции“, „Следните операции не са допустими по линия на ЕФМДР: ................ е) пряко зарибяване, освен когато такова е изрично предвидено като мярка за опазване в правен акт на Съюза или в случай на експериментално зарибяване“ 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В тази връзка, разход „ДОСТАВКА НА МАТЕРИАЛИ“ се редуцира служебно.</w:t>
            </w:r>
          </w:p>
          <w:p w:rsidR="007F2901" w:rsidRPr="007F2901" w:rsidRDefault="007F2901" w:rsidP="007F2901">
            <w:pPr>
              <w:spacing w:after="160" w:line="259" w:lineRule="auto"/>
              <w:jc w:val="both"/>
              <w:rPr>
                <w:lang w:val="bg-BG"/>
              </w:rPr>
            </w:pPr>
            <w:r w:rsidRPr="007F2901">
              <w:rPr>
                <w:lang w:val="bg-BG"/>
              </w:rPr>
              <w:t xml:space="preserve">- С оглед определяне на произхода на цените за разход „ДОСТАВКА И ВЪВЕЖДАНЕ В ЕКСПЛОАТАЦИЯ НА ФОТОВОЛТАИЧНА СИСТЕМА“ на стойност 55 398,82 лв. по бюджет в ИСУН 2020, са предоставени 2 оферти – съответно от „ЕТРА ЕЛ” ООД – на стойност 50 362,56 лв. и „Куков КО“ ООД – на стойност 55 398,82 лв., като за този разход по проектното предложение е заявена за одобрение стойността на по-високата оферта. Във връзка с принципът на икономичност, ефикасност и ефективност от кандидата е изискано обяснение за откритото несъответствие, като същият е уведомен, че </w:t>
            </w:r>
            <w:r w:rsidRPr="007F2901">
              <w:rPr>
                <w:lang w:val="bg-BG"/>
              </w:rPr>
              <w:lastRenderedPageBreak/>
              <w:t>съгласно раздел 14.1. „Допустими разходи“ от УК при оценката на разходите от Формуляра за кандидатстване УО на ПМДР спазва принципа на икономичност, ефикасност и ефективност.</w:t>
            </w:r>
          </w:p>
          <w:p w:rsidR="007F2901" w:rsidRPr="007F2901" w:rsidRDefault="007F2901" w:rsidP="007F2901">
            <w:pPr>
              <w:spacing w:after="160" w:line="259" w:lineRule="auto"/>
              <w:jc w:val="both"/>
              <w:rPr>
                <w:lang w:val="bg-BG"/>
              </w:rPr>
            </w:pPr>
            <w:r w:rsidRPr="007F2901">
              <w:rPr>
                <w:lang w:val="bg-BG"/>
              </w:rPr>
              <w:t>Съгласно раздел 13 „Дейности, допустими за финансиране“ от УК: „Съгласно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rsidR="007F2901" w:rsidRPr="007F2901" w:rsidRDefault="007F2901" w:rsidP="007F2901">
            <w:pPr>
              <w:spacing w:after="160" w:line="259" w:lineRule="auto"/>
              <w:jc w:val="both"/>
              <w:rPr>
                <w:lang w:val="bg-BG"/>
              </w:rPr>
            </w:pPr>
            <w:r w:rsidRPr="007F2901">
              <w:rPr>
                <w:lang w:val="bg-BG"/>
              </w:rPr>
              <w:t>Проектното предложение трябва да отговаря на разпоредбите на чл. 33, параграф 1, букви а), б) и в) на Финансовия регламент:</w:t>
            </w:r>
          </w:p>
          <w:p w:rsidR="007F2901" w:rsidRPr="007F2901" w:rsidRDefault="007F2901" w:rsidP="007F2901">
            <w:pPr>
              <w:spacing w:after="160" w:line="259" w:lineRule="auto"/>
              <w:jc w:val="both"/>
              <w:rPr>
                <w:lang w:val="bg-BG"/>
              </w:rPr>
            </w:pPr>
            <w:r w:rsidRPr="007F2901">
              <w:rPr>
                <w:lang w:val="bg-BG"/>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rsidR="007F2901" w:rsidRPr="007F2901" w:rsidRDefault="007F2901" w:rsidP="007F2901">
            <w:pPr>
              <w:spacing w:after="160" w:line="259" w:lineRule="auto"/>
              <w:jc w:val="both"/>
              <w:rPr>
                <w:lang w:val="bg-BG"/>
              </w:rPr>
            </w:pPr>
            <w:r w:rsidRPr="007F2901">
              <w:rPr>
                <w:lang w:val="bg-BG"/>
              </w:rPr>
              <w:t>б) ефикасността се отнася до най-доброто съотношение между използваните ресурси, предприетите дейности и постигането на целите;</w:t>
            </w:r>
          </w:p>
          <w:p w:rsidR="007F2901" w:rsidRPr="007F2901" w:rsidRDefault="007F2901" w:rsidP="007F2901">
            <w:pPr>
              <w:spacing w:after="160" w:line="259" w:lineRule="auto"/>
              <w:jc w:val="both"/>
              <w:rPr>
                <w:lang w:val="bg-BG"/>
              </w:rPr>
            </w:pPr>
            <w:r w:rsidRPr="007F2901">
              <w:rPr>
                <w:lang w:val="bg-BG"/>
              </w:rPr>
              <w:t>в) принципът на ефективност е свързан с най-доброто съотношение между използваните ресурси, предприетите дейности и постигането на целите.“</w:t>
            </w:r>
          </w:p>
          <w:p w:rsidR="007F2901" w:rsidRPr="007F2901" w:rsidRDefault="007F2901" w:rsidP="007F2901">
            <w:pPr>
              <w:spacing w:after="160" w:line="259" w:lineRule="auto"/>
              <w:jc w:val="both"/>
              <w:rPr>
                <w:lang w:val="bg-BG"/>
              </w:rPr>
            </w:pPr>
            <w:r w:rsidRPr="007F2901">
              <w:rPr>
                <w:lang w:val="bg-BG"/>
              </w:rPr>
              <w:t xml:space="preserve">В отговор на уведомление с регистрационен номер BG14MFOP001-2.020-0008-M001, с </w:t>
            </w:r>
            <w:r w:rsidRPr="007F2901">
              <w:rPr>
                <w:lang w:val="bg-BG"/>
              </w:rPr>
              <w:lastRenderedPageBreak/>
              <w:t>което е поискана допълнителна информация от кандидата чрез Модул „Комуникация“, кандидатът заявява, че „По отношение на разликата в ценовите оферти за разход „Доставка и въвеждане в експлоатация на фотоволтаична система“, същият е заложен с изпълнител „Куков КО“, т.е. оферентът, представил по-висока ценова оферта.</w:t>
            </w:r>
          </w:p>
          <w:p w:rsidR="007F2901" w:rsidRPr="007F2901" w:rsidRDefault="007F2901" w:rsidP="007F2901">
            <w:pPr>
              <w:spacing w:after="160" w:line="259" w:lineRule="auto"/>
              <w:jc w:val="both"/>
              <w:rPr>
                <w:lang w:val="bg-BG"/>
              </w:rPr>
            </w:pPr>
            <w:r w:rsidRPr="007F2901">
              <w:rPr>
                <w:lang w:val="bg-BG"/>
              </w:rPr>
              <w:t>При сравнение на двете оферти, оценителната комисия установява, че те са абсолютно идентични, в следствие на което прилагайки принципът на икономичност, съгласно Финансовия регламент „добро финансово управление“, а именно ресурсите, използвани от съответната инвестиция за осъществяване на нейните дейности да са на най-добрата цена, оценителната комисия приема офертата от „ЕТРА ЕЛ” ООД, която е с по-ниска стойност.</w:t>
            </w:r>
          </w:p>
          <w:p w:rsidR="007F2901" w:rsidRPr="007F2901" w:rsidRDefault="007F2901" w:rsidP="007F2901">
            <w:pPr>
              <w:spacing w:after="160" w:line="259" w:lineRule="auto"/>
              <w:jc w:val="both"/>
              <w:rPr>
                <w:lang w:val="bg-BG"/>
              </w:rPr>
            </w:pPr>
            <w:r w:rsidRPr="007F2901">
              <w:rPr>
                <w:lang w:val="bg-BG"/>
              </w:rPr>
              <w:t xml:space="preserve">Същевременно, в отговор на уведомление с регистрационен номер BG14MFOP001-2.020-0008-M001, с което от кандидата чрез Модул „Комуникация“ са поискани справки-декларации, подписани от счетоводителя и лицето представляващо по закон оферента във връзка с изискване за доказване на специфичен оборот от оферентите, за всички оференти, кандидатът не е предоставил справка-декларация, подписана от счетоводителя и лицето представляващо по закон оферента във връзка с изискване за доказване на специфичен </w:t>
            </w:r>
            <w:r w:rsidRPr="007F2901">
              <w:rPr>
                <w:lang w:val="bg-BG"/>
              </w:rPr>
              <w:lastRenderedPageBreak/>
              <w:t xml:space="preserve">оборот от „ЕТРА ЕЛ” ООД, с което офертата не отговаря на цитираните изисквания от раздел 24, т.3 от УК. </w:t>
            </w:r>
          </w:p>
          <w:p w:rsidR="007F2901" w:rsidRPr="007F2901" w:rsidRDefault="007F2901" w:rsidP="007F2901">
            <w:pPr>
              <w:spacing w:after="160" w:line="259" w:lineRule="auto"/>
              <w:jc w:val="both"/>
              <w:rPr>
                <w:lang w:val="bg-BG"/>
              </w:rPr>
            </w:pPr>
            <w:r w:rsidRPr="007F2901">
              <w:rPr>
                <w:lang w:val="bg-BG"/>
              </w:rPr>
              <w:t>В тази връзка, за разход „ДОСТАВКА И ВЪВЕЖДАНЕ В ЕКСПЛОАТАЦИЯ НА ФОТОВОЛТАИЧНА СИСТЕМА“ не е предоставена оферта от оферент, отговарящ на УК по процедурата и съответно разходът се редуцира служебно.</w:t>
            </w:r>
          </w:p>
          <w:p w:rsidR="007F2901" w:rsidRPr="007F2901" w:rsidRDefault="007F2901" w:rsidP="007F2901">
            <w:pPr>
              <w:spacing w:after="160" w:line="259" w:lineRule="auto"/>
              <w:jc w:val="both"/>
              <w:rPr>
                <w:lang w:val="bg-BG"/>
              </w:rPr>
            </w:pPr>
            <w:r w:rsidRPr="007F2901">
              <w:rPr>
                <w:lang w:val="bg-BG"/>
              </w:rPr>
              <w:t>С редукцията на основните разходи, съпътстващите разходи не биха могли да съществуват и да бъдат одобрени самостоятелно и съответно разходи за „ДОСТАВКА НА ЗАЩИТНО РАБОТНО ОБЛЕКЛО“, „РАЗХОДИ ЗА ИЗПЪЛНЕНИЕ НА ПРОЕКТА“ и „РАЗХОДИ ЗА ВИЗУАЛИЗАЦИЯ“ също се редуцират служебно.</w:t>
            </w:r>
          </w:p>
          <w:p w:rsidR="007F2901" w:rsidRPr="007F2901" w:rsidRDefault="007F2901" w:rsidP="007F2901">
            <w:pPr>
              <w:spacing w:after="160" w:line="259" w:lineRule="auto"/>
              <w:jc w:val="both"/>
              <w:rPr>
                <w:lang w:val="bg-BG"/>
              </w:rPr>
            </w:pPr>
            <w:r w:rsidRPr="007F2901">
              <w:rPr>
                <w:lang w:val="bg-BG"/>
              </w:rPr>
              <w:t xml:space="preserve">Във връзка с изложените по-горе аргументи, проектното предложение не отговаря на Критерий № 14 „Предвидените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 от Приложение 4 „Критерии и методология за оценка на проектните предложения по Процедура за подбор на проекти BG14MFOP001-2.020 „Продуктивни </w:t>
            </w:r>
            <w:r w:rsidRPr="007F2901">
              <w:rPr>
                <w:lang w:val="bg-BG"/>
              </w:rPr>
              <w:lastRenderedPageBreak/>
              <w:t xml:space="preserve">инвестиции в </w:t>
            </w:r>
            <w:proofErr w:type="spellStart"/>
            <w:r w:rsidRPr="007F2901">
              <w:rPr>
                <w:lang w:val="bg-BG"/>
              </w:rPr>
              <w:t>аквакултурите</w:t>
            </w:r>
            <w:proofErr w:type="spellEnd"/>
            <w:r w:rsidRPr="007F2901">
              <w:rPr>
                <w:lang w:val="bg-BG"/>
              </w:rPr>
              <w:t xml:space="preserve">“, мярка 2.2 „Продуктивни инвестиции в </w:t>
            </w:r>
            <w:proofErr w:type="spellStart"/>
            <w:r w:rsidRPr="007F2901">
              <w:rPr>
                <w:lang w:val="bg-BG"/>
              </w:rPr>
              <w:t>аквакултурите</w:t>
            </w:r>
            <w:proofErr w:type="spellEnd"/>
            <w:r w:rsidRPr="007F2901">
              <w:rPr>
                <w:lang w:val="bg-BG"/>
              </w:rPr>
              <w:t>“, сектор „Малки проекти”.</w:t>
            </w:r>
          </w:p>
          <w:p w:rsidR="007F2901" w:rsidRPr="007F2901" w:rsidRDefault="007F2901" w:rsidP="007F2901">
            <w:pPr>
              <w:spacing w:after="160" w:line="259" w:lineRule="auto"/>
              <w:jc w:val="both"/>
              <w:rPr>
                <w:lang w:val="bg-BG"/>
              </w:rPr>
            </w:pPr>
            <w:r w:rsidRPr="007F2901">
              <w:rPr>
                <w:lang w:val="bg-BG"/>
              </w:rPr>
              <w:t>Съгласно Приложение № 4 към УК при несъответствие с някое от посочените изисквания проектното предложение се отхвърля.</w:t>
            </w:r>
          </w:p>
          <w:p w:rsidR="007F2901" w:rsidRPr="007F2901" w:rsidRDefault="007F2901" w:rsidP="007F2901">
            <w:pPr>
              <w:spacing w:after="160" w:line="259" w:lineRule="auto"/>
              <w:jc w:val="both"/>
              <w:rPr>
                <w:lang w:val="bg-BG"/>
              </w:rPr>
            </w:pPr>
            <w:r w:rsidRPr="007F2901">
              <w:rPr>
                <w:lang w:val="bg-BG"/>
              </w:rPr>
              <w:t>Съгласно чл. 34, ал. 2 на ЗУСЕФСУ,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са в съответствие с изискванията, посочени в УК на процедурата, то производството по проектното предложение се прекратява.</w:t>
            </w:r>
          </w:p>
          <w:p w:rsidR="007F2901" w:rsidRPr="00B25696" w:rsidRDefault="007F2901" w:rsidP="007F2901">
            <w:pPr>
              <w:spacing w:after="160" w:line="259" w:lineRule="auto"/>
              <w:jc w:val="both"/>
              <w:rPr>
                <w:lang w:val="bg-BG"/>
              </w:rPr>
            </w:pPr>
            <w:r w:rsidRPr="007F2901">
              <w:rPr>
                <w:lang w:val="bg-BG"/>
              </w:rPr>
              <w:t>Поради изложените по-горе аргументи, проектно предложение с рег. № BG14MFOP001-2.020-0008 е включено в Списъка на проектните предложения, които не се допускат до етап Техническа и финансова оценка, по настоящата процедура.</w:t>
            </w:r>
          </w:p>
        </w:tc>
      </w:tr>
    </w:tbl>
    <w:p w:rsidR="00806732" w:rsidRDefault="00806732">
      <w:pPr>
        <w:rPr>
          <w:lang w:val="bg-BG"/>
        </w:rPr>
      </w:pPr>
    </w:p>
    <w:p w:rsidR="00806732" w:rsidRDefault="00806732" w:rsidP="00806732">
      <w:pPr>
        <w:jc w:val="both"/>
        <w:rPr>
          <w:lang w:val="bg-BG"/>
        </w:rPr>
      </w:pPr>
      <w:r w:rsidRPr="00806732">
        <w:rPr>
          <w:lang w:val="bg-BG"/>
        </w:rPr>
        <w:t xml:space="preserve">ЗАБЕЛЕЖКА: </w:t>
      </w:r>
    </w:p>
    <w:p w:rsidR="00806732" w:rsidRPr="00806732" w:rsidRDefault="00806732" w:rsidP="00806732">
      <w:pPr>
        <w:jc w:val="both"/>
        <w:rPr>
          <w:lang w:val="bg-BG"/>
        </w:rPr>
      </w:pPr>
    </w:p>
    <w:p w:rsidR="00806732" w:rsidRPr="00025E58" w:rsidRDefault="00806732" w:rsidP="007F2901">
      <w:pPr>
        <w:jc w:val="both"/>
        <w:rPr>
          <w:lang w:val="bg-BG"/>
        </w:rPr>
      </w:pPr>
      <w:r w:rsidRPr="00806732">
        <w:rPr>
          <w:lang w:val="bg-BG"/>
        </w:rPr>
        <w:t>Съгласно разпоредбите на чл. 34, ал. 3 от ЗУСЕ</w:t>
      </w:r>
      <w:r w:rsidR="00B25696">
        <w:rPr>
          <w:lang w:val="bg-BG"/>
        </w:rPr>
        <w:t>ФСУ</w:t>
      </w:r>
      <w:r w:rsidRPr="00806732">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bookmarkStart w:id="0" w:name="_GoBack"/>
      <w:bookmarkEnd w:id="0"/>
    </w:p>
    <w:sectPr w:rsidR="00806732"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2E97"/>
    <w:multiLevelType w:val="hybridMultilevel"/>
    <w:tmpl w:val="33F6E3BA"/>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15:restartNumberingAfterBreak="0">
    <w:nsid w:val="211B4985"/>
    <w:multiLevelType w:val="hybridMultilevel"/>
    <w:tmpl w:val="834A38EA"/>
    <w:lvl w:ilvl="0" w:tplc="8E4C6A7C">
      <w:start w:val="13"/>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62F76D8D"/>
    <w:multiLevelType w:val="hybridMultilevel"/>
    <w:tmpl w:val="2012CCC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9112C8"/>
    <w:multiLevelType w:val="hybridMultilevel"/>
    <w:tmpl w:val="9F98FAB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C7016"/>
    <w:multiLevelType w:val="hybridMultilevel"/>
    <w:tmpl w:val="24CCE766"/>
    <w:lvl w:ilvl="0" w:tplc="880E0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58"/>
    <w:rsid w:val="000051DF"/>
    <w:rsid w:val="00013734"/>
    <w:rsid w:val="00025E58"/>
    <w:rsid w:val="00033F3C"/>
    <w:rsid w:val="00035B11"/>
    <w:rsid w:val="00044CEB"/>
    <w:rsid w:val="00055BA2"/>
    <w:rsid w:val="00091868"/>
    <w:rsid w:val="000B0DD2"/>
    <w:rsid w:val="000B1453"/>
    <w:rsid w:val="000B43D6"/>
    <w:rsid w:val="000C3816"/>
    <w:rsid w:val="000C5B33"/>
    <w:rsid w:val="000D421C"/>
    <w:rsid w:val="000E1319"/>
    <w:rsid w:val="000F317D"/>
    <w:rsid w:val="0010481A"/>
    <w:rsid w:val="00111B54"/>
    <w:rsid w:val="001326EF"/>
    <w:rsid w:val="00153BB9"/>
    <w:rsid w:val="001839E1"/>
    <w:rsid w:val="001A2009"/>
    <w:rsid w:val="001B7041"/>
    <w:rsid w:val="001B795A"/>
    <w:rsid w:val="001D3C74"/>
    <w:rsid w:val="001F6238"/>
    <w:rsid w:val="0020220A"/>
    <w:rsid w:val="00241116"/>
    <w:rsid w:val="00284EE9"/>
    <w:rsid w:val="00287E30"/>
    <w:rsid w:val="002A1582"/>
    <w:rsid w:val="002A67F1"/>
    <w:rsid w:val="002B177F"/>
    <w:rsid w:val="002D7F1C"/>
    <w:rsid w:val="002F7B28"/>
    <w:rsid w:val="00326FF7"/>
    <w:rsid w:val="0033082C"/>
    <w:rsid w:val="00353296"/>
    <w:rsid w:val="00374867"/>
    <w:rsid w:val="003822A4"/>
    <w:rsid w:val="003939A4"/>
    <w:rsid w:val="003A6D06"/>
    <w:rsid w:val="003B29B3"/>
    <w:rsid w:val="003C6F96"/>
    <w:rsid w:val="003D0FCC"/>
    <w:rsid w:val="003D5803"/>
    <w:rsid w:val="003E59DD"/>
    <w:rsid w:val="00412A02"/>
    <w:rsid w:val="00424034"/>
    <w:rsid w:val="004340F4"/>
    <w:rsid w:val="00447CD7"/>
    <w:rsid w:val="004567F4"/>
    <w:rsid w:val="00464859"/>
    <w:rsid w:val="00470746"/>
    <w:rsid w:val="004750CF"/>
    <w:rsid w:val="00487EAD"/>
    <w:rsid w:val="004A5A43"/>
    <w:rsid w:val="004B7D48"/>
    <w:rsid w:val="004E7379"/>
    <w:rsid w:val="004F12E7"/>
    <w:rsid w:val="00502B44"/>
    <w:rsid w:val="005145E2"/>
    <w:rsid w:val="005464CB"/>
    <w:rsid w:val="00591239"/>
    <w:rsid w:val="005B3C73"/>
    <w:rsid w:val="005C73C9"/>
    <w:rsid w:val="005D1F24"/>
    <w:rsid w:val="005D5242"/>
    <w:rsid w:val="005F5B71"/>
    <w:rsid w:val="00601704"/>
    <w:rsid w:val="00616EC9"/>
    <w:rsid w:val="00684CF8"/>
    <w:rsid w:val="006B6CF2"/>
    <w:rsid w:val="006C3B56"/>
    <w:rsid w:val="006D2F85"/>
    <w:rsid w:val="006D5340"/>
    <w:rsid w:val="00711EAD"/>
    <w:rsid w:val="00714A90"/>
    <w:rsid w:val="0071579F"/>
    <w:rsid w:val="00720E4A"/>
    <w:rsid w:val="007430E8"/>
    <w:rsid w:val="007700FA"/>
    <w:rsid w:val="00771F31"/>
    <w:rsid w:val="007862E7"/>
    <w:rsid w:val="00791E7A"/>
    <w:rsid w:val="007B704A"/>
    <w:rsid w:val="007C111B"/>
    <w:rsid w:val="007F2901"/>
    <w:rsid w:val="00806732"/>
    <w:rsid w:val="0083365D"/>
    <w:rsid w:val="00847126"/>
    <w:rsid w:val="0085198C"/>
    <w:rsid w:val="00871682"/>
    <w:rsid w:val="00871C2E"/>
    <w:rsid w:val="008C4F5F"/>
    <w:rsid w:val="008F4379"/>
    <w:rsid w:val="0090769F"/>
    <w:rsid w:val="009266D4"/>
    <w:rsid w:val="0093219F"/>
    <w:rsid w:val="009374AD"/>
    <w:rsid w:val="009922EE"/>
    <w:rsid w:val="00996458"/>
    <w:rsid w:val="009C4EBC"/>
    <w:rsid w:val="009E39A8"/>
    <w:rsid w:val="009F10FC"/>
    <w:rsid w:val="00A762F9"/>
    <w:rsid w:val="00A96A31"/>
    <w:rsid w:val="00AB1D94"/>
    <w:rsid w:val="00AC3DF7"/>
    <w:rsid w:val="00AE0230"/>
    <w:rsid w:val="00AE22F6"/>
    <w:rsid w:val="00AF27A9"/>
    <w:rsid w:val="00B25696"/>
    <w:rsid w:val="00B34C14"/>
    <w:rsid w:val="00B45446"/>
    <w:rsid w:val="00B64E7B"/>
    <w:rsid w:val="00B65E53"/>
    <w:rsid w:val="00B73907"/>
    <w:rsid w:val="00B77FAB"/>
    <w:rsid w:val="00BB5563"/>
    <w:rsid w:val="00BB578D"/>
    <w:rsid w:val="00BE1906"/>
    <w:rsid w:val="00C171C9"/>
    <w:rsid w:val="00C65B82"/>
    <w:rsid w:val="00C76902"/>
    <w:rsid w:val="00C84BDC"/>
    <w:rsid w:val="00CD49F3"/>
    <w:rsid w:val="00CF44C8"/>
    <w:rsid w:val="00D0110C"/>
    <w:rsid w:val="00D06F9F"/>
    <w:rsid w:val="00D13AC4"/>
    <w:rsid w:val="00D166C0"/>
    <w:rsid w:val="00D9025C"/>
    <w:rsid w:val="00D90331"/>
    <w:rsid w:val="00DB7FE8"/>
    <w:rsid w:val="00DC2275"/>
    <w:rsid w:val="00DC2E70"/>
    <w:rsid w:val="00DC4249"/>
    <w:rsid w:val="00DC44BD"/>
    <w:rsid w:val="00DF0B17"/>
    <w:rsid w:val="00E007E1"/>
    <w:rsid w:val="00E126C1"/>
    <w:rsid w:val="00E171F2"/>
    <w:rsid w:val="00E3156B"/>
    <w:rsid w:val="00E4235B"/>
    <w:rsid w:val="00E445E8"/>
    <w:rsid w:val="00E5245B"/>
    <w:rsid w:val="00E52E87"/>
    <w:rsid w:val="00E76515"/>
    <w:rsid w:val="00E85F57"/>
    <w:rsid w:val="00E94C27"/>
    <w:rsid w:val="00EB6A99"/>
    <w:rsid w:val="00EE51D6"/>
    <w:rsid w:val="00EF38E3"/>
    <w:rsid w:val="00F133AC"/>
    <w:rsid w:val="00F428ED"/>
    <w:rsid w:val="00F501A0"/>
    <w:rsid w:val="00F5302D"/>
    <w:rsid w:val="00F70F89"/>
    <w:rsid w:val="00F72E7E"/>
    <w:rsid w:val="00F73A86"/>
    <w:rsid w:val="00F77DC1"/>
    <w:rsid w:val="00F97D8C"/>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A2F"/>
  <w15:docId w15:val="{C997349C-D02C-431A-B676-FE37E11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 w:type="table" w:styleId="TableGrid">
    <w:name w:val="Table Grid"/>
    <w:basedOn w:val="TableNormal"/>
    <w:uiPriority w:val="59"/>
    <w:rsid w:val="00F501A0"/>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Boyanova</dc:creator>
  <cp:lastModifiedBy>Magdalena Boyanova</cp:lastModifiedBy>
  <cp:revision>6</cp:revision>
  <cp:lastPrinted>2022-02-07T12:18:00Z</cp:lastPrinted>
  <dcterms:created xsi:type="dcterms:W3CDTF">2023-02-17T15:03:00Z</dcterms:created>
  <dcterms:modified xsi:type="dcterms:W3CDTF">2023-03-27T08:55:00Z</dcterms:modified>
</cp:coreProperties>
</file>