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D9970A" w14:textId="77777777" w:rsidR="00694F91" w:rsidRPr="000A5C28" w:rsidRDefault="00D058DD" w:rsidP="00694F91">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lang w:val="en-US"/>
        </w:rPr>
        <w:t xml:space="preserve">        </w:t>
      </w:r>
      <w:r w:rsidR="00694F91">
        <w:rPr>
          <w:rFonts w:ascii="Times New Roman" w:hAnsi="Times New Roman" w:cs="Times New Roman"/>
          <w:b/>
          <w:bCs/>
          <w:snapToGrid w:val="0"/>
          <w:sz w:val="24"/>
          <w:szCs w:val="24"/>
        </w:rPr>
        <w:t>Приложение № 2</w:t>
      </w:r>
    </w:p>
    <w:p w14:paraId="4684428F" w14:textId="3B8E9C35" w:rsidR="00694F91" w:rsidRPr="006C7362" w:rsidRDefault="00694F91" w:rsidP="00694F91">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w:t>
      </w:r>
      <w:r w:rsidR="00D267FB">
        <w:rPr>
          <w:rFonts w:ascii="Times New Roman" w:hAnsi="Times New Roman" w:cs="Times New Roman"/>
          <w:b/>
          <w:bCs/>
          <w:snapToGrid w:val="0"/>
          <w:sz w:val="24"/>
          <w:szCs w:val="24"/>
        </w:rPr>
        <w:t xml:space="preserve">                          </w:t>
      </w:r>
      <w:r w:rsidRPr="000A5C28">
        <w:rPr>
          <w:rFonts w:ascii="Times New Roman" w:hAnsi="Times New Roman" w:cs="Times New Roman"/>
          <w:b/>
          <w:bCs/>
          <w:snapToGrid w:val="0"/>
          <w:sz w:val="24"/>
          <w:szCs w:val="24"/>
        </w:rPr>
        <w:t xml:space="preserve">към Заповед </w:t>
      </w:r>
      <w:r w:rsidR="00D267FB">
        <w:rPr>
          <w:rFonts w:ascii="Times New Roman" w:hAnsi="Times New Roman" w:cs="Times New Roman"/>
          <w:b/>
          <w:bCs/>
          <w:snapToGrid w:val="0"/>
          <w:sz w:val="24"/>
          <w:szCs w:val="24"/>
        </w:rPr>
        <w:t xml:space="preserve">№ </w:t>
      </w:r>
      <w:r w:rsidR="000B3349" w:rsidRPr="000B3349">
        <w:rPr>
          <w:rFonts w:ascii="Times New Roman" w:hAnsi="Times New Roman" w:cs="Times New Roman"/>
          <w:b/>
          <w:bCs/>
          <w:snapToGrid w:val="0"/>
          <w:sz w:val="24"/>
          <w:szCs w:val="24"/>
        </w:rPr>
        <w:t>МДР-ПП-09-25/20.03.2023г.</w:t>
      </w:r>
      <w:bookmarkStart w:id="0" w:name="_GoBack"/>
      <w:bookmarkEnd w:id="0"/>
    </w:p>
    <w:p w14:paraId="5AFA3F50"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4D5BD852"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5786B015" w14:textId="77777777" w:rsidR="00694F91" w:rsidRDefault="00694F91" w:rsidP="00694F91">
      <w:pPr>
        <w:spacing w:after="0" w:line="360" w:lineRule="auto"/>
        <w:jc w:val="center"/>
        <w:rPr>
          <w:rFonts w:ascii="Times New Roman" w:hAnsi="Times New Roman" w:cs="Times New Roman"/>
          <w:b/>
          <w:bCs/>
          <w:snapToGrid w:val="0"/>
          <w:sz w:val="24"/>
          <w:szCs w:val="24"/>
        </w:rPr>
      </w:pPr>
    </w:p>
    <w:p w14:paraId="651DFDDA" w14:textId="77777777" w:rsidR="00694F91" w:rsidRPr="00D93C16" w:rsidRDefault="00694F91" w:rsidP="00694F91">
      <w:pPr>
        <w:spacing w:after="0" w:line="360" w:lineRule="auto"/>
        <w:jc w:val="center"/>
        <w:rPr>
          <w:rFonts w:ascii="Times New Roman" w:hAnsi="Times New Roman" w:cs="Times New Roman"/>
          <w:b/>
          <w:bCs/>
          <w:sz w:val="24"/>
          <w:szCs w:val="24"/>
        </w:rPr>
      </w:pPr>
    </w:p>
    <w:p w14:paraId="4AA0876F" w14:textId="77777777" w:rsidR="00694F91" w:rsidRPr="00D93C16" w:rsidRDefault="00694F91" w:rsidP="00694F91">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14:paraId="0B78951A" w14:textId="77777777" w:rsidR="00694F91" w:rsidRPr="00D93C16" w:rsidRDefault="00694F91" w:rsidP="00694F91">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14:paraId="2BFCCFE0" w14:textId="77777777" w:rsidR="00694F91" w:rsidRPr="00D93C16" w:rsidRDefault="00694F91" w:rsidP="00694F91">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14:paraId="1CBF9E84" w14:textId="77777777" w:rsidR="00694F91" w:rsidRPr="00D93C16" w:rsidRDefault="00694F91" w:rsidP="00694F91">
      <w:pPr>
        <w:spacing w:after="0" w:line="360" w:lineRule="auto"/>
        <w:jc w:val="center"/>
        <w:rPr>
          <w:rFonts w:ascii="Times New Roman" w:hAnsi="Times New Roman" w:cs="Times New Roman"/>
          <w:b/>
          <w:bCs/>
          <w:snapToGrid w:val="0"/>
          <w:sz w:val="24"/>
          <w:szCs w:val="24"/>
        </w:rPr>
      </w:pPr>
    </w:p>
    <w:p w14:paraId="7E30F522" w14:textId="77777777" w:rsidR="00694F91" w:rsidRPr="00D65A8B" w:rsidRDefault="00694F91" w:rsidP="00694F91">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14:paraId="3739089F" w14:textId="77777777" w:rsidR="00694F91" w:rsidRPr="00DD3E3A" w:rsidRDefault="00694F91" w:rsidP="00694F91">
      <w:pPr>
        <w:spacing w:after="100" w:afterAutospacing="1" w:line="240" w:lineRule="auto"/>
        <w:jc w:val="center"/>
        <w:rPr>
          <w:b/>
          <w:bCs/>
          <w:sz w:val="28"/>
          <w:szCs w:val="28"/>
        </w:rPr>
      </w:pPr>
    </w:p>
    <w:p w14:paraId="220C8B90" w14:textId="77777777" w:rsidR="00694F91" w:rsidRPr="00DD3E3A" w:rsidRDefault="00694F91" w:rsidP="00694F91">
      <w:pPr>
        <w:spacing w:after="100" w:afterAutospacing="1" w:line="240" w:lineRule="auto"/>
        <w:jc w:val="center"/>
        <w:rPr>
          <w:b/>
          <w:bCs/>
          <w:sz w:val="28"/>
          <w:szCs w:val="28"/>
        </w:rPr>
      </w:pPr>
    </w:p>
    <w:p w14:paraId="5652D7F2" w14:textId="77777777" w:rsidR="00694F91" w:rsidRPr="00DD3E3A" w:rsidRDefault="00694F91" w:rsidP="00694F91">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14:paraId="43334770" w14:textId="17B04244" w:rsidR="005802E2" w:rsidRPr="006236E8" w:rsidRDefault="00694F91" w:rsidP="005802E2">
      <w:pPr>
        <w:spacing w:after="100" w:afterAutospacing="1" w:line="240" w:lineRule="auto"/>
        <w:jc w:val="center"/>
        <w:rPr>
          <w:rFonts w:ascii="Times New Roman" w:hAnsi="Times New Roman" w:cs="Times New Roman"/>
          <w:b/>
          <w:bCs/>
          <w:sz w:val="24"/>
          <w:szCs w:val="24"/>
        </w:rPr>
      </w:pPr>
      <w:r w:rsidRPr="00DD3E3A">
        <w:rPr>
          <w:b/>
          <w:bCs/>
          <w:sz w:val="36"/>
          <w:szCs w:val="36"/>
        </w:rPr>
        <w:t xml:space="preserve"> </w:t>
      </w:r>
      <w:r w:rsidR="00F863D0" w:rsidRPr="00766993">
        <w:rPr>
          <w:rFonts w:ascii="Times New Roman" w:hAnsi="Times New Roman" w:cs="Times New Roman"/>
          <w:b/>
          <w:bCs/>
          <w:sz w:val="24"/>
          <w:szCs w:val="24"/>
        </w:rPr>
        <w:t>BG</w:t>
      </w:r>
      <w:r w:rsidR="00F863D0" w:rsidRPr="006236E8">
        <w:rPr>
          <w:rFonts w:ascii="Times New Roman" w:hAnsi="Times New Roman" w:cs="Times New Roman"/>
          <w:b/>
          <w:bCs/>
          <w:sz w:val="24"/>
          <w:szCs w:val="24"/>
        </w:rPr>
        <w:t>14</w:t>
      </w:r>
      <w:r w:rsidR="00F863D0" w:rsidRPr="00766993">
        <w:rPr>
          <w:rFonts w:ascii="Times New Roman" w:hAnsi="Times New Roman" w:cs="Times New Roman"/>
          <w:b/>
          <w:bCs/>
          <w:sz w:val="24"/>
          <w:szCs w:val="24"/>
          <w:lang w:val="en-US"/>
        </w:rPr>
        <w:t>MFOP</w:t>
      </w:r>
      <w:r w:rsidR="00773ADC">
        <w:rPr>
          <w:rFonts w:ascii="Times New Roman" w:hAnsi="Times New Roman" w:cs="Times New Roman"/>
          <w:b/>
          <w:bCs/>
          <w:sz w:val="24"/>
          <w:szCs w:val="24"/>
        </w:rPr>
        <w:t>001-4.124</w:t>
      </w:r>
    </w:p>
    <w:p w14:paraId="21487C70" w14:textId="77777777" w:rsidR="00694F91" w:rsidRPr="00D65A8B" w:rsidRDefault="00694F91" w:rsidP="00694F91">
      <w:pPr>
        <w:spacing w:after="100" w:afterAutospacing="1" w:line="240" w:lineRule="auto"/>
        <w:jc w:val="center"/>
        <w:rPr>
          <w:b/>
          <w:bCs/>
          <w:sz w:val="28"/>
          <w:szCs w:val="28"/>
        </w:rPr>
      </w:pPr>
      <w:r w:rsidRPr="00D65A8B">
        <w:rPr>
          <w:b/>
          <w:bCs/>
          <w:sz w:val="28"/>
          <w:szCs w:val="28"/>
        </w:rPr>
        <w:t>МИРГ „НЕСЕБЪР-МЕСЕМВРИЯ“</w:t>
      </w:r>
    </w:p>
    <w:p w14:paraId="74DAABFA" w14:textId="77777777" w:rsidR="00694F91" w:rsidRPr="00E202E4" w:rsidRDefault="00694F91" w:rsidP="00694F91">
      <w:pPr>
        <w:spacing w:after="240"/>
        <w:jc w:val="center"/>
        <w:rPr>
          <w:b/>
          <w:bCs/>
          <w:sz w:val="28"/>
          <w:szCs w:val="28"/>
        </w:rPr>
      </w:pPr>
    </w:p>
    <w:p w14:paraId="0404871E" w14:textId="77777777" w:rsidR="00694F91" w:rsidRDefault="00694F91" w:rsidP="00694F91">
      <w:pPr>
        <w:spacing w:after="0" w:line="240" w:lineRule="auto"/>
        <w:jc w:val="center"/>
      </w:pPr>
    </w:p>
    <w:p w14:paraId="3CC02F97" w14:textId="65C115B5" w:rsidR="00694F91" w:rsidRPr="00CB66C3" w:rsidRDefault="00694F91" w:rsidP="00694F91">
      <w:pPr>
        <w:pStyle w:val="3"/>
        <w:jc w:val="center"/>
        <w:rPr>
          <w:rFonts w:ascii="Times New Roman" w:eastAsia="Times New Roman" w:hAnsi="Times New Roman"/>
          <w:b/>
        </w:rPr>
      </w:pPr>
      <w:bookmarkStart w:id="1" w:name="_Toc497818034"/>
      <w:r w:rsidRPr="00CB66C3">
        <w:rPr>
          <w:rFonts w:ascii="Times New Roman" w:hAnsi="Times New Roman"/>
          <w:b/>
          <w:color w:val="auto"/>
        </w:rPr>
        <w:t xml:space="preserve">Мярка </w:t>
      </w:r>
      <w:bookmarkEnd w:id="1"/>
      <w:r w:rsidR="006236E8">
        <w:rPr>
          <w:rFonts w:ascii="Times New Roman" w:hAnsi="Times New Roman"/>
          <w:b/>
          <w:color w:val="auto"/>
        </w:rPr>
        <w:t>2.2 „</w:t>
      </w:r>
      <w:r w:rsidRPr="00CB66C3">
        <w:rPr>
          <w:rFonts w:ascii="Times New Roman" w:hAnsi="Times New Roman"/>
          <w:b/>
          <w:color w:val="auto"/>
        </w:rPr>
        <w:t>Подкрепа за създаване на нови услуги за населението в рибарската територия”</w:t>
      </w:r>
    </w:p>
    <w:p w14:paraId="33EE7558" w14:textId="77777777" w:rsidR="00694F91" w:rsidRDefault="00694F91" w:rsidP="00694F9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14:paraId="5E18815E" w14:textId="77777777" w:rsidR="00694F91" w:rsidRPr="00A908A8" w:rsidRDefault="00694F91" w:rsidP="00694F91">
      <w:pPr>
        <w:spacing w:after="0" w:line="360" w:lineRule="auto"/>
        <w:jc w:val="center"/>
        <w:rPr>
          <w:rFonts w:ascii="Times New Roman" w:hAnsi="Times New Roman" w:cs="Times New Roman"/>
          <w:b/>
          <w:bCs/>
          <w:sz w:val="24"/>
          <w:szCs w:val="24"/>
        </w:rPr>
      </w:pPr>
    </w:p>
    <w:p w14:paraId="6D27C92A" w14:textId="77777777" w:rsidR="00694F91" w:rsidRDefault="00694F91" w:rsidP="00694F91">
      <w:pPr>
        <w:pStyle w:val="12"/>
        <w:spacing w:before="0" w:line="360" w:lineRule="auto"/>
        <w:rPr>
          <w:rFonts w:ascii="Times New Roman" w:hAnsi="Times New Roman"/>
          <w:sz w:val="24"/>
          <w:szCs w:val="24"/>
          <w:lang w:val="bg-BG"/>
        </w:rPr>
      </w:pPr>
    </w:p>
    <w:p w14:paraId="2A5D3E2E" w14:textId="77777777" w:rsidR="00694F91" w:rsidRDefault="00694F91" w:rsidP="00694F91">
      <w:pPr>
        <w:pStyle w:val="12"/>
        <w:spacing w:before="0" w:line="360" w:lineRule="auto"/>
        <w:rPr>
          <w:rFonts w:ascii="Times New Roman" w:hAnsi="Times New Roman"/>
          <w:sz w:val="24"/>
          <w:szCs w:val="24"/>
          <w:lang w:val="bg-BG"/>
        </w:rPr>
      </w:pPr>
    </w:p>
    <w:p w14:paraId="5627302B" w14:textId="77777777" w:rsidR="00694F91" w:rsidRPr="00361FE2" w:rsidRDefault="00694F91" w:rsidP="00694F91"/>
    <w:p w14:paraId="386FCA12" w14:textId="77777777" w:rsidR="00694F91" w:rsidRDefault="00694F91" w:rsidP="00694F91">
      <w:pPr>
        <w:pStyle w:val="12"/>
        <w:spacing w:before="0" w:line="360" w:lineRule="auto"/>
        <w:rPr>
          <w:rFonts w:ascii="Times New Roman" w:hAnsi="Times New Roman"/>
          <w:sz w:val="24"/>
          <w:szCs w:val="24"/>
          <w:lang w:val="bg-BG"/>
        </w:rPr>
      </w:pPr>
    </w:p>
    <w:p w14:paraId="33A7F652" w14:textId="77777777" w:rsidR="00694F91" w:rsidRDefault="00694F91" w:rsidP="00694F91">
      <w:pPr>
        <w:pStyle w:val="12"/>
        <w:spacing w:before="0" w:line="360" w:lineRule="auto"/>
        <w:rPr>
          <w:rFonts w:ascii="Times New Roman" w:hAnsi="Times New Roman"/>
          <w:sz w:val="24"/>
          <w:szCs w:val="24"/>
          <w:lang w:val="bg-BG"/>
        </w:rPr>
      </w:pPr>
    </w:p>
    <w:p w14:paraId="4DA18333" w14:textId="77777777" w:rsidR="00694F91" w:rsidRDefault="00694F91" w:rsidP="00694F91">
      <w:pPr>
        <w:pStyle w:val="12"/>
        <w:spacing w:before="0" w:line="360" w:lineRule="auto"/>
        <w:rPr>
          <w:rFonts w:ascii="Times New Roman" w:hAnsi="Times New Roman"/>
          <w:sz w:val="24"/>
          <w:szCs w:val="24"/>
          <w:lang w:val="bg-BG"/>
        </w:rPr>
      </w:pPr>
    </w:p>
    <w:p w14:paraId="48332C72" w14:textId="77777777" w:rsidR="00694F91" w:rsidRPr="00361FE2" w:rsidRDefault="00694F91" w:rsidP="00694F91"/>
    <w:p w14:paraId="6E3CE0FC" w14:textId="77777777" w:rsidR="00694F91" w:rsidRDefault="00694F91" w:rsidP="00694F91">
      <w:pPr>
        <w:pStyle w:val="12"/>
        <w:spacing w:before="0" w:line="360" w:lineRule="auto"/>
        <w:rPr>
          <w:rFonts w:ascii="Times New Roman" w:hAnsi="Times New Roman"/>
          <w:sz w:val="24"/>
          <w:szCs w:val="24"/>
          <w:lang w:val="bg-BG"/>
        </w:rPr>
      </w:pPr>
    </w:p>
    <w:p w14:paraId="30902001" w14:textId="77777777" w:rsidR="00694F91" w:rsidRDefault="00694F91" w:rsidP="00694F91">
      <w:pPr>
        <w:pStyle w:val="12"/>
        <w:spacing w:before="0" w:line="360" w:lineRule="auto"/>
        <w:rPr>
          <w:rFonts w:ascii="Times New Roman" w:hAnsi="Times New Roman"/>
          <w:sz w:val="24"/>
          <w:szCs w:val="24"/>
          <w:lang w:val="bg-BG"/>
        </w:rPr>
      </w:pPr>
    </w:p>
    <w:p w14:paraId="242894F7" w14:textId="77777777" w:rsidR="00694F91" w:rsidRDefault="00694F91" w:rsidP="00694F91">
      <w:pPr>
        <w:pStyle w:val="12"/>
        <w:spacing w:before="0" w:line="360" w:lineRule="auto"/>
        <w:rPr>
          <w:rFonts w:ascii="Times New Roman" w:hAnsi="Times New Roman"/>
          <w:sz w:val="24"/>
          <w:szCs w:val="24"/>
          <w:lang w:val="bg-BG"/>
        </w:rPr>
      </w:pPr>
    </w:p>
    <w:p w14:paraId="43E78FF6" w14:textId="77777777" w:rsidR="00694F91" w:rsidRPr="00F158FD" w:rsidRDefault="00694F91" w:rsidP="00694F91"/>
    <w:p w14:paraId="258AAE1B" w14:textId="77777777" w:rsidR="00694F91" w:rsidRDefault="00694F91" w:rsidP="00694F91">
      <w:pPr>
        <w:pStyle w:val="12"/>
        <w:spacing w:before="0" w:line="360" w:lineRule="auto"/>
        <w:rPr>
          <w:rFonts w:ascii="Times New Roman" w:hAnsi="Times New Roman"/>
          <w:sz w:val="24"/>
          <w:szCs w:val="24"/>
          <w:lang w:val="bg-BG"/>
        </w:rPr>
      </w:pPr>
    </w:p>
    <w:p w14:paraId="5445FE33" w14:textId="77777777" w:rsidR="00694F91" w:rsidRDefault="00694F91" w:rsidP="00694F91">
      <w:pPr>
        <w:pStyle w:val="12"/>
        <w:spacing w:before="0" w:line="360" w:lineRule="auto"/>
        <w:rPr>
          <w:rFonts w:ascii="Times New Roman" w:hAnsi="Times New Roman"/>
          <w:sz w:val="24"/>
          <w:szCs w:val="24"/>
          <w:lang w:val="bg-BG"/>
        </w:rPr>
      </w:pPr>
    </w:p>
    <w:p w14:paraId="1C35D3CE" w14:textId="77777777" w:rsidR="00694F91" w:rsidRPr="006236E8" w:rsidRDefault="00694F91" w:rsidP="00694F91">
      <w:pPr>
        <w:pStyle w:val="12"/>
        <w:spacing w:before="0" w:line="360" w:lineRule="auto"/>
        <w:rPr>
          <w:rFonts w:ascii="Times New Roman" w:hAnsi="Times New Roman"/>
          <w:sz w:val="24"/>
          <w:szCs w:val="24"/>
          <w:lang w:val="bg-BG"/>
        </w:rPr>
      </w:pPr>
      <w:r w:rsidRPr="00A908A8">
        <w:rPr>
          <w:rFonts w:ascii="Times New Roman" w:hAnsi="Times New Roman"/>
          <w:sz w:val="24"/>
          <w:szCs w:val="24"/>
        </w:rPr>
        <w:t>Съдържание</w:t>
      </w:r>
    </w:p>
    <w:p w14:paraId="580B412E" w14:textId="77777777" w:rsidR="00694F91" w:rsidRPr="006236E8" w:rsidRDefault="00694F91" w:rsidP="00694F91">
      <w:pPr>
        <w:spacing w:after="0" w:line="360" w:lineRule="auto"/>
        <w:rPr>
          <w:rFonts w:ascii="Times New Roman" w:hAnsi="Times New Roman" w:cs="Times New Roman"/>
          <w:sz w:val="24"/>
          <w:szCs w:val="24"/>
        </w:rPr>
      </w:pPr>
    </w:p>
    <w:p w14:paraId="72D3174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1.</w:t>
      </w:r>
      <w:r w:rsidRPr="00CB66C3">
        <w:rPr>
          <w:rFonts w:ascii="Times New Roman" w:hAnsi="Times New Roman" w:cs="Times New Roman"/>
          <w:sz w:val="24"/>
          <w:szCs w:val="24"/>
        </w:rPr>
        <w:tab/>
        <w:t>Техническо изпълнение на проектите</w:t>
      </w:r>
      <w:r w:rsidRPr="00CB66C3">
        <w:rPr>
          <w:rFonts w:ascii="Times New Roman" w:hAnsi="Times New Roman" w:cs="Times New Roman"/>
          <w:sz w:val="24"/>
          <w:szCs w:val="24"/>
        </w:rPr>
        <w:tab/>
      </w:r>
      <w:r w:rsidRPr="00CB66C3">
        <w:rPr>
          <w:rFonts w:ascii="Times New Roman" w:hAnsi="Times New Roman" w:cs="Times New Roman"/>
          <w:sz w:val="24"/>
          <w:szCs w:val="24"/>
        </w:rPr>
        <w:tab/>
      </w:r>
      <w:r w:rsidRPr="00CB66C3">
        <w:rPr>
          <w:rFonts w:ascii="Times New Roman" w:hAnsi="Times New Roman" w:cs="Times New Roman"/>
          <w:sz w:val="24"/>
          <w:szCs w:val="24"/>
        </w:rPr>
        <w:tab/>
        <w:t>3</w:t>
      </w:r>
    </w:p>
    <w:p w14:paraId="27318D5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2.</w:t>
      </w:r>
      <w:r w:rsidRPr="00CB66C3">
        <w:rPr>
          <w:rFonts w:ascii="Times New Roman" w:hAnsi="Times New Roman" w:cs="Times New Roman"/>
          <w:sz w:val="24"/>
          <w:szCs w:val="24"/>
        </w:rPr>
        <w:tab/>
        <w:t>Финансово изпълнение на проектите и плащане.</w:t>
      </w:r>
      <w:r w:rsidRPr="00CB66C3">
        <w:rPr>
          <w:rFonts w:ascii="Times New Roman" w:hAnsi="Times New Roman" w:cs="Times New Roman"/>
          <w:sz w:val="24"/>
          <w:szCs w:val="24"/>
        </w:rPr>
        <w:tab/>
        <w:t>10</w:t>
      </w:r>
    </w:p>
    <w:p w14:paraId="3308D8A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3.</w:t>
      </w:r>
      <w:r w:rsidRPr="00CB66C3">
        <w:rPr>
          <w:rFonts w:ascii="Times New Roman" w:hAnsi="Times New Roman" w:cs="Times New Roman"/>
          <w:sz w:val="24"/>
          <w:szCs w:val="24"/>
        </w:rPr>
        <w:tab/>
        <w:t>Мерки за информиране и публичност</w:t>
      </w:r>
      <w:r w:rsidRPr="00CB66C3">
        <w:rPr>
          <w:rFonts w:ascii="Times New Roman" w:hAnsi="Times New Roman" w:cs="Times New Roman"/>
          <w:sz w:val="24"/>
          <w:szCs w:val="24"/>
        </w:rPr>
        <w:tab/>
      </w:r>
      <w:r w:rsidRPr="00CB66C3">
        <w:rPr>
          <w:rFonts w:ascii="Times New Roman" w:hAnsi="Times New Roman" w:cs="Times New Roman"/>
          <w:sz w:val="24"/>
          <w:szCs w:val="24"/>
        </w:rPr>
        <w:tab/>
      </w:r>
      <w:r w:rsidRPr="00CB66C3">
        <w:rPr>
          <w:rFonts w:ascii="Times New Roman" w:hAnsi="Times New Roman" w:cs="Times New Roman"/>
          <w:sz w:val="24"/>
          <w:szCs w:val="24"/>
        </w:rPr>
        <w:tab/>
        <w:t>11</w:t>
      </w:r>
    </w:p>
    <w:p w14:paraId="756CCE37"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4.</w:t>
      </w:r>
      <w:r w:rsidRPr="00CB66C3">
        <w:rPr>
          <w:rFonts w:ascii="Times New Roman" w:hAnsi="Times New Roman" w:cs="Times New Roman"/>
          <w:sz w:val="24"/>
          <w:szCs w:val="24"/>
        </w:rPr>
        <w:tab/>
        <w:t>Приложения към Условията за изпълнение:</w:t>
      </w:r>
      <w:r w:rsidRPr="00CB66C3">
        <w:rPr>
          <w:rFonts w:ascii="Times New Roman" w:hAnsi="Times New Roman" w:cs="Times New Roman"/>
          <w:sz w:val="24"/>
          <w:szCs w:val="24"/>
        </w:rPr>
        <w:tab/>
      </w:r>
      <w:r w:rsidRPr="00CB66C3">
        <w:rPr>
          <w:rFonts w:ascii="Times New Roman" w:hAnsi="Times New Roman" w:cs="Times New Roman"/>
          <w:sz w:val="24"/>
          <w:szCs w:val="24"/>
        </w:rPr>
        <w:tab/>
        <w:t>12</w:t>
      </w:r>
    </w:p>
    <w:p w14:paraId="6A3019BA" w14:textId="77777777" w:rsidR="00CB66C3" w:rsidRPr="00CB66C3" w:rsidRDefault="00CB66C3" w:rsidP="00CB66C3">
      <w:pPr>
        <w:jc w:val="both"/>
        <w:rPr>
          <w:rFonts w:ascii="Times New Roman" w:hAnsi="Times New Roman" w:cs="Times New Roman"/>
          <w:sz w:val="24"/>
          <w:szCs w:val="24"/>
        </w:rPr>
      </w:pPr>
    </w:p>
    <w:p w14:paraId="5257D740" w14:textId="77777777" w:rsidR="00CB66C3" w:rsidRPr="00CB66C3" w:rsidRDefault="00CB66C3" w:rsidP="00CB66C3">
      <w:pPr>
        <w:jc w:val="both"/>
        <w:rPr>
          <w:rFonts w:ascii="Times New Roman" w:hAnsi="Times New Roman" w:cs="Times New Roman"/>
          <w:sz w:val="24"/>
          <w:szCs w:val="24"/>
        </w:rPr>
      </w:pPr>
    </w:p>
    <w:p w14:paraId="0EE9948F" w14:textId="77777777" w:rsidR="00CB66C3" w:rsidRPr="00CB66C3" w:rsidRDefault="00CB66C3" w:rsidP="00CB66C3">
      <w:pPr>
        <w:jc w:val="both"/>
        <w:rPr>
          <w:rFonts w:ascii="Times New Roman" w:hAnsi="Times New Roman" w:cs="Times New Roman"/>
          <w:sz w:val="24"/>
          <w:szCs w:val="24"/>
        </w:rPr>
      </w:pPr>
    </w:p>
    <w:p w14:paraId="31F4F16A" w14:textId="77777777" w:rsidR="00CB66C3" w:rsidRPr="00CB66C3" w:rsidRDefault="00CB66C3" w:rsidP="00CB66C3">
      <w:pPr>
        <w:jc w:val="both"/>
        <w:rPr>
          <w:rFonts w:ascii="Times New Roman" w:hAnsi="Times New Roman" w:cs="Times New Roman"/>
          <w:sz w:val="24"/>
          <w:szCs w:val="24"/>
        </w:rPr>
      </w:pPr>
    </w:p>
    <w:p w14:paraId="1CDE4394" w14:textId="77777777" w:rsidR="00CB66C3" w:rsidRPr="00CB66C3" w:rsidRDefault="00CB66C3" w:rsidP="00CB66C3">
      <w:pPr>
        <w:jc w:val="both"/>
        <w:rPr>
          <w:rFonts w:ascii="Times New Roman" w:hAnsi="Times New Roman" w:cs="Times New Roman"/>
          <w:sz w:val="24"/>
          <w:szCs w:val="24"/>
        </w:rPr>
      </w:pPr>
    </w:p>
    <w:p w14:paraId="15D356F7" w14:textId="77777777" w:rsidR="00CB66C3" w:rsidRPr="00CB66C3" w:rsidRDefault="00CB66C3" w:rsidP="00CB66C3">
      <w:pPr>
        <w:jc w:val="both"/>
        <w:rPr>
          <w:rFonts w:ascii="Times New Roman" w:hAnsi="Times New Roman" w:cs="Times New Roman"/>
          <w:sz w:val="24"/>
          <w:szCs w:val="24"/>
        </w:rPr>
      </w:pPr>
    </w:p>
    <w:p w14:paraId="67BBFF2B" w14:textId="77777777" w:rsidR="00CB66C3" w:rsidRPr="00CB66C3" w:rsidRDefault="00CB66C3" w:rsidP="00CB66C3">
      <w:pPr>
        <w:jc w:val="both"/>
        <w:rPr>
          <w:rFonts w:ascii="Times New Roman" w:hAnsi="Times New Roman" w:cs="Times New Roman"/>
          <w:sz w:val="24"/>
          <w:szCs w:val="24"/>
        </w:rPr>
      </w:pPr>
    </w:p>
    <w:p w14:paraId="323912BA" w14:textId="77777777" w:rsidR="00CB66C3" w:rsidRPr="00CB66C3" w:rsidRDefault="00CB66C3" w:rsidP="00CB66C3">
      <w:pPr>
        <w:jc w:val="both"/>
        <w:rPr>
          <w:rFonts w:ascii="Times New Roman" w:hAnsi="Times New Roman" w:cs="Times New Roman"/>
          <w:sz w:val="24"/>
          <w:szCs w:val="24"/>
        </w:rPr>
      </w:pPr>
    </w:p>
    <w:p w14:paraId="529037F2" w14:textId="77777777" w:rsidR="00CB66C3" w:rsidRPr="00CB66C3" w:rsidRDefault="00CB66C3" w:rsidP="00CB66C3">
      <w:pPr>
        <w:jc w:val="both"/>
        <w:rPr>
          <w:rFonts w:ascii="Times New Roman" w:hAnsi="Times New Roman" w:cs="Times New Roman"/>
          <w:sz w:val="24"/>
          <w:szCs w:val="24"/>
        </w:rPr>
      </w:pPr>
    </w:p>
    <w:p w14:paraId="01BF189B" w14:textId="77777777" w:rsidR="00CB66C3" w:rsidRPr="00CB66C3" w:rsidRDefault="00CB66C3" w:rsidP="00CB66C3">
      <w:pPr>
        <w:jc w:val="both"/>
        <w:rPr>
          <w:rFonts w:ascii="Times New Roman" w:hAnsi="Times New Roman" w:cs="Times New Roman"/>
          <w:sz w:val="24"/>
          <w:szCs w:val="24"/>
        </w:rPr>
      </w:pPr>
    </w:p>
    <w:p w14:paraId="1B1FB60C" w14:textId="77777777" w:rsidR="00CB66C3" w:rsidRPr="00CB66C3" w:rsidRDefault="00CB66C3" w:rsidP="00CB66C3">
      <w:pPr>
        <w:jc w:val="both"/>
        <w:rPr>
          <w:rFonts w:ascii="Times New Roman" w:hAnsi="Times New Roman" w:cs="Times New Roman"/>
          <w:sz w:val="24"/>
          <w:szCs w:val="24"/>
        </w:rPr>
      </w:pPr>
    </w:p>
    <w:p w14:paraId="1D86908C" w14:textId="77777777" w:rsidR="00CB66C3" w:rsidRPr="00CB66C3" w:rsidRDefault="00CB66C3" w:rsidP="00CB66C3">
      <w:pPr>
        <w:jc w:val="both"/>
        <w:rPr>
          <w:rFonts w:ascii="Times New Roman" w:hAnsi="Times New Roman" w:cs="Times New Roman"/>
          <w:sz w:val="24"/>
          <w:szCs w:val="24"/>
        </w:rPr>
      </w:pPr>
    </w:p>
    <w:p w14:paraId="78D01225" w14:textId="77777777" w:rsidR="00B72242" w:rsidRPr="006B7F5F" w:rsidRDefault="00B72242" w:rsidP="00B72242">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1.</w:t>
      </w:r>
      <w:r w:rsidRPr="00D232FE">
        <w:rPr>
          <w:rFonts w:ascii="Times New Roman" w:hAnsi="Times New Roman" w:cs="Times New Roman"/>
          <w:b/>
          <w:bCs/>
          <w:color w:val="5B9BD5"/>
          <w:sz w:val="24"/>
          <w:szCs w:val="24"/>
        </w:rPr>
        <w:tab/>
        <w:t>Техническо изпълнение на проектите</w:t>
      </w:r>
    </w:p>
    <w:p w14:paraId="4E640860" w14:textId="77777777" w:rsidR="00CB66C3" w:rsidRPr="00CB66C3" w:rsidRDefault="00CB66C3" w:rsidP="00CB66C3">
      <w:pPr>
        <w:jc w:val="both"/>
        <w:rPr>
          <w:rFonts w:ascii="Times New Roman" w:hAnsi="Times New Roman" w:cs="Times New Roman"/>
          <w:sz w:val="24"/>
          <w:szCs w:val="24"/>
        </w:rPr>
      </w:pPr>
    </w:p>
    <w:p w14:paraId="0D79A517"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При изпълнението на проектното предложение (ПП) трябва да са спазени поетите ангажименти от страна на кандидата/бенефициента за постигане на целите, резултатите и да е видим и измерим ефектът от изпълнението на ПП. При неизпълнение или несъответствие УО на ПМДР ще редуцира финансирането по ПП и/или ще налага финансови корекции при прилагане на принципа на добро финансово управление, съгласно член 4, параграф 8 от Регламент (ЕС) № 1303/2013 на Европейския парламент и на Съвета от 17 декември 2013 година за определяне на </w:t>
      </w:r>
      <w:proofErr w:type="spellStart"/>
      <w:r w:rsidRPr="00B72242">
        <w:rPr>
          <w:rFonts w:ascii="Times New Roman" w:hAnsi="Times New Roman" w:cs="Times New Roman"/>
          <w:sz w:val="24"/>
          <w:szCs w:val="24"/>
        </w:rPr>
        <w:t>общоприложими</w:t>
      </w:r>
      <w:proofErr w:type="spellEnd"/>
      <w:r w:rsidRPr="00B72242">
        <w:rPr>
          <w:rFonts w:ascii="Times New Roman" w:hAnsi="Times New Roman" w:cs="Times New Roman"/>
          <w:sz w:val="24"/>
          <w:szCs w:val="24"/>
        </w:rPr>
        <w:t xml:space="preserve">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(Регламент (ЕС) № 1303/2013) в съответствие с изискванията на член 33, член 36, параграф 1 и член 61 от Регламент (ЕС, </w:t>
      </w:r>
      <w:proofErr w:type="spellStart"/>
      <w:r w:rsidRPr="00B72242">
        <w:rPr>
          <w:rFonts w:ascii="Times New Roman" w:hAnsi="Times New Roman" w:cs="Times New Roman"/>
          <w:sz w:val="24"/>
          <w:szCs w:val="24"/>
        </w:rPr>
        <w:t>Евратом</w:t>
      </w:r>
      <w:proofErr w:type="spellEnd"/>
      <w:r w:rsidRPr="00B72242">
        <w:rPr>
          <w:rFonts w:ascii="Times New Roman" w:hAnsi="Times New Roman" w:cs="Times New Roman"/>
          <w:sz w:val="24"/>
          <w:szCs w:val="24"/>
        </w:rPr>
        <w:t xml:space="preserve">) 2018/1046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w:t>
      </w:r>
      <w:proofErr w:type="spellStart"/>
      <w:r w:rsidRPr="00B72242">
        <w:rPr>
          <w:rFonts w:ascii="Times New Roman" w:hAnsi="Times New Roman" w:cs="Times New Roman"/>
          <w:sz w:val="24"/>
          <w:szCs w:val="24"/>
        </w:rPr>
        <w:t>Евратом</w:t>
      </w:r>
      <w:proofErr w:type="spellEnd"/>
      <w:r w:rsidRPr="00B72242">
        <w:rPr>
          <w:rFonts w:ascii="Times New Roman" w:hAnsi="Times New Roman" w:cs="Times New Roman"/>
          <w:sz w:val="24"/>
          <w:szCs w:val="24"/>
        </w:rPr>
        <w:t>) № 966/2012 (Финансовия регламент).</w:t>
      </w:r>
    </w:p>
    <w:p w14:paraId="0EBF2C57"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ВАЖНО: Съгласно чл. 2, т. 59 от Финансовия регламент „добро финансово управление“ означава изпълнение на бюджета в съответствие с принципите на икономичност, ефикасност и ефективност.</w:t>
      </w:r>
    </w:p>
    <w:p w14:paraId="5714B5E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Съгласно чл. 33, параграф 1, букви а), б) и в) на Финансовия регламент:</w:t>
      </w:r>
    </w:p>
    <w:p w14:paraId="509471BB"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а) принципът икономичност се отнасят за ресурсите, използвани от съответната инвестиция за осъществяване на нейните дейности, в подходящо количество и качество и на най-добрата цена;</w:t>
      </w:r>
    </w:p>
    <w:p w14:paraId="69DBFFF4"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б) ефикасността се отнася до най-доброто съотношение между използваните ресурси, предприетите дейности и постигането на целите;</w:t>
      </w:r>
    </w:p>
    <w:p w14:paraId="37F7187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принципа на ефективност, който е свързан със степента, в която се постигат поставените цели посредством предприетите дейности.</w:t>
      </w:r>
    </w:p>
    <w:p w14:paraId="1D73865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w:t>
      </w:r>
    </w:p>
    <w:p w14:paraId="73F5BF5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ВАЖНО: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финансовия план към Условията за кандидатстване и времевия график за изпълнение на проекта във Формуляра за кандидатстване.</w:t>
      </w:r>
    </w:p>
    <w:p w14:paraId="35BBA4C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lastRenderedPageBreak/>
        <w:t>В срок до 20 работни дни от датата на получаването на документацията по проведения избор, УО на ПМДР извършва последващия контрол по законосъобразност.</w:t>
      </w:r>
    </w:p>
    <w:p w14:paraId="7AAE786E" w14:textId="7218A124"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Бенефициентът трябва да представи чрез </w:t>
      </w:r>
      <w:r w:rsidR="003957C6" w:rsidRPr="003957C6">
        <w:rPr>
          <w:rFonts w:ascii="Times New Roman" w:hAnsi="Times New Roman" w:cs="Times New Roman"/>
          <w:sz w:val="24"/>
          <w:szCs w:val="24"/>
        </w:rPr>
        <w:t xml:space="preserve">Информационната система за управление и наблюдение на средствата от Европейските структурни и инвестиционни фондове </w:t>
      </w:r>
      <w:r w:rsidR="003957C6">
        <w:rPr>
          <w:rFonts w:ascii="Times New Roman" w:hAnsi="Times New Roman" w:cs="Times New Roman"/>
          <w:sz w:val="24"/>
          <w:szCs w:val="24"/>
        </w:rPr>
        <w:t>(</w:t>
      </w:r>
      <w:r w:rsidRPr="00B72242">
        <w:rPr>
          <w:rFonts w:ascii="Times New Roman" w:hAnsi="Times New Roman" w:cs="Times New Roman"/>
          <w:sz w:val="24"/>
          <w:szCs w:val="24"/>
        </w:rPr>
        <w:t>ИСУН 2020</w:t>
      </w:r>
      <w:r w:rsidR="003957C6">
        <w:rPr>
          <w:rFonts w:ascii="Times New Roman" w:hAnsi="Times New Roman" w:cs="Times New Roman"/>
          <w:sz w:val="24"/>
          <w:szCs w:val="24"/>
        </w:rPr>
        <w:t>)</w:t>
      </w:r>
      <w:r w:rsidRPr="00B72242">
        <w:rPr>
          <w:rFonts w:ascii="Times New Roman" w:hAnsi="Times New Roman" w:cs="Times New Roman"/>
          <w:sz w:val="24"/>
          <w:szCs w:val="24"/>
        </w:rPr>
        <w:t xml:space="preserve"> мотивирано искане до УО на ПМДР за сключване на допълнително споразумение към АДБФП във връзка с избор на изпълнители.</w:t>
      </w:r>
    </w:p>
    <w:p w14:paraId="124F0EF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ВАЖНО: След подписване на административен договор за предоставяне на безвъзмездна финансова помощ бенефициентът следва в срок до 6 месеца да има избран изпълнител и сключен с него договор за предвидените дейности, както и да е започнало изпълнението на проекта.</w:t>
      </w:r>
    </w:p>
    <w:p w14:paraId="7DFF0A00"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ВАЖНО: На бенефициентите се предоставя възможност за предварително обявление на тръжни процедури по ПМС и ЗОП.</w:t>
      </w:r>
    </w:p>
    <w:p w14:paraId="3C2F9923" w14:textId="77777777" w:rsidR="00B72242" w:rsidRPr="00B72242" w:rsidRDefault="00B72242" w:rsidP="00B72242">
      <w:pPr>
        <w:jc w:val="both"/>
        <w:rPr>
          <w:rFonts w:ascii="Times New Roman" w:hAnsi="Times New Roman" w:cs="Times New Roman"/>
          <w:sz w:val="24"/>
          <w:szCs w:val="24"/>
        </w:rPr>
      </w:pPr>
    </w:p>
    <w:p w14:paraId="0912A65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1.1.</w:t>
      </w:r>
      <w:r w:rsidRPr="00B72242">
        <w:rPr>
          <w:rFonts w:ascii="Times New Roman" w:hAnsi="Times New Roman" w:cs="Times New Roman"/>
          <w:sz w:val="24"/>
          <w:szCs w:val="24"/>
        </w:rPr>
        <w:tab/>
        <w:t>Процедури за избор на изпълнител</w:t>
      </w:r>
    </w:p>
    <w:p w14:paraId="2B84FEA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Бенефициентите могат да провеждат процедури за избор на изпълнител по следния ред:</w:t>
      </w:r>
    </w:p>
    <w:p w14:paraId="282AF1D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А. „Процедура за избор с публична покана“ по реда на Постановление № 160 на Министерския съвет от 01.07.2016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 (</w:t>
      </w:r>
      <w:proofErr w:type="spellStart"/>
      <w:r w:rsidRPr="00B72242">
        <w:rPr>
          <w:rFonts w:ascii="Times New Roman" w:hAnsi="Times New Roman" w:cs="Times New Roman"/>
          <w:sz w:val="24"/>
          <w:szCs w:val="24"/>
        </w:rPr>
        <w:t>обн</w:t>
      </w:r>
      <w:proofErr w:type="spellEnd"/>
      <w:r w:rsidRPr="00B72242">
        <w:rPr>
          <w:rFonts w:ascii="Times New Roman" w:hAnsi="Times New Roman" w:cs="Times New Roman"/>
          <w:sz w:val="24"/>
          <w:szCs w:val="24"/>
        </w:rPr>
        <w:t xml:space="preserve">., ДВ, бр. 52 от 2016 г.) (ПМС № 160 от 2016 г.). </w:t>
      </w:r>
    </w:p>
    <w:p w14:paraId="128D7BE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Когато бенефициентът не е възложител по смисъла на Закона за обществените поръчки (ЗОП), при избор на изпълнител/и същият задължително прилага разпоредбите на Глава четвърта от Закона за управление на средствата от Европейските фондове при споделено управление (Загл. изм. - ДВ, бр. 51 от 2022 г., в сила от 01.07.2022 г.) (ЗУСЕФСУ) и § 70 от Преходните и заключителни разпоредби към ЗИД на ЗУСЕСИФ (</w:t>
      </w:r>
      <w:proofErr w:type="spellStart"/>
      <w:r w:rsidRPr="00B72242">
        <w:rPr>
          <w:rFonts w:ascii="Times New Roman" w:hAnsi="Times New Roman" w:cs="Times New Roman"/>
          <w:sz w:val="24"/>
          <w:szCs w:val="24"/>
        </w:rPr>
        <w:t>обн</w:t>
      </w:r>
      <w:proofErr w:type="spellEnd"/>
      <w:r w:rsidRPr="00B72242">
        <w:rPr>
          <w:rFonts w:ascii="Times New Roman" w:hAnsi="Times New Roman" w:cs="Times New Roman"/>
          <w:sz w:val="24"/>
          <w:szCs w:val="24"/>
        </w:rPr>
        <w:t>., ДВ, бр. 51 от 2022 г.) и ПМС № 160 от 2016 г., както и указанията, заложени в настоящите Условия за изпълнение.</w:t>
      </w:r>
    </w:p>
    <w:p w14:paraId="58D75E34"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ВАЖНО: При провеждане на процедури за избор на изпълнител бенефициентите следва да прилагат Указание на УО на ПМДР за прилагане на ПМС 160/2016 г., одобрено с докладна записка 93-3936 от 30.07.2020 г. </w:t>
      </w:r>
    </w:p>
    <w:p w14:paraId="5945D272"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Същото може да бъде намерено на следния интернет адрес: </w:t>
      </w:r>
    </w:p>
    <w:p w14:paraId="66A74C48"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https://www.eufunds.bg/bg/pmdr/node/5313     </w:t>
      </w:r>
    </w:p>
    <w:p w14:paraId="3B266370"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Съгласно чл. 50, ал. 2 и 3 от ЗУСЕФСУ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 и когато прогнозната стойност за:</w:t>
      </w:r>
    </w:p>
    <w:p w14:paraId="4AC18E23"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строителство, в т. ч. съфинансирането от страна на бенефициента, без данък върху добавената стойност, е равна или по-висока от 50 000 лв.;</w:t>
      </w:r>
    </w:p>
    <w:p w14:paraId="7E76B55E"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доставки или услуги, в т. ч. съфинансирането от страна на бенефициента, без данък върху добавената стойност, е равна или по-висока от 30 000 лв.</w:t>
      </w:r>
    </w:p>
    <w:p w14:paraId="2B18E37E"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ЗУСЕФСУ, както и следните изисквания към кандидатите – изпълнители: </w:t>
      </w:r>
    </w:p>
    <w:p w14:paraId="74DC147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Кандидатите, за изпълнители на дейностите, посочени в публичната покана следва да отговарят на следните две кумулативни условия:</w:t>
      </w:r>
    </w:p>
    <w:p w14:paraId="3A0AF6B2"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1. Наличие на опит в осъществяването на дейност,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съгласно чл. 3 от ПМС № 160 от 2016 г. Списъкът следва да съдържа минимум следната информация: дата, страни, предмет, стойност на договора/</w:t>
      </w:r>
      <w:proofErr w:type="spellStart"/>
      <w:r w:rsidRPr="00B72242">
        <w:rPr>
          <w:rFonts w:ascii="Times New Roman" w:hAnsi="Times New Roman" w:cs="Times New Roman"/>
          <w:sz w:val="24"/>
          <w:szCs w:val="24"/>
        </w:rPr>
        <w:t>ите</w:t>
      </w:r>
      <w:proofErr w:type="spellEnd"/>
      <w:r w:rsidRPr="00B72242">
        <w:rPr>
          <w:rFonts w:ascii="Times New Roman" w:hAnsi="Times New Roman" w:cs="Times New Roman"/>
          <w:sz w:val="24"/>
          <w:szCs w:val="24"/>
        </w:rPr>
        <w:t xml:space="preserve">, да е придружен от препоръки/референции за добро изпълнение и подпис на лицето, което е законен представител на кандидата; </w:t>
      </w:r>
    </w:p>
    <w:p w14:paraId="51A6EB19" w14:textId="4A1FDF09"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2. Общият оборот и/или за оборота, който се отнася до предмета на поръчката да е най-много за последните 3 приключили финансови години, в зависимост от датата, на която кандидатът е учреден или е започнал дейността си, при спазване разпоредбите на чл. 3 от ПМС № 160 от 2016 г. Изискването за специфичен оборот се доказва от оферента със справка-декларация, подписана от законния представител на оферента. Справката трябва да е придружена от Отчет за приходите и разходите за съответните приключили финансови години, в зависимост от датата на която оферентът е учреден или започнал дейността си. Ако отчетите за приходите и разходите са публично обявени, се извършва справка в съответния регистър.</w:t>
      </w:r>
    </w:p>
    <w:p w14:paraId="0B95EF28"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Тези изисквания са кумулативни и кандидатите за изпълнители, трябва да отговарят задължително на тях.</w:t>
      </w:r>
    </w:p>
    <w:p w14:paraId="1204998A"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14:paraId="55830BF6"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и не може да бъде по-кратък от 21 дни от публикуването на поканата – за строително-монтажни работи и разходи за закупуване на оборудване по индивидуално технологично/техническо задание. За всички останали разходи за доставки и услуги, крайният срок за подаване на офертите в процедурата не може да бъде по-кратък от 7 дни от публикуването на поканата.</w:t>
      </w:r>
    </w:p>
    <w:p w14:paraId="1F6ECB7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В срок до 5 работни дни от сключване на договор с избрания изпълнител бенефициентите са длъжни да уведомят писмено УО за подписания договор, чрез въвеждането му в ИСУН 2020.  </w:t>
      </w:r>
    </w:p>
    <w:p w14:paraId="78813C32"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с публична покана като задължително уведомява УО за това чрез модул „Комуникация“. Задължително се представят посочените документи в Приложение № 16 „Документи за осъществяване на последващ контрол на проведена процедура „Избор с публична покана“ по чл. 50, ал. 1 от ЗУСЕФСУ и ПМС № 160 от 2016 г.“.</w:t>
      </w:r>
      <w:r w:rsidRPr="00B72242">
        <w:rPr>
          <w:rFonts w:ascii="Times New Roman" w:hAnsi="Times New Roman" w:cs="Times New Roman"/>
          <w:sz w:val="24"/>
          <w:szCs w:val="24"/>
        </w:rPr>
        <w:tab/>
        <w:t xml:space="preserve"> </w:t>
      </w:r>
    </w:p>
    <w:p w14:paraId="10EF3670"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Б. Избор на изпълнител „Чрез представяне на поне две съпоставими, независими и конкурентни оферти и покана в ИСУН 2020“:  : </w:t>
      </w:r>
    </w:p>
    <w:p w14:paraId="44082C4C" w14:textId="7B0984AC"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С цел осигуряване на публичност и прозрачност при разходване на средства от Европейските структурни и инвестиционни фондове и спазване на принципите за икономичност, ефикасност и ефективност, при избор на изпълнител „Чрез представяне на поне две съпоставими, независими и конкурентни оферти и покана в ИСУН 2020“, Бенефициентите предоставят минимум две съпоставими, независими и конкурентни оферти, подадени от квалифициран доставчик и публикуват в ИСУН </w:t>
      </w:r>
      <w:r w:rsidR="003957C6">
        <w:rPr>
          <w:rFonts w:ascii="Times New Roman" w:hAnsi="Times New Roman" w:cs="Times New Roman"/>
          <w:sz w:val="24"/>
          <w:szCs w:val="24"/>
        </w:rPr>
        <w:t xml:space="preserve">2020 </w:t>
      </w:r>
      <w:r w:rsidRPr="00B72242">
        <w:rPr>
          <w:rFonts w:ascii="Times New Roman" w:hAnsi="Times New Roman" w:cs="Times New Roman"/>
          <w:sz w:val="24"/>
          <w:szCs w:val="24"/>
        </w:rPr>
        <w:t xml:space="preserve">за срок минимум 5 дни покана за събиране на оферти, когато размерът на предоставената безвъзмездна финансова помощ е равен или по-малък от 50 на сто от общата сума на одобрения проект и прогнозната стойност за: </w:t>
      </w:r>
    </w:p>
    <w:p w14:paraId="08982FA3"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строителство, в т. ч. съфинансирането от страна на бенефициента, без данък върху добавената стойност, е по-малка от 50 000 лв.; </w:t>
      </w:r>
    </w:p>
    <w:p w14:paraId="51683364"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доставки и/или услуги, в т.ч. съфинансирането от страна на бенефициента, без данък върху добавената стойност, е по-малка от 30 000 лв. </w:t>
      </w:r>
    </w:p>
    <w:p w14:paraId="25885F7E"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 този случай Бенефициентите определят изпълнител между получените оферти чрез ИСУН 2020 и събраните от определени икономически оператори две съпоставими, независими и конкурентни оферти, към които могат да бъдат прилагани официални каталози от производители/оторизирани доставчици, съдържащи цена, характеристика/функционалност/описание, които не противоречат на заложените в одобрения проект. </w:t>
      </w:r>
    </w:p>
    <w:p w14:paraId="7BC42848"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ВАЖНО: „Независими оферти“ са оферти, подадени от лица, които не са свързани лица, по смисъла на § 1, т. 13 и 14 от допълнителните разпоредби на Закона за публичното предлагане на ценни книжа. Свързани лица или свързани предприятия не могат да представят самостоятелна оферта. Лице, което участва в обединение или е дало съгласие и фигурира като подизпълнител в офертата на друг кандидат, не може да представя самостоятелна оферта. Едно физическо или юридическо лице може да участва само в едно обединение. </w:t>
      </w:r>
    </w:p>
    <w:p w14:paraId="2F4A453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„Официален каталог“ е продуктов каталог издаден от производител, официален представител на производителя или от официален вносител, който е публичен и общо приложим към всички партньори/клиенти, т.е. не е създаден за целите на конкретната подадена оферта. </w:t>
      </w:r>
    </w:p>
    <w:p w14:paraId="4F4F5BBA"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Офертите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w:t>
      </w:r>
    </w:p>
    <w:p w14:paraId="327EC03E"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Оферентите следва да отговарят на следните две кумулативни условия: </w:t>
      </w:r>
    </w:p>
    <w:p w14:paraId="43A1E3EA"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w:t>
      </w:r>
      <w:proofErr w:type="spellStart"/>
      <w:r w:rsidRPr="00B72242">
        <w:rPr>
          <w:rFonts w:ascii="Times New Roman" w:hAnsi="Times New Roman" w:cs="Times New Roman"/>
          <w:sz w:val="24"/>
          <w:szCs w:val="24"/>
        </w:rPr>
        <w:t>ите</w:t>
      </w:r>
      <w:proofErr w:type="spellEnd"/>
      <w:r w:rsidRPr="00B72242">
        <w:rPr>
          <w:rFonts w:ascii="Times New Roman" w:hAnsi="Times New Roman" w:cs="Times New Roman"/>
          <w:sz w:val="24"/>
          <w:szCs w:val="24"/>
        </w:rPr>
        <w:t>. Списъкът следва да е подписан от лицето представляващо по закон оферента и да е придружен с препоръки/референции за добро изпълнение;</w:t>
      </w:r>
    </w:p>
    <w:p w14:paraId="34B1563C"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Ако отчетите за приходите и разходите са публично обявени, се извършва справка в съответния регистър.</w:t>
      </w:r>
    </w:p>
    <w:p w14:paraId="1246078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Горепосочените условия, на които трябва да отговарят оферентите и документите, с които се доказва съответствие с двете кумулативни условия, следва да бъдат заложени и в поканата за събиране на оферти чрез ИСУН 2020. Тези изисквания са кумулативни и кандидатите за изпълнители, трябва да отговарят задължително на тях. </w:t>
      </w:r>
    </w:p>
    <w:p w14:paraId="239C7834"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случай че чрез ИСУН 2020 не постъпят оферти или са постъпили оферти от оференти, които не отговарят на изискванията на двете кумулативни условия, изборът на изпълнител се извършва между събраните две съпоставими и независими оферти.</w:t>
      </w:r>
    </w:p>
    <w:p w14:paraId="44BC1D6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 случай че в следствие на проведения избор на изпълнител за съответния разход от бюджета на проекта не са представени поне две съпоставими и независими оферти, издадени от оференти отговарящи на 2-те кумулативни условия, Управляващият орган на ПМДР 2014-2020 ще открие процедура по определяне на финансова корекция и няма да одобри БФП за съответния разход. </w:t>
      </w:r>
    </w:p>
    <w:p w14:paraId="7FC119A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При строителство, оферентите следва да имат право да извършват такава дейност и да са вписани в съответните регистри на държавата, в която са регистрирани/установени. </w:t>
      </w:r>
    </w:p>
    <w:p w14:paraId="2E026467"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Бенефициентите не могат да сключват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 </w:t>
      </w:r>
    </w:p>
    <w:p w14:paraId="2CD28E93" w14:textId="43BC379B"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на изпълнител „</w:t>
      </w:r>
      <w:r w:rsidR="003957C6" w:rsidRPr="003957C6">
        <w:rPr>
          <w:rFonts w:ascii="Times New Roman" w:hAnsi="Times New Roman" w:cs="Times New Roman"/>
          <w:sz w:val="24"/>
          <w:szCs w:val="24"/>
        </w:rPr>
        <w:t>Чрез представяне на поне две съпоставими, независими и конкурентни оферти и покана в ИСУН 2020</w:t>
      </w:r>
      <w:r w:rsidRPr="00B72242">
        <w:rPr>
          <w:rFonts w:ascii="Times New Roman" w:hAnsi="Times New Roman" w:cs="Times New Roman"/>
          <w:sz w:val="24"/>
          <w:szCs w:val="24"/>
        </w:rPr>
        <w:t xml:space="preserve">“ като задължително го уведомява за това чрез модул „Кореспонденция“. </w:t>
      </w:r>
    </w:p>
    <w:p w14:paraId="24B45800"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 този случай бенефициентът представя на УО на ПМДР, чрез ИСУН 2020, минимум следните документи: </w:t>
      </w:r>
    </w:p>
    <w:p w14:paraId="35A0AD20"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събраните поне 2 оферти; </w:t>
      </w:r>
    </w:p>
    <w:p w14:paraId="701E7625"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обосновка в свободен текст за направения избор на база на събраните оферти и постъпилите оферти чрез ИСУН 2020 (в случай, че са постъпили оферти чрез ИСУН 2020); </w:t>
      </w:r>
    </w:p>
    <w:p w14:paraId="5BA75B42"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документите доказващи, че оферентът отговаря на кумулативните изисквания, посочени по-горе; </w:t>
      </w:r>
    </w:p>
    <w:p w14:paraId="3E64C985"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сключен договор, предметът и параметрите на който трябва да съответстват на избраната оферта.</w:t>
      </w:r>
    </w:p>
    <w:p w14:paraId="3B93C54A"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Избор на изпълнител/и по реда на Закона за обществените поръчки:</w:t>
      </w:r>
    </w:p>
    <w:p w14:paraId="2F0476C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Бенефициентите възложители съгласно Закона за обществените поръчки, са длъжни да провеждат обществени поръчки за избор на изпълнител/и на дейностите по проекта след сключване на административния договор с изключение на обществените поръчки за избор на изпълнител/и за разходи допустими за финансиране, извършени от кандидата преди подаването на формуляра за кандидатстване по програмата, но не по-рано от 01.01.2014 г.,  съгласно раздел 14 от Условията за кандидатстване.</w:t>
      </w:r>
    </w:p>
    <w:p w14:paraId="594DBAC2" w14:textId="26AE1F42" w:rsidR="00B72242" w:rsidRPr="00B72242" w:rsidRDefault="003957C6" w:rsidP="00B72242">
      <w:pPr>
        <w:jc w:val="both"/>
        <w:rPr>
          <w:rFonts w:ascii="Times New Roman" w:hAnsi="Times New Roman" w:cs="Times New Roman"/>
          <w:sz w:val="24"/>
          <w:szCs w:val="24"/>
        </w:rPr>
      </w:pPr>
      <w:r>
        <w:rPr>
          <w:rFonts w:ascii="Times New Roman" w:hAnsi="Times New Roman" w:cs="Times New Roman"/>
          <w:sz w:val="24"/>
          <w:szCs w:val="24"/>
        </w:rPr>
        <w:t>Управляващия орган</w:t>
      </w:r>
      <w:r w:rsidRPr="00B72242">
        <w:rPr>
          <w:rFonts w:ascii="Times New Roman" w:hAnsi="Times New Roman" w:cs="Times New Roman"/>
          <w:sz w:val="24"/>
          <w:szCs w:val="24"/>
        </w:rPr>
        <w:t xml:space="preserve"> </w:t>
      </w:r>
      <w:r w:rsidR="00B72242" w:rsidRPr="00B72242">
        <w:rPr>
          <w:rFonts w:ascii="Times New Roman" w:hAnsi="Times New Roman" w:cs="Times New Roman"/>
          <w:sz w:val="24"/>
          <w:szCs w:val="24"/>
        </w:rPr>
        <w:t>осъществява последващ контрол на проведената/</w:t>
      </w:r>
      <w:proofErr w:type="spellStart"/>
      <w:r w:rsidR="00B72242" w:rsidRPr="00B72242">
        <w:rPr>
          <w:rFonts w:ascii="Times New Roman" w:hAnsi="Times New Roman" w:cs="Times New Roman"/>
          <w:sz w:val="24"/>
          <w:szCs w:val="24"/>
        </w:rPr>
        <w:t>ите</w:t>
      </w:r>
      <w:proofErr w:type="spellEnd"/>
      <w:r w:rsidR="00B72242" w:rsidRPr="00B72242">
        <w:rPr>
          <w:rFonts w:ascii="Times New Roman" w:hAnsi="Times New Roman" w:cs="Times New Roman"/>
          <w:sz w:val="24"/>
          <w:szCs w:val="24"/>
        </w:rPr>
        <w:t xml:space="preserve"> от бенефициентите процедура/и за възлагане на обществена поръчка на етап сключен от бенефициента договор с избрания изпълнител.</w:t>
      </w:r>
    </w:p>
    <w:p w14:paraId="16029818"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За целта, в срок до 5 работни дни от сключване на договор с избрания изпълнител бенефициентите са длъжни да уведомят писмено УО за подписания договор, чрез въвеждането му в ИСУН 2020.  </w:t>
      </w:r>
    </w:p>
    <w:p w14:paraId="7C918E9B"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на изпълнител като задължително уведомява УО за това чрез модул „Комуникация “.</w:t>
      </w:r>
    </w:p>
    <w:p w14:paraId="7718D1DB"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по процедурите по букви А, Б и В.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предоставени само по искане на УО на ПМДР. </w:t>
      </w:r>
    </w:p>
    <w:p w14:paraId="0E37C103"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бенефициентът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14:paraId="0BF44CB6"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ab/>
        <w:t>В случай на установяване на нередности по смисъла на чл. 2, т. 36 и 38 от Регламент (ЕС) № 1303/2013, УО на ПМДР налага финансова корекция по реда на чл. 70 и следващите от ЗУСЕФСУ.</w:t>
      </w:r>
    </w:p>
    <w:p w14:paraId="362F9392"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Правата и задълженията, които възникват за бенефициента, са описани в приложения образец на Административен договор за предоставяне на безвъзмездна финансова помощ по „Програма за морско дело и рибарство” 2014-2020 (Приложение № 8) и Общите условия към финансираните по настоящата процедурата административни договори за предоставяне на безвъзмездна финансова помощ (Приложение № 9). </w:t>
      </w:r>
    </w:p>
    <w:p w14:paraId="5A3D1D62"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На основание чл. 69, ал. 6 от ЗУСЕФСУ, 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на Наредбата за администриране на нередности по Европейските структурни и инвестиционни фондове, приета с Постановление № 173 на Министерския съвет от 2016 г. (</w:t>
      </w:r>
      <w:proofErr w:type="spellStart"/>
      <w:r w:rsidRPr="00B72242">
        <w:rPr>
          <w:rFonts w:ascii="Times New Roman" w:hAnsi="Times New Roman" w:cs="Times New Roman"/>
          <w:sz w:val="24"/>
          <w:szCs w:val="24"/>
        </w:rPr>
        <w:t>обн</w:t>
      </w:r>
      <w:proofErr w:type="spellEnd"/>
      <w:r w:rsidRPr="00B72242">
        <w:rPr>
          <w:rFonts w:ascii="Times New Roman" w:hAnsi="Times New Roman" w:cs="Times New Roman"/>
          <w:sz w:val="24"/>
          <w:szCs w:val="24"/>
        </w:rPr>
        <w:t>., ДВ, бр. 57 от 2016 г.) и съобразно подписаната от него Декларация за нередности по образец.</w:t>
      </w:r>
    </w:p>
    <w:p w14:paraId="759D0E2B"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В случаите, когато проектът е свързан с придобиването на патент, полезен модел или ноу-хау, не се изискват две независими, съпоставими и конкурентни оферти.  </w:t>
      </w:r>
    </w:p>
    <w:p w14:paraId="2535721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Следва да се има предвид, че когато се придобива патент или полезен модел за иновация се представят документи от Патентното ведомство на Република България за тяхното доказване: </w:t>
      </w:r>
    </w:p>
    <w:p w14:paraId="0E66E0E8"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патент за изобретение,</w:t>
      </w:r>
    </w:p>
    <w:p w14:paraId="1BCEE41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или </w:t>
      </w:r>
    </w:p>
    <w:p w14:paraId="6B1249CF"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 свидетелство за регистрация на полезен модел за иновацията, внедрявана по проекта. </w:t>
      </w:r>
    </w:p>
    <w:p w14:paraId="37A66E28"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В случаите, когато се придобива ноу-хау, също се представят доказателства за притежавания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 лица в областта на иновацията. Документите не трябва да са с декларативен характер, а да съдържат оценка за иновативния продукт/процес/съоръжения и да доказват неговата иновативност.</w:t>
      </w:r>
    </w:p>
    <w:p w14:paraId="06DCB400"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При придобиване на ноу-хау, следва изрично да се посочи кой е притежателя му –юридическо лице или физическо/и лице/а в трудово-правни отношения със същото институция юридическо лице. </w:t>
      </w:r>
    </w:p>
    <w:p w14:paraId="5BF211B4"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Следва да се има предвид, че предметът на лицензионния договор се ограничава само и единствено до придобиване на права на интелектуална собственост, а не до придобиване на оборудване и съоръжения. За всички останали случаи, например ако се предвижда придобиване на ново оборудване (ДМА), необходимо за внедряване на иновативен продукт или процес, задължително се съблюдават изискванията на т. 1.1. Процедури за избор на изпълнител от Условията за изпълнение на проекти по настоящата процедура.</w:t>
      </w:r>
    </w:p>
    <w:p w14:paraId="709E1EF3"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За удостоверяване на разходите по закупуване на патент, полезен модел или ноу-хау се представя лицензионен договор, с който се разрешава използването на съответния обект на интелектуална собственост и съответните </w:t>
      </w:r>
      <w:proofErr w:type="spellStart"/>
      <w:r w:rsidRPr="00B72242">
        <w:rPr>
          <w:rFonts w:ascii="Times New Roman" w:hAnsi="Times New Roman" w:cs="Times New Roman"/>
          <w:sz w:val="24"/>
          <w:szCs w:val="24"/>
        </w:rPr>
        <w:t>разходо</w:t>
      </w:r>
      <w:proofErr w:type="spellEnd"/>
      <w:r w:rsidRPr="00B72242">
        <w:rPr>
          <w:rFonts w:ascii="Times New Roman" w:hAnsi="Times New Roman" w:cs="Times New Roman"/>
          <w:sz w:val="24"/>
          <w:szCs w:val="24"/>
        </w:rPr>
        <w:t>-оправдателни документи. Представя се документ (уведомление/удостоверение) от Патентното ведомство, че договора е вписан в техният регистър.</w:t>
      </w:r>
    </w:p>
    <w:p w14:paraId="7D163414"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1.2.</w:t>
      </w:r>
      <w:r w:rsidRPr="00B72242">
        <w:rPr>
          <w:rFonts w:ascii="Times New Roman" w:hAnsi="Times New Roman" w:cs="Times New Roman"/>
          <w:sz w:val="24"/>
          <w:szCs w:val="24"/>
        </w:rPr>
        <w:tab/>
        <w:t>Изменения и/или допълнение на административен договор за предоставяне на безвъзмездна финансова помощ.</w:t>
      </w:r>
    </w:p>
    <w:p w14:paraId="57D8E15E"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ЗУСЕФСУ и раздел VIII от Общите условия.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14:paraId="364AC7F6"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1.3.</w:t>
      </w:r>
      <w:r w:rsidRPr="00B72242">
        <w:rPr>
          <w:rFonts w:ascii="Times New Roman" w:hAnsi="Times New Roman" w:cs="Times New Roman"/>
          <w:sz w:val="24"/>
          <w:szCs w:val="24"/>
        </w:rPr>
        <w:tab/>
        <w:t xml:space="preserve">Проверки за удостоверяване на административните, финансовите, техническите и физическите аспекти от изпълнението на одобрените проекти. </w:t>
      </w:r>
    </w:p>
    <w:p w14:paraId="6DE60906"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Съгласно правилата на Регламент (ЕС) № 1303/2013 и Споразумението за делегиране на функции от УО на ПМДР на Междинното звено (МЗ) – Държавен фонд „Земеделие“–Разплащателна агенция (ДФЗ-РА), последното следва да извърши проверки за удостоверяване на административните, финансовите, техническите и физическите аспекти от изпълнението на одобрените проекти.</w:t>
      </w:r>
    </w:p>
    <w:p w14:paraId="2CF51129"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Проверките могат да бъдат както административни – проверка на документи, така и проверки на място за изпълнение на дейностите, заложени по одобрения проект. За проекти, които предвиждат дейности по провеждане на информационна кампания, бенефициентът следва в срок от 10 дни преди провеждането им да уведоми УО на ПМДР, за да бъде планирано посещение на място.</w:t>
      </w:r>
    </w:p>
    <w:p w14:paraId="50A00D9D"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Управляващият орган на ПМДР извършва задължителни проверки преди подписване на АДПБФП. </w:t>
      </w:r>
    </w:p>
    <w:p w14:paraId="273710F6"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Управляващият орган на ПМДР извършва междинни проверки на място по време на изпълнението на проекта (при необходимост).</w:t>
      </w:r>
    </w:p>
    <w:p w14:paraId="06926771" w14:textId="77777777"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Междинното звено – ДФЗ-РА извършва административни проверки и проверки на място преди плащане по реда установен  в Общите условия  към административните договори за предоставяне на безвъзмездна финансова помощ и </w:t>
      </w:r>
      <w:proofErr w:type="spellStart"/>
      <w:r w:rsidRPr="00B72242">
        <w:rPr>
          <w:rFonts w:ascii="Times New Roman" w:hAnsi="Times New Roman" w:cs="Times New Roman"/>
          <w:sz w:val="24"/>
          <w:szCs w:val="24"/>
        </w:rPr>
        <w:t>мониторингови</w:t>
      </w:r>
      <w:proofErr w:type="spellEnd"/>
      <w:r w:rsidRPr="00B72242">
        <w:rPr>
          <w:rFonts w:ascii="Times New Roman" w:hAnsi="Times New Roman" w:cs="Times New Roman"/>
          <w:sz w:val="24"/>
          <w:szCs w:val="24"/>
        </w:rPr>
        <w:t xml:space="preserve"> проверки на изпълнените проекти на база извадка (проверките са административни и проверки на място).  </w:t>
      </w:r>
    </w:p>
    <w:p w14:paraId="399704C3" w14:textId="00F1FAAD" w:rsidR="00B72242" w:rsidRP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 xml:space="preserve">При подаване на искане за междинно/окончателно плащане бенефициентът предоставя чрез ИСУН 2020 и междинен/финален отчет за изпълнението на проекта. </w:t>
      </w:r>
      <w:r w:rsidR="00DE764D" w:rsidRPr="00DE764D">
        <w:rPr>
          <w:rFonts w:ascii="Times New Roman" w:hAnsi="Times New Roman" w:cs="Times New Roman"/>
          <w:sz w:val="24"/>
          <w:szCs w:val="24"/>
        </w:rPr>
        <w:t>Държавен фонд „Земеделие“–Разплащателна агенция</w:t>
      </w:r>
      <w:r w:rsidRPr="00B72242">
        <w:rPr>
          <w:rFonts w:ascii="Times New Roman" w:hAnsi="Times New Roman" w:cs="Times New Roman"/>
          <w:sz w:val="24"/>
          <w:szCs w:val="24"/>
        </w:rPr>
        <w:t xml:space="preserve"> извършва задължителни проверки, като в случай че бъдат констатирани несъответствия, разходите за съответните дейности няма да бъдат признати, като ще бъдат прилагани съответни европейски и национални норми.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на ПМДР, Междинното звено на Управляващия орган, МИРГ и/или други одитиращи институции с цел извършването на проверка на място на резултатите от изпълнението на проекта.</w:t>
      </w:r>
    </w:p>
    <w:p w14:paraId="66F571A9" w14:textId="77777777" w:rsidR="00B72242" w:rsidRDefault="00B72242" w:rsidP="00B72242">
      <w:pPr>
        <w:jc w:val="both"/>
        <w:rPr>
          <w:rFonts w:ascii="Times New Roman" w:hAnsi="Times New Roman" w:cs="Times New Roman"/>
          <w:sz w:val="24"/>
          <w:szCs w:val="24"/>
        </w:rPr>
      </w:pPr>
      <w:r w:rsidRPr="00B72242">
        <w:rPr>
          <w:rFonts w:ascii="Times New Roman" w:hAnsi="Times New Roman" w:cs="Times New Roman"/>
          <w:sz w:val="24"/>
          <w:szCs w:val="24"/>
        </w:rPr>
        <w:t>Бенефициентът е задължен да докладва и отчита изпълнението на проекта в съответните отчетни форми и документи чрез ИСУН 2020.</w:t>
      </w:r>
    </w:p>
    <w:p w14:paraId="3A23C4AB" w14:textId="6B3D9043" w:rsidR="00CB66C3" w:rsidRPr="00CB66C3" w:rsidRDefault="00CB66C3" w:rsidP="00B72242">
      <w:pPr>
        <w:jc w:val="both"/>
        <w:rPr>
          <w:rFonts w:ascii="Times New Roman" w:hAnsi="Times New Roman" w:cs="Times New Roman"/>
          <w:sz w:val="24"/>
          <w:szCs w:val="24"/>
        </w:rPr>
      </w:pPr>
      <w:r w:rsidRPr="00B72242">
        <w:rPr>
          <w:rFonts w:ascii="Times New Roman" w:hAnsi="Times New Roman" w:cs="Times New Roman"/>
          <w:color w:val="4F81BD" w:themeColor="accent1"/>
          <w:sz w:val="24"/>
          <w:szCs w:val="24"/>
        </w:rPr>
        <w:t>.</w:t>
      </w:r>
      <w:r w:rsidR="00B72242" w:rsidRPr="00B72242">
        <w:t xml:space="preserve"> </w:t>
      </w:r>
      <w:r w:rsidR="00B72242" w:rsidRPr="00B72242">
        <w:rPr>
          <w:rFonts w:ascii="Times New Roman" w:hAnsi="Times New Roman" w:cs="Times New Roman"/>
          <w:color w:val="4F81BD" w:themeColor="accent1"/>
          <w:sz w:val="24"/>
          <w:szCs w:val="24"/>
        </w:rPr>
        <w:t>2.</w:t>
      </w:r>
      <w:r w:rsidR="00B72242" w:rsidRPr="00B72242">
        <w:rPr>
          <w:rFonts w:ascii="Times New Roman" w:hAnsi="Times New Roman" w:cs="Times New Roman"/>
          <w:color w:val="4F81BD" w:themeColor="accent1"/>
          <w:sz w:val="24"/>
          <w:szCs w:val="24"/>
        </w:rPr>
        <w:tab/>
        <w:t>Финансово изпълнение на проектите и плащане.</w:t>
      </w:r>
    </w:p>
    <w:p w14:paraId="093CB62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не могат да бъдат заявявани и за тях не може да бъде предоставена безвъзмездна финансова помощ, вкл. по други проекти и по други програми.</w:t>
      </w:r>
    </w:p>
    <w:p w14:paraId="7923D9F0" w14:textId="571CA0D2"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Бенефициентът е задължен да поддържа отделни счетоводни аналитични сметка/</w:t>
      </w:r>
      <w:proofErr w:type="spellStart"/>
      <w:r w:rsidRPr="00CB66C3">
        <w:rPr>
          <w:rFonts w:ascii="Times New Roman" w:hAnsi="Times New Roman" w:cs="Times New Roman"/>
          <w:sz w:val="24"/>
          <w:szCs w:val="24"/>
        </w:rPr>
        <w:t>подсметка</w:t>
      </w:r>
      <w:proofErr w:type="spellEnd"/>
      <w:r w:rsidRPr="00CB66C3">
        <w:rPr>
          <w:rFonts w:ascii="Times New Roman" w:hAnsi="Times New Roman" w:cs="Times New Roman"/>
          <w:sz w:val="24"/>
          <w:szCs w:val="24"/>
        </w:rPr>
        <w:t xml:space="preserve"> или отделна счетоводна система за допустимите разходи по проекта/</w:t>
      </w:r>
      <w:proofErr w:type="spellStart"/>
      <w:r w:rsidRPr="00CB66C3">
        <w:rPr>
          <w:rFonts w:ascii="Times New Roman" w:hAnsi="Times New Roman" w:cs="Times New Roman"/>
          <w:sz w:val="24"/>
          <w:szCs w:val="24"/>
        </w:rPr>
        <w:t>ите</w:t>
      </w:r>
      <w:proofErr w:type="spellEnd"/>
      <w:r w:rsidRPr="00CB66C3">
        <w:rPr>
          <w:rFonts w:ascii="Times New Roman" w:hAnsi="Times New Roman" w:cs="Times New Roman"/>
          <w:sz w:val="24"/>
          <w:szCs w:val="24"/>
        </w:rPr>
        <w:t xml:space="preserve"> и използването на средствата от безвъзмездната финансова помощ, съгласно изискванията</w:t>
      </w:r>
      <w:r w:rsidR="00E15B63">
        <w:rPr>
          <w:rFonts w:ascii="Times New Roman" w:hAnsi="Times New Roman" w:cs="Times New Roman"/>
          <w:sz w:val="24"/>
          <w:szCs w:val="24"/>
        </w:rPr>
        <w:t xml:space="preserve"> на чл. 57, ал. 1, т.5 от ЗУСЕ</w:t>
      </w:r>
      <w:r w:rsidRPr="00CB66C3">
        <w:rPr>
          <w:rFonts w:ascii="Times New Roman" w:hAnsi="Times New Roman" w:cs="Times New Roman"/>
          <w:sz w:val="24"/>
          <w:szCs w:val="24"/>
        </w:rPr>
        <w:t>Ф</w:t>
      </w:r>
      <w:r w:rsidR="00E15B63">
        <w:rPr>
          <w:rFonts w:ascii="Times New Roman" w:hAnsi="Times New Roman" w:cs="Times New Roman"/>
          <w:sz w:val="24"/>
          <w:szCs w:val="24"/>
        </w:rPr>
        <w:t>СУ</w:t>
      </w:r>
      <w:r w:rsidRPr="00CB66C3">
        <w:rPr>
          <w:rFonts w:ascii="Times New Roman" w:hAnsi="Times New Roman" w:cs="Times New Roman"/>
          <w:sz w:val="24"/>
          <w:szCs w:val="24"/>
        </w:rPr>
        <w:t>.</w:t>
      </w:r>
    </w:p>
    <w:p w14:paraId="6F6CD71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Максималният размер на безвъзмездната финансова помощ задължително се посочва в административния договор за предоставяне на безвъзмездна финансова помощ. Този размер се основава на бюджета, формиран на база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максимален,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14:paraId="3D84F7A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Кандидатите следва да вземат под внимание Указание на УО на ПМДР за регламентиране и отчитане на възнагражденията на екипите за изпълнение на проекти, което е публикувано и може да бъде намерено на следния интернет адрес: https://www.eufunds.bg/bg/pmdr/node/5279.</w:t>
      </w:r>
    </w:p>
    <w:p w14:paraId="311DC19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Недопустими са промени в бюджета на одобрения проект, водещи до увеличаване на първоначално договорения процент и размер на безвъзмездната финансова помощ по договора.</w:t>
      </w:r>
    </w:p>
    <w:p w14:paraId="5D97DA3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Във връзка с разпоредбите на чл. 4, т. 3 от Регламент (ЕО, ЕВРАТОМ) </w:t>
      </w:r>
      <w:proofErr w:type="spellStart"/>
      <w:r w:rsidRPr="00CB66C3">
        <w:rPr>
          <w:rFonts w:ascii="Times New Roman" w:hAnsi="Times New Roman" w:cs="Times New Roman"/>
          <w:sz w:val="24"/>
          <w:szCs w:val="24"/>
        </w:rPr>
        <w:t>No</w:t>
      </w:r>
      <w:proofErr w:type="spellEnd"/>
      <w:r w:rsidRPr="00CB66C3">
        <w:rPr>
          <w:rFonts w:ascii="Times New Roman" w:hAnsi="Times New Roman" w:cs="Times New Roman"/>
          <w:sz w:val="24"/>
          <w:szCs w:val="24"/>
        </w:rPr>
        <w:t xml:space="preserve">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p>
    <w:p w14:paraId="259AC067"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тяхното извършване са определени в административния договор и Общите условия към него.</w:t>
      </w:r>
    </w:p>
    <w:p w14:paraId="3CD3FC2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14:paraId="2B7CF148" w14:textId="2991AF35"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ВАЖНО: Бенефициентите общини имат право да им бъдат възстановени разходи за ДДС съгласно разпоредбите на ПМС за изпълнението на държавния бюджет на Република България</w:t>
      </w:r>
      <w:r w:rsidR="00163ABE">
        <w:rPr>
          <w:rFonts w:ascii="Times New Roman" w:hAnsi="Times New Roman" w:cs="Times New Roman"/>
          <w:sz w:val="24"/>
          <w:szCs w:val="24"/>
        </w:rPr>
        <w:t>.</w:t>
      </w:r>
    </w:p>
    <w:p w14:paraId="734128D3"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3.</w:t>
      </w:r>
      <w:r w:rsidRPr="00CB66C3">
        <w:rPr>
          <w:rFonts w:ascii="Times New Roman" w:hAnsi="Times New Roman" w:cs="Times New Roman"/>
          <w:sz w:val="24"/>
          <w:szCs w:val="24"/>
        </w:rPr>
        <w:tab/>
        <w:t>Мерки за информиране и публичност</w:t>
      </w:r>
    </w:p>
    <w:p w14:paraId="25C8266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Всички бенефициенти трябва да прилагат подходящи мерки за публичност и информираност съгласно правилата на Приложение XII от Регламент (ЕС) № 1303/2013.</w:t>
      </w:r>
    </w:p>
    <w:p w14:paraId="0A76321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14:paraId="736C225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По време на изпълнението на даден проект бенефициентът информира обществеността за получената от ЕФМДР подкрепа като:</w:t>
      </w:r>
    </w:p>
    <w:p w14:paraId="166E9E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14:paraId="2CC568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14:paraId="2C48E78E"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Плакатът следва да съдържа следната текстова и визуална информация:</w:t>
      </w:r>
    </w:p>
    <w:p w14:paraId="03E7EF82"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емблемата на ЕС и упоменаването „Европейски съюз“;</w:t>
      </w:r>
    </w:p>
    <w:p w14:paraId="73DBF53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 наименованието на </w:t>
      </w:r>
      <w:proofErr w:type="spellStart"/>
      <w:r w:rsidRPr="00CB66C3">
        <w:rPr>
          <w:rFonts w:ascii="Times New Roman" w:hAnsi="Times New Roman" w:cs="Times New Roman"/>
          <w:sz w:val="24"/>
          <w:szCs w:val="24"/>
        </w:rPr>
        <w:t>съфинансиращия</w:t>
      </w:r>
      <w:proofErr w:type="spellEnd"/>
      <w:r w:rsidRPr="00CB66C3">
        <w:rPr>
          <w:rFonts w:ascii="Times New Roman" w:hAnsi="Times New Roman" w:cs="Times New Roman"/>
          <w:sz w:val="24"/>
          <w:szCs w:val="24"/>
        </w:rPr>
        <w:t xml:space="preserve"> фонд - Европейски фонд за морско дело и рибарство;</w:t>
      </w:r>
    </w:p>
    <w:p w14:paraId="585A1DA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общото лого за програмен период 2014-2020 г.;</w:t>
      </w:r>
    </w:p>
    <w:p w14:paraId="1430B38A"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наименованието на Програмата за  морско дело и рибарство 2014-2020 г.;</w:t>
      </w:r>
    </w:p>
    <w:p w14:paraId="2B647220"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наименованието на проекта;</w:t>
      </w:r>
    </w:p>
    <w:p w14:paraId="477B09E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общата стойност на проекта, както и размера на европейското и националното съфинансиране, представени в български лева;</w:t>
      </w:r>
    </w:p>
    <w:p w14:paraId="5638637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начална и крайна дата на изпълнение на проекта.</w:t>
      </w:r>
    </w:p>
    <w:p w14:paraId="4C4CF066"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14:paraId="3EAF51E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14:paraId="66E68E8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p>
    <w:p w14:paraId="35F75319" w14:textId="1331FE7A"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https://www.</w:t>
      </w:r>
      <w:r w:rsidR="0044374E">
        <w:rPr>
          <w:rFonts w:ascii="Times New Roman" w:hAnsi="Times New Roman" w:cs="Times New Roman"/>
          <w:sz w:val="24"/>
          <w:szCs w:val="24"/>
        </w:rPr>
        <w:t>eufunds.bg/bg/taxonomy/term/609</w:t>
      </w:r>
    </w:p>
    <w:p w14:paraId="6C3BAF6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На същата страница могат да бъдат намерени и векторните варианти на логото на ПМДР.</w:t>
      </w:r>
    </w:p>
    <w:p w14:paraId="48C62ED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ВАЖНО! Неспазването на правилата за информиране и публичност (визуализация) от страна на бенефициента може да доведе до непризнаване на част или на цялата стойност на извършените по проекта разходи.</w:t>
      </w:r>
    </w:p>
    <w:p w14:paraId="7600795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4. Приложения към Условията за изпълнение:</w:t>
      </w:r>
    </w:p>
    <w:p w14:paraId="0B3D2E59"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1А - Таблица за одобрени инвестиционни разходи;</w:t>
      </w:r>
    </w:p>
    <w:p w14:paraId="4527B11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7 - Декларация за упражняване правото на данъчен кредит;</w:t>
      </w:r>
    </w:p>
    <w:p w14:paraId="1EC2D339" w14:textId="77777777" w:rsid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 xml:space="preserve">Приложение № 8 - </w:t>
      </w:r>
      <w:proofErr w:type="spellStart"/>
      <w:r w:rsidRPr="00CB66C3">
        <w:rPr>
          <w:rFonts w:ascii="Times New Roman" w:hAnsi="Times New Roman" w:cs="Times New Roman"/>
          <w:sz w:val="24"/>
          <w:szCs w:val="24"/>
        </w:rPr>
        <w:t>Aдминистративен</w:t>
      </w:r>
      <w:proofErr w:type="spellEnd"/>
      <w:r w:rsidRPr="00CB66C3">
        <w:rPr>
          <w:rFonts w:ascii="Times New Roman" w:hAnsi="Times New Roman" w:cs="Times New Roman"/>
          <w:sz w:val="24"/>
          <w:szCs w:val="24"/>
        </w:rPr>
        <w:t xml:space="preserve"> договор за безвъзмездна финансова помощ по Програма за морско дело и рибарство 2014-2020 г.;</w:t>
      </w:r>
    </w:p>
    <w:p w14:paraId="2DB0A13A" w14:textId="004989C1" w:rsidR="00264651" w:rsidRPr="00CB66C3" w:rsidRDefault="00264651" w:rsidP="00CB66C3">
      <w:pPr>
        <w:jc w:val="both"/>
        <w:rPr>
          <w:rFonts w:ascii="Times New Roman" w:hAnsi="Times New Roman" w:cs="Times New Roman"/>
          <w:sz w:val="24"/>
          <w:szCs w:val="24"/>
        </w:rPr>
      </w:pPr>
      <w:r w:rsidRPr="00264651">
        <w:rPr>
          <w:rFonts w:ascii="Times New Roman" w:hAnsi="Times New Roman" w:cs="Times New Roman"/>
          <w:sz w:val="24"/>
          <w:szCs w:val="24"/>
        </w:rPr>
        <w:t>Приложение № 8-1 – Декларации към АДБФП;</w:t>
      </w:r>
    </w:p>
    <w:p w14:paraId="332DE6D5"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9 - Общи условия към финансираните по Програма за морско дело и рибарство 2014-2020 г. административни договори за предоставяне на безвъзмездна финансова помощ;</w:t>
      </w:r>
    </w:p>
    <w:p w14:paraId="02FD4AE8"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10 - Банкова гаранция;</w:t>
      </w:r>
    </w:p>
    <w:p w14:paraId="4A2F4B5F"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11 - Заявление за профил за достъп на ръководител на бенефициента до ИСУН 2020;</w:t>
      </w:r>
    </w:p>
    <w:p w14:paraId="136B51FC"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12 - Заявление за профил за достъп на упълномощени от бенефициента лица до ИСУН 2020;</w:t>
      </w:r>
    </w:p>
    <w:p w14:paraId="1734EC3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13 - Списък с изискуеми документи към Искане за авансово плащане;</w:t>
      </w:r>
    </w:p>
    <w:p w14:paraId="6455DDC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14 - Списък с изискуеми документи към Искане за междинно/окончателно плащане;</w:t>
      </w:r>
    </w:p>
    <w:p w14:paraId="4D2919AB"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15 – Декларация за втора употреба;</w:t>
      </w:r>
    </w:p>
    <w:p w14:paraId="3CCA85D2" w14:textId="32A4D4E9" w:rsid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16 – Документи за осъществяване на последващ контрол на проведена процедура „Избор с публична по</w:t>
      </w:r>
      <w:r w:rsidR="00E15B63">
        <w:rPr>
          <w:rFonts w:ascii="Times New Roman" w:hAnsi="Times New Roman" w:cs="Times New Roman"/>
          <w:sz w:val="24"/>
          <w:szCs w:val="24"/>
        </w:rPr>
        <w:t>кана“ по чл. 50, ал. 1 от ЗУСЕ</w:t>
      </w:r>
      <w:r w:rsidRPr="00CB66C3">
        <w:rPr>
          <w:rFonts w:ascii="Times New Roman" w:hAnsi="Times New Roman" w:cs="Times New Roman"/>
          <w:sz w:val="24"/>
          <w:szCs w:val="24"/>
        </w:rPr>
        <w:t>Ф</w:t>
      </w:r>
      <w:r w:rsidR="00E15B63">
        <w:rPr>
          <w:rFonts w:ascii="Times New Roman" w:hAnsi="Times New Roman" w:cs="Times New Roman"/>
          <w:sz w:val="24"/>
          <w:szCs w:val="24"/>
        </w:rPr>
        <w:t>СУ</w:t>
      </w:r>
      <w:r w:rsidRPr="00CB66C3">
        <w:rPr>
          <w:rFonts w:ascii="Times New Roman" w:hAnsi="Times New Roman" w:cs="Times New Roman"/>
          <w:sz w:val="24"/>
          <w:szCs w:val="24"/>
        </w:rPr>
        <w:t xml:space="preserve"> и ПМС 160/01.07.2016 г.;</w:t>
      </w:r>
    </w:p>
    <w:p w14:paraId="0ADF8782" w14:textId="24C826EC" w:rsidR="0044374E" w:rsidRPr="00CB66C3" w:rsidRDefault="0044374E" w:rsidP="00CB66C3">
      <w:pPr>
        <w:jc w:val="both"/>
        <w:rPr>
          <w:rFonts w:ascii="Times New Roman" w:hAnsi="Times New Roman" w:cs="Times New Roman"/>
          <w:sz w:val="24"/>
          <w:szCs w:val="24"/>
        </w:rPr>
      </w:pPr>
      <w:r w:rsidRPr="0044374E">
        <w:rPr>
          <w:rFonts w:ascii="Times New Roman" w:hAnsi="Times New Roman" w:cs="Times New Roman"/>
          <w:sz w:val="24"/>
          <w:szCs w:val="24"/>
        </w:rPr>
        <w:t>Приложение № 17- декларации УИ</w:t>
      </w:r>
    </w:p>
    <w:p w14:paraId="407C94D1"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Приложение № 18 - Методика за размера на финансовите корекции;</w:t>
      </w:r>
    </w:p>
    <w:p w14:paraId="0665F35D" w14:textId="77777777" w:rsidR="00CB66C3" w:rsidRPr="00CB66C3"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Декларация № 1 за МСП</w:t>
      </w:r>
    </w:p>
    <w:p w14:paraId="415418A1" w14:textId="1035FDAC" w:rsidR="00D22E3D" w:rsidRPr="00F21464" w:rsidRDefault="00CB66C3" w:rsidP="00CB66C3">
      <w:pPr>
        <w:jc w:val="both"/>
        <w:rPr>
          <w:rFonts w:ascii="Times New Roman" w:hAnsi="Times New Roman" w:cs="Times New Roman"/>
          <w:sz w:val="24"/>
          <w:szCs w:val="24"/>
        </w:rPr>
      </w:pPr>
      <w:r w:rsidRPr="00CB66C3">
        <w:rPr>
          <w:rFonts w:ascii="Times New Roman" w:hAnsi="Times New Roman" w:cs="Times New Roman"/>
          <w:sz w:val="24"/>
          <w:szCs w:val="24"/>
        </w:rPr>
        <w:t>Декларация № 7 липса на промяна в обстоятелствата</w:t>
      </w:r>
    </w:p>
    <w:sectPr w:rsidR="00D22E3D" w:rsidRPr="00F21464" w:rsidSect="00E93C67">
      <w:headerReference w:type="default" r:id="rId8"/>
      <w:footerReference w:type="default" r:id="rId9"/>
      <w:headerReference w:type="first" r:id="rId10"/>
      <w:footerReference w:type="first" r:id="rId11"/>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4FCA34" w14:textId="77777777" w:rsidR="007E27AF" w:rsidRDefault="007E27AF" w:rsidP="002D4DC8">
      <w:pPr>
        <w:spacing w:after="0" w:line="240" w:lineRule="auto"/>
      </w:pPr>
      <w:r>
        <w:separator/>
      </w:r>
    </w:p>
  </w:endnote>
  <w:endnote w:type="continuationSeparator" w:id="0">
    <w:p w14:paraId="7880D6E0" w14:textId="77777777" w:rsidR="007E27AF" w:rsidRDefault="007E27AF"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7AEAA2" w14:textId="77777777"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01880ADE" w14:textId="77777777"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FA1D13" w14:textId="77777777"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03A3BE4" w14:textId="77777777"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0562F9D" w14:textId="77777777" w:rsidR="007E27AF" w:rsidRDefault="007E27AF" w:rsidP="002D4DC8">
      <w:pPr>
        <w:spacing w:after="0" w:line="240" w:lineRule="auto"/>
      </w:pPr>
      <w:r>
        <w:separator/>
      </w:r>
    </w:p>
  </w:footnote>
  <w:footnote w:type="continuationSeparator" w:id="0">
    <w:p w14:paraId="6D6E8A52" w14:textId="77777777" w:rsidR="007E27AF" w:rsidRDefault="007E27AF"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4572708"/>
      <w:docPartObj>
        <w:docPartGallery w:val="Page Numbers (Top of Page)"/>
        <w:docPartUnique/>
      </w:docPartObj>
    </w:sdtPr>
    <w:sdtEndPr>
      <w:rPr>
        <w:noProof/>
      </w:rPr>
    </w:sdtEndPr>
    <w:sdtContent>
      <w:p w14:paraId="43529670" w14:textId="75E185E6" w:rsidR="001A36F3" w:rsidRDefault="001A36F3" w:rsidP="00AB25FB">
        <w:pPr>
          <w:pStyle w:val="a8"/>
          <w:jc w:val="center"/>
          <w:rPr>
            <w:noProof/>
          </w:rPr>
        </w:pPr>
        <w:r>
          <w:fldChar w:fldCharType="begin"/>
        </w:r>
        <w:r>
          <w:instrText xml:space="preserve"> PAGE   \* MERGEFORMAT </w:instrText>
        </w:r>
        <w:r>
          <w:fldChar w:fldCharType="separate"/>
        </w:r>
        <w:r w:rsidR="000B3349">
          <w:rPr>
            <w:noProof/>
          </w:rPr>
          <w:t>14</w:t>
        </w:r>
        <w:r>
          <w:rPr>
            <w:noProof/>
          </w:rPr>
          <w:fldChar w:fldCharType="end"/>
        </w:r>
      </w:p>
    </w:sdtContent>
  </w:sdt>
  <w:p w14:paraId="52621669" w14:textId="77777777"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EBED9D" w14:textId="77777777"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422F76B8" wp14:editId="31EA358E">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011551B8" wp14:editId="29ECBE1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A460FD6" wp14:editId="6CDA7E03">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27516"/>
    <w:rsid w:val="0003025B"/>
    <w:rsid w:val="000324EC"/>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15B6"/>
    <w:rsid w:val="000949F1"/>
    <w:rsid w:val="000A5228"/>
    <w:rsid w:val="000A7596"/>
    <w:rsid w:val="000B1032"/>
    <w:rsid w:val="000B1D1E"/>
    <w:rsid w:val="000B3349"/>
    <w:rsid w:val="000D1671"/>
    <w:rsid w:val="000D25D9"/>
    <w:rsid w:val="000D599B"/>
    <w:rsid w:val="000D5C2E"/>
    <w:rsid w:val="000D7B8A"/>
    <w:rsid w:val="000E2628"/>
    <w:rsid w:val="001011FE"/>
    <w:rsid w:val="001021AD"/>
    <w:rsid w:val="00103349"/>
    <w:rsid w:val="00112A0E"/>
    <w:rsid w:val="00114C1F"/>
    <w:rsid w:val="001276B0"/>
    <w:rsid w:val="00132752"/>
    <w:rsid w:val="00145434"/>
    <w:rsid w:val="00146BDF"/>
    <w:rsid w:val="0015403E"/>
    <w:rsid w:val="00163ABE"/>
    <w:rsid w:val="00177580"/>
    <w:rsid w:val="00181D8B"/>
    <w:rsid w:val="00182E02"/>
    <w:rsid w:val="00184982"/>
    <w:rsid w:val="0018750E"/>
    <w:rsid w:val="001A1BF1"/>
    <w:rsid w:val="001A36F3"/>
    <w:rsid w:val="001B25E6"/>
    <w:rsid w:val="001C1C49"/>
    <w:rsid w:val="001C64B8"/>
    <w:rsid w:val="001D5FAA"/>
    <w:rsid w:val="001E0CF0"/>
    <w:rsid w:val="001F00C4"/>
    <w:rsid w:val="00205AE9"/>
    <w:rsid w:val="0021140A"/>
    <w:rsid w:val="00213B7C"/>
    <w:rsid w:val="002224C6"/>
    <w:rsid w:val="0022546B"/>
    <w:rsid w:val="0026076D"/>
    <w:rsid w:val="00263CAA"/>
    <w:rsid w:val="00264651"/>
    <w:rsid w:val="00264904"/>
    <w:rsid w:val="00270755"/>
    <w:rsid w:val="002726D1"/>
    <w:rsid w:val="00275643"/>
    <w:rsid w:val="00292C3F"/>
    <w:rsid w:val="002976A3"/>
    <w:rsid w:val="002A3D2D"/>
    <w:rsid w:val="002B0F0B"/>
    <w:rsid w:val="002B638F"/>
    <w:rsid w:val="002C17F5"/>
    <w:rsid w:val="002C21E8"/>
    <w:rsid w:val="002C24FB"/>
    <w:rsid w:val="002D4DC8"/>
    <w:rsid w:val="002D59C3"/>
    <w:rsid w:val="002D7E68"/>
    <w:rsid w:val="002E45FF"/>
    <w:rsid w:val="002F082D"/>
    <w:rsid w:val="002F2AB1"/>
    <w:rsid w:val="002F2F48"/>
    <w:rsid w:val="003040DE"/>
    <w:rsid w:val="003046AA"/>
    <w:rsid w:val="00305E2E"/>
    <w:rsid w:val="00307574"/>
    <w:rsid w:val="003317AE"/>
    <w:rsid w:val="0033789A"/>
    <w:rsid w:val="00340581"/>
    <w:rsid w:val="00352A56"/>
    <w:rsid w:val="003541EA"/>
    <w:rsid w:val="003545E3"/>
    <w:rsid w:val="00355F16"/>
    <w:rsid w:val="003725AD"/>
    <w:rsid w:val="00383480"/>
    <w:rsid w:val="003911B6"/>
    <w:rsid w:val="003957C6"/>
    <w:rsid w:val="003B19D4"/>
    <w:rsid w:val="003D19FB"/>
    <w:rsid w:val="003D5454"/>
    <w:rsid w:val="003E5270"/>
    <w:rsid w:val="003E537B"/>
    <w:rsid w:val="003F51FD"/>
    <w:rsid w:val="003F6F50"/>
    <w:rsid w:val="00407D10"/>
    <w:rsid w:val="00410A31"/>
    <w:rsid w:val="004121B1"/>
    <w:rsid w:val="004123CC"/>
    <w:rsid w:val="0041283E"/>
    <w:rsid w:val="00412D72"/>
    <w:rsid w:val="00430616"/>
    <w:rsid w:val="00430BD1"/>
    <w:rsid w:val="0043669C"/>
    <w:rsid w:val="00436F3E"/>
    <w:rsid w:val="0044374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2D86"/>
    <w:rsid w:val="00565975"/>
    <w:rsid w:val="005802E2"/>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36E8"/>
    <w:rsid w:val="006247EB"/>
    <w:rsid w:val="00625311"/>
    <w:rsid w:val="00641D67"/>
    <w:rsid w:val="00650504"/>
    <w:rsid w:val="0065644E"/>
    <w:rsid w:val="00673B5A"/>
    <w:rsid w:val="006823D9"/>
    <w:rsid w:val="00686592"/>
    <w:rsid w:val="0069287E"/>
    <w:rsid w:val="00693A38"/>
    <w:rsid w:val="00693CB6"/>
    <w:rsid w:val="00694F91"/>
    <w:rsid w:val="006A49AC"/>
    <w:rsid w:val="006A68AA"/>
    <w:rsid w:val="006A77C9"/>
    <w:rsid w:val="006B03E9"/>
    <w:rsid w:val="006C7362"/>
    <w:rsid w:val="006D3F30"/>
    <w:rsid w:val="006E01C0"/>
    <w:rsid w:val="006E173D"/>
    <w:rsid w:val="006E2CF9"/>
    <w:rsid w:val="006F1BE0"/>
    <w:rsid w:val="006F57DA"/>
    <w:rsid w:val="00712140"/>
    <w:rsid w:val="00724492"/>
    <w:rsid w:val="00734B7F"/>
    <w:rsid w:val="00761BAD"/>
    <w:rsid w:val="00763634"/>
    <w:rsid w:val="007722B0"/>
    <w:rsid w:val="00773ADC"/>
    <w:rsid w:val="00776B12"/>
    <w:rsid w:val="00777171"/>
    <w:rsid w:val="007872AD"/>
    <w:rsid w:val="007A1C37"/>
    <w:rsid w:val="007A540F"/>
    <w:rsid w:val="007C5C69"/>
    <w:rsid w:val="007C7773"/>
    <w:rsid w:val="007D5700"/>
    <w:rsid w:val="007E106B"/>
    <w:rsid w:val="007E27AF"/>
    <w:rsid w:val="007E530E"/>
    <w:rsid w:val="007E5E01"/>
    <w:rsid w:val="007E726A"/>
    <w:rsid w:val="007E737C"/>
    <w:rsid w:val="007F3AC3"/>
    <w:rsid w:val="007F7851"/>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B5316"/>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5F"/>
    <w:rsid w:val="009C4BDE"/>
    <w:rsid w:val="009C4C97"/>
    <w:rsid w:val="009E194D"/>
    <w:rsid w:val="009F1387"/>
    <w:rsid w:val="009F5161"/>
    <w:rsid w:val="00A0546C"/>
    <w:rsid w:val="00A15F06"/>
    <w:rsid w:val="00A33197"/>
    <w:rsid w:val="00A33AEE"/>
    <w:rsid w:val="00A33BAC"/>
    <w:rsid w:val="00A3459D"/>
    <w:rsid w:val="00A46C3F"/>
    <w:rsid w:val="00A5367B"/>
    <w:rsid w:val="00A53EA7"/>
    <w:rsid w:val="00A56134"/>
    <w:rsid w:val="00A60DBD"/>
    <w:rsid w:val="00A632D9"/>
    <w:rsid w:val="00A7407F"/>
    <w:rsid w:val="00A748BF"/>
    <w:rsid w:val="00A8185A"/>
    <w:rsid w:val="00A824EA"/>
    <w:rsid w:val="00A90DC1"/>
    <w:rsid w:val="00A96BBC"/>
    <w:rsid w:val="00AA28F8"/>
    <w:rsid w:val="00AA2B1D"/>
    <w:rsid w:val="00AA5943"/>
    <w:rsid w:val="00AB25FB"/>
    <w:rsid w:val="00AB5CE9"/>
    <w:rsid w:val="00AC260D"/>
    <w:rsid w:val="00AC745D"/>
    <w:rsid w:val="00AE058E"/>
    <w:rsid w:val="00AE2C86"/>
    <w:rsid w:val="00AE371B"/>
    <w:rsid w:val="00AE4ADD"/>
    <w:rsid w:val="00B16E67"/>
    <w:rsid w:val="00B24423"/>
    <w:rsid w:val="00B364F1"/>
    <w:rsid w:val="00B50447"/>
    <w:rsid w:val="00B52DE6"/>
    <w:rsid w:val="00B55EA5"/>
    <w:rsid w:val="00B65727"/>
    <w:rsid w:val="00B6700F"/>
    <w:rsid w:val="00B72242"/>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B7277"/>
    <w:rsid w:val="00BC2E39"/>
    <w:rsid w:val="00BC3365"/>
    <w:rsid w:val="00BD2919"/>
    <w:rsid w:val="00BD47B0"/>
    <w:rsid w:val="00BF18A6"/>
    <w:rsid w:val="00BF75DA"/>
    <w:rsid w:val="00C4046E"/>
    <w:rsid w:val="00C50409"/>
    <w:rsid w:val="00C50D9E"/>
    <w:rsid w:val="00C54CDC"/>
    <w:rsid w:val="00C55CF8"/>
    <w:rsid w:val="00C801DA"/>
    <w:rsid w:val="00C815DD"/>
    <w:rsid w:val="00C91135"/>
    <w:rsid w:val="00CB3DE3"/>
    <w:rsid w:val="00CB66C3"/>
    <w:rsid w:val="00CC000B"/>
    <w:rsid w:val="00CC08E0"/>
    <w:rsid w:val="00CC7DF2"/>
    <w:rsid w:val="00CD3DC5"/>
    <w:rsid w:val="00CE0532"/>
    <w:rsid w:val="00CF2384"/>
    <w:rsid w:val="00D02745"/>
    <w:rsid w:val="00D058DD"/>
    <w:rsid w:val="00D05D6D"/>
    <w:rsid w:val="00D061B4"/>
    <w:rsid w:val="00D22288"/>
    <w:rsid w:val="00D22E3D"/>
    <w:rsid w:val="00D23587"/>
    <w:rsid w:val="00D267FB"/>
    <w:rsid w:val="00D36560"/>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E6F74"/>
    <w:rsid w:val="00DE764D"/>
    <w:rsid w:val="00DF728A"/>
    <w:rsid w:val="00DF7E4A"/>
    <w:rsid w:val="00E11990"/>
    <w:rsid w:val="00E129B4"/>
    <w:rsid w:val="00E15B63"/>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579A1"/>
    <w:rsid w:val="00F62325"/>
    <w:rsid w:val="00F62372"/>
    <w:rsid w:val="00F62506"/>
    <w:rsid w:val="00F72216"/>
    <w:rsid w:val="00F80789"/>
    <w:rsid w:val="00F85654"/>
    <w:rsid w:val="00F863D0"/>
    <w:rsid w:val="00F96D60"/>
    <w:rsid w:val="00F9733B"/>
    <w:rsid w:val="00FA494B"/>
    <w:rsid w:val="00FA58AC"/>
    <w:rsid w:val="00FB1843"/>
    <w:rsid w:val="00FB451F"/>
    <w:rsid w:val="00FB6B8E"/>
    <w:rsid w:val="00FC6AB6"/>
    <w:rsid w:val="00FD5FFF"/>
    <w:rsid w:val="00FD7FEC"/>
    <w:rsid w:val="00FE0324"/>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3AEA5E1"/>
  <w15:docId w15:val="{02632366-1FA2-4914-AF4E-30BB5498A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694F9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694F91"/>
    <w:rPr>
      <w:rFonts w:ascii="Calibri" w:hAnsi="Calibri" w:cs="Calibri"/>
      <w:sz w:val="22"/>
      <w:szCs w:val="22"/>
      <w:lang w:val="bg-BG" w:eastAsia="en-US"/>
    </w:rPr>
  </w:style>
  <w:style w:type="character" w:customStyle="1" w:styleId="indented">
    <w:name w:val="indented"/>
    <w:basedOn w:val="a0"/>
    <w:uiPriority w:val="99"/>
    <w:rsid w:val="00694F91"/>
  </w:style>
  <w:style w:type="character" w:styleId="af7">
    <w:name w:val="annotation reference"/>
    <w:basedOn w:val="a0"/>
    <w:uiPriority w:val="99"/>
    <w:semiHidden/>
    <w:unhideWhenUsed/>
    <w:rsid w:val="000324EC"/>
    <w:rPr>
      <w:sz w:val="16"/>
      <w:szCs w:val="16"/>
    </w:rPr>
  </w:style>
  <w:style w:type="paragraph" w:styleId="af8">
    <w:name w:val="annotation text"/>
    <w:basedOn w:val="a"/>
    <w:link w:val="af9"/>
    <w:uiPriority w:val="99"/>
    <w:semiHidden/>
    <w:unhideWhenUsed/>
    <w:rsid w:val="000324EC"/>
    <w:pPr>
      <w:spacing w:line="240" w:lineRule="auto"/>
    </w:pPr>
    <w:rPr>
      <w:sz w:val="20"/>
      <w:szCs w:val="20"/>
    </w:rPr>
  </w:style>
  <w:style w:type="character" w:customStyle="1" w:styleId="af9">
    <w:name w:val="Текст на коментар Знак"/>
    <w:basedOn w:val="a0"/>
    <w:link w:val="af8"/>
    <w:uiPriority w:val="99"/>
    <w:semiHidden/>
    <w:rsid w:val="000324EC"/>
    <w:rPr>
      <w:sz w:val="20"/>
      <w:szCs w:val="20"/>
    </w:rPr>
  </w:style>
  <w:style w:type="paragraph" w:styleId="afa">
    <w:name w:val="annotation subject"/>
    <w:basedOn w:val="af8"/>
    <w:next w:val="af8"/>
    <w:link w:val="afb"/>
    <w:uiPriority w:val="99"/>
    <w:semiHidden/>
    <w:unhideWhenUsed/>
    <w:rsid w:val="000324EC"/>
    <w:rPr>
      <w:b/>
      <w:bCs/>
    </w:rPr>
  </w:style>
  <w:style w:type="character" w:customStyle="1" w:styleId="afb">
    <w:name w:val="Предмет на коментар Знак"/>
    <w:basedOn w:val="af9"/>
    <w:link w:val="afa"/>
    <w:uiPriority w:val="99"/>
    <w:semiHidden/>
    <w:rsid w:val="000324E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1948389463">
      <w:bodyDiv w:val="1"/>
      <w:marLeft w:val="0"/>
      <w:marRight w:val="0"/>
      <w:marTop w:val="0"/>
      <w:marBottom w:val="0"/>
      <w:divBdr>
        <w:top w:val="none" w:sz="0" w:space="0" w:color="auto"/>
        <w:left w:val="none" w:sz="0" w:space="0" w:color="auto"/>
        <w:bottom w:val="none" w:sz="0" w:space="0" w:color="auto"/>
        <w:right w:val="none" w:sz="0" w:space="0" w:color="auto"/>
      </w:divBdr>
      <w:divsChild>
        <w:div w:id="1860853216">
          <w:marLeft w:val="0"/>
          <w:marRight w:val="0"/>
          <w:marTop w:val="0"/>
          <w:marBottom w:val="0"/>
          <w:divBdr>
            <w:top w:val="none" w:sz="0" w:space="0" w:color="auto"/>
            <w:left w:val="none" w:sz="0" w:space="0" w:color="auto"/>
            <w:bottom w:val="none" w:sz="0" w:space="0" w:color="auto"/>
            <w:right w:val="none" w:sz="0" w:space="0" w:color="auto"/>
          </w:divBdr>
        </w:div>
        <w:div w:id="128597156">
          <w:marLeft w:val="0"/>
          <w:marRight w:val="0"/>
          <w:marTop w:val="0"/>
          <w:marBottom w:val="0"/>
          <w:divBdr>
            <w:top w:val="none" w:sz="0" w:space="0" w:color="auto"/>
            <w:left w:val="none" w:sz="0" w:space="0" w:color="auto"/>
            <w:bottom w:val="none" w:sz="0" w:space="0" w:color="auto"/>
            <w:right w:val="none" w:sz="0" w:space="0" w:color="auto"/>
          </w:divBdr>
        </w:div>
        <w:div w:id="1827936475">
          <w:marLeft w:val="0"/>
          <w:marRight w:val="0"/>
          <w:marTop w:val="0"/>
          <w:marBottom w:val="0"/>
          <w:divBdr>
            <w:top w:val="none" w:sz="0" w:space="0" w:color="auto"/>
            <w:left w:val="none" w:sz="0" w:space="0" w:color="auto"/>
            <w:bottom w:val="none" w:sz="0" w:space="0" w:color="auto"/>
            <w:right w:val="none" w:sz="0" w:space="0" w:color="auto"/>
          </w:divBdr>
        </w:div>
        <w:div w:id="524444337">
          <w:marLeft w:val="0"/>
          <w:marRight w:val="0"/>
          <w:marTop w:val="0"/>
          <w:marBottom w:val="0"/>
          <w:divBdr>
            <w:top w:val="none" w:sz="0" w:space="0" w:color="auto"/>
            <w:left w:val="none" w:sz="0" w:space="0" w:color="auto"/>
            <w:bottom w:val="none" w:sz="0" w:space="0" w:color="auto"/>
            <w:right w:val="none" w:sz="0" w:space="0" w:color="auto"/>
          </w:divBdr>
        </w:div>
        <w:div w:id="11609730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tiff"/><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376318-96EB-45E1-A101-3101EF226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14</Pages>
  <Words>4637</Words>
  <Characters>26433</Characters>
  <Application>Microsoft Office Word</Application>
  <DocSecurity>0</DocSecurity>
  <Lines>220</Lines>
  <Paragraphs>62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31008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Zhivko Talyokov</cp:lastModifiedBy>
  <cp:revision>6</cp:revision>
  <cp:lastPrinted>2018-11-22T10:50:00Z</cp:lastPrinted>
  <dcterms:created xsi:type="dcterms:W3CDTF">2023-03-14T07:49:00Z</dcterms:created>
  <dcterms:modified xsi:type="dcterms:W3CDTF">2023-03-20T09:31:00Z</dcterms:modified>
</cp:coreProperties>
</file>