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410" w:type="dxa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217"/>
        <w:gridCol w:w="4337"/>
        <w:gridCol w:w="4411"/>
      </w:tblGrid>
      <w:tr w:rsidR="00025E58" w:rsidRPr="00144A1F" w:rsidTr="0093084A">
        <w:trPr>
          <w:trHeight w:val="1256"/>
          <w:tblHeader/>
        </w:trPr>
        <w:tc>
          <w:tcPr>
            <w:tcW w:w="344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:rsidR="00025E5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="00971D91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</w:t>
            </w:r>
          </w:p>
          <w:p w:rsidR="00971D91" w:rsidRPr="00144A1F" w:rsidRDefault="00971D91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:rsidR="00025E58" w:rsidRPr="00877A5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ирекция </w:t>
            </w:r>
            <w:r w:rsidR="00924CC3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„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” – Управляващ орган на 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” 2014 -2020 (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4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lang w:val="bg-BG"/>
              </w:rPr>
              <w:t xml:space="preserve">Вариант </w:t>
            </w: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2</w:t>
            </w:r>
          </w:p>
        </w:tc>
      </w:tr>
      <w:tr w:rsidR="00025E58" w:rsidRPr="00144A1F" w:rsidTr="0093084A">
        <w:trPr>
          <w:trHeight w:val="74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Приложение 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7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:rsidR="00025E58" w:rsidRPr="00F609C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iCs/>
                <w:sz w:val="20"/>
                <w:szCs w:val="20"/>
                <w:lang w:val="bg-BG"/>
              </w:rPr>
              <w:t xml:space="preserve">Образец на Списък на проектните предложения, </w:t>
            </w:r>
            <w:r>
              <w:rPr>
                <w:b/>
                <w:iCs/>
                <w:sz w:val="20"/>
                <w:szCs w:val="20"/>
                <w:lang w:val="bg-BG"/>
              </w:rPr>
              <w:t xml:space="preserve"> които не се допускат до техническа и финансова оценка</w:t>
            </w:r>
          </w:p>
        </w:tc>
        <w:tc>
          <w:tcPr>
            <w:tcW w:w="441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2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025E58" w:rsidRPr="00144A1F" w:rsidTr="0093084A">
        <w:trPr>
          <w:trHeight w:val="69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4411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:rsidR="00025E58" w:rsidRPr="00D81A6C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  <w:tr w:rsidR="00025E58" w:rsidRPr="00144A1F" w:rsidTr="0093084A">
        <w:trPr>
          <w:trHeight w:val="697"/>
        </w:trPr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58" w:rsidRPr="00D4220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D4220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:rsidR="00025E58" w:rsidRPr="00144A1F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:rsidR="00025E58" w:rsidRDefault="00025E58">
      <w:pPr>
        <w:rPr>
          <w:lang w:val="bg-BG"/>
        </w:rPr>
      </w:pPr>
    </w:p>
    <w:p w:rsidR="00025E58" w:rsidRDefault="00D166C0" w:rsidP="005E6325">
      <w:pPr>
        <w:jc w:val="both"/>
        <w:rPr>
          <w:b/>
          <w:lang w:val="bg-BG"/>
        </w:rPr>
      </w:pPr>
      <w:r>
        <w:rPr>
          <w:b/>
          <w:lang w:val="bg-BG"/>
        </w:rPr>
        <w:t>Списък на проектните предложения</w:t>
      </w:r>
      <w:r w:rsidR="00025E58" w:rsidRPr="005F44E0">
        <w:rPr>
          <w:b/>
          <w:lang w:val="bg-BG"/>
        </w:rPr>
        <w:t xml:space="preserve">, </w:t>
      </w:r>
      <w:r>
        <w:rPr>
          <w:b/>
          <w:lang w:val="bg-BG"/>
        </w:rPr>
        <w:t>които не се допускат до те</w:t>
      </w:r>
      <w:r w:rsidR="0093219F">
        <w:rPr>
          <w:b/>
          <w:lang w:val="bg-BG"/>
        </w:rPr>
        <w:t>хническа и финансова оценка по П</w:t>
      </w:r>
      <w:r>
        <w:rPr>
          <w:b/>
          <w:lang w:val="bg-BG"/>
        </w:rPr>
        <w:t>роцедура</w:t>
      </w:r>
      <w:r w:rsidR="00183F60">
        <w:rPr>
          <w:b/>
          <w:lang w:val="bg-BG"/>
        </w:rPr>
        <w:t xml:space="preserve"> за подбор </w:t>
      </w:r>
      <w:r w:rsidR="00183F60" w:rsidRPr="0093084A">
        <w:rPr>
          <w:b/>
          <w:lang w:val="bg-BG"/>
        </w:rPr>
        <w:t>на проект</w:t>
      </w:r>
      <w:r w:rsidR="005E6325" w:rsidRPr="005E6325">
        <w:t xml:space="preserve"> </w:t>
      </w:r>
      <w:r w:rsidR="005E6325" w:rsidRPr="005E6325">
        <w:rPr>
          <w:b/>
          <w:lang w:val="bg-BG"/>
        </w:rPr>
        <w:t xml:space="preserve">проекти № BG14MFOP001-4.119, мярка 03 „Диверсификация на рибарската територия в дейности като туризъм, култура и услуги“ от Стратегията за Водено от общностите местно развитие (ВОМР) на Местна инициативна рибарска група (МИРГ) „Самоков“, по Програмата за морско дело и рибарство 2014-2020 г. (ПМДР) </w:t>
      </w:r>
    </w:p>
    <w:p w:rsidR="00475629" w:rsidRDefault="00475629" w:rsidP="005E6325">
      <w:pPr>
        <w:jc w:val="both"/>
        <w:rPr>
          <w:lang w:val="bg-BG"/>
        </w:rPr>
      </w:pPr>
    </w:p>
    <w:tbl>
      <w:tblPr>
        <w:tblW w:w="13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65"/>
        <w:gridCol w:w="2034"/>
        <w:gridCol w:w="2228"/>
        <w:gridCol w:w="7218"/>
      </w:tblGrid>
      <w:tr w:rsidR="00025E58" w:rsidRPr="00723FE7" w:rsidTr="00454EEC">
        <w:trPr>
          <w:trHeight w:val="990"/>
        </w:trPr>
        <w:tc>
          <w:tcPr>
            <w:tcW w:w="468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1565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2034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кандидата</w:t>
            </w:r>
            <w:bookmarkStart w:id="0" w:name="_GoBack"/>
            <w:bookmarkEnd w:id="0"/>
          </w:p>
        </w:tc>
        <w:tc>
          <w:tcPr>
            <w:tcW w:w="2228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проектното предложение</w:t>
            </w:r>
          </w:p>
        </w:tc>
        <w:tc>
          <w:tcPr>
            <w:tcW w:w="7218" w:type="dxa"/>
            <w:shd w:val="clear" w:color="auto" w:fill="auto"/>
          </w:tcPr>
          <w:p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Основание за отхвърляне</w:t>
            </w:r>
          </w:p>
          <w:p w:rsidR="00025E58" w:rsidRPr="00723FE7" w:rsidRDefault="00025E58" w:rsidP="00E756A6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723FE7">
              <w:rPr>
                <w:b/>
                <w:i/>
                <w:sz w:val="22"/>
                <w:szCs w:val="22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6748B6" w:rsidRPr="008060A9" w:rsidTr="00454EEC">
        <w:trPr>
          <w:trHeight w:val="990"/>
        </w:trPr>
        <w:tc>
          <w:tcPr>
            <w:tcW w:w="468" w:type="dxa"/>
            <w:shd w:val="clear" w:color="auto" w:fill="auto"/>
          </w:tcPr>
          <w:p w:rsidR="006748B6" w:rsidRPr="008060A9" w:rsidRDefault="006748B6" w:rsidP="00067B02">
            <w:pPr>
              <w:spacing w:line="276" w:lineRule="auto"/>
              <w:jc w:val="center"/>
              <w:rPr>
                <w:b/>
                <w:lang w:val="bg-BG"/>
              </w:rPr>
            </w:pPr>
            <w:r w:rsidRPr="008060A9">
              <w:rPr>
                <w:b/>
                <w:lang w:val="bg-BG"/>
              </w:rPr>
              <w:t>1.</w:t>
            </w:r>
          </w:p>
        </w:tc>
        <w:tc>
          <w:tcPr>
            <w:tcW w:w="1565" w:type="dxa"/>
            <w:shd w:val="clear" w:color="auto" w:fill="auto"/>
          </w:tcPr>
          <w:p w:rsidR="006748B6" w:rsidRPr="008060A9" w:rsidRDefault="005E6325" w:rsidP="005E6325">
            <w:pPr>
              <w:spacing w:line="276" w:lineRule="auto"/>
              <w:jc w:val="center"/>
              <w:rPr>
                <w:b/>
                <w:lang w:val="bg-BG"/>
              </w:rPr>
            </w:pPr>
            <w:r w:rsidRPr="008060A9">
              <w:rPr>
                <w:b/>
                <w:lang w:val="bg-BG"/>
              </w:rPr>
              <w:t>BG14MFOP001-4.119</w:t>
            </w:r>
            <w:r w:rsidR="00044408" w:rsidRPr="008060A9">
              <w:rPr>
                <w:b/>
                <w:lang w:val="bg-BG"/>
              </w:rPr>
              <w:t>-000</w:t>
            </w:r>
            <w:r w:rsidR="00454EEC">
              <w:rPr>
                <w:b/>
                <w:lang w:val="bg-BG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6748B6" w:rsidRPr="008060A9" w:rsidRDefault="00454EEC" w:rsidP="00067B02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„АСТРА ГРУП БГ“ ЕООД</w:t>
            </w:r>
          </w:p>
        </w:tc>
        <w:tc>
          <w:tcPr>
            <w:tcW w:w="2228" w:type="dxa"/>
            <w:shd w:val="clear" w:color="auto" w:fill="auto"/>
          </w:tcPr>
          <w:p w:rsidR="006748B6" w:rsidRPr="008060A9" w:rsidRDefault="00454EEC" w:rsidP="00067B02">
            <w:pPr>
              <w:spacing w:line="276" w:lineRule="auto"/>
              <w:jc w:val="center"/>
              <w:rPr>
                <w:b/>
                <w:lang w:val="bg-BG"/>
              </w:rPr>
            </w:pPr>
            <w:r>
              <w:rPr>
                <w:b/>
                <w:lang w:val="bg-BG"/>
              </w:rPr>
              <w:t>„Разнообразяване на туристическите услуги и развитие на алтернативен туризъм“</w:t>
            </w:r>
          </w:p>
        </w:tc>
        <w:tc>
          <w:tcPr>
            <w:tcW w:w="7218" w:type="dxa"/>
            <w:shd w:val="clear" w:color="auto" w:fill="auto"/>
          </w:tcPr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След извършване на оценка за административно съответствие и допустимост на проектно предложение № BG14MFOP001-4.119-0002 съгласно чл. 29, ал. 2, т. 1, буква „а“ от Закона за управление на средствата от Европейските фондове при споделено управление (Загл. изм. - ДВ, бр. 51 от 2022 г., в сила от 01.07.2022 г.) (ЗУСЕФСУ) и § 70 от Преходните и заключителни разпоредби към ЗИД на ЗУСЕСИФ (Обн. ДВ, бр. 51 от 2022 г.), е установено следното: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lastRenderedPageBreak/>
              <w:t xml:space="preserve">Поради липса на задължително изискуеми документи и непредставяне на допълнително поискани такива, проектното предложение (ПП) не отговаря на Критерий № 3 „Налице са всички изискуеми документи и са попълнени съгласно изискванията, посочени в т. 24 от Условията за кандидатстване по настоящата процедура.“ от Приложение 7 „Критерии и методология за оценка на проектните предложения по Процедура за подбор на проекти BG14MFOP001-4.119 „ Диверсификация на рибарската територия в дейности като туризъм, култура и услуги“, мярка 03 „Диверсификация на рибарската територия в дейности като туризъм, култура и услуги“ на МИРГ Самоков. 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Съгласно чл. 34, ал. 2 от ЗУСЕФСУ : „Когато при проверката по ал. 1 се установи липса на документи и/или друга нередовност, комисията изпраща на кандидата уведомление за установените нередовности и определя разумен срок за тяхното отстраняване, който не може да бъде по-кратък от една седмица. Уведомлението съдържа и информация, че не отстраняването на нередовностите в срок може да доведе до прекратяване на производството по отношение на кандидата. Отстраняването на нередовностите не може да води до подобряване на качеството на проектното предложение.“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Във връзка с точка 24 „Списък на документите, които се подават на етап кандидатстване“ от Условия за кандидатстване (УК), утвърдени от УО, на 16.02.2023 г. е изпратено уведомление, с което е поискана допълнителна информация от кандидата, чрез Модул „Комуникация“ в ИСУН 2020. Указан е срок до 26.02.2023 г., в който да бъдат предоставени липсващите документи. Отговор от кандидата е получен на 26.02.2023 г.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lastRenderedPageBreak/>
              <w:t>На 14.03.2023 г. е изпратено второ уведомление, с което е поискана допълнителна информация от кандидата, чрез Модул „Комуникация“ в ИСУН 2020. Указан е срок до 21.03.2023 г., в който да бъдат предоставени липсващите документи. Отговор от кандидата е получен на 21.03.2023 г., като следните от предоставените документи не са съгласно изискванията, посочени в УК на процедурата: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•</w:t>
            </w:r>
            <w:r w:rsidRPr="00454EEC">
              <w:rPr>
                <w:lang w:val="bg-BG"/>
              </w:rPr>
              <w:tab/>
              <w:t xml:space="preserve">не е предоставена актуална скица на имотите (поземления имот и сградата). Част от инвестициите по ПП се предвижда да бъдат реализирани в сграда, която ще бъде ползвана като къща за гости, а друга - в рамките на поземления имот. Кандидатът е представил Скица № С-649/10.05.2022 г. за поземления имот, представляваща извадка от регулационен план, издадена от Техническа служба на община Самоков, а не от Агенцията по геодезия, картография и кадастър (АГКК), съгласно разпоредбите на чл. 55 от Закона за кадастъра и имотния регистър. Установено е несъответствие между данните за имотите, посочени в представения от кандидата договор за отдаване под наем на недвижим имот в с. Алино с площ 965 кв. м. (УПИ VII-636), ведно с двуетажна масивна къща с реално застроена площ 126 кв. м. и в тези от направена справка в кадастралната карта на АГКК, съгласно които сградата на отдавания под наем парцел е еднофамилна, на един етаж, със застроена площ 62 кв. м., а не двуетажна масивна съща с реално застроена площ 126 кв. м., както е посочено в договора. В отговор на допълнително поисканата на 16.02.2023 г. информация, кандидатът е предоставил отново Скица № С-649/10.05.2022 г. на поземления имот, издадена от Техническа служба на община Самоков. В отговор на допълнително поисканата на 21.03.2023 г. информация, кандидатът е посочил, че представената скица е от техническа </w:t>
            </w:r>
            <w:r w:rsidRPr="00454EEC">
              <w:rPr>
                <w:lang w:val="bg-BG"/>
              </w:rPr>
              <w:lastRenderedPageBreak/>
              <w:t>служба при община Самоков, поради това, че село Алина все още няма цифрова кадастрална карта и че за урбанизираната територия на село Алино скици се издават от техническата служба към общината. Представена е извадка от кадастралната карта на АГКК на поземлен имот 00391.700.5, който не е обект на ПП. Поискана е информация за имотите, обект на ПП, от АГКК с рег. № 12-2359/24.03.2023 г. Съгласно получения отговор от АГКК с рег. № 12-2359/04.04.2023 г., недвижими имоти с идентификатори 00391.707.636 и 00391.707.636.1. попадат в неурбанизирана територия на с. Алино, общ. Самоков, Софийска област, за която има одобрена кадастрална карта и кадастрални регистри (КККР). Посочените имоти са отразени в КККР, както следва: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o</w:t>
            </w:r>
            <w:r w:rsidRPr="00454EEC">
              <w:rPr>
                <w:lang w:val="bg-BG"/>
              </w:rPr>
              <w:tab/>
              <w:t>поземлен имот с идентификатори 00391.707.636 - вид собственост: Частна, вид територия: Земеделска, начин на трайно ползване: Нива, площ: 841 кв. м.., стар номер 707636;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o</w:t>
            </w:r>
            <w:r w:rsidRPr="00454EEC">
              <w:rPr>
                <w:lang w:val="bg-BG"/>
              </w:rPr>
              <w:tab/>
              <w:t>имот с идентификатор 00391.707.636.1. - сграда, вид собственост: Частна, функционално предназначение: Жилищна сграда - еднофамилна, брой етажи: 1, застроена площ 62 кв. м.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По информация от АГКК, територията е била предмет на картата на възстановената собственост, данните от нея са поддържани от органите на поземлената собственост по чл. 57, ал. 1 от Правилника за прилагане на Закон за собствеността и ползването на земеделските земи, в оглед на което компетентният орган за издаване на скици на имотите, обект на ПП, се явява АГКК.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•</w:t>
            </w:r>
            <w:r w:rsidRPr="00454EEC">
              <w:rPr>
                <w:lang w:val="bg-BG"/>
              </w:rPr>
              <w:tab/>
              <w:t xml:space="preserve">не са предоставени подробни количествени сметки, заверени от правоспособно лице (задължителен документ за всички ПП, включващи разходи за СМР). В отговор на допълнително поисканата на 16.02.2023 г. информация, кандидатът е посочил, че за предвидените СМР според ЗУТ не се изискват. 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lastRenderedPageBreak/>
              <w:t>•</w:t>
            </w:r>
            <w:r w:rsidRPr="00454EEC">
              <w:rPr>
                <w:lang w:val="bg-BG"/>
              </w:rPr>
              <w:tab/>
              <w:t>не е предоставено влязло в сила разрешение за строеж, издадено от съответната община или становище от главен архитект на общината, че обектът не се нуждае от разрешение за строеж, придружено с копие от архитектурно заснемане (при извършване на СМР, за които не се изисква разрешение за строеж съгласно ЗУТ). В отговор на допълнително поисканата на 16.02.2023 г. информация, кандидатът е посочил, че за предвидените СМР според ЗУТ не се изискват. В отговор на допълнително поисканата на 21.03.2023 г. информация, кандидатът е представил становище от главен архитект на община Самоков с изх. № У-51/07.03.2023 г., че дейностите попадат в обхвата на чл. 151, ал. 1, т. 12 от ЗУТ (градински и паркови елементи с височина до 2,5 м над прилежащия терен), поради което за извършването им не е необходимо издаване на разрешение за строеж, но същото не е придружено с копие от архитектурно заснемане.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Проектното предложение не отговаря на Критерий № 21 „Проектът е икономически жизнеспособен“ от Приложение 7 „Критерии и методология за оценка на проектните предложения по Процедура за подбор на проекти BG14MFOP001-4.119 „ Диверсификация на рибарската територия в дейности като туризъм, култура и услуги“, мярка 03 „Диверсификация на рибарската територия в дейности като туризъм, култура и услуги“ на МИРГ Самоков.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 xml:space="preserve">Представеният с ПП Бизнес план е на фирма „Алино арт“ ЕООД и е с наименование за проект „Инвестиции в бистро за здравословно хранене в село Алино“. Във връзка с точка 24 „Списък на документите, които се подават на етап кандидатстване“ от УК, утвърдени от УО, на 16.02.2023 г. е изпратено уведомление, с което е поискана допълнителна информация от кандидата, чрез Модул </w:t>
            </w:r>
            <w:r w:rsidRPr="00454EEC">
              <w:rPr>
                <w:lang w:val="bg-BG"/>
              </w:rPr>
              <w:lastRenderedPageBreak/>
              <w:t xml:space="preserve">„Комуникация“ в ИСУН 2020. Указан е срок до 26.02.2023 г., в който да бъдат предоставени липсващите документи. Отговор от кандидата е получен на 26.02.2023 г. В отговор на допълнително поисканата информация, е представен Бизнес план на фирма „Астра Груп БГ“ ЕООД, в който амортизационните ставки не са попълнени в съответствие с чл. 55 от Закона за корпоративното подоходно облагане (ЗКПО) и всички прогнозни приходи и разходи (включително разходите за амортизация, в съответствие с чл. 55 от ЗКПО и за работна заплата) не са посочени съгласно указанията във образеца на Бизнес план, като първата година е годината, в която инвестицията се въвежда в експлоатация. 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На 14.03.2023 г. е изпратено второ уведомление, с което е поискана допълнителна информация от кандидата чрез Модул „Комуникация“ в ИСУН 2020. Указан е срок до 21.03.2023 г., в който да бъдат предоставени липсващите документи. Отговор от кандидата е получен на 21.03.2023 г. В отговор на допълнително поисканата информация, е представен Бизнес план на фирма „Алино арт“ ЕООД, с наименование за проект „Инвестиции в бистро за здравословно хранене в село Алино“.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 xml:space="preserve">Към ПП са представени три Бизнес плана (два от тях след поискана допълнителна информация от кандидата чрез Модул „Комуникация“ в ИСУН 2020), като два от тях са на фирма „Алино арт“ ЕООД и са с наименование за проект "Инвестиции в бистро за здравословно хранене в село Алино". Съдържанието и на трите бизнес плана обхваща дейностите, предвидени в ПП, но не са попълнени коректно по отношение на прогнозните приходи и разходи, доколкото някои от тях не са посочени от първата година, в която инвестицията се въвежда в експлоатация (съгласно указанията в образеца на Бизнес плана). В този смисъл не може да </w:t>
            </w:r>
            <w:r w:rsidRPr="00454EEC">
              <w:rPr>
                <w:lang w:val="bg-BG"/>
              </w:rPr>
              <w:lastRenderedPageBreak/>
              <w:t>бъде извършена преценка дали Бизнес плана е реалистичен, обоснован и изпълним и достигната положителна Нетна настояща стойност (NPV) е до 5 години.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Съгласно чл. 34, ал. 2 от ЗУСЕФСУ, когато след допълнително изискване по установения ред, на задължително изискуеми по процедурата документи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което производството по него се прекратява.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Във връзка с направените констатации може да се направи обосновано заключение, че ПП не отговаря на Критерий № 3: „Налице са всички изискуеми документи и са попълнени съгласно изискванията, посочени в т. 24 от Условията за кандидатстване по настоящата процедура.“ и Критерий № 21 „Проектът е икономически жизнеспособен“ от Приложение № 7 към Условията за кандидатстване.</w:t>
            </w:r>
          </w:p>
          <w:p w:rsidR="00454EEC" w:rsidRPr="00454EEC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 xml:space="preserve">Съгласно Приложение № 7 към Условията за кандидатстване, при несъответствие с някое от посочените изисквания проектното предложение се отхвърля. </w:t>
            </w:r>
          </w:p>
          <w:p w:rsidR="006748B6" w:rsidRPr="008060A9" w:rsidRDefault="00454EEC" w:rsidP="00454EEC">
            <w:pPr>
              <w:spacing w:line="276" w:lineRule="auto"/>
              <w:ind w:firstLine="720"/>
              <w:jc w:val="both"/>
              <w:rPr>
                <w:lang w:val="bg-BG"/>
              </w:rPr>
            </w:pPr>
            <w:r w:rsidRPr="00454EEC">
              <w:rPr>
                <w:lang w:val="bg-BG"/>
              </w:rPr>
              <w:t>Поради изложените по-горе аргументи, проектно предложение с рег. № BG14MFOP001-4.119-0002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</w:tbl>
    <w:p w:rsidR="00025E58" w:rsidRPr="008060A9" w:rsidRDefault="00025E58" w:rsidP="00067B02">
      <w:pPr>
        <w:spacing w:line="276" w:lineRule="auto"/>
        <w:rPr>
          <w:lang w:val="bg-BG"/>
        </w:rPr>
      </w:pPr>
    </w:p>
    <w:p w:rsidR="003B4905" w:rsidRPr="008060A9" w:rsidRDefault="003B4905" w:rsidP="00067B02">
      <w:pPr>
        <w:spacing w:line="276" w:lineRule="auto"/>
        <w:jc w:val="both"/>
        <w:rPr>
          <w:lang w:val="bg-BG"/>
        </w:rPr>
      </w:pPr>
    </w:p>
    <w:p w:rsidR="003B4905" w:rsidRDefault="003B4905" w:rsidP="00067B02">
      <w:pPr>
        <w:spacing w:line="276" w:lineRule="auto"/>
        <w:jc w:val="both"/>
        <w:rPr>
          <w:lang w:val="bg-BG"/>
        </w:rPr>
      </w:pPr>
    </w:p>
    <w:p w:rsidR="00CD2ADF" w:rsidRDefault="00CD2ADF" w:rsidP="00067B02">
      <w:pPr>
        <w:spacing w:line="276" w:lineRule="auto"/>
        <w:jc w:val="both"/>
        <w:rPr>
          <w:lang w:val="bg-BG"/>
        </w:rPr>
      </w:pPr>
      <w:r w:rsidRPr="00CD2ADF">
        <w:rPr>
          <w:lang w:val="bg-BG"/>
        </w:rPr>
        <w:t xml:space="preserve">ЗАБЕЛЕЖКА: </w:t>
      </w:r>
    </w:p>
    <w:p w:rsidR="003B4905" w:rsidRPr="00CD2ADF" w:rsidRDefault="003B4905" w:rsidP="00067B02">
      <w:pPr>
        <w:spacing w:line="276" w:lineRule="auto"/>
        <w:jc w:val="both"/>
        <w:rPr>
          <w:lang w:val="bg-BG"/>
        </w:rPr>
      </w:pPr>
    </w:p>
    <w:p w:rsidR="00CD2ADF" w:rsidRPr="00CD2ADF" w:rsidRDefault="00CD2ADF" w:rsidP="00067B02">
      <w:pPr>
        <w:spacing w:line="276" w:lineRule="auto"/>
        <w:jc w:val="both"/>
        <w:rPr>
          <w:lang w:val="bg-BG"/>
        </w:rPr>
      </w:pPr>
      <w:r w:rsidRPr="00CD2ADF">
        <w:rPr>
          <w:lang w:val="bg-BG"/>
        </w:rPr>
        <w:lastRenderedPageBreak/>
        <w:t>Съгласно р</w:t>
      </w:r>
      <w:r w:rsidR="000E48E5">
        <w:rPr>
          <w:lang w:val="bg-BG"/>
        </w:rPr>
        <w:t>азпоредбите на чл. 34, ал. 3 от Закона за управление на средствата от Европейските фондове при споделено управление (Загл. изм. - ДВ, бр. 51 от 2022 г., в сила от 01.07.2022 г.</w:t>
      </w:r>
      <w:r w:rsidR="000E48E5">
        <w:t>) (</w:t>
      </w:r>
      <w:r w:rsidR="000E48E5">
        <w:rPr>
          <w:lang w:val="bg-BG"/>
        </w:rPr>
        <w:t>ЗУСЕФСУ</w:t>
      </w:r>
      <w:r w:rsidR="000E48E5">
        <w:t xml:space="preserve">) </w:t>
      </w:r>
      <w:r w:rsidR="000E48E5">
        <w:rPr>
          <w:color w:val="222222"/>
          <w:shd w:val="clear" w:color="auto" w:fill="FFFFFF"/>
          <w:lang w:val="bg-BG"/>
        </w:rPr>
        <w:t xml:space="preserve">и </w:t>
      </w:r>
      <w:r w:rsidR="000E48E5">
        <w:rPr>
          <w:lang w:val="bg-BG"/>
        </w:rPr>
        <w:t>§ 70 от Преходните и заключителни разпоредби към ЗИД на ЗУСЕСИФ</w:t>
      </w:r>
      <w:r w:rsidRPr="00CD2ADF">
        <w:rPr>
          <w:lang w:val="bg-BG"/>
        </w:rPr>
        <w:t>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:rsidR="00CD2ADF" w:rsidRPr="00025E58" w:rsidRDefault="00CD2ADF" w:rsidP="00067B02">
      <w:pPr>
        <w:spacing w:line="276" w:lineRule="auto"/>
        <w:jc w:val="both"/>
        <w:rPr>
          <w:lang w:val="bg-BG"/>
        </w:rPr>
      </w:pPr>
    </w:p>
    <w:sectPr w:rsidR="00CD2ADF" w:rsidRPr="00025E58" w:rsidSect="00025E5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0CB1"/>
    <w:multiLevelType w:val="hybridMultilevel"/>
    <w:tmpl w:val="37D40732"/>
    <w:lvl w:ilvl="0" w:tplc="63B23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5B2DCF"/>
    <w:multiLevelType w:val="hybridMultilevel"/>
    <w:tmpl w:val="78D04B20"/>
    <w:lvl w:ilvl="0" w:tplc="6446316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2B60EDE"/>
    <w:multiLevelType w:val="hybridMultilevel"/>
    <w:tmpl w:val="F866EC3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70ED02C9"/>
    <w:multiLevelType w:val="hybridMultilevel"/>
    <w:tmpl w:val="30CC7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E58"/>
    <w:rsid w:val="000104BA"/>
    <w:rsid w:val="000215B4"/>
    <w:rsid w:val="00025E58"/>
    <w:rsid w:val="00040C72"/>
    <w:rsid w:val="00044408"/>
    <w:rsid w:val="00044CEB"/>
    <w:rsid w:val="000475CA"/>
    <w:rsid w:val="00067B02"/>
    <w:rsid w:val="000D61E5"/>
    <w:rsid w:val="000E48E5"/>
    <w:rsid w:val="00114317"/>
    <w:rsid w:val="00183F60"/>
    <w:rsid w:val="00186777"/>
    <w:rsid w:val="001C62E9"/>
    <w:rsid w:val="001F6238"/>
    <w:rsid w:val="002703C2"/>
    <w:rsid w:val="00270654"/>
    <w:rsid w:val="002A06B5"/>
    <w:rsid w:val="003A7AD2"/>
    <w:rsid w:val="003B4905"/>
    <w:rsid w:val="003D4F06"/>
    <w:rsid w:val="00404143"/>
    <w:rsid w:val="00411C10"/>
    <w:rsid w:val="00426586"/>
    <w:rsid w:val="00454EEC"/>
    <w:rsid w:val="00475629"/>
    <w:rsid w:val="0048415E"/>
    <w:rsid w:val="004922E7"/>
    <w:rsid w:val="004A21CC"/>
    <w:rsid w:val="004B5779"/>
    <w:rsid w:val="004D73A0"/>
    <w:rsid w:val="004F1BAD"/>
    <w:rsid w:val="00512085"/>
    <w:rsid w:val="00546D12"/>
    <w:rsid w:val="005D26D0"/>
    <w:rsid w:val="005E6325"/>
    <w:rsid w:val="006309F8"/>
    <w:rsid w:val="006717FC"/>
    <w:rsid w:val="006748B6"/>
    <w:rsid w:val="00723FE7"/>
    <w:rsid w:val="00745E5F"/>
    <w:rsid w:val="007509A4"/>
    <w:rsid w:val="007656FF"/>
    <w:rsid w:val="00767302"/>
    <w:rsid w:val="007676FD"/>
    <w:rsid w:val="007873B7"/>
    <w:rsid w:val="0079197B"/>
    <w:rsid w:val="008060A9"/>
    <w:rsid w:val="008246D7"/>
    <w:rsid w:val="00860617"/>
    <w:rsid w:val="008B3EA1"/>
    <w:rsid w:val="00906609"/>
    <w:rsid w:val="00924CC3"/>
    <w:rsid w:val="009266D4"/>
    <w:rsid w:val="0093084A"/>
    <w:rsid w:val="0093219F"/>
    <w:rsid w:val="00971D91"/>
    <w:rsid w:val="009C7362"/>
    <w:rsid w:val="009F10FC"/>
    <w:rsid w:val="00A042AD"/>
    <w:rsid w:val="00A60CE6"/>
    <w:rsid w:val="00A73334"/>
    <w:rsid w:val="00AA1B6A"/>
    <w:rsid w:val="00B45446"/>
    <w:rsid w:val="00B72251"/>
    <w:rsid w:val="00C97A10"/>
    <w:rsid w:val="00CC3977"/>
    <w:rsid w:val="00CD2ADF"/>
    <w:rsid w:val="00D166C0"/>
    <w:rsid w:val="00D46A10"/>
    <w:rsid w:val="00D53E0C"/>
    <w:rsid w:val="00D81A6C"/>
    <w:rsid w:val="00D9025C"/>
    <w:rsid w:val="00DC0198"/>
    <w:rsid w:val="00DE4F11"/>
    <w:rsid w:val="00E11693"/>
    <w:rsid w:val="00EA53E3"/>
    <w:rsid w:val="00ED1EB8"/>
    <w:rsid w:val="00F5302D"/>
    <w:rsid w:val="00F73A86"/>
    <w:rsid w:val="00F84B18"/>
    <w:rsid w:val="00FB4447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0910E"/>
  <w15:docId w15:val="{5C59E69C-61CF-4E70-9856-84953044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3F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F60"/>
    <w:rPr>
      <w:rFonts w:ascii="Segoe UI" w:eastAsia="Times New Roman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722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5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51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Boyanova</dc:creator>
  <cp:lastModifiedBy>Irena Bancheva</cp:lastModifiedBy>
  <cp:revision>6</cp:revision>
  <dcterms:created xsi:type="dcterms:W3CDTF">2023-04-06T08:27:00Z</dcterms:created>
  <dcterms:modified xsi:type="dcterms:W3CDTF">2023-04-06T13:07:00Z</dcterms:modified>
</cp:coreProperties>
</file>